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DFD2" w14:textId="77777777" w:rsidR="00FA0FEE" w:rsidRDefault="00231D28" w:rsidP="00231D28">
      <w:pPr>
        <w:spacing w:after="80"/>
        <w:jc w:val="center"/>
        <w:rPr>
          <w:rFonts w:ascii="Times New Roman" w:hAnsi="Times New Roman" w:cs="Times New Roman"/>
          <w:b/>
          <w:bCs/>
          <w:sz w:val="24"/>
          <w:szCs w:val="24"/>
        </w:rPr>
      </w:pPr>
      <w:r>
        <w:rPr>
          <w:rFonts w:ascii="Times New Roman" w:hAnsi="Times New Roman" w:cs="Times New Roman"/>
          <w:b/>
          <w:bCs/>
          <w:sz w:val="24"/>
          <w:szCs w:val="24"/>
        </w:rPr>
        <w:t>Calculs de prestations</w:t>
      </w:r>
    </w:p>
    <w:p w14:paraId="6BA76D67" w14:textId="77777777" w:rsidR="00231D28" w:rsidRDefault="00231D28" w:rsidP="00231D28">
      <w:pPr>
        <w:spacing w:after="80"/>
        <w:jc w:val="center"/>
        <w:rPr>
          <w:rFonts w:ascii="Times New Roman" w:hAnsi="Times New Roman" w:cs="Times New Roman"/>
          <w:b/>
          <w:bCs/>
          <w:sz w:val="24"/>
          <w:szCs w:val="24"/>
        </w:rPr>
      </w:pPr>
    </w:p>
    <w:p w14:paraId="111CFAC3" w14:textId="77777777" w:rsidR="00231D28" w:rsidRDefault="00231D28" w:rsidP="00231D28">
      <w:pPr>
        <w:spacing w:after="80"/>
        <w:jc w:val="center"/>
        <w:rPr>
          <w:rFonts w:ascii="Times New Roman" w:hAnsi="Times New Roman" w:cs="Times New Roman"/>
          <w:b/>
          <w:bCs/>
          <w:sz w:val="24"/>
          <w:szCs w:val="24"/>
        </w:rPr>
      </w:pPr>
    </w:p>
    <w:p w14:paraId="1FCCC583" w14:textId="77777777" w:rsidR="00231D28" w:rsidRDefault="00231D28" w:rsidP="00231D28">
      <w:pPr>
        <w:spacing w:after="80"/>
        <w:jc w:val="center"/>
        <w:rPr>
          <w:rFonts w:ascii="Times New Roman" w:hAnsi="Times New Roman" w:cs="Times New Roman"/>
          <w:b/>
          <w:bCs/>
          <w:sz w:val="24"/>
          <w:szCs w:val="24"/>
        </w:rPr>
      </w:pPr>
    </w:p>
    <w:p w14:paraId="0DC1EEB0"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Charles-Antoine Fecteau</w:t>
      </w:r>
    </w:p>
    <w:p w14:paraId="63EE7CF9"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(111264468)</w:t>
      </w:r>
    </w:p>
    <w:p w14:paraId="4F3D4EA6" w14:textId="77777777" w:rsidR="00231D28" w:rsidRDefault="00231D28" w:rsidP="00231D28">
      <w:pPr>
        <w:spacing w:after="80"/>
        <w:jc w:val="center"/>
        <w:rPr>
          <w:rFonts w:ascii="Times New Roman" w:hAnsi="Times New Roman" w:cs="Times New Roman"/>
          <w:sz w:val="24"/>
          <w:szCs w:val="24"/>
        </w:rPr>
      </w:pPr>
    </w:p>
    <w:p w14:paraId="7DFF093F"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 xml:space="preserve">Mathieu Giguère </w:t>
      </w:r>
    </w:p>
    <w:p w14:paraId="3C12B903"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w:t>
      </w:r>
      <w:r w:rsidR="00BE6813">
        <w:rPr>
          <w:rFonts w:ascii="Times New Roman" w:hAnsi="Times New Roman" w:cs="Times New Roman"/>
          <w:sz w:val="24"/>
          <w:szCs w:val="24"/>
        </w:rPr>
        <w:t>111255906</w:t>
      </w:r>
      <w:r>
        <w:rPr>
          <w:rFonts w:ascii="Times New Roman" w:hAnsi="Times New Roman" w:cs="Times New Roman"/>
          <w:sz w:val="24"/>
          <w:szCs w:val="24"/>
        </w:rPr>
        <w:t>)</w:t>
      </w:r>
    </w:p>
    <w:p w14:paraId="35507D22" w14:textId="77777777" w:rsidR="00231D28" w:rsidRDefault="00231D28" w:rsidP="00231D28">
      <w:pPr>
        <w:spacing w:after="80"/>
        <w:jc w:val="center"/>
        <w:rPr>
          <w:rFonts w:ascii="Times New Roman" w:hAnsi="Times New Roman" w:cs="Times New Roman"/>
          <w:sz w:val="24"/>
          <w:szCs w:val="24"/>
        </w:rPr>
      </w:pPr>
    </w:p>
    <w:p w14:paraId="6BDD6168"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Tristan Métivier-Dionne</w:t>
      </w:r>
    </w:p>
    <w:p w14:paraId="26EECDBE"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(111264240)</w:t>
      </w:r>
    </w:p>
    <w:p w14:paraId="3257A859" w14:textId="77777777" w:rsidR="00231D28" w:rsidRDefault="00231D28" w:rsidP="00231D28">
      <w:pPr>
        <w:spacing w:after="80"/>
        <w:jc w:val="center"/>
        <w:rPr>
          <w:rFonts w:ascii="Times New Roman" w:hAnsi="Times New Roman" w:cs="Times New Roman"/>
          <w:sz w:val="24"/>
          <w:szCs w:val="24"/>
        </w:rPr>
      </w:pPr>
    </w:p>
    <w:p w14:paraId="67E22C41"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Thomas Paré-Bourque</w:t>
      </w:r>
    </w:p>
    <w:p w14:paraId="6AC8B637"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(111260133)</w:t>
      </w:r>
    </w:p>
    <w:p w14:paraId="31035ECE" w14:textId="77777777" w:rsidR="00231D28" w:rsidRDefault="00231D28" w:rsidP="00231D28">
      <w:pPr>
        <w:spacing w:after="80"/>
        <w:jc w:val="center"/>
        <w:rPr>
          <w:rFonts w:ascii="Times New Roman" w:hAnsi="Times New Roman" w:cs="Times New Roman"/>
          <w:sz w:val="24"/>
          <w:szCs w:val="24"/>
        </w:rPr>
      </w:pPr>
    </w:p>
    <w:p w14:paraId="6958E45E" w14:textId="77777777" w:rsidR="00231D28" w:rsidRDefault="00231D28" w:rsidP="00231D28">
      <w:pPr>
        <w:spacing w:after="80"/>
        <w:jc w:val="center"/>
        <w:rPr>
          <w:rFonts w:ascii="Times New Roman" w:hAnsi="Times New Roman" w:cs="Times New Roman"/>
          <w:sz w:val="24"/>
          <w:szCs w:val="24"/>
        </w:rPr>
      </w:pPr>
    </w:p>
    <w:p w14:paraId="123DDAB2" w14:textId="77777777" w:rsidR="00231D28" w:rsidRDefault="00231D28" w:rsidP="00231D28">
      <w:pPr>
        <w:spacing w:after="80"/>
        <w:jc w:val="center"/>
        <w:rPr>
          <w:rFonts w:ascii="Times New Roman" w:hAnsi="Times New Roman" w:cs="Times New Roman"/>
          <w:sz w:val="24"/>
          <w:szCs w:val="24"/>
        </w:rPr>
      </w:pPr>
    </w:p>
    <w:p w14:paraId="69FB8B65" w14:textId="77777777" w:rsidR="00231D28" w:rsidRDefault="00231D28" w:rsidP="00231D28">
      <w:pPr>
        <w:spacing w:after="80"/>
        <w:jc w:val="center"/>
        <w:rPr>
          <w:rFonts w:ascii="Times New Roman" w:hAnsi="Times New Roman" w:cs="Times New Roman"/>
          <w:sz w:val="24"/>
          <w:szCs w:val="24"/>
        </w:rPr>
      </w:pPr>
    </w:p>
    <w:p w14:paraId="721F8C63"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Analyse et traitement collectif du risque</w:t>
      </w:r>
    </w:p>
    <w:p w14:paraId="3F59A4FB"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ACT-1005</w:t>
      </w:r>
    </w:p>
    <w:p w14:paraId="6D1B0420" w14:textId="77777777" w:rsidR="00231D28" w:rsidRDefault="00231D28" w:rsidP="00231D28">
      <w:pPr>
        <w:spacing w:after="80"/>
        <w:jc w:val="center"/>
        <w:rPr>
          <w:rFonts w:ascii="Times New Roman" w:hAnsi="Times New Roman" w:cs="Times New Roman"/>
          <w:sz w:val="24"/>
          <w:szCs w:val="24"/>
        </w:rPr>
      </w:pPr>
    </w:p>
    <w:p w14:paraId="407A42C0" w14:textId="77777777" w:rsidR="00231D28" w:rsidRDefault="00231D28" w:rsidP="00231D28">
      <w:pPr>
        <w:spacing w:after="80"/>
        <w:jc w:val="center"/>
        <w:rPr>
          <w:rFonts w:ascii="Times New Roman" w:hAnsi="Times New Roman" w:cs="Times New Roman"/>
          <w:sz w:val="24"/>
          <w:szCs w:val="24"/>
        </w:rPr>
      </w:pPr>
    </w:p>
    <w:p w14:paraId="2D5F94CC" w14:textId="77777777" w:rsidR="00231D28" w:rsidRDefault="00231D28" w:rsidP="00231D28">
      <w:pPr>
        <w:spacing w:after="80"/>
        <w:jc w:val="center"/>
        <w:rPr>
          <w:rFonts w:ascii="Times New Roman" w:hAnsi="Times New Roman" w:cs="Times New Roman"/>
          <w:sz w:val="24"/>
          <w:szCs w:val="24"/>
        </w:rPr>
      </w:pPr>
    </w:p>
    <w:p w14:paraId="46DC0FCE" w14:textId="77777777" w:rsidR="00231D28" w:rsidRDefault="00231D28" w:rsidP="00231D28">
      <w:pPr>
        <w:spacing w:after="80"/>
        <w:jc w:val="center"/>
        <w:rPr>
          <w:rFonts w:ascii="Times New Roman" w:hAnsi="Times New Roman" w:cs="Times New Roman"/>
          <w:sz w:val="24"/>
          <w:szCs w:val="24"/>
        </w:rPr>
      </w:pPr>
    </w:p>
    <w:p w14:paraId="0357266F"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Calcul de prestations</w:t>
      </w:r>
    </w:p>
    <w:p w14:paraId="416A2693"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(Travail personnel)</w:t>
      </w:r>
    </w:p>
    <w:p w14:paraId="20569C5D" w14:textId="77777777" w:rsidR="00231D28" w:rsidRDefault="00231D28" w:rsidP="00231D28">
      <w:pPr>
        <w:spacing w:after="80"/>
        <w:rPr>
          <w:rFonts w:ascii="Times New Roman" w:hAnsi="Times New Roman" w:cs="Times New Roman"/>
          <w:sz w:val="24"/>
          <w:szCs w:val="24"/>
        </w:rPr>
      </w:pPr>
    </w:p>
    <w:p w14:paraId="35B94FC9" w14:textId="77777777" w:rsidR="00231D28" w:rsidRDefault="00231D28" w:rsidP="00231D28">
      <w:pPr>
        <w:spacing w:after="80"/>
        <w:rPr>
          <w:rFonts w:ascii="Times New Roman" w:hAnsi="Times New Roman" w:cs="Times New Roman"/>
          <w:sz w:val="24"/>
          <w:szCs w:val="24"/>
        </w:rPr>
      </w:pPr>
    </w:p>
    <w:p w14:paraId="2136AE1C" w14:textId="77777777" w:rsidR="00231D28" w:rsidRDefault="00231D28" w:rsidP="00231D28">
      <w:pPr>
        <w:spacing w:after="80"/>
        <w:rPr>
          <w:rFonts w:ascii="Times New Roman" w:hAnsi="Times New Roman" w:cs="Times New Roman"/>
          <w:sz w:val="24"/>
          <w:szCs w:val="24"/>
        </w:rPr>
      </w:pPr>
    </w:p>
    <w:p w14:paraId="49C224B7" w14:textId="77777777" w:rsidR="00231D28" w:rsidRDefault="00231D28" w:rsidP="00231D28">
      <w:pPr>
        <w:spacing w:after="80"/>
        <w:rPr>
          <w:rFonts w:ascii="Times New Roman" w:hAnsi="Times New Roman" w:cs="Times New Roman"/>
          <w:sz w:val="24"/>
          <w:szCs w:val="24"/>
        </w:rPr>
      </w:pPr>
    </w:p>
    <w:p w14:paraId="38075154"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École d’actuariat</w:t>
      </w:r>
    </w:p>
    <w:p w14:paraId="0BC7DCFC"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Université Laval</w:t>
      </w:r>
    </w:p>
    <w:p w14:paraId="0D755E61"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Hiver 2020</w:t>
      </w:r>
    </w:p>
    <w:p w14:paraId="6AB276DE" w14:textId="77777777" w:rsidR="00231D28" w:rsidRDefault="00514F71" w:rsidP="00AF005B">
      <w:pPr>
        <w:spacing w:after="8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Client 1 : </w:t>
      </w:r>
    </w:p>
    <w:p w14:paraId="5B87155D" w14:textId="77777777" w:rsidR="00514F71" w:rsidRDefault="00514F71" w:rsidP="00AF005B">
      <w:pPr>
        <w:spacing w:after="80"/>
        <w:jc w:val="both"/>
        <w:rPr>
          <w:rFonts w:ascii="Times New Roman" w:hAnsi="Times New Roman" w:cs="Times New Roman"/>
          <w:b/>
          <w:bCs/>
          <w:sz w:val="24"/>
          <w:szCs w:val="24"/>
        </w:rPr>
      </w:pPr>
      <w:r>
        <w:rPr>
          <w:rFonts w:ascii="Times New Roman" w:hAnsi="Times New Roman" w:cs="Times New Roman"/>
          <w:sz w:val="24"/>
          <w:szCs w:val="24"/>
          <w:u w:val="single"/>
        </w:rPr>
        <w:t xml:space="preserve">Question 1 : </w:t>
      </w:r>
    </w:p>
    <w:p w14:paraId="684B6E25" w14:textId="4DB1151B" w:rsidR="00514F71" w:rsidRDefault="00514F71" w:rsidP="00AF005B">
      <w:pPr>
        <w:spacing w:after="80"/>
        <w:jc w:val="both"/>
        <w:rPr>
          <w:rFonts w:ascii="Times New Roman" w:hAnsi="Times New Roman" w:cs="Times New Roman"/>
          <w:sz w:val="24"/>
          <w:szCs w:val="24"/>
        </w:rPr>
      </w:pPr>
      <w:r>
        <w:rPr>
          <w:rFonts w:ascii="Times New Roman" w:hAnsi="Times New Roman" w:cs="Times New Roman"/>
          <w:sz w:val="24"/>
          <w:szCs w:val="24"/>
        </w:rPr>
        <w:t xml:space="preserve">Notre chère Virginie aura droit à un remplacement de revenu </w:t>
      </w:r>
      <w:r w:rsidRPr="00F3474C">
        <w:rPr>
          <w:rFonts w:ascii="Times New Roman" w:hAnsi="Times New Roman" w:cs="Times New Roman"/>
          <w:sz w:val="24"/>
          <w:szCs w:val="24"/>
        </w:rPr>
        <w:t xml:space="preserve">de </w:t>
      </w:r>
      <w:r w:rsidR="00F3474C">
        <w:rPr>
          <w:rFonts w:ascii="Times New Roman" w:hAnsi="Times New Roman" w:cs="Times New Roman"/>
          <w:sz w:val="24"/>
          <w:szCs w:val="24"/>
        </w:rPr>
        <w:t>1</w:t>
      </w:r>
      <w:r w:rsidR="004E7E5B">
        <w:rPr>
          <w:rFonts w:ascii="Times New Roman" w:hAnsi="Times New Roman" w:cs="Times New Roman"/>
          <w:sz w:val="24"/>
          <w:szCs w:val="24"/>
        </w:rPr>
        <w:t>7</w:t>
      </w:r>
      <w:r w:rsidRPr="00F3474C">
        <w:rPr>
          <w:rFonts w:ascii="Times New Roman" w:hAnsi="Times New Roman" w:cs="Times New Roman"/>
          <w:sz w:val="24"/>
          <w:szCs w:val="24"/>
        </w:rPr>
        <w:t>%.</w:t>
      </w:r>
      <w:r>
        <w:rPr>
          <w:rFonts w:ascii="Times New Roman" w:hAnsi="Times New Roman" w:cs="Times New Roman"/>
          <w:sz w:val="24"/>
          <w:szCs w:val="24"/>
        </w:rPr>
        <w:t xml:space="preserve"> Ce montant est obtenu avec les calculs suivants. </w:t>
      </w:r>
    </w:p>
    <w:p w14:paraId="47D60A41" w14:textId="77777777" w:rsidR="00514F71" w:rsidRDefault="00514F71" w:rsidP="00AF005B">
      <w:pPr>
        <w:spacing w:after="80"/>
        <w:jc w:val="both"/>
        <w:rPr>
          <w:rFonts w:ascii="Times New Roman" w:hAnsi="Times New Roman" w:cs="Times New Roman"/>
          <w:sz w:val="24"/>
          <w:szCs w:val="24"/>
        </w:rPr>
      </w:pPr>
    </w:p>
    <w:p w14:paraId="795445AA" w14:textId="77777777" w:rsidR="00514F71" w:rsidRDefault="00514F71" w:rsidP="00AF005B">
      <w:pPr>
        <w:spacing w:after="80"/>
        <w:jc w:val="both"/>
        <w:rPr>
          <w:rFonts w:ascii="Times New Roman" w:hAnsi="Times New Roman" w:cs="Times New Roman"/>
          <w:sz w:val="24"/>
          <w:szCs w:val="24"/>
        </w:rPr>
      </w:pPr>
      <w:r>
        <w:rPr>
          <w:rFonts w:ascii="Times New Roman" w:hAnsi="Times New Roman" w:cs="Times New Roman"/>
          <w:sz w:val="24"/>
          <w:szCs w:val="24"/>
        </w:rPr>
        <w:t xml:space="preserve">Tel qu’indiqué dans les sous-titres des calculs, Virginie aura des remplacements de revenus de plusieurs sources différentes. D’abord, elle recevra évidemment sa rente du RRQ. Toutefois, comme notre amie a pris sa retraite avant d’atteindre l’ANR de 65 ans, elle voit sa rente être réduite. </w:t>
      </w:r>
    </w:p>
    <w:p w14:paraId="310173BC" w14:textId="35CE8E23" w:rsidR="00BE6813" w:rsidRDefault="00BE6813" w:rsidP="00AF005B">
      <w:pPr>
        <w:spacing w:after="80"/>
        <w:jc w:val="both"/>
        <w:rPr>
          <w:rFonts w:ascii="Times New Roman" w:hAnsi="Times New Roman" w:cs="Times New Roman"/>
          <w:sz w:val="24"/>
          <w:szCs w:val="24"/>
        </w:rPr>
      </w:pPr>
    </w:p>
    <w:p w14:paraId="502F9C6C" w14:textId="4D90AE8E" w:rsidR="00A433BF" w:rsidRDefault="00A433BF" w:rsidP="00AF005B">
      <w:pPr>
        <w:spacing w:after="80"/>
        <w:jc w:val="both"/>
        <w:rPr>
          <w:rFonts w:ascii="Times New Roman" w:hAnsi="Times New Roman" w:cs="Times New Roman"/>
          <w:sz w:val="24"/>
          <w:szCs w:val="24"/>
        </w:rPr>
      </w:pPr>
    </w:p>
    <w:p w14:paraId="43918DB7" w14:textId="7B766619" w:rsidR="00A433BF" w:rsidRDefault="00F3474C" w:rsidP="00AF005B">
      <w:pPr>
        <w:spacing w:after="8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Question 2 : </w:t>
      </w:r>
    </w:p>
    <w:p w14:paraId="0837BB01" w14:textId="58A66D6D" w:rsidR="00F3474C" w:rsidRPr="00F3474C" w:rsidRDefault="00F3474C" w:rsidP="00AF005B">
      <w:pPr>
        <w:spacing w:after="80"/>
        <w:jc w:val="both"/>
        <w:rPr>
          <w:rFonts w:ascii="Times New Roman" w:hAnsi="Times New Roman" w:cs="Times New Roman"/>
          <w:sz w:val="24"/>
          <w:szCs w:val="24"/>
        </w:rPr>
      </w:pPr>
      <w:r>
        <w:rPr>
          <w:rFonts w:ascii="Times New Roman" w:hAnsi="Times New Roman" w:cs="Times New Roman"/>
          <w:sz w:val="24"/>
          <w:szCs w:val="24"/>
        </w:rPr>
        <w:t>Dans cette situation, Virginie aura un remplacement de revenu de retraite de 5</w:t>
      </w:r>
      <w:r w:rsidR="004E7E5B">
        <w:rPr>
          <w:rFonts w:ascii="Times New Roman" w:hAnsi="Times New Roman" w:cs="Times New Roman"/>
          <w:sz w:val="24"/>
          <w:szCs w:val="24"/>
        </w:rPr>
        <w:t>7</w:t>
      </w:r>
      <w:r>
        <w:rPr>
          <w:rFonts w:ascii="Times New Roman" w:hAnsi="Times New Roman" w:cs="Times New Roman"/>
          <w:sz w:val="24"/>
          <w:szCs w:val="24"/>
        </w:rPr>
        <w:t xml:space="preserve">% de sa dernière année de salaire. Il ne faut pas se tromper et croire que son revenu de la RRQ variera dans le temps, autre que l’indexation, i.e., la réduction actuarielle ne change pas puisqu’elle a atteint l’âge de 65 ans. </w:t>
      </w:r>
      <w:r w:rsidR="00AF005B">
        <w:rPr>
          <w:rFonts w:ascii="Times New Roman" w:hAnsi="Times New Roman" w:cs="Times New Roman"/>
          <w:sz w:val="24"/>
          <w:szCs w:val="24"/>
        </w:rPr>
        <w:t xml:space="preserve">Dans le cadre du TP, on considère donc que les rentes du RRQ sont indexées selon l’inflation. Toutefois, ce qui diffère de la question 1, c’est qu’à partir de l’âge de 65 ans, Virginie est admissible à recevoir la PSV, et, selon son revenu, le SRG. Dans son cas, elle est admissible aux deux programmes. </w:t>
      </w:r>
    </w:p>
    <w:p w14:paraId="6314E791" w14:textId="6E308A6E" w:rsidR="00BF1F7E" w:rsidRDefault="00BF1F7E" w:rsidP="00AF005B">
      <w:pPr>
        <w:spacing w:after="80"/>
        <w:jc w:val="both"/>
        <w:rPr>
          <w:rFonts w:ascii="Times New Roman" w:hAnsi="Times New Roman" w:cs="Times New Roman"/>
          <w:sz w:val="24"/>
          <w:szCs w:val="24"/>
        </w:rPr>
      </w:pPr>
    </w:p>
    <w:p w14:paraId="573B943C" w14:textId="7C2525F1" w:rsidR="007D540D" w:rsidRDefault="007D540D" w:rsidP="00AF005B">
      <w:pPr>
        <w:spacing w:after="80"/>
        <w:jc w:val="both"/>
        <w:rPr>
          <w:rFonts w:ascii="Times New Roman" w:hAnsi="Times New Roman" w:cs="Times New Roman"/>
          <w:sz w:val="24"/>
          <w:szCs w:val="24"/>
        </w:rPr>
      </w:pPr>
      <w:r>
        <w:rPr>
          <w:rFonts w:ascii="Times New Roman" w:hAnsi="Times New Roman" w:cs="Times New Roman"/>
          <w:sz w:val="24"/>
          <w:szCs w:val="24"/>
          <w:u w:val="single"/>
        </w:rPr>
        <w:t xml:space="preserve">Question 3 : </w:t>
      </w:r>
    </w:p>
    <w:p w14:paraId="382D8C82" w14:textId="4FABA906" w:rsidR="007D540D" w:rsidRPr="007D540D" w:rsidRDefault="007D540D" w:rsidP="00AF005B">
      <w:pPr>
        <w:spacing w:after="80"/>
        <w:jc w:val="both"/>
        <w:rPr>
          <w:rFonts w:ascii="Times New Roman" w:hAnsi="Times New Roman" w:cs="Times New Roman"/>
          <w:sz w:val="24"/>
          <w:szCs w:val="24"/>
        </w:rPr>
      </w:pPr>
      <w:r>
        <w:rPr>
          <w:rFonts w:ascii="Times New Roman" w:hAnsi="Times New Roman" w:cs="Times New Roman"/>
          <w:sz w:val="24"/>
          <w:szCs w:val="24"/>
        </w:rPr>
        <w:t>Dans ce cas, Virginie verrait sa rente remplacer 52% de son revenu. Dans cette situation, aucune réduction actuarielle ne s’applique, puisque Virginie a pris sa retraite à 65 ans.</w:t>
      </w:r>
      <w:r w:rsidR="00875A97">
        <w:rPr>
          <w:rFonts w:ascii="Times New Roman" w:hAnsi="Times New Roman" w:cs="Times New Roman"/>
          <w:sz w:val="24"/>
          <w:szCs w:val="24"/>
        </w:rPr>
        <w:t xml:space="preserve"> </w:t>
      </w:r>
      <w:r>
        <w:rPr>
          <w:rFonts w:ascii="Times New Roman" w:hAnsi="Times New Roman" w:cs="Times New Roman"/>
          <w:sz w:val="24"/>
          <w:szCs w:val="24"/>
        </w:rPr>
        <w:t xml:space="preserve">Encore une fois, elle est admissible </w:t>
      </w:r>
      <w:r w:rsidR="00875A97">
        <w:rPr>
          <w:rFonts w:ascii="Times New Roman" w:hAnsi="Times New Roman" w:cs="Times New Roman"/>
          <w:sz w:val="24"/>
          <w:szCs w:val="24"/>
        </w:rPr>
        <w:t>à recevoir la PSV et le SRG. Toutefois, en raison de ses revenus plus élevés, sa rente de la SRG sera réduite selon le calcul suivant :</w:t>
      </w:r>
      <w:bookmarkStart w:id="0" w:name="_GoBack"/>
      <w:bookmarkEnd w:id="0"/>
    </w:p>
    <w:p w14:paraId="09EBB4E6" w14:textId="77777777" w:rsidR="00AF005B" w:rsidRDefault="00AF005B" w:rsidP="00AF005B">
      <w:pPr>
        <w:spacing w:after="80"/>
        <w:jc w:val="both"/>
        <w:rPr>
          <w:rFonts w:ascii="Times New Roman" w:hAnsi="Times New Roman" w:cs="Times New Roman"/>
          <w:sz w:val="24"/>
          <w:szCs w:val="24"/>
        </w:rPr>
      </w:pPr>
    </w:p>
    <w:p w14:paraId="7834A68D" w14:textId="55AB14C6" w:rsidR="00AF005B" w:rsidRDefault="00AF005B" w:rsidP="00AF005B">
      <w:pPr>
        <w:spacing w:after="8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Question 4 : </w:t>
      </w:r>
    </w:p>
    <w:p w14:paraId="1F48CD11" w14:textId="32878AC3" w:rsidR="00AF005B" w:rsidRDefault="00AF005B" w:rsidP="00AF005B">
      <w:pPr>
        <w:pStyle w:val="Paragraphedeliste"/>
        <w:numPr>
          <w:ilvl w:val="0"/>
          <w:numId w:val="2"/>
        </w:numPr>
        <w:spacing w:after="80"/>
        <w:jc w:val="both"/>
        <w:rPr>
          <w:rFonts w:ascii="Times New Roman" w:hAnsi="Times New Roman" w:cs="Times New Roman"/>
          <w:sz w:val="24"/>
          <w:szCs w:val="24"/>
        </w:rPr>
      </w:pPr>
      <w:r>
        <w:rPr>
          <w:rFonts w:ascii="Times New Roman" w:hAnsi="Times New Roman" w:cs="Times New Roman"/>
          <w:sz w:val="24"/>
          <w:szCs w:val="24"/>
        </w:rPr>
        <w:t>D’abord, le RRQ prévoit une réduction actuarielle si une personne prend sa retraite avant l’ANR (65 ans). Cette réduction varie de 0,5% à 0,6% selon le revenu. Les prestations sont toutes actuariellement équivalentes, mais une demande précoce offrira une rente réduite, puisqu’elle sera versée sur une plus longue période.</w:t>
      </w:r>
    </w:p>
    <w:p w14:paraId="14E31EF4" w14:textId="24D4B27B" w:rsidR="00AF005B" w:rsidRDefault="00AF005B" w:rsidP="00AF005B">
      <w:pPr>
        <w:pStyle w:val="Paragraphedeliste"/>
        <w:numPr>
          <w:ilvl w:val="0"/>
          <w:numId w:val="2"/>
        </w:numPr>
        <w:spacing w:after="80"/>
        <w:jc w:val="both"/>
        <w:rPr>
          <w:rFonts w:ascii="Times New Roman" w:hAnsi="Times New Roman" w:cs="Times New Roman"/>
          <w:sz w:val="24"/>
          <w:szCs w:val="24"/>
        </w:rPr>
      </w:pPr>
      <w:r>
        <w:rPr>
          <w:rFonts w:ascii="Times New Roman" w:hAnsi="Times New Roman" w:cs="Times New Roman"/>
          <w:sz w:val="24"/>
          <w:szCs w:val="24"/>
        </w:rPr>
        <w:t>La variation de la période cotisable aura également un impact sur le niveau de la rente</w:t>
      </w:r>
      <w:r w:rsidR="004E7E5B">
        <w:rPr>
          <w:rFonts w:ascii="Times New Roman" w:hAnsi="Times New Roman" w:cs="Times New Roman"/>
          <w:sz w:val="24"/>
          <w:szCs w:val="24"/>
        </w:rPr>
        <w:t xml:space="preserve">. En effet, la période cotisable (selon 3 conditions énoncées en classe) se termine le mois précédant le versement d’une rente de retraite. </w:t>
      </w:r>
      <w:proofErr w:type="gramStart"/>
      <w:r w:rsidR="004E7E5B">
        <w:rPr>
          <w:rFonts w:ascii="Times New Roman" w:hAnsi="Times New Roman" w:cs="Times New Roman"/>
          <w:sz w:val="24"/>
          <w:szCs w:val="24"/>
        </w:rPr>
        <w:t>Ceci étant</w:t>
      </w:r>
      <w:proofErr w:type="gramEnd"/>
      <w:r w:rsidR="004E7E5B">
        <w:rPr>
          <w:rFonts w:ascii="Times New Roman" w:hAnsi="Times New Roman" w:cs="Times New Roman"/>
          <w:sz w:val="24"/>
          <w:szCs w:val="24"/>
        </w:rPr>
        <w:t xml:space="preserve"> dit, la période cotisable d’une personne qui prend sa retraite è 65 ans (et demande l’obtention de ses rentes RRQ) sera évidemment plus longue que celle de la personne qui prend sa retraite è 60 ans. Tel qu’énoncé dans les calculs des questions précédentes, le calcul de la rente est fonction de la période cotisable. L’impact sera donc que lors du retranchement de certains mois (</w:t>
      </w:r>
      <w:r w:rsidR="008A24FC">
        <w:rPr>
          <w:rFonts w:ascii="Times New Roman" w:hAnsi="Times New Roman" w:cs="Times New Roman"/>
          <w:sz w:val="24"/>
          <w:szCs w:val="24"/>
        </w:rPr>
        <w:t xml:space="preserve">les 15% de mois aux revenus les </w:t>
      </w:r>
      <w:r w:rsidR="008A24FC">
        <w:rPr>
          <w:rFonts w:ascii="Times New Roman" w:hAnsi="Times New Roman" w:cs="Times New Roman"/>
          <w:sz w:val="24"/>
          <w:szCs w:val="24"/>
        </w:rPr>
        <w:lastRenderedPageBreak/>
        <w:t>plus faibles), le 15% représente évidemment plus de mois lorsque la période est plus longue, donc il sera possible de retrancher plus de mois à faible revenus, ce qui a pour effet d’augmenter davantage la rente lorsque la retraite est prise à 65 ans. L’ajout de quelques mois à la période cotisable peut aussi permettre d’ajouter quelques mois afin de pouvoir en retirer quelques autres à faible revenus</w:t>
      </w:r>
      <w:r w:rsidR="007D540D">
        <w:rPr>
          <w:rFonts w:ascii="Times New Roman" w:hAnsi="Times New Roman" w:cs="Times New Roman"/>
          <w:sz w:val="24"/>
          <w:szCs w:val="24"/>
        </w:rPr>
        <w:t xml:space="preserve">, en demeurant au-dessus du minimum de 120 mois. </w:t>
      </w:r>
    </w:p>
    <w:p w14:paraId="63FB6FB8" w14:textId="0ECFEE68" w:rsidR="008A24FC" w:rsidRDefault="008A24FC" w:rsidP="00AF005B">
      <w:pPr>
        <w:pStyle w:val="Paragraphedeliste"/>
        <w:numPr>
          <w:ilvl w:val="0"/>
          <w:numId w:val="2"/>
        </w:numPr>
        <w:spacing w:after="80"/>
        <w:jc w:val="both"/>
        <w:rPr>
          <w:rFonts w:ascii="Times New Roman" w:hAnsi="Times New Roman" w:cs="Times New Roman"/>
          <w:sz w:val="24"/>
          <w:szCs w:val="24"/>
        </w:rPr>
      </w:pPr>
      <w:r>
        <w:rPr>
          <w:rFonts w:ascii="Times New Roman" w:hAnsi="Times New Roman" w:cs="Times New Roman"/>
          <w:sz w:val="24"/>
          <w:szCs w:val="24"/>
        </w:rPr>
        <w:t>Dans le même ordre d’idée qu’au point 2, une retraite à 65 ans ajoutera 5 années de salaire à considérer lors du calcul des prestations. Une personne avec un salaire constamment croissant verra donc la moyenne de ses salaires ajustés augmentés si elle travaille jusqu’à 65 ans versus la personne qui se retire à 60 ans. L’inverse est aussi vrai, alors qu’une personne qui opte pour un travail à tâche réduite pour les dernières années de sa carrière peut voir son salaire annuel grandement réduit, ce qui ajouterait des années de petit salaire au calcul de la prestation.</w:t>
      </w:r>
    </w:p>
    <w:p w14:paraId="59F9B777" w14:textId="23D99B89" w:rsidR="007D540D" w:rsidRPr="00AF005B" w:rsidRDefault="007D540D" w:rsidP="00AF005B">
      <w:pPr>
        <w:pStyle w:val="Paragraphedeliste"/>
        <w:numPr>
          <w:ilvl w:val="0"/>
          <w:numId w:val="2"/>
        </w:numPr>
        <w:spacing w:after="80"/>
        <w:jc w:val="both"/>
        <w:rPr>
          <w:rFonts w:ascii="Times New Roman" w:hAnsi="Times New Roman" w:cs="Times New Roman"/>
          <w:sz w:val="24"/>
          <w:szCs w:val="24"/>
        </w:rPr>
      </w:pPr>
      <w:r>
        <w:rPr>
          <w:rFonts w:ascii="Times New Roman" w:hAnsi="Times New Roman" w:cs="Times New Roman"/>
          <w:sz w:val="24"/>
          <w:szCs w:val="24"/>
        </w:rPr>
        <w:t xml:space="preserve">Finalement, dans le calcul des prestations, on ajuste les salaires antérieurs avec un calcul simple utilisant la moyenne des 5 derniers MGA à l’âge de la retraite. Prendre sa retraite 5 ans plus tard offrira donc une moyenne plus élevée, puisque les MGA sont indexés annuellement. Une retraite plus tard offrira donc un calcul plus avantageux pour le retraité lors de l’ajustement de ses GANA. </w:t>
      </w:r>
    </w:p>
    <w:p w14:paraId="1EB2985A" w14:textId="77777777" w:rsidR="00AF005B" w:rsidRDefault="00AF005B" w:rsidP="00AF005B">
      <w:pPr>
        <w:spacing w:after="80"/>
        <w:jc w:val="both"/>
        <w:rPr>
          <w:rFonts w:ascii="Times New Roman" w:hAnsi="Times New Roman" w:cs="Times New Roman"/>
          <w:sz w:val="24"/>
          <w:szCs w:val="24"/>
          <w:u w:val="single"/>
        </w:rPr>
      </w:pPr>
    </w:p>
    <w:p w14:paraId="3070C504" w14:textId="16E65E0B" w:rsidR="00BF1F7E" w:rsidRDefault="00BF1F7E" w:rsidP="00AF005B">
      <w:pPr>
        <w:spacing w:after="8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Question </w:t>
      </w:r>
      <w:r w:rsidR="00AF005B">
        <w:rPr>
          <w:rFonts w:ascii="Times New Roman" w:hAnsi="Times New Roman" w:cs="Times New Roman"/>
          <w:sz w:val="24"/>
          <w:szCs w:val="24"/>
          <w:u w:val="single"/>
        </w:rPr>
        <w:t>5</w:t>
      </w:r>
      <w:r>
        <w:rPr>
          <w:rFonts w:ascii="Times New Roman" w:hAnsi="Times New Roman" w:cs="Times New Roman"/>
          <w:sz w:val="24"/>
          <w:szCs w:val="24"/>
          <w:u w:val="single"/>
        </w:rPr>
        <w:t> :</w:t>
      </w:r>
    </w:p>
    <w:p w14:paraId="43EA2053" w14:textId="28605911" w:rsidR="00BF1F7E" w:rsidRDefault="00BF1F7E" w:rsidP="00AF005B">
      <w:pPr>
        <w:pStyle w:val="Paragraphedeliste"/>
        <w:numPr>
          <w:ilvl w:val="0"/>
          <w:numId w:val="1"/>
        </w:numPr>
        <w:spacing w:after="80"/>
        <w:jc w:val="both"/>
        <w:rPr>
          <w:rFonts w:ascii="Times New Roman" w:hAnsi="Times New Roman" w:cs="Times New Roman"/>
          <w:sz w:val="24"/>
          <w:szCs w:val="24"/>
        </w:rPr>
      </w:pPr>
      <w:r>
        <w:rPr>
          <w:rFonts w:ascii="Times New Roman" w:hAnsi="Times New Roman" w:cs="Times New Roman"/>
          <w:sz w:val="24"/>
          <w:szCs w:val="24"/>
        </w:rPr>
        <w:t>D’abord, elle n’a pas à remplacer 100% de ses revenus avant retraite, car une partie de ce montant était réservé à l’épargne retraite, donc à sa retraite, elle n’a plus à épargner, c’est le temps de dépenser.</w:t>
      </w:r>
    </w:p>
    <w:p w14:paraId="1345BBFE" w14:textId="1AF6D454" w:rsidR="00BF1F7E" w:rsidRDefault="00BF1F7E" w:rsidP="00AF005B">
      <w:pPr>
        <w:pStyle w:val="Paragraphedeliste"/>
        <w:numPr>
          <w:ilvl w:val="0"/>
          <w:numId w:val="1"/>
        </w:numPr>
        <w:spacing w:after="80"/>
        <w:jc w:val="both"/>
        <w:rPr>
          <w:rFonts w:ascii="Times New Roman" w:hAnsi="Times New Roman" w:cs="Times New Roman"/>
          <w:sz w:val="24"/>
          <w:szCs w:val="24"/>
        </w:rPr>
      </w:pPr>
      <w:r>
        <w:rPr>
          <w:rFonts w:ascii="Times New Roman" w:hAnsi="Times New Roman" w:cs="Times New Roman"/>
          <w:sz w:val="24"/>
          <w:szCs w:val="24"/>
        </w:rPr>
        <w:t>Elle n’a pu à couvrir des frais de déplacements pour se rendre au travail.</w:t>
      </w:r>
    </w:p>
    <w:p w14:paraId="0A3C5257" w14:textId="73A1EFB4" w:rsidR="00BF1F7E" w:rsidRDefault="00BF1F7E" w:rsidP="00AF005B">
      <w:pPr>
        <w:pStyle w:val="Paragraphedeliste"/>
        <w:numPr>
          <w:ilvl w:val="0"/>
          <w:numId w:val="1"/>
        </w:numPr>
        <w:spacing w:after="80"/>
        <w:jc w:val="both"/>
        <w:rPr>
          <w:rFonts w:ascii="Times New Roman" w:hAnsi="Times New Roman" w:cs="Times New Roman"/>
          <w:sz w:val="24"/>
          <w:szCs w:val="24"/>
        </w:rPr>
      </w:pPr>
      <w:r>
        <w:rPr>
          <w:rFonts w:ascii="Times New Roman" w:hAnsi="Times New Roman" w:cs="Times New Roman"/>
          <w:sz w:val="24"/>
          <w:szCs w:val="24"/>
        </w:rPr>
        <w:t>Sa maison est considérée comme un actif, ce qui laisse croire qu’elle a donc finie de la payer. Cela signifie donc la fin des dépenses hypothécaires, elle a donc besoin de moins de revenus par la suite.</w:t>
      </w:r>
    </w:p>
    <w:p w14:paraId="2675C567" w14:textId="1953BC1E" w:rsidR="00BF1F7E" w:rsidRPr="00BF1F7E" w:rsidRDefault="00BF1F7E" w:rsidP="00AF005B">
      <w:pPr>
        <w:pStyle w:val="Paragraphedeliste"/>
        <w:numPr>
          <w:ilvl w:val="0"/>
          <w:numId w:val="1"/>
        </w:numPr>
        <w:spacing w:after="80"/>
        <w:jc w:val="both"/>
        <w:rPr>
          <w:rFonts w:ascii="Times New Roman" w:hAnsi="Times New Roman" w:cs="Times New Roman"/>
          <w:sz w:val="24"/>
          <w:szCs w:val="24"/>
        </w:rPr>
      </w:pPr>
      <w:r>
        <w:rPr>
          <w:rFonts w:ascii="Times New Roman" w:hAnsi="Times New Roman" w:cs="Times New Roman"/>
          <w:sz w:val="24"/>
          <w:szCs w:val="24"/>
        </w:rPr>
        <w:t xml:space="preserve">Ses dépenses générales risques simplement d’être réduites, que ce soit qu’elle achète moins de vêtements de travail, ou parce qu’elle bénéficie du rabais de l’âge d’or, elle aura certainement besoin de moins d’argent pour couvrir ses dépenses réduites. </w:t>
      </w:r>
    </w:p>
    <w:sectPr w:rsidR="00BF1F7E" w:rsidRPr="00BF1F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928AE"/>
    <w:multiLevelType w:val="hybridMultilevel"/>
    <w:tmpl w:val="91EE01D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26454C8"/>
    <w:multiLevelType w:val="hybridMultilevel"/>
    <w:tmpl w:val="64E64B9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28"/>
    <w:rsid w:val="00231D28"/>
    <w:rsid w:val="004E7E5B"/>
    <w:rsid w:val="005054E0"/>
    <w:rsid w:val="00514F71"/>
    <w:rsid w:val="007253FC"/>
    <w:rsid w:val="007D540D"/>
    <w:rsid w:val="00875A97"/>
    <w:rsid w:val="008A24FC"/>
    <w:rsid w:val="00A433BF"/>
    <w:rsid w:val="00AF005B"/>
    <w:rsid w:val="00BD42B6"/>
    <w:rsid w:val="00BE6813"/>
    <w:rsid w:val="00BF1F7E"/>
    <w:rsid w:val="00F3474C"/>
    <w:rsid w:val="00FA0F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3F5A"/>
  <w15:chartTrackingRefBased/>
  <w15:docId w15:val="{4C614B44-79A0-43A8-814E-161C65BB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433BF"/>
    <w:rPr>
      <w:color w:val="0000FF"/>
      <w:u w:val="single"/>
    </w:rPr>
  </w:style>
  <w:style w:type="paragraph" w:styleId="Paragraphedeliste">
    <w:name w:val="List Paragraph"/>
    <w:basedOn w:val="Normal"/>
    <w:uiPriority w:val="34"/>
    <w:qFormat/>
    <w:rsid w:val="00BF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4154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Paré-Bourque</dc:creator>
  <cp:keywords/>
  <dc:description/>
  <cp:lastModifiedBy>Thomas Paré-Bourque</cp:lastModifiedBy>
  <cp:revision>2</cp:revision>
  <dcterms:created xsi:type="dcterms:W3CDTF">2020-03-28T15:39:00Z</dcterms:created>
  <dcterms:modified xsi:type="dcterms:W3CDTF">2020-03-28T15:39:00Z</dcterms:modified>
</cp:coreProperties>
</file>