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DFD2" w14:textId="77777777" w:rsidR="00FA0FEE" w:rsidRDefault="00231D28" w:rsidP="00231D28">
      <w:pPr>
        <w:spacing w:after="80"/>
        <w:jc w:val="center"/>
        <w:rPr>
          <w:rFonts w:ascii="Times New Roman" w:hAnsi="Times New Roman" w:cs="Times New Roman"/>
          <w:b/>
          <w:bCs/>
          <w:sz w:val="24"/>
          <w:szCs w:val="24"/>
        </w:rPr>
      </w:pPr>
      <w:r>
        <w:rPr>
          <w:rFonts w:ascii="Times New Roman" w:hAnsi="Times New Roman" w:cs="Times New Roman"/>
          <w:b/>
          <w:bCs/>
          <w:sz w:val="24"/>
          <w:szCs w:val="24"/>
        </w:rPr>
        <w:t>Calculs de prestations</w:t>
      </w:r>
    </w:p>
    <w:p w14:paraId="6BA76D67" w14:textId="77777777" w:rsidR="00231D28" w:rsidRDefault="00231D28" w:rsidP="00231D28">
      <w:pPr>
        <w:spacing w:after="80"/>
        <w:jc w:val="center"/>
        <w:rPr>
          <w:rFonts w:ascii="Times New Roman" w:hAnsi="Times New Roman" w:cs="Times New Roman"/>
          <w:b/>
          <w:bCs/>
          <w:sz w:val="24"/>
          <w:szCs w:val="24"/>
        </w:rPr>
      </w:pPr>
    </w:p>
    <w:p w14:paraId="111CFAC3" w14:textId="77777777" w:rsidR="00231D28" w:rsidRDefault="00231D28" w:rsidP="00231D28">
      <w:pPr>
        <w:spacing w:after="80"/>
        <w:jc w:val="center"/>
        <w:rPr>
          <w:rFonts w:ascii="Times New Roman" w:hAnsi="Times New Roman" w:cs="Times New Roman"/>
          <w:b/>
          <w:bCs/>
          <w:sz w:val="24"/>
          <w:szCs w:val="24"/>
        </w:rPr>
      </w:pPr>
    </w:p>
    <w:p w14:paraId="1FCCC583" w14:textId="77777777" w:rsidR="00231D28" w:rsidRDefault="00231D28" w:rsidP="00231D28">
      <w:pPr>
        <w:spacing w:after="80"/>
        <w:jc w:val="center"/>
        <w:rPr>
          <w:rFonts w:ascii="Times New Roman" w:hAnsi="Times New Roman" w:cs="Times New Roman"/>
          <w:b/>
          <w:bCs/>
          <w:sz w:val="24"/>
          <w:szCs w:val="24"/>
        </w:rPr>
      </w:pPr>
    </w:p>
    <w:p w14:paraId="0DC1EEB0"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Charles-Antoine Fecteau</w:t>
      </w:r>
    </w:p>
    <w:p w14:paraId="63EE7CF9"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(111264468)</w:t>
      </w:r>
    </w:p>
    <w:p w14:paraId="4F3D4EA6" w14:textId="77777777" w:rsidR="00231D28" w:rsidRDefault="00231D28" w:rsidP="00231D28">
      <w:pPr>
        <w:spacing w:after="80"/>
        <w:jc w:val="center"/>
        <w:rPr>
          <w:rFonts w:ascii="Times New Roman" w:hAnsi="Times New Roman" w:cs="Times New Roman"/>
          <w:sz w:val="24"/>
          <w:szCs w:val="24"/>
        </w:rPr>
      </w:pPr>
    </w:p>
    <w:p w14:paraId="7DFF093F"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 xml:space="preserve">Mathieu Giguère </w:t>
      </w:r>
    </w:p>
    <w:p w14:paraId="3C12B90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w:t>
      </w:r>
      <w:r w:rsidR="00BE6813">
        <w:rPr>
          <w:rFonts w:ascii="Times New Roman" w:hAnsi="Times New Roman" w:cs="Times New Roman"/>
          <w:sz w:val="24"/>
          <w:szCs w:val="24"/>
        </w:rPr>
        <w:t>111255906</w:t>
      </w:r>
      <w:r>
        <w:rPr>
          <w:rFonts w:ascii="Times New Roman" w:hAnsi="Times New Roman" w:cs="Times New Roman"/>
          <w:sz w:val="24"/>
          <w:szCs w:val="24"/>
        </w:rPr>
        <w:t>)</w:t>
      </w:r>
    </w:p>
    <w:p w14:paraId="35507D22" w14:textId="77777777" w:rsidR="00231D28" w:rsidRDefault="00231D28" w:rsidP="00231D28">
      <w:pPr>
        <w:spacing w:after="80"/>
        <w:jc w:val="center"/>
        <w:rPr>
          <w:rFonts w:ascii="Times New Roman" w:hAnsi="Times New Roman" w:cs="Times New Roman"/>
          <w:sz w:val="24"/>
          <w:szCs w:val="24"/>
        </w:rPr>
      </w:pPr>
    </w:p>
    <w:p w14:paraId="6BDD6168"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26EECDBE"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(111264240)</w:t>
      </w:r>
    </w:p>
    <w:p w14:paraId="3257A859" w14:textId="77777777" w:rsidR="00231D28" w:rsidRDefault="00231D28" w:rsidP="00231D28">
      <w:pPr>
        <w:spacing w:after="80"/>
        <w:jc w:val="center"/>
        <w:rPr>
          <w:rFonts w:ascii="Times New Roman" w:hAnsi="Times New Roman" w:cs="Times New Roman"/>
          <w:sz w:val="24"/>
          <w:szCs w:val="24"/>
        </w:rPr>
      </w:pPr>
    </w:p>
    <w:p w14:paraId="67E22C41"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Thomas Paré-Bourque</w:t>
      </w:r>
    </w:p>
    <w:p w14:paraId="6AC8B637"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(111260133)</w:t>
      </w:r>
    </w:p>
    <w:p w14:paraId="31035ECE" w14:textId="77777777" w:rsidR="00231D28" w:rsidRDefault="00231D28" w:rsidP="00231D28">
      <w:pPr>
        <w:spacing w:after="80"/>
        <w:jc w:val="center"/>
        <w:rPr>
          <w:rFonts w:ascii="Times New Roman" w:hAnsi="Times New Roman" w:cs="Times New Roman"/>
          <w:sz w:val="24"/>
          <w:szCs w:val="24"/>
        </w:rPr>
      </w:pPr>
    </w:p>
    <w:p w14:paraId="6958E45E" w14:textId="77777777" w:rsidR="00231D28" w:rsidRDefault="00231D28" w:rsidP="00231D28">
      <w:pPr>
        <w:spacing w:after="80"/>
        <w:jc w:val="center"/>
        <w:rPr>
          <w:rFonts w:ascii="Times New Roman" w:hAnsi="Times New Roman" w:cs="Times New Roman"/>
          <w:sz w:val="24"/>
          <w:szCs w:val="24"/>
        </w:rPr>
      </w:pPr>
    </w:p>
    <w:p w14:paraId="123DDAB2" w14:textId="77777777" w:rsidR="00231D28" w:rsidRDefault="00231D28" w:rsidP="00231D28">
      <w:pPr>
        <w:spacing w:after="80"/>
        <w:jc w:val="center"/>
        <w:rPr>
          <w:rFonts w:ascii="Times New Roman" w:hAnsi="Times New Roman" w:cs="Times New Roman"/>
          <w:sz w:val="24"/>
          <w:szCs w:val="24"/>
        </w:rPr>
      </w:pPr>
    </w:p>
    <w:p w14:paraId="69FB8B65" w14:textId="77777777" w:rsidR="00231D28" w:rsidRDefault="00231D28" w:rsidP="00231D28">
      <w:pPr>
        <w:spacing w:after="80"/>
        <w:jc w:val="center"/>
        <w:rPr>
          <w:rFonts w:ascii="Times New Roman" w:hAnsi="Times New Roman" w:cs="Times New Roman"/>
          <w:sz w:val="24"/>
          <w:szCs w:val="24"/>
        </w:rPr>
      </w:pPr>
    </w:p>
    <w:p w14:paraId="721F8C6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3F59A4FB"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ACT-1005</w:t>
      </w:r>
    </w:p>
    <w:p w14:paraId="6D1B0420" w14:textId="77777777" w:rsidR="00231D28" w:rsidRDefault="00231D28" w:rsidP="00231D28">
      <w:pPr>
        <w:spacing w:after="80"/>
        <w:jc w:val="center"/>
        <w:rPr>
          <w:rFonts w:ascii="Times New Roman" w:hAnsi="Times New Roman" w:cs="Times New Roman"/>
          <w:sz w:val="24"/>
          <w:szCs w:val="24"/>
        </w:rPr>
      </w:pPr>
    </w:p>
    <w:p w14:paraId="407A42C0" w14:textId="77777777" w:rsidR="00231D28" w:rsidRDefault="00231D28" w:rsidP="00231D28">
      <w:pPr>
        <w:spacing w:after="80"/>
        <w:jc w:val="center"/>
        <w:rPr>
          <w:rFonts w:ascii="Times New Roman" w:hAnsi="Times New Roman" w:cs="Times New Roman"/>
          <w:sz w:val="24"/>
          <w:szCs w:val="24"/>
        </w:rPr>
      </w:pPr>
    </w:p>
    <w:p w14:paraId="2D5F94CC" w14:textId="77777777" w:rsidR="00231D28" w:rsidRDefault="00231D28" w:rsidP="00231D28">
      <w:pPr>
        <w:spacing w:after="80"/>
        <w:jc w:val="center"/>
        <w:rPr>
          <w:rFonts w:ascii="Times New Roman" w:hAnsi="Times New Roman" w:cs="Times New Roman"/>
          <w:sz w:val="24"/>
          <w:szCs w:val="24"/>
        </w:rPr>
      </w:pPr>
    </w:p>
    <w:p w14:paraId="46DC0FCE" w14:textId="77777777" w:rsidR="00231D28" w:rsidRDefault="00231D28" w:rsidP="00231D28">
      <w:pPr>
        <w:spacing w:after="80"/>
        <w:jc w:val="center"/>
        <w:rPr>
          <w:rFonts w:ascii="Times New Roman" w:hAnsi="Times New Roman" w:cs="Times New Roman"/>
          <w:sz w:val="24"/>
          <w:szCs w:val="24"/>
        </w:rPr>
      </w:pPr>
    </w:p>
    <w:p w14:paraId="0357266F"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Calcul de prestations</w:t>
      </w:r>
    </w:p>
    <w:p w14:paraId="416A2693"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(Travail personnel)</w:t>
      </w:r>
    </w:p>
    <w:p w14:paraId="20569C5D" w14:textId="77777777" w:rsidR="00231D28" w:rsidRDefault="00231D28" w:rsidP="00231D28">
      <w:pPr>
        <w:spacing w:after="80"/>
        <w:rPr>
          <w:rFonts w:ascii="Times New Roman" w:hAnsi="Times New Roman" w:cs="Times New Roman"/>
          <w:sz w:val="24"/>
          <w:szCs w:val="24"/>
        </w:rPr>
      </w:pPr>
    </w:p>
    <w:p w14:paraId="35B94FC9" w14:textId="77777777" w:rsidR="00231D28" w:rsidRDefault="00231D28" w:rsidP="00231D28">
      <w:pPr>
        <w:spacing w:after="80"/>
        <w:rPr>
          <w:rFonts w:ascii="Times New Roman" w:hAnsi="Times New Roman" w:cs="Times New Roman"/>
          <w:sz w:val="24"/>
          <w:szCs w:val="24"/>
        </w:rPr>
      </w:pPr>
    </w:p>
    <w:p w14:paraId="2136AE1C" w14:textId="77777777" w:rsidR="00231D28" w:rsidRDefault="00231D28" w:rsidP="00231D28">
      <w:pPr>
        <w:spacing w:after="80"/>
        <w:rPr>
          <w:rFonts w:ascii="Times New Roman" w:hAnsi="Times New Roman" w:cs="Times New Roman"/>
          <w:sz w:val="24"/>
          <w:szCs w:val="24"/>
        </w:rPr>
      </w:pPr>
    </w:p>
    <w:p w14:paraId="49C224B7" w14:textId="77777777" w:rsidR="00231D28" w:rsidRDefault="00231D28" w:rsidP="00231D28">
      <w:pPr>
        <w:spacing w:after="80"/>
        <w:rPr>
          <w:rFonts w:ascii="Times New Roman" w:hAnsi="Times New Roman" w:cs="Times New Roman"/>
          <w:sz w:val="24"/>
          <w:szCs w:val="24"/>
        </w:rPr>
      </w:pPr>
    </w:p>
    <w:p w14:paraId="38075154"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École d’actuariat</w:t>
      </w:r>
    </w:p>
    <w:p w14:paraId="0BC7DCFC"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Université Laval</w:t>
      </w:r>
    </w:p>
    <w:p w14:paraId="0D755E61" w14:textId="77777777" w:rsidR="00231D28" w:rsidRDefault="00231D28" w:rsidP="00231D28">
      <w:pPr>
        <w:spacing w:after="80"/>
        <w:jc w:val="center"/>
        <w:rPr>
          <w:rFonts w:ascii="Times New Roman" w:hAnsi="Times New Roman" w:cs="Times New Roman"/>
          <w:sz w:val="24"/>
          <w:szCs w:val="24"/>
        </w:rPr>
      </w:pPr>
      <w:r>
        <w:rPr>
          <w:rFonts w:ascii="Times New Roman" w:hAnsi="Times New Roman" w:cs="Times New Roman"/>
          <w:sz w:val="24"/>
          <w:szCs w:val="24"/>
        </w:rPr>
        <w:t>Hiver 2020</w:t>
      </w:r>
    </w:p>
    <w:p w14:paraId="6AB276DE" w14:textId="77777777" w:rsidR="00231D28" w:rsidRDefault="00514F71" w:rsidP="00514F71">
      <w:pPr>
        <w:spacing w:after="80"/>
        <w:rPr>
          <w:rFonts w:ascii="Times New Roman" w:hAnsi="Times New Roman" w:cs="Times New Roman"/>
          <w:b/>
          <w:bCs/>
          <w:sz w:val="24"/>
          <w:szCs w:val="24"/>
        </w:rPr>
      </w:pPr>
      <w:r>
        <w:rPr>
          <w:rFonts w:ascii="Times New Roman" w:hAnsi="Times New Roman" w:cs="Times New Roman"/>
          <w:b/>
          <w:bCs/>
          <w:sz w:val="24"/>
          <w:szCs w:val="24"/>
        </w:rPr>
        <w:lastRenderedPageBreak/>
        <w:t xml:space="preserve">Client 1 : </w:t>
      </w:r>
    </w:p>
    <w:p w14:paraId="5B87155D" w14:textId="77777777" w:rsidR="00514F71" w:rsidRDefault="00514F71" w:rsidP="00514F71">
      <w:pPr>
        <w:spacing w:after="80"/>
        <w:rPr>
          <w:rFonts w:ascii="Times New Roman" w:hAnsi="Times New Roman" w:cs="Times New Roman"/>
          <w:b/>
          <w:bCs/>
          <w:sz w:val="24"/>
          <w:szCs w:val="24"/>
        </w:rPr>
      </w:pPr>
      <w:r>
        <w:rPr>
          <w:rFonts w:ascii="Times New Roman" w:hAnsi="Times New Roman" w:cs="Times New Roman"/>
          <w:sz w:val="24"/>
          <w:szCs w:val="24"/>
          <w:u w:val="single"/>
        </w:rPr>
        <w:t xml:space="preserve">Question 1 : </w:t>
      </w:r>
    </w:p>
    <w:p w14:paraId="684B6E25" w14:textId="77777777" w:rsidR="00514F71" w:rsidRDefault="00514F71" w:rsidP="00514F71">
      <w:pPr>
        <w:spacing w:after="80"/>
        <w:rPr>
          <w:rFonts w:ascii="Times New Roman" w:hAnsi="Times New Roman" w:cs="Times New Roman"/>
          <w:sz w:val="24"/>
          <w:szCs w:val="24"/>
        </w:rPr>
      </w:pPr>
      <w:r>
        <w:rPr>
          <w:rFonts w:ascii="Times New Roman" w:hAnsi="Times New Roman" w:cs="Times New Roman"/>
          <w:sz w:val="24"/>
          <w:szCs w:val="24"/>
        </w:rPr>
        <w:t xml:space="preserve">Notre chère Virginie aura droit à un remplacement de revenu de </w:t>
      </w:r>
      <w:r w:rsidRPr="00514F71">
        <w:rPr>
          <w:rFonts w:ascii="Times New Roman" w:hAnsi="Times New Roman" w:cs="Times New Roman"/>
          <w:sz w:val="24"/>
          <w:szCs w:val="24"/>
          <w:highlight w:val="yellow"/>
        </w:rPr>
        <w:t>X</w:t>
      </w:r>
      <w:r>
        <w:rPr>
          <w:rFonts w:ascii="Times New Roman" w:hAnsi="Times New Roman" w:cs="Times New Roman"/>
          <w:sz w:val="24"/>
          <w:szCs w:val="24"/>
          <w:highlight w:val="yellow"/>
        </w:rPr>
        <w:t>%</w:t>
      </w:r>
      <w:r w:rsidRPr="00514F71">
        <w:rPr>
          <w:rFonts w:ascii="Times New Roman" w:hAnsi="Times New Roman" w:cs="Times New Roman"/>
          <w:sz w:val="24"/>
          <w:szCs w:val="24"/>
          <w:highlight w:val="yellow"/>
        </w:rPr>
        <w:t>.</w:t>
      </w:r>
      <w:r>
        <w:rPr>
          <w:rFonts w:ascii="Times New Roman" w:hAnsi="Times New Roman" w:cs="Times New Roman"/>
          <w:sz w:val="24"/>
          <w:szCs w:val="24"/>
        </w:rPr>
        <w:t xml:space="preserve"> Ce montant est obtenu avec les calculs suivants. </w:t>
      </w:r>
    </w:p>
    <w:p w14:paraId="30CD67B8" w14:textId="77777777" w:rsidR="00514F71" w:rsidRDefault="00514F71" w:rsidP="00514F71">
      <w:pPr>
        <w:spacing w:after="80"/>
        <w:rPr>
          <w:rFonts w:ascii="Times New Roman" w:hAnsi="Times New Roman" w:cs="Times New Roman"/>
          <w:sz w:val="24"/>
          <w:szCs w:val="24"/>
        </w:rPr>
      </w:pPr>
    </w:p>
    <w:p w14:paraId="5310D55C" w14:textId="77777777" w:rsidR="00514F71" w:rsidRDefault="00514F71" w:rsidP="00514F71">
      <w:pPr>
        <w:spacing w:after="80"/>
        <w:rPr>
          <w:rFonts w:ascii="Times New Roman" w:hAnsi="Times New Roman" w:cs="Times New Roman"/>
          <w:sz w:val="24"/>
          <w:szCs w:val="24"/>
        </w:rPr>
      </w:pPr>
    </w:p>
    <w:p w14:paraId="47D60A41" w14:textId="77777777" w:rsidR="00514F71" w:rsidRDefault="00514F71" w:rsidP="00514F71">
      <w:pPr>
        <w:spacing w:after="80"/>
        <w:rPr>
          <w:rFonts w:ascii="Times New Roman" w:hAnsi="Times New Roman" w:cs="Times New Roman"/>
          <w:sz w:val="24"/>
          <w:szCs w:val="24"/>
        </w:rPr>
      </w:pPr>
    </w:p>
    <w:p w14:paraId="795445AA" w14:textId="77777777" w:rsidR="00514F71" w:rsidRDefault="00514F71" w:rsidP="00514F71">
      <w:pPr>
        <w:spacing w:after="80"/>
        <w:rPr>
          <w:rFonts w:ascii="Times New Roman" w:hAnsi="Times New Roman" w:cs="Times New Roman"/>
          <w:sz w:val="24"/>
          <w:szCs w:val="24"/>
        </w:rPr>
      </w:pPr>
      <w:r>
        <w:rPr>
          <w:rFonts w:ascii="Times New Roman" w:hAnsi="Times New Roman" w:cs="Times New Roman"/>
          <w:sz w:val="24"/>
          <w:szCs w:val="24"/>
        </w:rPr>
        <w:t xml:space="preserve">Tel qu’indiqué dans les sous-titres des calculs, Virginie aura des remplacements de revenus de plusieurs sources différentes. D’abord, elle recevra évidemment sa rente du RRQ. Toutefois, comme notre amie a pris sa retraite avant d’atteindre l’ANR de 65 ans, elle voit sa rente être réduite. </w:t>
      </w:r>
    </w:p>
    <w:p w14:paraId="310173BC" w14:textId="35CE8E23" w:rsidR="00BE6813" w:rsidRDefault="00BE6813" w:rsidP="00514F71">
      <w:pPr>
        <w:spacing w:after="80"/>
        <w:rPr>
          <w:rFonts w:ascii="Times New Roman" w:hAnsi="Times New Roman" w:cs="Times New Roman"/>
          <w:sz w:val="24"/>
          <w:szCs w:val="24"/>
        </w:rPr>
      </w:pPr>
    </w:p>
    <w:p w14:paraId="502F9C6C" w14:textId="4D90AE8E" w:rsidR="00A433BF" w:rsidRDefault="00A433BF" w:rsidP="00514F71">
      <w:pPr>
        <w:spacing w:after="80"/>
        <w:rPr>
          <w:rFonts w:ascii="Times New Roman" w:hAnsi="Times New Roman" w:cs="Times New Roman"/>
          <w:sz w:val="24"/>
          <w:szCs w:val="24"/>
        </w:rPr>
      </w:pPr>
    </w:p>
    <w:p w14:paraId="428556D3" w14:textId="1060C34F" w:rsidR="00A433BF" w:rsidRDefault="00A433BF" w:rsidP="00514F71">
      <w:pPr>
        <w:spacing w:after="80"/>
        <w:rPr>
          <w:rFonts w:ascii="Times New Roman" w:hAnsi="Times New Roman" w:cs="Times New Roman"/>
          <w:sz w:val="24"/>
          <w:szCs w:val="24"/>
        </w:rPr>
      </w:pPr>
    </w:p>
    <w:p w14:paraId="6B315B54" w14:textId="170F35F9" w:rsidR="00A433BF" w:rsidRDefault="00A433BF" w:rsidP="00514F71">
      <w:pPr>
        <w:spacing w:after="80"/>
        <w:rPr>
          <w:rFonts w:ascii="Times New Roman" w:hAnsi="Times New Roman" w:cs="Times New Roman"/>
          <w:sz w:val="24"/>
          <w:szCs w:val="24"/>
        </w:rPr>
      </w:pPr>
      <w:r>
        <w:rPr>
          <w:rFonts w:ascii="Times New Roman" w:hAnsi="Times New Roman" w:cs="Times New Roman"/>
          <w:sz w:val="24"/>
          <w:szCs w:val="24"/>
        </w:rPr>
        <w:t xml:space="preserve">Provenance des montants : </w:t>
      </w:r>
    </w:p>
    <w:p w14:paraId="3D966082" w14:textId="44EFEE30" w:rsidR="00A433BF" w:rsidRDefault="00A433BF" w:rsidP="00514F71">
      <w:pPr>
        <w:spacing w:after="80"/>
      </w:pPr>
      <w:r>
        <w:rPr>
          <w:rFonts w:ascii="Times New Roman" w:hAnsi="Times New Roman" w:cs="Times New Roman"/>
          <w:sz w:val="24"/>
          <w:szCs w:val="24"/>
        </w:rPr>
        <w:t xml:space="preserve">MGA 2019 : </w:t>
      </w:r>
      <w:hyperlink r:id="rId5" w:history="1">
        <w:r>
          <w:rPr>
            <w:rStyle w:val="Lienhypertexte"/>
          </w:rPr>
          <w:t>https://cdn.carra.gouv.qc.ca/G%C3%A9n%C3%A9ral/Pages/IN99HXXX00A001.aspx</w:t>
        </w:r>
      </w:hyperlink>
    </w:p>
    <w:p w14:paraId="43918DB7" w14:textId="4B56FC2B" w:rsidR="00A433BF" w:rsidRDefault="00A433BF" w:rsidP="00514F71">
      <w:pPr>
        <w:spacing w:after="80"/>
        <w:rPr>
          <w:rFonts w:ascii="Times New Roman" w:hAnsi="Times New Roman" w:cs="Times New Roman"/>
          <w:sz w:val="24"/>
          <w:szCs w:val="24"/>
        </w:rPr>
      </w:pPr>
    </w:p>
    <w:p w14:paraId="6314E791" w14:textId="34049FBC" w:rsidR="00BF1F7E" w:rsidRDefault="00BF1F7E" w:rsidP="00514F71">
      <w:pPr>
        <w:spacing w:after="80"/>
        <w:rPr>
          <w:rFonts w:ascii="Times New Roman" w:hAnsi="Times New Roman" w:cs="Times New Roman"/>
          <w:sz w:val="24"/>
          <w:szCs w:val="24"/>
        </w:rPr>
      </w:pPr>
    </w:p>
    <w:p w14:paraId="3070C504" w14:textId="04CCE7ED" w:rsidR="00BF1F7E" w:rsidRDefault="00BF1F7E" w:rsidP="00514F71">
      <w:pPr>
        <w:spacing w:after="80"/>
        <w:rPr>
          <w:rFonts w:ascii="Times New Roman" w:hAnsi="Times New Roman" w:cs="Times New Roman"/>
          <w:sz w:val="24"/>
          <w:szCs w:val="24"/>
          <w:u w:val="single"/>
        </w:rPr>
      </w:pPr>
      <w:r>
        <w:rPr>
          <w:rFonts w:ascii="Times New Roman" w:hAnsi="Times New Roman" w:cs="Times New Roman"/>
          <w:sz w:val="24"/>
          <w:szCs w:val="24"/>
          <w:u w:val="single"/>
        </w:rPr>
        <w:t>Question 5 :</w:t>
      </w:r>
    </w:p>
    <w:p w14:paraId="43EA2053" w14:textId="28605911" w:rsidR="00BF1F7E" w:rsidRDefault="00BF1F7E" w:rsidP="00BF1F7E">
      <w:pPr>
        <w:pStyle w:val="Paragraphedeliste"/>
        <w:numPr>
          <w:ilvl w:val="0"/>
          <w:numId w:val="1"/>
        </w:numPr>
        <w:spacing w:after="80"/>
        <w:rPr>
          <w:rFonts w:ascii="Times New Roman" w:hAnsi="Times New Roman" w:cs="Times New Roman"/>
          <w:sz w:val="24"/>
          <w:szCs w:val="24"/>
        </w:rPr>
      </w:pPr>
      <w:r>
        <w:rPr>
          <w:rFonts w:ascii="Times New Roman" w:hAnsi="Times New Roman" w:cs="Times New Roman"/>
          <w:sz w:val="24"/>
          <w:szCs w:val="24"/>
        </w:rPr>
        <w:t>D’abord, elle n’a pas à remplacer 100% de ses revenus avant retraite, car une partie de ce montant était réservé à l’épargne retraite, donc à sa retraite, elle n’a plus à épargner, c’est le temps de dépenser.</w:t>
      </w:r>
    </w:p>
    <w:p w14:paraId="1345BBFE" w14:textId="1AF6D454" w:rsidR="00BF1F7E" w:rsidRDefault="00BF1F7E" w:rsidP="00BF1F7E">
      <w:pPr>
        <w:pStyle w:val="Paragraphedeliste"/>
        <w:numPr>
          <w:ilvl w:val="0"/>
          <w:numId w:val="1"/>
        </w:numPr>
        <w:spacing w:after="80"/>
        <w:rPr>
          <w:rFonts w:ascii="Times New Roman" w:hAnsi="Times New Roman" w:cs="Times New Roman"/>
          <w:sz w:val="24"/>
          <w:szCs w:val="24"/>
        </w:rPr>
      </w:pPr>
      <w:r>
        <w:rPr>
          <w:rFonts w:ascii="Times New Roman" w:hAnsi="Times New Roman" w:cs="Times New Roman"/>
          <w:sz w:val="24"/>
          <w:szCs w:val="24"/>
        </w:rPr>
        <w:t>Elle n’a pu à couvrir des frais de déplacements pour se rendre au travail.</w:t>
      </w:r>
    </w:p>
    <w:p w14:paraId="0A3C5257" w14:textId="73A1EFB4" w:rsidR="00BF1F7E" w:rsidRDefault="00BF1F7E" w:rsidP="00BF1F7E">
      <w:pPr>
        <w:pStyle w:val="Paragraphedeliste"/>
        <w:numPr>
          <w:ilvl w:val="0"/>
          <w:numId w:val="1"/>
        </w:numPr>
        <w:spacing w:after="80"/>
        <w:rPr>
          <w:rFonts w:ascii="Times New Roman" w:hAnsi="Times New Roman" w:cs="Times New Roman"/>
          <w:sz w:val="24"/>
          <w:szCs w:val="24"/>
        </w:rPr>
      </w:pPr>
      <w:r>
        <w:rPr>
          <w:rFonts w:ascii="Times New Roman" w:hAnsi="Times New Roman" w:cs="Times New Roman"/>
          <w:sz w:val="24"/>
          <w:szCs w:val="24"/>
        </w:rPr>
        <w:t>Sa maison est considérée comme un actif, ce qui laisse croire qu’elle a donc finie de la payer. Cela signifie donc la fin des dépenses hypothécaires, elle a donc besoin de moins de revenus par la suite.</w:t>
      </w:r>
    </w:p>
    <w:p w14:paraId="2675C567" w14:textId="1953BC1E" w:rsidR="00BF1F7E" w:rsidRPr="00BF1F7E" w:rsidRDefault="00BF1F7E" w:rsidP="00BF1F7E">
      <w:pPr>
        <w:pStyle w:val="Paragraphedeliste"/>
        <w:numPr>
          <w:ilvl w:val="0"/>
          <w:numId w:val="1"/>
        </w:numPr>
        <w:spacing w:after="80"/>
        <w:rPr>
          <w:rFonts w:ascii="Times New Roman" w:hAnsi="Times New Roman" w:cs="Times New Roman"/>
          <w:sz w:val="24"/>
          <w:szCs w:val="24"/>
        </w:rPr>
      </w:pPr>
      <w:r>
        <w:rPr>
          <w:rFonts w:ascii="Times New Roman" w:hAnsi="Times New Roman" w:cs="Times New Roman"/>
          <w:sz w:val="24"/>
          <w:szCs w:val="24"/>
        </w:rPr>
        <w:t xml:space="preserve">Ses dépenses générales risques simplement d’être réduites, que ce soit qu’elle achète moins de vêtements de travail, ou parce qu’elle bénéficie du rabais de l’âge d’or, elle aura certainement besoin de moins d’argent pour couvrir ses dépenses réduites. </w:t>
      </w:r>
      <w:bookmarkStart w:id="0" w:name="_GoBack"/>
      <w:bookmarkEnd w:id="0"/>
    </w:p>
    <w:sectPr w:rsidR="00BF1F7E" w:rsidRPr="00BF1F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928AE"/>
    <w:multiLevelType w:val="hybridMultilevel"/>
    <w:tmpl w:val="91EE01D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28"/>
    <w:rsid w:val="00231D28"/>
    <w:rsid w:val="00514F71"/>
    <w:rsid w:val="007253FC"/>
    <w:rsid w:val="00A433BF"/>
    <w:rsid w:val="00BD42B6"/>
    <w:rsid w:val="00BE6813"/>
    <w:rsid w:val="00BF1F7E"/>
    <w:rsid w:val="00FA0F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3F5A"/>
  <w15:chartTrackingRefBased/>
  <w15:docId w15:val="{4C614B44-79A0-43A8-814E-161C65BB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433BF"/>
    <w:rPr>
      <w:color w:val="0000FF"/>
      <w:u w:val="single"/>
    </w:rPr>
  </w:style>
  <w:style w:type="paragraph" w:styleId="Paragraphedeliste">
    <w:name w:val="List Paragraph"/>
    <w:basedOn w:val="Normal"/>
    <w:uiPriority w:val="34"/>
    <w:qFormat/>
    <w:rsid w:val="00B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ra.gouv.qc.ca/G%C3%A9n%C3%A9ral/Pages/IN99HXXX00A001.asp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Paré-Bourque</dc:creator>
  <cp:keywords/>
  <dc:description/>
  <cp:lastModifiedBy>Thomas Paré-Bourque</cp:lastModifiedBy>
  <cp:revision>2</cp:revision>
  <dcterms:created xsi:type="dcterms:W3CDTF">2020-03-21T23:05:00Z</dcterms:created>
  <dcterms:modified xsi:type="dcterms:W3CDTF">2020-03-21T23:05:00Z</dcterms:modified>
</cp:coreProperties>
</file>