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52"/>
          <w:szCs w:val="52"/>
        </w:rPr>
        <w:t xml:space="preserve">Octavius Rulebook</w:t>
      </w:r>
    </w:p>
    <w:p>
      <w:pPr>
        <w:spacing w:before="0" w:after="80"/>
      </w:pPr>
      <w:r>
        <w:rPr>
          <w:rFonts w:ascii="Arial" w:cs="Arial" w:eastAsia="Arial" w:hAnsi="Arial"/>
          <w:color w:val="2E75B6"/>
          <w:sz w:val="32"/>
          <w:szCs w:val="32"/>
        </w:rPr>
        <w:t xml:space="preserve">Column Reference Guide</w:t>
      </w:r>
    </w:p>
    <w:p>
      <w:pPr>
        <w:spacing w:before="0" w:after="40"/>
      </w:pPr>
      <w:r>
        <w:rPr>
          <w:rFonts w:ascii="Arial" w:cs="Arial" w:eastAsia="Arial" w:hAnsi="Arial"/>
          <w:color w:val="404040"/>
          <w:sz w:val="22"/>
          <w:szCs w:val="22"/>
        </w:rPr>
        <w:t xml:space="preserve">This document explains every column in the consolidated rulebook CSV. It is intended for developers building the Octavius linting pipeline, content authors reviewing or extending the rulebook, and anyone triaging which rules to implement first.</w:t>
      </w:r>
    </w:p>
    <w:p>
      <w:pPr>
        <w:spacing w:before="0" w:after="40"/>
      </w:pPr>
      <w:r>
        <w:rPr>
          <w:rFonts w:ascii="Arial" w:cs="Arial" w:eastAsia="Arial" w:hAnsi="Arial"/>
          <w:color w:val="404040"/>
          <w:sz w:val="22"/>
          <w:szCs w:val="22"/>
        </w:rPr>
        <w:t xml:space="preserve">The rulebook was extracted from the Australian Government Style Manual (AGSM) at stylemanual.gov.au. Each row represents one discrete, actionable style rule. Approximately 50 source pages contribute rows to the consolidated file.</w:t>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1  Quick Reference</w:t>
      </w:r>
    </w:p>
    <w:p>
      <w:pPr>
        <w:spacing w:before="60" w:after="100"/>
      </w:pPr>
      <w:r>
        <w:rPr>
          <w:rFonts w:ascii="Arial" w:cs="Arial" w:eastAsia="Arial" w:hAnsi="Arial"/>
          <w:color w:val="404040"/>
          <w:sz w:val="22"/>
          <w:szCs w:val="22"/>
        </w:rPr>
        <w:t xml:space="preserve">The table below lists all 16 columns in the order they appear in the CSV.</w:t>
      </w:r>
    </w:p>
    <w:p>
      <w:pPr>
        <w:spacing w:before="0"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Column</w:t>
            </w:r>
          </w:p>
        </w:tc>
        <w:tc>
          <w:tcPr>
            <w:tcW w:type="dxa" w:w="1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Type</w:t>
            </w:r>
          </w:p>
        </w:tc>
        <w:tc>
          <w:tcPr>
            <w:tcW w:type="dxa" w:w="5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One-line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Unique stable identifier for the rule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source_file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Markdown filename the rule was extracted from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source_url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Base URL of the AGSM page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source_heading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H2/H3 heading under which the rule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source_anchor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Kebab-case anchor slug of the heading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source_url_full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Deep-link to the exact section on the AGSM 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One-sentence plain-English statement of the rule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rule_detail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1–3 sentence expansion with rationale (tooltip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example_bad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Concrete example of a violation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example_good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Concrete example of correct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Categorical label: error / warn / info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rule_strength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integer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How prescriptively the AGSM states the rule (1–10)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detection_confidence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How reliably the rule can be caught automatically (1–10)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implementation_type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What kind of code is needed to detect the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pattern_hint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Draft regex or spaCy description for implementers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tags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string</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Comma-separated topic tags for filtering</w:t>
            </w:r>
          </w:p>
        </w:tc>
      </w:tr>
    </w:tbl>
    <w:p>
      <w:pPr>
        <w:spacing w:before="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2  Source and Traceability Columns</w:t>
      </w:r>
    </w:p>
    <w:p>
      <w:pPr>
        <w:spacing w:before="60" w:after="100"/>
      </w:pPr>
      <w:r>
        <w:rPr>
          <w:rFonts w:ascii="Arial" w:cs="Arial" w:eastAsia="Arial" w:hAnsi="Arial"/>
          <w:color w:val="404040"/>
          <w:sz w:val="22"/>
          <w:szCs w:val="22"/>
        </w:rPr>
        <w:t xml:space="preserve">These six columns exist solely to record where each rule came from and to allow Octavius to link users back to the original guidance on the AGSM website.</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rule_id</w:t>
      </w:r>
    </w:p>
    <w:p>
      <w:pPr>
        <w:spacing w:before="60" w:after="100"/>
      </w:pPr>
      <w:r>
        <w:rPr>
          <w:rFonts w:ascii="Arial" w:cs="Arial" w:eastAsia="Arial" w:hAnsi="Arial"/>
          <w:color w:val="404040"/>
          <w:sz w:val="22"/>
          <w:szCs w:val="22"/>
        </w:rPr>
        <w:t xml:space="preserve">Format: </w:t>
      </w:r>
      <w:r>
        <w:rPr>
          <w:rFonts w:ascii="Courier New" w:cs="Courier New" w:eastAsia="Courier New" w:hAnsi="Courier New"/>
          <w:color w:val="C0392B"/>
          <w:sz w:val="20"/>
          <w:szCs w:val="20"/>
        </w:rPr>
        <w:t xml:space="preserve">PAGE_SLUG-NNN</w:t>
      </w:r>
      <w:r>
        <w:rPr>
          <w:rFonts w:ascii="Arial" w:cs="Arial" w:eastAsia="Arial" w:hAnsi="Arial"/>
          <w:color w:val="404040"/>
          <w:sz w:val="22"/>
          <w:szCs w:val="22"/>
        </w:rPr>
        <w:t xml:space="preserve"> — for example </w:t>
      </w:r>
      <w:r>
        <w:rPr>
          <w:rFonts w:ascii="Courier New" w:cs="Courier New" w:eastAsia="Courier New" w:hAnsi="Courier New"/>
          <w:color w:val="C0392B"/>
          <w:sz w:val="20"/>
          <w:szCs w:val="20"/>
        </w:rPr>
        <w:t xml:space="preserve">LISTS-004</w:t>
      </w:r>
      <w:r>
        <w:rPr>
          <w:rFonts w:ascii="Arial" w:cs="Arial" w:eastAsia="Arial" w:hAnsi="Arial"/>
          <w:color w:val="404040"/>
          <w:sz w:val="22"/>
          <w:szCs w:val="22"/>
        </w:rPr>
        <w:t xml:space="preserve"> or </w:t>
      </w:r>
      <w:r>
        <w:rPr>
          <w:rFonts w:ascii="Courier New" w:cs="Courier New" w:eastAsia="Courier New" w:hAnsi="Courier New"/>
          <w:color w:val="C0392B"/>
          <w:sz w:val="20"/>
          <w:szCs w:val="20"/>
        </w:rPr>
        <w:t xml:space="preserve">CLAUSES-012</w:t>
      </w:r>
      <w:r>
        <w:rPr>
          <w:rFonts w:ascii="Arial" w:cs="Arial" w:eastAsia="Arial" w:hAnsi="Arial"/>
          <w:color w:val="404040"/>
          <w:sz w:val="22"/>
          <w:szCs w:val="22"/>
        </w:rPr>
        <w:t xml:space="preserve">.</w:t>
      </w:r>
    </w:p>
    <w:p>
      <w:pPr>
        <w:spacing w:before="60" w:after="100"/>
      </w:pPr>
      <w:r>
        <w:rPr>
          <w:rFonts w:ascii="Arial" w:cs="Arial" w:eastAsia="Arial" w:hAnsi="Arial"/>
          <w:color w:val="404040"/>
          <w:sz w:val="22"/>
          <w:szCs w:val="22"/>
        </w:rPr>
        <w:t xml:space="preserve">The page slug is derived from the source filename: the </w:t>
      </w:r>
    </w:p>
    <w:p>
      <w:pPr>
        <w:spacing w:before="60" w:after="100"/>
      </w:pPr>
      <w:r>
        <w:rPr>
          <w:rFonts w:ascii="Courier New" w:cs="Courier New" w:eastAsia="Courier New" w:hAnsi="Courier New"/>
          <w:color w:val="C0392B"/>
          <w:sz w:val="20"/>
          <w:szCs w:val="20"/>
        </w:rPr>
        <w:t xml:space="preserve">.md</w:t>
      </w:r>
      <w:r>
        <w:rPr>
          <w:rFonts w:ascii="Arial" w:cs="Arial" w:eastAsia="Arial" w:hAnsi="Arial"/>
          <w:color w:val="404040"/>
          <w:sz w:val="22"/>
          <w:szCs w:val="22"/>
        </w:rPr>
        <w:t xml:space="preserve"> extension is removed, the name is uppercased, and spaces become hyphens.</w:t>
      </w:r>
    </w:p>
    <w:p>
      <w:pPr>
        <w:spacing w:before="60" w:after="100"/>
      </w:pPr>
      <w:r>
        <w:rPr>
          <w:rFonts w:ascii="Arial" w:cs="Arial" w:eastAsia="Arial" w:hAnsi="Arial"/>
          <w:color w:val="404040"/>
          <w:sz w:val="22"/>
          <w:szCs w:val="22"/>
        </w:rPr>
        <w:t xml:space="preserve">NNN is a zero-padded three-digit integer that increments within each page. IDs are stable — once assigned, a rule_id never changes even if rows are reordered or new rules are added to the same page (new rules receive the next available number).</w:t>
      </w:r>
    </w:p>
    <w:p>
      <w:pPr>
        <w:spacing w:before="60" w:after="100"/>
      </w:pPr>
      <w:r>
        <w:rPr>
          <w:rFonts w:ascii="Arial" w:cs="Arial" w:eastAsia="Arial" w:hAnsi="Arial"/>
          <w:b/>
          <w:bCs/>
          <w:color w:val="404040"/>
          <w:sz w:val="22"/>
          <w:szCs w:val="22"/>
        </w:rPr>
        <w:t xml:space="preserve">Why it matters: </w:t>
      </w:r>
      <w:r>
        <w:rPr>
          <w:rFonts w:ascii="Arial" w:cs="Arial" w:eastAsia="Arial" w:hAnsi="Arial"/>
          <w:color w:val="404040"/>
          <w:sz w:val="22"/>
          <w:szCs w:val="22"/>
        </w:rPr>
        <w:t xml:space="preserve">rule_id is the primary key for the rulebook. Python check functions in Octavius reference it directly, unit tests are keyed to it, and it appears in the findings panel so users know which rule fired.</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source_file</w:t>
      </w:r>
    </w:p>
    <w:p>
      <w:pPr>
        <w:spacing w:before="60" w:after="100"/>
      </w:pPr>
      <w:r>
        <w:rPr>
          <w:rFonts w:ascii="Arial" w:cs="Arial" w:eastAsia="Arial" w:hAnsi="Arial"/>
          <w:color w:val="404040"/>
          <w:sz w:val="22"/>
          <w:szCs w:val="22"/>
        </w:rPr>
        <w:t xml:space="preserve">The exact markdown filename provided as input, e.g. </w:t>
      </w:r>
      <w:r>
        <w:rPr>
          <w:rFonts w:ascii="Courier New" w:cs="Courier New" w:eastAsia="Courier New" w:hAnsi="Courier New"/>
          <w:color w:val="C0392B"/>
          <w:sz w:val="20"/>
          <w:szCs w:val="20"/>
        </w:rPr>
        <w:t xml:space="preserve">Lists.md</w:t>
      </w:r>
      <w:r>
        <w:rPr>
          <w:rFonts w:ascii="Arial" w:cs="Arial" w:eastAsia="Arial" w:hAnsi="Arial"/>
          <w:color w:val="404040"/>
          <w:sz w:val="22"/>
          <w:szCs w:val="22"/>
        </w:rPr>
        <w:t xml:space="preserve">.</w:t>
      </w:r>
    </w:p>
    <w:p>
      <w:pPr>
        <w:spacing w:before="60" w:after="100"/>
      </w:pPr>
      <w:r>
        <w:rPr>
          <w:rFonts w:ascii="Arial" w:cs="Arial" w:eastAsia="Arial" w:hAnsi="Arial"/>
          <w:color w:val="404040"/>
          <w:sz w:val="22"/>
          <w:szCs w:val="22"/>
        </w:rPr>
        <w:t xml:space="preserve">Each markdown file is a converted copy of one AGSM webpage. This column lets you trace any rule back to its source document and re-run extraction if the page is updated.</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source_url</w:t>
      </w:r>
    </w:p>
    <w:p>
      <w:pPr>
        <w:spacing w:before="60" w:after="100"/>
      </w:pPr>
      <w:r>
        <w:rPr>
          <w:rFonts w:ascii="Arial" w:cs="Arial" w:eastAsia="Arial" w:hAnsi="Arial"/>
          <w:color w:val="404040"/>
          <w:sz w:val="22"/>
          <w:szCs w:val="22"/>
        </w:rPr>
        <w:t xml:space="preserve">The canonical base URL of the AGSM page, e.g. </w:t>
      </w:r>
      <w:r>
        <w:rPr>
          <w:rFonts w:ascii="Courier New" w:cs="Courier New" w:eastAsia="Courier New" w:hAnsi="Courier New"/>
          <w:color w:val="C0392B"/>
          <w:sz w:val="20"/>
          <w:szCs w:val="20"/>
        </w:rPr>
        <w:t xml:space="preserve">https://www.stylemanual.gov.au/structuring-content/lists</w:t>
      </w:r>
      <w:r>
        <w:rPr>
          <w:rFonts w:ascii="Arial" w:cs="Arial" w:eastAsia="Arial" w:hAnsi="Arial"/>
          <w:color w:val="404040"/>
          <w:sz w:val="22"/>
          <w:szCs w:val="22"/>
        </w:rPr>
        <w:t xml:space="preserve">.</w:t>
      </w:r>
    </w:p>
    <w:p>
      <w:pPr>
        <w:spacing w:before="60" w:after="100"/>
      </w:pPr>
      <w:r>
        <w:rPr>
          <w:rFonts w:ascii="Arial" w:cs="Arial" w:eastAsia="Arial" w:hAnsi="Arial"/>
          <w:color w:val="404040"/>
          <w:sz w:val="22"/>
          <w:szCs w:val="22"/>
        </w:rPr>
        <w:t xml:space="preserve">Derived from urls_map.csv by matching source_file. This URL points to the top of the page and is used as the base for constructing source_url_full.</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source_heading</w:t>
      </w:r>
    </w:p>
    <w:p>
      <w:pPr>
        <w:spacing w:before="60" w:after="100"/>
      </w:pPr>
      <w:r>
        <w:rPr>
          <w:rFonts w:ascii="Arial" w:cs="Arial" w:eastAsia="Arial" w:hAnsi="Arial"/>
          <w:color w:val="404040"/>
          <w:sz w:val="22"/>
          <w:szCs w:val="22"/>
        </w:rPr>
        <w:t xml:space="preserve">The H2 or H3 heading text directly above the rule in the source markdown. Uses the most specific heading available — H3 is preferred over H2 where both exist.</w:t>
      </w:r>
    </w:p>
    <w:p>
      <w:pPr>
        <w:spacing w:before="60" w:after="100"/>
      </w:pPr>
      <w:r>
        <w:rPr>
          <w:rFonts w:ascii="Arial" w:cs="Arial" w:eastAsia="Arial" w:hAnsi="Arial"/>
          <w:color w:val="404040"/>
          <w:sz w:val="22"/>
          <w:szCs w:val="22"/>
        </w:rPr>
        <w:t xml:space="preserve">If a rule falls directly under the page title with no subsection heading, this field is left blank.</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source_anchor</w:t>
      </w:r>
    </w:p>
    <w:p>
      <w:pPr>
        <w:spacing w:before="60" w:after="100"/>
      </w:pPr>
      <w:r>
        <w:rPr>
          <w:rFonts w:ascii="Arial" w:cs="Arial" w:eastAsia="Arial" w:hAnsi="Arial"/>
          <w:color w:val="404040"/>
          <w:sz w:val="22"/>
          <w:szCs w:val="22"/>
        </w:rPr>
        <w:t xml:space="preserve">A kebab-case anchor derived from source_heading and prefixed with #. The AGSM website generates heading anchors using a consistent algorithm: lowercase the heading, replace spaces with hyphens, strip punctuation.</w:t>
      </w:r>
    </w:p>
    <w:p>
      <w:pPr>
        <w:spacing w:before="60" w:after="100"/>
      </w:pPr>
      <w:r>
        <w:rPr>
          <w:rFonts w:ascii="Arial" w:cs="Arial" w:eastAsia="Arial" w:hAnsi="Arial"/>
          <w:color w:val="404040"/>
          <w:sz w:val="22"/>
          <w:szCs w:val="22"/>
        </w:rPr>
        <w:t xml:space="preserve">Example: the heading </w:t>
      </w:r>
      <w:r>
        <w:rPr>
          <w:rFonts w:ascii="Courier New" w:cs="Courier New" w:eastAsia="Courier New" w:hAnsi="Courier New"/>
          <w:color w:val="C0392B"/>
          <w:sz w:val="20"/>
          <w:szCs w:val="20"/>
        </w:rPr>
        <w:t xml:space="preserve">Punctuate lists according to style</w:t>
      </w:r>
      <w:r>
        <w:rPr>
          <w:rFonts w:ascii="Arial" w:cs="Arial" w:eastAsia="Arial" w:hAnsi="Arial"/>
          <w:color w:val="404040"/>
          <w:sz w:val="22"/>
          <w:szCs w:val="22"/>
        </w:rPr>
        <w:t xml:space="preserve"> becomes </w:t>
      </w:r>
      <w:r>
        <w:rPr>
          <w:rFonts w:ascii="Courier New" w:cs="Courier New" w:eastAsia="Courier New" w:hAnsi="Courier New"/>
          <w:color w:val="C0392B"/>
          <w:sz w:val="20"/>
          <w:szCs w:val="20"/>
        </w:rPr>
        <w:t xml:space="preserve">#punctuate-lists-according-to-style</w:t>
      </w:r>
      <w:r>
        <w:rPr>
          <w:rFonts w:ascii="Arial" w:cs="Arial" w:eastAsia="Arial" w:hAnsi="Arial"/>
          <w:color w:val="404040"/>
          <w:sz w:val="22"/>
          <w:szCs w:val="22"/>
        </w:rPr>
        <w:t xml:space="preserve">.</w:t>
      </w:r>
    </w:p>
    <w:p>
      <w:pPr>
        <w:spacing w:before="60" w:after="100"/>
      </w:pPr>
      <w:r>
        <w:rPr>
          <w:rFonts w:ascii="Arial" w:cs="Arial" w:eastAsia="Arial" w:hAnsi="Arial"/>
          <w:color w:val="404040"/>
          <w:sz w:val="22"/>
          <w:szCs w:val="22"/>
        </w:rPr>
        <w:t xml:space="preserve">If there is no heading (source_heading is blank), source_anchor is also blank.</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source_url_full</w:t>
      </w:r>
    </w:p>
    <w:p>
      <w:pPr>
        <w:spacing w:before="60" w:after="100"/>
      </w:pPr>
      <w:r>
        <w:rPr>
          <w:rFonts w:ascii="Arial" w:cs="Arial" w:eastAsia="Arial" w:hAnsi="Arial"/>
          <w:color w:val="404040"/>
          <w:sz w:val="22"/>
          <w:szCs w:val="22"/>
        </w:rPr>
        <w:t xml:space="preserve">The deep-link to the exact section of the AGSM website: </w:t>
      </w:r>
      <w:r>
        <w:rPr>
          <w:rFonts w:ascii="Courier New" w:cs="Courier New" w:eastAsia="Courier New" w:hAnsi="Courier New"/>
          <w:color w:val="C0392B"/>
          <w:sz w:val="20"/>
          <w:szCs w:val="20"/>
        </w:rPr>
        <w:t xml:space="preserve">source_url</w:t>
      </w:r>
      <w:r>
        <w:rPr>
          <w:rFonts w:ascii="Arial" w:cs="Arial" w:eastAsia="Arial" w:hAnsi="Arial"/>
          <w:color w:val="404040"/>
          <w:sz w:val="22"/>
          <w:szCs w:val="22"/>
        </w:rPr>
        <w:t xml:space="preserve"> + </w:t>
      </w:r>
      <w:r>
        <w:rPr>
          <w:rFonts w:ascii="Courier New" w:cs="Courier New" w:eastAsia="Courier New" w:hAnsi="Courier New"/>
          <w:color w:val="C0392B"/>
          <w:sz w:val="20"/>
          <w:szCs w:val="20"/>
        </w:rPr>
        <w:t xml:space="preserve">source_anchor</w:t>
      </w:r>
      <w:r>
        <w:rPr>
          <w:rFonts w:ascii="Arial" w:cs="Arial" w:eastAsia="Arial" w:hAnsi="Arial"/>
          <w:color w:val="404040"/>
          <w:sz w:val="22"/>
          <w:szCs w:val="22"/>
        </w:rPr>
        <w:t xml:space="preserve">.</w:t>
      </w:r>
    </w:p>
    <w:p>
      <w:pPr>
        <w:spacing w:before="60" w:after="100"/>
      </w:pPr>
      <w:r>
        <w:rPr>
          <w:rFonts w:ascii="Arial" w:cs="Arial" w:eastAsia="Arial" w:hAnsi="Arial"/>
          <w:b/>
          <w:bCs/>
          <w:color w:val="404040"/>
          <w:sz w:val="22"/>
          <w:szCs w:val="22"/>
        </w:rPr>
        <w:t xml:space="preserve">This is the URL Octavius surfaces to users.</w:t>
      </w:r>
      <w:r>
        <w:rPr>
          <w:rFonts w:ascii="Arial" w:cs="Arial" w:eastAsia="Arial" w:hAnsi="Arial"/>
          <w:color w:val="404040"/>
          <w:sz w:val="22"/>
          <w:szCs w:val="22"/>
        </w:rPr>
        <w:t xml:space="preserve"> When a finding is shown in the results panel, the 'Learn more' link points here, taking the user directly to the relevant heading on the Style Manual rather than the top of the page.</w:t>
      </w:r>
    </w:p>
    <w:p>
      <w:pPr>
        <w:spacing w:before="60" w:after="100"/>
      </w:pPr>
      <w:r>
        <w:rPr>
          <w:rFonts w:ascii="Arial" w:cs="Arial" w:eastAsia="Arial" w:hAnsi="Arial"/>
          <w:color w:val="404040"/>
          <w:sz w:val="22"/>
          <w:szCs w:val="22"/>
        </w:rPr>
        <w:t xml:space="preserve">Example: </w:t>
      </w:r>
      <w:r>
        <w:rPr>
          <w:rFonts w:ascii="Courier New" w:cs="Courier New" w:eastAsia="Courier New" w:hAnsi="Courier New"/>
          <w:color w:val="C0392B"/>
          <w:sz w:val="20"/>
          <w:szCs w:val="20"/>
        </w:rPr>
        <w:t xml:space="preserve">https://www.stylemanual.gov.au/structuring-content/lists#punctuate-lists-according-to-style</w:t>
      </w:r>
    </w:p>
    <w:p>
      <w:pPr>
        <w:spacing w:before="0" w:after="4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3  Rule Content Columns</w:t>
      </w:r>
    </w:p>
    <w:p>
      <w:pPr>
        <w:spacing w:before="60" w:after="100"/>
      </w:pPr>
      <w:r>
        <w:rPr>
          <w:rFonts w:ascii="Arial" w:cs="Arial" w:eastAsia="Arial" w:hAnsi="Arial"/>
          <w:color w:val="404040"/>
          <w:sz w:val="22"/>
          <w:szCs w:val="22"/>
        </w:rPr>
        <w:t xml:space="preserve">These four columns describe what the rule says, in language suitable for both developers and end users.</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rule_summary</w:t>
      </w:r>
    </w:p>
    <w:p>
      <w:pPr>
        <w:spacing w:before="60" w:after="100"/>
      </w:pPr>
      <w:r>
        <w:rPr>
          <w:rFonts w:ascii="Arial" w:cs="Arial" w:eastAsia="Arial" w:hAnsi="Arial"/>
          <w:color w:val="404040"/>
          <w:sz w:val="22"/>
          <w:szCs w:val="22"/>
        </w:rPr>
        <w:t xml:space="preserve">A single plain-English sentence (maximum 20 words) stating the rule as a clear instruction or prohibition.</w:t>
      </w:r>
    </w:p>
    <w:p>
      <w:pPr>
        <w:spacing w:before="60" w:after="100"/>
      </w:pPr>
      <w:r>
        <w:rPr>
          <w:rFonts w:ascii="Arial" w:cs="Arial" w:eastAsia="Arial" w:hAnsi="Arial"/>
          <w:color w:val="404040"/>
          <w:sz w:val="22"/>
          <w:szCs w:val="22"/>
        </w:rPr>
        <w:t xml:space="preserve">Written as a positive instruction where possible (e.g. 'Always end a phrase lead-in with a colon' rather than 'Do not omit the colon'). Prohibitions use 'Do not' rather than 'Never' unless the source explicitly says 'never'.</w:t>
      </w:r>
    </w:p>
    <w:p>
      <w:pPr>
        <w:spacing w:before="60" w:after="100"/>
      </w:pPr>
      <w:r>
        <w:rPr>
          <w:rFonts w:ascii="Arial" w:cs="Arial" w:eastAsia="Arial" w:hAnsi="Arial"/>
          <w:b/>
          <w:bCs/>
          <w:color w:val="404040"/>
          <w:sz w:val="22"/>
          <w:szCs w:val="22"/>
        </w:rPr>
        <w:t xml:space="preserve">Used in Octavius as: </w:t>
      </w:r>
      <w:r>
        <w:rPr>
          <w:rFonts w:ascii="Arial" w:cs="Arial" w:eastAsia="Arial" w:hAnsi="Arial"/>
          <w:color w:val="404040"/>
          <w:sz w:val="22"/>
          <w:szCs w:val="22"/>
        </w:rPr>
        <w:t xml:space="preserve">the headline text in each finding card.</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rule_detail</w:t>
      </w:r>
    </w:p>
    <w:p>
      <w:pPr>
        <w:spacing w:before="60" w:after="100"/>
      </w:pPr>
      <w:r>
        <w:rPr>
          <w:rFonts w:ascii="Arial" w:cs="Arial" w:eastAsia="Arial" w:hAnsi="Arial"/>
          <w:color w:val="404040"/>
          <w:sz w:val="22"/>
          <w:szCs w:val="22"/>
        </w:rPr>
        <w:t xml:space="preserve">One to three sentences expanding on the rule. Includes the rationale where the source provides one (e.g. accessibility implications, readability reasons, historical context).</w:t>
      </w:r>
    </w:p>
    <w:p>
      <w:pPr>
        <w:spacing w:before="60" w:after="100"/>
      </w:pPr>
      <w:r>
        <w:rPr>
          <w:rFonts w:ascii="Arial" w:cs="Arial" w:eastAsia="Arial" w:hAnsi="Arial"/>
          <w:color w:val="404040"/>
          <w:sz w:val="22"/>
          <w:szCs w:val="22"/>
        </w:rPr>
        <w:t xml:space="preserve">Written to be understood by a non-specialist — jargon is explained inline. Conditional rules note their conditions here (e.g. 'Only applies in legal documents').</w:t>
      </w:r>
    </w:p>
    <w:p>
      <w:pPr>
        <w:spacing w:before="60" w:after="100"/>
      </w:pPr>
      <w:r>
        <w:rPr>
          <w:rFonts w:ascii="Arial" w:cs="Arial" w:eastAsia="Arial" w:hAnsi="Arial"/>
          <w:b/>
          <w:bCs/>
          <w:color w:val="404040"/>
          <w:sz w:val="22"/>
          <w:szCs w:val="22"/>
        </w:rPr>
        <w:t xml:space="preserve">Used in Octavius as: </w:t>
      </w:r>
      <w:r>
        <w:rPr>
          <w:rFonts w:ascii="Arial" w:cs="Arial" w:eastAsia="Arial" w:hAnsi="Arial"/>
          <w:color w:val="404040"/>
          <w:sz w:val="22"/>
          <w:szCs w:val="22"/>
        </w:rPr>
        <w:t xml:space="preserve">the tooltip or expanded detail in the finding card.</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example_bad</w:t>
      </w:r>
    </w:p>
    <w:p>
      <w:pPr>
        <w:spacing w:before="60" w:after="100"/>
      </w:pPr>
      <w:r>
        <w:rPr>
          <w:rFonts w:ascii="Arial" w:cs="Arial" w:eastAsia="Arial" w:hAnsi="Arial"/>
          <w:color w:val="404040"/>
          <w:sz w:val="22"/>
          <w:szCs w:val="22"/>
        </w:rPr>
        <w:t xml:space="preserve">A concrete example of text that violates the rule. Copied verbatim from the AGSM source where one is provided; otherwise left blank or marked as generated.</w:t>
      </w:r>
    </w:p>
    <w:p>
      <w:pPr>
        <w:spacing w:before="60" w:after="100"/>
      </w:pPr>
      <w:r>
        <w:rPr>
          <w:rFonts w:ascii="Arial" w:cs="Arial" w:eastAsia="Arial" w:hAnsi="Arial"/>
          <w:color w:val="404040"/>
          <w:sz w:val="22"/>
          <w:szCs w:val="22"/>
        </w:rPr>
        <w:t xml:space="preserve">Multi-line examples use \n as a line separator within the cell. Cells containing commas are wrapped in double quotes.</w:t>
      </w:r>
    </w:p>
    <w:p>
      <w:pPr>
        <w:spacing w:before="60" w:after="100"/>
      </w:pPr>
      <w:r>
        <w:rPr>
          <w:rFonts w:ascii="Arial" w:cs="Arial" w:eastAsia="Arial" w:hAnsi="Arial"/>
          <w:b/>
          <w:bCs/>
          <w:color w:val="404040"/>
          <w:sz w:val="22"/>
          <w:szCs w:val="22"/>
        </w:rPr>
        <w:t xml:space="preserve">Important: </w:t>
      </w:r>
      <w:r>
        <w:rPr>
          <w:rFonts w:ascii="Arial" w:cs="Arial" w:eastAsia="Arial" w:hAnsi="Arial"/>
          <w:color w:val="404040"/>
          <w:sz w:val="22"/>
          <w:szCs w:val="22"/>
        </w:rPr>
        <w:t xml:space="preserve">Where this field is blank, the rule lacks a ready-made test case. Implementers should author an example before writing the unit test for that rule. See the example_source column note in the project instructions for provenance tracking.</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example_good</w:t>
      </w:r>
    </w:p>
    <w:p>
      <w:pPr>
        <w:spacing w:before="60" w:after="100"/>
      </w:pPr>
      <w:r>
        <w:rPr>
          <w:rFonts w:ascii="Arial" w:cs="Arial" w:eastAsia="Arial" w:hAnsi="Arial"/>
          <w:color w:val="404040"/>
          <w:sz w:val="22"/>
          <w:szCs w:val="22"/>
        </w:rPr>
        <w:t xml:space="preserve">A concrete example of the correct form. Mirrors example_bad where possible so the contrast is immediately clear to users reading the finding card.</w:t>
      </w:r>
    </w:p>
    <w:p>
      <w:pPr>
        <w:spacing w:before="60" w:after="100"/>
      </w:pPr>
      <w:r>
        <w:rPr>
          <w:rFonts w:ascii="Arial" w:cs="Arial" w:eastAsia="Arial" w:hAnsi="Arial"/>
          <w:color w:val="404040"/>
          <w:sz w:val="22"/>
          <w:szCs w:val="22"/>
        </w:rPr>
        <w:t xml:space="preserve">The same blank-field note applies as for example_bad.</w:t>
      </w:r>
    </w:p>
    <w:p>
      <w:pPr>
        <w:spacing w:before="0" w:after="4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4  Severity Columns</w:t>
      </w:r>
    </w:p>
    <w:p>
      <w:pPr>
        <w:spacing w:before="60" w:after="100"/>
      </w:pPr>
      <w:r>
        <w:rPr>
          <w:rFonts w:ascii="Arial" w:cs="Arial" w:eastAsia="Arial" w:hAnsi="Arial"/>
          <w:color w:val="404040"/>
          <w:sz w:val="22"/>
          <w:szCs w:val="22"/>
        </w:rPr>
        <w:t xml:space="preserve">Severity is expressed as three related columns: a categorical label (severity) and two numeric scores (rule_strength and detection_confidence). Using all three gives the engineering team more precise control than a single field.</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severity</w:t>
      </w:r>
    </w:p>
    <w:p>
      <w:pPr>
        <w:spacing w:before="60" w:after="100"/>
      </w:pPr>
      <w:r>
        <w:rPr>
          <w:rFonts w:ascii="Arial" w:cs="Arial" w:eastAsia="Arial" w:hAnsi="Arial"/>
          <w:color w:val="404040"/>
          <w:sz w:val="22"/>
          <w:szCs w:val="22"/>
        </w:rPr>
        <w:t xml:space="preserve">A categorical label controlling how Octavius displays the finding visually.</w:t>
      </w:r>
    </w:p>
    <w:p>
      <w:pPr>
        <w:spacing w:before="0" w:after="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000"/>
      </w:tblGrid>
      <w:tr>
        <w:tc>
          <w:tcPr>
            <w:tcW w:type="dxa" w:w="1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Value</w:t>
            </w:r>
          </w:p>
        </w:tc>
        <w:tc>
          <w:tcPr>
            <w:tcW w:type="dxa" w:w="2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Meaning</w:t>
            </w:r>
          </w:p>
        </w:tc>
        <w:tc>
          <w:tcPr>
            <w:tcW w:type="dxa" w:w="2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Typical UI treatment</w:t>
            </w:r>
          </w:p>
        </w:tc>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Source language signals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Clear rule violation — no exceptions stated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Red underline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'do not', 'must not', 'never', 'always'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warn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Strong preference or guideline with limited exceptions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Amber underline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'avoid', 'don't', 'only use when'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info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Contextual guidance or conditional note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Blue or grey highlight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'consider', 'where possible', 'may'</w:t>
            </w:r>
          </w:p>
        </w:tc>
      </w:tr>
    </w:tbl>
    <w:p>
      <w:pPr>
        <w:spacing w:before="0" w:after="80"/>
      </w:pPr>
      <w:r>
        <w:t xml:space="preserve"/>
      </w:r>
    </w:p>
    <w:p>
      <w:pPr>
        <w:pStyle w:val="Heading2"/>
        <w:spacing w:before="300" w:after="120"/>
      </w:pPr>
      <w:r>
        <w:rPr>
          <w:rFonts w:ascii="Arial" w:cs="Arial" w:eastAsia="Arial" w:hAnsi="Arial"/>
          <w:b/>
          <w:bCs/>
          <w:color w:val="2E75B6"/>
          <w:sz w:val="26"/>
          <w:szCs w:val="26"/>
        </w:rPr>
        <w:t xml:space="preserve">rule_strength  (1–10)</w:t>
      </w:r>
    </w:p>
    <w:p>
      <w:pPr>
        <w:spacing w:before="60" w:after="100"/>
      </w:pPr>
      <w:r>
        <w:rPr>
          <w:rFonts w:ascii="Arial" w:cs="Arial" w:eastAsia="Arial" w:hAnsi="Arial"/>
          <w:color w:val="404040"/>
          <w:sz w:val="22"/>
          <w:szCs w:val="22"/>
        </w:rPr>
        <w:t xml:space="preserve">A numeric score reflecting how prescriptively the AGSM states the rule, independent of how detectable the violation is. Score based on the language in the source document.</w:t>
      </w:r>
    </w:p>
    <w:p>
      <w:pPr>
        <w:spacing w:before="0" w:after="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400"/>
      </w:tblGrid>
      <w:tr>
        <w:tc>
          <w:tcPr>
            <w:tcW w:type="dxa" w:w="1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Score</w:t>
            </w:r>
          </w:p>
        </w:tc>
        <w:tc>
          <w:tcPr>
            <w:tcW w:type="dxa" w:w="2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Meaning</w:t>
            </w:r>
          </w:p>
        </w:tc>
        <w:tc>
          <w:tcPr>
            <w:tcW w:type="dxa" w:w="5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Typical source language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9–10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Absolute — no exceptions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'never', 'always', 'do not', 'must not'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7–8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Strong — narrow named exceptions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'don't', 'avoid', 'only use when X'</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Moderate — acknowledged alternatives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'prefer', 'it is better to', 'generally'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Soft — conditional or contextual</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'consider', 'where possible', 'may'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Advisory — awareness note only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'be aware that', 'note that'</w:t>
            </w:r>
          </w:p>
        </w:tc>
      </w:tr>
    </w:tbl>
    <w:p>
      <w:pPr>
        <w:spacing w:before="0" w:after="80"/>
      </w:pPr>
      <w:r>
        <w:t xml:space="preserve"/>
      </w:r>
    </w:p>
    <w:p>
      <w:pPr>
        <w:pStyle w:val="Heading2"/>
        <w:spacing w:before="300" w:after="120"/>
      </w:pPr>
      <w:r>
        <w:rPr>
          <w:rFonts w:ascii="Arial" w:cs="Arial" w:eastAsia="Arial" w:hAnsi="Arial"/>
          <w:b/>
          <w:bCs/>
          <w:color w:val="2E75B6"/>
          <w:sz w:val="26"/>
          <w:szCs w:val="26"/>
        </w:rPr>
        <w:t xml:space="preserve">detection_confidence  (1–10)</w:t>
      </w:r>
    </w:p>
    <w:p>
      <w:pPr>
        <w:spacing w:before="60" w:after="100"/>
      </w:pPr>
      <w:r>
        <w:rPr>
          <w:rFonts w:ascii="Arial" w:cs="Arial" w:eastAsia="Arial" w:hAnsi="Arial"/>
          <w:color w:val="404040"/>
          <w:sz w:val="22"/>
          <w:szCs w:val="22"/>
        </w:rPr>
        <w:t xml:space="preserve">A numeric score reflecting how reliably an automated check can detect violations of this rule, given its implementation type. This score is independent of rule_strength — a rule can be strongly worded but hard to catch, or leniently worded but trivially detectable.</w:t>
      </w:r>
    </w:p>
    <w:p>
      <w:pPr>
        <w:spacing w:before="0" w:after="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000"/>
      </w:tblGrid>
      <w:tr>
        <w:tc>
          <w:tcPr>
            <w:tcW w:type="dxa" w:w="1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Score</w:t>
            </w:r>
          </w:p>
        </w:tc>
        <w:tc>
          <w:tcPr>
            <w:tcW w:type="dxa" w:w="2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Meaning</w:t>
            </w:r>
          </w:p>
        </w:tc>
        <w:tc>
          <w:tcPr>
            <w:tcW w:type="dxa" w:w="5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Typical implementation types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9–10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Near-certain, minimal false positives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regex on unambiguous patterns (e.g. trailing semicolons)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7–8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High confidence, rare edge cases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regex with context; lookup against stable lists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Moderate — some false positives expected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 for well-defined grammar; structural for clear layouts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3–4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Low — context-dependent, notable FP risk</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 for nuanced patterns; structural for complex layouts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Unreliable — too ambiguous to automate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manual rules only</w:t>
            </w:r>
          </w:p>
        </w:tc>
      </w:tr>
    </w:tbl>
    <w:p>
      <w:pPr>
        <w:spacing w:before="0" w:after="80"/>
      </w:pPr>
      <w:r>
        <w:t xml:space="preserve"/>
      </w:r>
    </w:p>
    <w:p>
      <w:pPr>
        <w:spacing w:before="60" w:after="100"/>
      </w:pPr>
      <w:r>
        <w:rPr>
          <w:rFonts w:ascii="Arial" w:cs="Arial" w:eastAsia="Arial" w:hAnsi="Arial"/>
          <w:b/>
          <w:bCs/>
          <w:color w:val="404040"/>
          <w:sz w:val="22"/>
          <w:szCs w:val="22"/>
        </w:rPr>
        <w:t xml:space="preserve">How to use both scores together: </w:t>
      </w:r>
      <w:r>
        <w:rPr>
          <w:rFonts w:ascii="Arial" w:cs="Arial" w:eastAsia="Arial" w:hAnsi="Arial"/>
          <w:color w:val="404040"/>
          <w:sz w:val="22"/>
          <w:szCs w:val="22"/>
        </w:rPr>
        <w:t xml:space="preserve">Multiplying rule_strength × detection_confidence gives a rough 'implementation priority' score (max 100). Rules with high scores in both dimensions (e.g. 9 × 10 = 90) are the highest-value, lowest-risk rules to ship first. Rules with high rule_strength but low detection_confidence (e.g. 9 × 2 = 18) are important but require more engineering investment or a manual review workflow.</w:t>
      </w:r>
    </w:p>
    <w:p>
      <w:pPr>
        <w:spacing w:before="0" w:after="4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5  Implementation Columns</w:t>
      </w:r>
    </w:p>
    <w:p>
      <w:pPr>
        <w:spacing w:before="60" w:after="100"/>
      </w:pPr>
      <w:r>
        <w:rPr>
          <w:rFonts w:ascii="Arial" w:cs="Arial" w:eastAsia="Arial" w:hAnsi="Arial"/>
          <w:color w:val="404040"/>
          <w:sz w:val="22"/>
          <w:szCs w:val="22"/>
        </w:rPr>
        <w:t xml:space="preserve">These three columns are written for developers. They describe what kind of code is needed to detect each rule, provide a starting point for that code, and categorise the rule by topic.</w:t>
      </w:r>
    </w:p>
    <w:p>
      <w:pPr>
        <w:spacing w:before="0" w:after="60"/>
      </w:pPr>
      <w:r>
        <w:t xml:space="preserve"/>
      </w:r>
    </w:p>
    <w:p>
      <w:pPr>
        <w:pStyle w:val="Heading2"/>
        <w:spacing w:before="300" w:after="120"/>
      </w:pPr>
      <w:r>
        <w:rPr>
          <w:rFonts w:ascii="Arial" w:cs="Arial" w:eastAsia="Arial" w:hAnsi="Arial"/>
          <w:b/>
          <w:bCs/>
          <w:color w:val="2E75B6"/>
          <w:sz w:val="26"/>
          <w:szCs w:val="26"/>
        </w:rPr>
        <w:t xml:space="preserve">implementation_type</w:t>
      </w:r>
    </w:p>
    <w:p>
      <w:pPr>
        <w:spacing w:before="60" w:after="100"/>
      </w:pPr>
      <w:r>
        <w:rPr>
          <w:rFonts w:ascii="Arial" w:cs="Arial" w:eastAsia="Arial" w:hAnsi="Arial"/>
          <w:color w:val="404040"/>
          <w:sz w:val="22"/>
          <w:szCs w:val="22"/>
        </w:rPr>
        <w:t xml:space="preserve">Indicates the detection approach required. Choose the single most appropriate type — if multiple approaches could work, record the simplest one that achieves acceptable detection_confidence.</w:t>
      </w:r>
    </w:p>
    <w:p>
      <w:pPr>
        <w:spacing w:before="0" w:after="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000"/>
      </w:tblGrid>
      <w:tr>
        <w:tc>
          <w:tcPr>
            <w:tcW w:type="dxa" w:w="1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Value</w:t>
            </w:r>
          </w:p>
        </w:tc>
        <w:tc>
          <w:tcPr>
            <w:tcW w:type="dxa" w:w="3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What it means</w:t>
            </w:r>
          </w:p>
        </w:tc>
        <w:tc>
          <w:tcPr>
            <w:tcW w:type="dxa" w:w="4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regex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The violation can be detected by pattern-matching against raw text. No grammatical understanding needed.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Trailing semicolons on list items; 'etc.' at end of a list; missing colon after a lead-in phrase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Detection requires grammatical parsing. spaCy assigns part-of-speech tags and dependency roles to each token.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Passive voice (aux + past participle); inconsistent POS tags across list items; dangling modifiers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lookup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Detection requires checking a token against a reference list. The logic is simple but the list is the asset.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Banned Latin abbreviations; preferred spellings; disallowed acronyms; restricted jargon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structural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The rule requires awareness of document structure beyond raw text — knowing where lists, headings, and paragraphs begin and end.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Single-item lists; full stop placement relative to list type; nesting depth of multilevel lists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manual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Too contextual or judgment-dependent to automate reliably. Flag for human review; candidate for future GenAI-assisted checking.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Moving repeated words into a lead-in; choosing numbered vs bullet list based on content semantics</w:t>
            </w:r>
          </w:p>
        </w:tc>
      </w:tr>
    </w:tbl>
    <w:p>
      <w:pPr>
        <w:spacing w:before="0" w:after="80"/>
      </w:pPr>
      <w:r>
        <w:t xml:space="preserve"/>
      </w:r>
    </w:p>
    <w:p>
      <w:pPr>
        <w:pStyle w:val="Heading2"/>
        <w:spacing w:before="300" w:after="120"/>
      </w:pPr>
      <w:r>
        <w:rPr>
          <w:rFonts w:ascii="Arial" w:cs="Arial" w:eastAsia="Arial" w:hAnsi="Arial"/>
          <w:b/>
          <w:bCs/>
          <w:color w:val="2E75B6"/>
          <w:sz w:val="26"/>
          <w:szCs w:val="26"/>
        </w:rPr>
        <w:t xml:space="preserve">pattern_hint</w:t>
      </w:r>
    </w:p>
    <w:p>
      <w:pPr>
        <w:spacing w:before="60" w:after="100"/>
      </w:pPr>
      <w:r>
        <w:rPr>
          <w:rFonts w:ascii="Arial" w:cs="Arial" w:eastAsia="Arial" w:hAnsi="Arial"/>
          <w:color w:val="404040"/>
          <w:sz w:val="22"/>
          <w:szCs w:val="22"/>
        </w:rPr>
        <w:t xml:space="preserve">A draft implementation hint for the developer writing the check function.</w:t>
      </w:r>
    </w:p>
    <w:p>
      <w:pPr>
        <w:pStyle w:val="ListParagraph"/>
        <w:numPr>
          <w:ilvl w:val="0"/>
          <w:numId w:val="2"/>
        </w:numPr>
        <w:spacing w:before="40" w:after="40"/>
      </w:pPr>
      <w:r>
        <w:rPr>
          <w:rFonts w:ascii="Arial" w:cs="Arial" w:eastAsia="Arial" w:hAnsi="Arial"/>
          <w:b/>
          <w:bCs/>
          <w:color w:val="404040"/>
          <w:sz w:val="22"/>
          <w:szCs w:val="22"/>
        </w:rPr>
        <w:t xml:space="preserve">For regex rules: </w:t>
      </w:r>
      <w:r>
        <w:rPr>
          <w:rFonts w:ascii="Arial" w:cs="Arial" w:eastAsia="Arial" w:hAnsi="Arial"/>
          <w:color w:val="404040"/>
          <w:sz w:val="22"/>
          <w:szCs w:val="22"/>
        </w:rPr>
        <w:t xml:space="preserve">a Python regex pattern ready to use in </w:t>
      </w:r>
      <w:r>
        <w:rPr>
          <w:rFonts w:ascii="Courier New" w:cs="Courier New" w:eastAsia="Courier New" w:hAnsi="Courier New"/>
          <w:color w:val="C0392B"/>
          <w:sz w:val="20"/>
          <w:szCs w:val="20"/>
        </w:rPr>
        <w:t xml:space="preserve">re.search()</w:t>
      </w:r>
      <w:r>
        <w:rPr>
          <w:rFonts w:ascii="Arial" w:cs="Arial" w:eastAsia="Arial" w:hAnsi="Arial"/>
          <w:color w:val="404040"/>
          <w:sz w:val="22"/>
          <w:szCs w:val="22"/>
        </w:rPr>
        <w:t xml:space="preserve"> or </w:t>
      </w:r>
      <w:r>
        <w:rPr>
          <w:rFonts w:ascii="Courier New" w:cs="Courier New" w:eastAsia="Courier New" w:hAnsi="Courier New"/>
          <w:color w:val="C0392B"/>
          <w:sz w:val="20"/>
          <w:szCs w:val="20"/>
        </w:rPr>
        <w:t xml:space="preserve">re.findall()</w:t>
      </w:r>
      <w:r>
        <w:rPr>
          <w:rFonts w:ascii="Arial" w:cs="Arial" w:eastAsia="Arial" w:hAnsi="Arial"/>
          <w:color w:val="404040"/>
          <w:sz w:val="22"/>
          <w:szCs w:val="22"/>
        </w:rPr>
        <w:t xml:space="preserve">. Test before shipping — hints are drafts, not production code.</w:t>
      </w:r>
    </w:p>
    <w:p>
      <w:pPr>
        <w:pStyle w:val="ListParagraph"/>
        <w:numPr>
          <w:ilvl w:val="0"/>
          <w:numId w:val="2"/>
        </w:numPr>
        <w:spacing w:before="40" w:after="40"/>
      </w:pPr>
      <w:r>
        <w:rPr>
          <w:rFonts w:ascii="Arial" w:cs="Arial" w:eastAsia="Arial" w:hAnsi="Arial"/>
          <w:b/>
          <w:bCs/>
          <w:color w:val="404040"/>
          <w:sz w:val="22"/>
          <w:szCs w:val="22"/>
        </w:rPr>
        <w:t xml:space="preserve">For spacy rules: </w:t>
      </w:r>
      <w:r>
        <w:rPr>
          <w:rFonts w:ascii="Arial" w:cs="Arial" w:eastAsia="Arial" w:hAnsi="Arial"/>
          <w:color w:val="404040"/>
          <w:sz w:val="22"/>
          <w:szCs w:val="22"/>
        </w:rPr>
        <w:t xml:space="preserve">a plain-English description of the dependency or POS pattern to look for. Example: </w:t>
      </w:r>
      <w:r>
        <w:rPr>
          <w:rFonts w:ascii="Courier New" w:cs="Courier New" w:eastAsia="Courier New" w:hAnsi="Courier New"/>
          <w:color w:val="C0392B"/>
          <w:sz w:val="20"/>
          <w:szCs w:val="20"/>
        </w:rPr>
        <w:t xml:space="preserve">aux token 'was'/'were' followed by past-participle verb (tag VBN)</w:t>
      </w:r>
      <w:r>
        <w:rPr>
          <w:rFonts w:ascii="Arial" w:cs="Arial" w:eastAsia="Arial" w:hAnsi="Arial"/>
          <w:color w:val="404040"/>
          <w:sz w:val="22"/>
          <w:szCs w:val="22"/>
        </w:rPr>
        <w:t xml:space="preserve">.</w:t>
      </w:r>
    </w:p>
    <w:p>
      <w:pPr>
        <w:pStyle w:val="ListParagraph"/>
        <w:numPr>
          <w:ilvl w:val="0"/>
          <w:numId w:val="2"/>
        </w:numPr>
        <w:spacing w:before="40" w:after="40"/>
      </w:pPr>
      <w:r>
        <w:rPr>
          <w:rFonts w:ascii="Arial" w:cs="Arial" w:eastAsia="Arial" w:hAnsi="Arial"/>
          <w:b/>
          <w:bCs/>
          <w:color w:val="404040"/>
          <w:sz w:val="22"/>
          <w:szCs w:val="22"/>
        </w:rPr>
        <w:t xml:space="preserve">For lookup, structural, manual: </w:t>
      </w:r>
      <w:r>
        <w:rPr>
          <w:rFonts w:ascii="Arial" w:cs="Arial" w:eastAsia="Arial" w:hAnsi="Arial"/>
          <w:color w:val="404040"/>
          <w:sz w:val="22"/>
          <w:szCs w:val="22"/>
        </w:rPr>
        <w:t xml:space="preserve">left blank. Do not guess.</w:t>
      </w:r>
    </w:p>
    <w:p>
      <w:pPr>
        <w:spacing w:before="60" w:after="100"/>
      </w:pPr>
      <w:r>
        <w:rPr>
          <w:rFonts w:ascii="Arial" w:cs="Arial" w:eastAsia="Arial" w:hAnsi="Arial"/>
          <w:b/>
          <w:bCs/>
          <w:color w:val="404040"/>
          <w:sz w:val="22"/>
          <w:szCs w:val="22"/>
        </w:rPr>
        <w:t xml:space="preserve">Important: </w:t>
      </w:r>
      <w:r>
        <w:rPr>
          <w:rFonts w:ascii="Arial" w:cs="Arial" w:eastAsia="Arial" w:hAnsi="Arial"/>
          <w:color w:val="404040"/>
          <w:sz w:val="22"/>
          <w:szCs w:val="22"/>
        </w:rPr>
        <w:t xml:space="preserve">Pattern hints are a starting point, not a specification. All regex patterns should be tested against at least three valid and three invalid examples before being committed to the codebase. False positive rates should be measured against a sample corpus before a rule is enabled by default.</w:t>
      </w:r>
    </w:p>
    <w:p>
      <w:pPr>
        <w:spacing w:before="0" w:after="40"/>
      </w:pPr>
      <w:r>
        <w:t xml:space="preserve"/>
      </w:r>
    </w:p>
    <w:p>
      <w:pPr>
        <w:pStyle w:val="Heading2"/>
        <w:spacing w:before="300" w:after="120"/>
      </w:pPr>
      <w:r>
        <w:rPr>
          <w:rFonts w:ascii="Arial" w:cs="Arial" w:eastAsia="Arial" w:hAnsi="Arial"/>
          <w:b/>
          <w:bCs/>
          <w:color w:val="2E75B6"/>
          <w:sz w:val="26"/>
          <w:szCs w:val="26"/>
        </w:rPr>
        <w:t xml:space="preserve">tags</w:t>
      </w:r>
    </w:p>
    <w:p>
      <w:pPr>
        <w:spacing w:before="60" w:after="100"/>
      </w:pPr>
      <w:r>
        <w:rPr>
          <w:rFonts w:ascii="Arial" w:cs="Arial" w:eastAsia="Arial" w:hAnsi="Arial"/>
          <w:color w:val="404040"/>
          <w:sz w:val="22"/>
          <w:szCs w:val="22"/>
        </w:rPr>
        <w:t xml:space="preserve">A comma-separated list of lowercase topic tags for filtering and grouping rules. Tags are derived from the source page topic and the heading under which the rule appears.</w:t>
      </w:r>
    </w:p>
    <w:p>
      <w:pPr>
        <w:spacing w:before="60" w:after="100"/>
      </w:pPr>
      <w:r>
        <w:rPr>
          <w:rFonts w:ascii="Arial" w:cs="Arial" w:eastAsia="Arial" w:hAnsi="Arial"/>
          <w:color w:val="404040"/>
          <w:sz w:val="22"/>
          <w:szCs w:val="22"/>
        </w:rPr>
        <w:t xml:space="preserve">Common tags include: lists, punctuation, grammar, headings, sentences, passive-voice, spelling, numbers, tables, links, accessibility, formatting, clauses, conjunctions.</w:t>
      </w:r>
    </w:p>
    <w:p>
      <w:pPr>
        <w:spacing w:before="60" w:after="100"/>
      </w:pPr>
      <w:r>
        <w:rPr>
          <w:rFonts w:ascii="Arial" w:cs="Arial" w:eastAsia="Arial" w:hAnsi="Arial"/>
          <w:b/>
          <w:bCs/>
          <w:color w:val="404040"/>
          <w:sz w:val="22"/>
          <w:szCs w:val="22"/>
        </w:rPr>
        <w:t xml:space="preserve">Used in Octavius for: </w:t>
      </w:r>
      <w:r>
        <w:rPr>
          <w:rFonts w:ascii="Arial" w:cs="Arial" w:eastAsia="Arial" w:hAnsi="Arial"/>
          <w:color w:val="404040"/>
          <w:sz w:val="22"/>
          <w:szCs w:val="22"/>
        </w:rPr>
        <w:t xml:space="preserve">filtering the Advanced Mode rule panel; grouping related findings in the results view; enabling or disabling rule categories in user settings.</w:t>
      </w:r>
    </w:p>
    <w:p>
      <w:pPr>
        <w:spacing w:before="0" w:after="4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6  Reading the Numbers — a Worked Example</w:t>
      </w:r>
    </w:p>
    <w:p>
      <w:pPr>
        <w:spacing w:before="60" w:after="100"/>
      </w:pPr>
      <w:r>
        <w:rPr>
          <w:rFonts w:ascii="Arial" w:cs="Arial" w:eastAsia="Arial" w:hAnsi="Arial"/>
          <w:color w:val="404040"/>
          <w:sz w:val="22"/>
          <w:szCs w:val="22"/>
        </w:rPr>
        <w:t xml:space="preserve">The row below is LISTS-004 from the Lists page:</w:t>
      </w:r>
    </w:p>
    <w:p>
      <w:pPr>
        <w:spacing w:before="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Column</w:t>
            </w:r>
          </w:p>
        </w:tc>
        <w:tc>
          <w:tcPr>
            <w:tcW w:type="dxa" w:w="6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rule_id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LISTS-004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rule_summary</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Write all list items using the same grammatical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severity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warn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rule_strength</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detection_confidence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implementation_type</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pattern_hint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Check that the first token POS tag is consistent across all items in the list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tags</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lists, grammar</w:t>
            </w:r>
          </w:p>
        </w:tc>
      </w:tr>
    </w:tbl>
    <w:p>
      <w:pPr>
        <w:spacing w:before="0" w:after="80"/>
      </w:pPr>
      <w:r>
        <w:t xml:space="preserve"/>
      </w:r>
    </w:p>
    <w:p>
      <w:pPr>
        <w:spacing w:before="60" w:after="100"/>
      </w:pPr>
      <w:r>
        <w:rPr>
          <w:rFonts w:ascii="Arial" w:cs="Arial" w:eastAsia="Arial" w:hAnsi="Arial"/>
          <w:color w:val="404040"/>
          <w:sz w:val="22"/>
          <w:szCs w:val="22"/>
        </w:rPr>
        <w:t xml:space="preserve">How to read this row:</w:t>
      </w:r>
    </w:p>
    <w:p>
      <w:pPr>
        <w:spacing w:before="0" w:after="40"/>
      </w:pPr>
      <w:r>
        <w:t xml:space="preserve"/>
      </w:r>
    </w:p>
    <w:p>
      <w:pPr>
        <w:pStyle w:val="ListParagraph"/>
        <w:numPr>
          <w:ilvl w:val="0"/>
          <w:numId w:val="2"/>
        </w:numPr>
        <w:spacing w:before="40" w:after="40"/>
      </w:pPr>
      <w:r>
        <w:rPr>
          <w:rFonts w:ascii="Arial" w:cs="Arial" w:eastAsia="Arial" w:hAnsi="Arial"/>
          <w:b/>
          <w:bCs/>
          <w:color w:val="404040"/>
          <w:sz w:val="22"/>
          <w:szCs w:val="22"/>
        </w:rPr>
        <w:t xml:space="preserve">severity: warn </w:t>
      </w:r>
      <w:r>
        <w:rPr>
          <w:rFonts w:ascii="Arial" w:cs="Arial" w:eastAsia="Arial" w:hAnsi="Arial"/>
          <w:color w:val="404040"/>
          <w:sz w:val="22"/>
          <w:szCs w:val="22"/>
        </w:rPr>
        <w:t xml:space="preserve">— this is a strong guideline, shown as an amber underline in Octavius, not a hard error.</w:t>
      </w:r>
    </w:p>
    <w:p>
      <w:pPr>
        <w:pStyle w:val="ListParagraph"/>
        <w:numPr>
          <w:ilvl w:val="0"/>
          <w:numId w:val="2"/>
        </w:numPr>
        <w:spacing w:before="40" w:after="40"/>
      </w:pPr>
      <w:r>
        <w:rPr>
          <w:rFonts w:ascii="Arial" w:cs="Arial" w:eastAsia="Arial" w:hAnsi="Arial"/>
          <w:b/>
          <w:bCs/>
          <w:color w:val="404040"/>
          <w:sz w:val="22"/>
          <w:szCs w:val="22"/>
        </w:rPr>
        <w:t xml:space="preserve">rule_strength: 7 </w:t>
      </w:r>
      <w:r>
        <w:rPr>
          <w:rFonts w:ascii="Arial" w:cs="Arial" w:eastAsia="Arial" w:hAnsi="Arial"/>
          <w:color w:val="404040"/>
          <w:sz w:val="22"/>
          <w:szCs w:val="22"/>
        </w:rPr>
        <w:t xml:space="preserve">— the AGSM states it as a clear 'do this' instruction with limited exceptions. It is not absolute (a 9 or 10) because the manual acknowledges edge cases.</w:t>
      </w:r>
    </w:p>
    <w:p>
      <w:pPr>
        <w:pStyle w:val="ListParagraph"/>
        <w:numPr>
          <w:ilvl w:val="0"/>
          <w:numId w:val="2"/>
        </w:numPr>
        <w:spacing w:before="40" w:after="40"/>
      </w:pPr>
      <w:r>
        <w:rPr>
          <w:rFonts w:ascii="Arial" w:cs="Arial" w:eastAsia="Arial" w:hAnsi="Arial"/>
          <w:b/>
          <w:bCs/>
          <w:color w:val="404040"/>
          <w:sz w:val="22"/>
          <w:szCs w:val="22"/>
        </w:rPr>
        <w:t xml:space="preserve">detection_confidence: 4 </w:t>
      </w:r>
      <w:r>
        <w:rPr>
          <w:rFonts w:ascii="Arial" w:cs="Arial" w:eastAsia="Arial" w:hAnsi="Arial"/>
          <w:color w:val="404040"/>
          <w:sz w:val="22"/>
          <w:szCs w:val="22"/>
        </w:rPr>
        <w:t xml:space="preserve">— automated detection is possible with spaCy but has meaningful false positive risk. Inconsistent POS tags across list items is a reasonable heuristic, but it will occasionally fire on valid lists with intentional variation. Consider showing this as a suggestion rather than a firm underline.</w:t>
      </w:r>
    </w:p>
    <w:p>
      <w:pPr>
        <w:pStyle w:val="ListParagraph"/>
        <w:numPr>
          <w:ilvl w:val="0"/>
          <w:numId w:val="2"/>
        </w:numPr>
        <w:spacing w:before="40" w:after="40"/>
      </w:pPr>
      <w:r>
        <w:rPr>
          <w:rFonts w:ascii="Arial" w:cs="Arial" w:eastAsia="Arial" w:hAnsi="Arial"/>
          <w:b/>
          <w:bCs/>
          <w:color w:val="404040"/>
          <w:sz w:val="22"/>
          <w:szCs w:val="22"/>
        </w:rPr>
        <w:t xml:space="preserve">Priority score: </w:t>
      </w:r>
      <w:r>
        <w:rPr>
          <w:rFonts w:ascii="Courier New" w:cs="Courier New" w:eastAsia="Courier New" w:hAnsi="Courier New"/>
          <w:color w:val="C0392B"/>
          <w:sz w:val="20"/>
          <w:szCs w:val="20"/>
        </w:rPr>
        <w:t xml:space="preserve">7 × 4 = 28</w:t>
      </w:r>
      <w:r>
        <w:rPr>
          <w:rFonts w:ascii="Arial" w:cs="Arial" w:eastAsia="Arial" w:hAnsi="Arial"/>
          <w:color w:val="404040"/>
          <w:sz w:val="22"/>
          <w:szCs w:val="22"/>
        </w:rPr>
        <w:t xml:space="preserve"> — a mid-tier rule. Implement after the easy high-confidence rules (scores in the 70–100 range) but before manual rules (scores under 10).</w:t>
      </w:r>
    </w:p>
    <w:p>
      <w:pPr>
        <w:spacing w:before="0" w:after="4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7  Suggested Implementation Order</w:t>
      </w:r>
    </w:p>
    <w:p>
      <w:pPr>
        <w:spacing w:before="60" w:after="100"/>
      </w:pPr>
      <w:r>
        <w:rPr>
          <w:rFonts w:ascii="Arial" w:cs="Arial" w:eastAsia="Arial" w:hAnsi="Arial"/>
          <w:color w:val="404040"/>
          <w:sz w:val="22"/>
          <w:szCs w:val="22"/>
        </w:rPr>
        <w:t xml:space="preserve">Use rule_strength × detection_confidence as a first-pass triage. The bands below are a guide, not a prescription.</w:t>
      </w:r>
    </w:p>
    <w:p>
      <w:pPr>
        <w:spacing w:before="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000"/>
      </w:tblGrid>
      <w:tr>
        <w:tc>
          <w:tcPr>
            <w:tcW w:type="dxa" w:w="1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Priority score</w:t>
            </w:r>
          </w:p>
        </w:tc>
        <w:tc>
          <w:tcPr>
            <w:tcW w:type="dxa" w:w="3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Suggested approach</w:t>
            </w:r>
          </w:p>
        </w:tc>
        <w:tc>
          <w:tcPr>
            <w:tcW w:type="dxa" w:w="4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Typical implementation_type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70–100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Ship in v1. High value, low implementation risk.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regex, lookup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40–69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Ship in v2. Good value; allow time for testing.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regex with context, structural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20–39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Ship in v3. Meaningful rules; expect some false positive tuning.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 structural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10–19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Ship when pipeline is stable. Requires careful calibration.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spacy (complex patterns)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Manual review workflow only. Do not automate without GenAI assist.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404040"/>
                <w:sz w:val="20"/>
                <w:szCs w:val="20"/>
              </w:rPr>
              <w:t xml:space="preserve">manual</w:t>
            </w:r>
          </w:p>
        </w:tc>
      </w:tr>
    </w:tbl>
    <w:p>
      <w:pPr>
        <w:spacing w:before="0" w:after="80"/>
      </w:pPr>
      <w:r>
        <w:t xml:space="preserve"/>
      </w:r>
    </w:p>
    <w:p>
      <w:pPr>
        <w:spacing w:before="60" w:after="100"/>
      </w:pPr>
      <w:r>
        <w:rPr>
          <w:rFonts w:ascii="Arial" w:cs="Arial" w:eastAsia="Arial" w:hAnsi="Arial"/>
          <w:b/>
          <w:bCs/>
          <w:color w:val="404040"/>
          <w:sz w:val="22"/>
          <w:szCs w:val="22"/>
        </w:rPr>
        <w:t xml:space="preserve">Note on manual rules: </w:t>
      </w:r>
      <w:r>
        <w:rPr>
          <w:rFonts w:ascii="Arial" w:cs="Arial" w:eastAsia="Arial" w:hAnsi="Arial"/>
          <w:color w:val="404040"/>
          <w:sz w:val="22"/>
          <w:szCs w:val="22"/>
        </w:rPr>
        <w:t xml:space="preserve">Rules with implementation_type 'manual' are still valuable. They can be surfaced as educational content in Octavius (e.g. a 'writing tips' panel) even if they cannot be flagged inline. They are also the best candidates for a future GenAI-assisted review mode.</w:t>
      </w:r>
    </w:p>
    <w:p>
      <w:pPr>
        <w:spacing w:before="0" w:after="40"/>
      </w:pPr>
      <w:r>
        <w:t xml:space="preserve"/>
      </w:r>
    </w:p>
    <w:p>
      <w:pPr>
        <w:pBdr>
          <w:bottom w:val="single" w:color="CCCCCC" w:sz="4" w:space="1"/>
        </w:pBdr>
        <w:spacing w:before="160" w:after="160"/>
      </w:pPr>
      <w:r>
        <w:t xml:space="preserve"/>
      </w:r>
    </w:p>
    <w:p>
      <w:pPr>
        <w:spacing w:before="160" w:after="0"/>
      </w:pPr>
      <w:r>
        <w:rPr>
          <w:rFonts w:ascii="Arial" w:cs="Arial" w:eastAsia="Arial" w:hAnsi="Arial"/>
          <w:i/>
          <w:iCs/>
          <w:color w:val="888888"/>
          <w:sz w:val="18"/>
          <w:szCs w:val="18"/>
        </w:rPr>
        <w:t xml:space="preserve">Rulebook sourced from the Australian Government Style Manual — stylemanual.gov.au. Extraction and schema design by Octavius project. For questions about this document contact the Octavius maintainers.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2026-03-17T14:43:37.482Z</dcterms:created>
  <dcterms:modified xsi:type="dcterms:W3CDTF">2026-03-17T14:43:37.483Z</dcterms:modified>
</cp:coreProperties>
</file>

<file path=docProps/custom.xml><?xml version="1.0" encoding="utf-8"?>
<Properties xmlns="http://schemas.openxmlformats.org/officeDocument/2006/custom-properties" xmlns:vt="http://schemas.openxmlformats.org/officeDocument/2006/docPropsVTypes"/>
</file>