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CB8FE" w14:textId="77777777" w:rsidR="00D804A9" w:rsidRPr="00D804A9" w:rsidRDefault="00D804A9" w:rsidP="00D804A9">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D804A9">
        <w:rPr>
          <w:rFonts w:ascii="Montserrat" w:eastAsia="Times New Roman" w:hAnsi="Montserrat" w:cs="Times New Roman"/>
          <w:color w:val="142C3F"/>
          <w:kern w:val="36"/>
          <w:sz w:val="48"/>
          <w:szCs w:val="48"/>
          <w:lang w:eastAsia="en-AU"/>
          <w14:ligatures w14:val="none"/>
        </w:rPr>
        <w:t>Building Code</w:t>
      </w:r>
    </w:p>
    <w:p w14:paraId="7601BD3D"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Summary: </w:t>
      </w:r>
      <w:r w:rsidRPr="00D804A9">
        <w:rPr>
          <w:rFonts w:ascii="inherit" w:eastAsia="Times New Roman" w:hAnsi="inherit" w:cs="Open Sans"/>
          <w:color w:val="1D2021"/>
          <w:kern w:val="0"/>
          <w:lang w:eastAsia="en-AU"/>
          <w14:ligatures w14:val="none"/>
        </w:rPr>
        <w:t>A building code is a set of rules that establishes the minimum standards for the development and use of an AI system.</w:t>
      </w:r>
    </w:p>
    <w:p w14:paraId="3BC5CC9D"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Type of pattern: </w:t>
      </w:r>
      <w:r w:rsidRPr="00D804A9">
        <w:rPr>
          <w:rFonts w:ascii="inherit" w:eastAsia="Times New Roman" w:hAnsi="inherit" w:cs="Open Sans"/>
          <w:color w:val="1D2021"/>
          <w:kern w:val="0"/>
          <w:lang w:eastAsia="en-AU"/>
          <w14:ligatures w14:val="none"/>
        </w:rPr>
        <w:t>Governance pattern</w:t>
      </w:r>
    </w:p>
    <w:p w14:paraId="2E477BD4" w14:textId="77777777" w:rsidR="00D804A9" w:rsidRPr="00D804A9" w:rsidRDefault="00D804A9" w:rsidP="00D804A9">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Type of objective: </w:t>
      </w:r>
      <w:r w:rsidRPr="00D804A9">
        <w:rPr>
          <w:rFonts w:ascii="inherit" w:eastAsia="Times New Roman" w:hAnsi="inherit" w:cs="Open Sans"/>
          <w:color w:val="1D2021"/>
          <w:kern w:val="0"/>
          <w:bdr w:val="none" w:sz="0" w:space="0" w:color="auto" w:frame="1"/>
          <w:lang w:eastAsia="en-AU"/>
          <w14:ligatures w14:val="none"/>
        </w:rPr>
        <w:t>Trustworthiness</w:t>
      </w:r>
    </w:p>
    <w:p w14:paraId="076630DC"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Target users: </w:t>
      </w:r>
      <w:r w:rsidRPr="00D804A9">
        <w:rPr>
          <w:rFonts w:ascii="inherit" w:eastAsia="Times New Roman" w:hAnsi="inherit" w:cs="Open Sans"/>
          <w:color w:val="1D2021"/>
          <w:kern w:val="0"/>
          <w:lang w:eastAsia="en-AU"/>
          <w14:ligatures w14:val="none"/>
        </w:rPr>
        <w:t>RAI governors</w:t>
      </w:r>
    </w:p>
    <w:p w14:paraId="766D2E47"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Impacted stakeholders: </w:t>
      </w:r>
      <w:r w:rsidRPr="00D804A9">
        <w:rPr>
          <w:rFonts w:ascii="inherit" w:eastAsia="Times New Roman" w:hAnsi="inherit" w:cs="Open Sans"/>
          <w:color w:val="1D2021"/>
          <w:kern w:val="0"/>
          <w:lang w:eastAsia="en-AU"/>
          <w14:ligatures w14:val="none"/>
        </w:rPr>
        <w:t>AI technology producers and procurers, AI solution producers and procurers, RAI tool producers and procurers</w:t>
      </w:r>
    </w:p>
    <w:p w14:paraId="55954923"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Lifecycle stages: </w:t>
      </w:r>
      <w:r w:rsidRPr="00D804A9">
        <w:rPr>
          <w:rFonts w:ascii="inherit" w:eastAsia="Times New Roman" w:hAnsi="inherit" w:cs="Open Sans"/>
          <w:color w:val="1D2021"/>
          <w:kern w:val="0"/>
          <w:lang w:eastAsia="en-AU"/>
          <w14:ligatures w14:val="none"/>
        </w:rPr>
        <w:t>All stages</w:t>
      </w:r>
    </w:p>
    <w:p w14:paraId="5B239A8E"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Relevant AI ethics principles: </w:t>
      </w:r>
      <w:r w:rsidRPr="00D804A9">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7FED276D"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Mapping to AI regulations/standards:</w:t>
      </w:r>
      <w:r w:rsidRPr="00D804A9">
        <w:rPr>
          <w:rFonts w:ascii="inherit" w:eastAsia="Times New Roman" w:hAnsi="inherit" w:cs="Open Sans"/>
          <w:color w:val="1D2021"/>
          <w:kern w:val="0"/>
          <w:lang w:eastAsia="en-AU"/>
          <w14:ligatures w14:val="none"/>
        </w:rPr>
        <w:t> EU AI Act, ISO/IEC 42001:2023 Standard.</w:t>
      </w:r>
    </w:p>
    <w:p w14:paraId="480E8BBD"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Context: </w:t>
      </w:r>
      <w:r w:rsidRPr="00D804A9">
        <w:rPr>
          <w:rFonts w:ascii="inherit" w:eastAsia="Times New Roman" w:hAnsi="inherit" w:cs="Open Sans"/>
          <w:color w:val="1D2021"/>
          <w:kern w:val="0"/>
          <w:lang w:eastAsia="en-AU"/>
          <w14:ligatures w14:val="none"/>
        </w:rPr>
        <w:t>AI systems can be more uncertain and riskier than traditional software due to their autonomous and opaque decision-making processes. The level of uncertainty and risk may vary depending on the specific AI technologies and application domains being used. As AI technology continues to evolve and become more prevalent, there is a need for clear and consistent guidelines for developers to follow to ensure that AI systems are developed and used responsibly.</w:t>
      </w:r>
    </w:p>
    <w:p w14:paraId="7113B756"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Problem: </w:t>
      </w:r>
      <w:r w:rsidRPr="00D804A9">
        <w:rPr>
          <w:rFonts w:ascii="inherit" w:eastAsia="Times New Roman" w:hAnsi="inherit" w:cs="Open Sans"/>
          <w:color w:val="1D2021"/>
          <w:kern w:val="0"/>
          <w:lang w:eastAsia="en-AU"/>
          <w14:ligatures w14:val="none"/>
        </w:rPr>
        <w:t>What are ways to ensure that AI systems are trustworthy and meet certain minimum responsible AI standards?</w:t>
      </w:r>
    </w:p>
    <w:p w14:paraId="1C6D4ABE"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Solution: </w:t>
      </w:r>
      <w:r w:rsidRPr="00D804A9">
        <w:rPr>
          <w:rFonts w:ascii="inherit" w:eastAsia="Times New Roman" w:hAnsi="inherit" w:cs="Open Sans"/>
          <w:color w:val="1D2021"/>
          <w:kern w:val="0"/>
          <w:lang w:eastAsia="en-AU"/>
          <w14:ligatures w14:val="none"/>
        </w:rPr>
        <w:t>A building code is a set of rules that ensures the development and use of AI systems conform to certain minimum standards [1]. Building codes are usually developed by standards organizations or governments and may be formally enacted as law in a particular jurisdiction. Developers must comply with building codes to obtain developmental approval or liability insurance for their AI systems.</w:t>
      </w:r>
    </w:p>
    <w:p w14:paraId="27D90F1A" w14:textId="77777777" w:rsidR="00D804A9" w:rsidRPr="00D804A9" w:rsidRDefault="00D804A9" w:rsidP="00D804A9">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noProof/>
          <w:color w:val="1D2021"/>
          <w:kern w:val="0"/>
          <w:lang w:eastAsia="en-AU"/>
          <w14:ligatures w14:val="none"/>
        </w:rPr>
        <w:lastRenderedPageBreak/>
        <w:drawing>
          <wp:inline distT="0" distB="0" distL="0" distR="0" wp14:anchorId="40FD80BD" wp14:editId="5840B796">
            <wp:extent cx="5715000" cy="31432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143250"/>
                    </a:xfrm>
                    <a:prstGeom prst="rect">
                      <a:avLst/>
                    </a:prstGeom>
                    <a:noFill/>
                    <a:ln>
                      <a:noFill/>
                    </a:ln>
                  </pic:spPr>
                </pic:pic>
              </a:graphicData>
            </a:graphic>
          </wp:inline>
        </w:drawing>
      </w:r>
    </w:p>
    <w:p w14:paraId="4D251523" w14:textId="77777777" w:rsidR="00D804A9" w:rsidRPr="00D804A9" w:rsidRDefault="00D804A9" w:rsidP="00D804A9">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D804A9">
        <w:rPr>
          <w:rFonts w:ascii="inherit" w:eastAsia="Times New Roman" w:hAnsi="inherit" w:cs="Open Sans"/>
          <w:color w:val="1D2021"/>
          <w:kern w:val="0"/>
          <w:sz w:val="18"/>
          <w:szCs w:val="18"/>
          <w:lang w:eastAsia="en-AU"/>
          <w14:ligatures w14:val="none"/>
        </w:rPr>
        <w:t>Fig.1. Building code.</w:t>
      </w:r>
    </w:p>
    <w:p w14:paraId="22A8BE80"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color w:val="1D2021"/>
          <w:kern w:val="0"/>
          <w:lang w:eastAsia="en-AU"/>
          <w14:ligatures w14:val="none"/>
        </w:rPr>
        <w:t> </w:t>
      </w:r>
    </w:p>
    <w:p w14:paraId="3EA105B9"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Benefits:</w:t>
      </w:r>
    </w:p>
    <w:p w14:paraId="42656026" w14:textId="77777777" w:rsidR="00D804A9" w:rsidRPr="00D804A9" w:rsidRDefault="00D804A9" w:rsidP="00D804A9">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color w:val="1D2021"/>
          <w:kern w:val="0"/>
          <w:lang w:eastAsia="en-AU"/>
          <w14:ligatures w14:val="none"/>
        </w:rPr>
        <w:t>Reduced RAI risk: Building codes can help to reduce the RAI issues in the development and use of AI systems.</w:t>
      </w:r>
    </w:p>
    <w:p w14:paraId="462678C2" w14:textId="77777777" w:rsidR="00D804A9" w:rsidRPr="00D804A9" w:rsidRDefault="00D804A9" w:rsidP="00D804A9">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color w:val="1D2021"/>
          <w:kern w:val="0"/>
          <w:lang w:eastAsia="en-AU"/>
          <w14:ligatures w14:val="none"/>
        </w:rPr>
        <w:t>Concrete guidance: Building codes provide concrete guidelines for companies on how to develop a trustworthy AI system.</w:t>
      </w:r>
    </w:p>
    <w:p w14:paraId="4CF373FB"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Drawbacks:</w:t>
      </w:r>
    </w:p>
    <w:p w14:paraId="32B5454B" w14:textId="77777777" w:rsidR="00D804A9" w:rsidRPr="00D804A9" w:rsidRDefault="00D804A9" w:rsidP="00D804A9">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color w:val="1D2021"/>
          <w:kern w:val="0"/>
          <w:lang w:eastAsia="en-AU"/>
          <w14:ligatures w14:val="none"/>
        </w:rPr>
        <w:t xml:space="preserve">Progress delay: Construction of an AI system cannot </w:t>
      </w:r>
      <w:proofErr w:type="gramStart"/>
      <w:r w:rsidRPr="00D804A9">
        <w:rPr>
          <w:rFonts w:ascii="inherit" w:eastAsia="Times New Roman" w:hAnsi="inherit" w:cs="Open Sans"/>
          <w:color w:val="1D2021"/>
          <w:kern w:val="0"/>
          <w:lang w:eastAsia="en-AU"/>
          <w14:ligatures w14:val="none"/>
        </w:rPr>
        <w:t>begin</w:t>
      </w:r>
      <w:proofErr w:type="gramEnd"/>
      <w:r w:rsidRPr="00D804A9">
        <w:rPr>
          <w:rFonts w:ascii="inherit" w:eastAsia="Times New Roman" w:hAnsi="inherit" w:cs="Open Sans"/>
          <w:color w:val="1D2021"/>
          <w:kern w:val="0"/>
          <w:lang w:eastAsia="en-AU"/>
          <w14:ligatures w14:val="none"/>
        </w:rPr>
        <w:t xml:space="preserve"> or an AI product cannot be sold in the market until an approval is issued by the local authority.</w:t>
      </w:r>
    </w:p>
    <w:p w14:paraId="6F30114E" w14:textId="77777777" w:rsidR="00D804A9" w:rsidRPr="00D804A9" w:rsidRDefault="00D804A9" w:rsidP="00D804A9">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color w:val="1D2021"/>
          <w:kern w:val="0"/>
          <w:lang w:eastAsia="en-AU"/>
          <w14:ligatures w14:val="none"/>
        </w:rPr>
        <w:t>Inefficiency: It may take long time to enact a building code.</w:t>
      </w:r>
    </w:p>
    <w:p w14:paraId="2214CCFB"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Related patterns:</w:t>
      </w:r>
    </w:p>
    <w:p w14:paraId="1308858A" w14:textId="77777777" w:rsidR="00D804A9" w:rsidRPr="00D804A9" w:rsidRDefault="00D804A9" w:rsidP="00D804A9">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D804A9">
          <w:rPr>
            <w:rFonts w:ascii="inherit" w:eastAsia="Times New Roman" w:hAnsi="inherit" w:cs="Open Sans"/>
            <w:color w:val="004B87"/>
            <w:kern w:val="0"/>
            <w:u w:val="single"/>
            <w:bdr w:val="none" w:sz="0" w:space="0" w:color="auto" w:frame="1"/>
            <w:lang w:eastAsia="en-AU"/>
            <w14:ligatures w14:val="none"/>
          </w:rPr>
          <w:t>RAI certification</w:t>
        </w:r>
      </w:hyperlink>
      <w:r w:rsidRPr="00D804A9">
        <w:rPr>
          <w:rFonts w:ascii="inherit" w:eastAsia="Times New Roman" w:hAnsi="inherit" w:cs="Open Sans"/>
          <w:color w:val="1D2021"/>
          <w:kern w:val="0"/>
          <w:lang w:eastAsia="en-AU"/>
          <w14:ligatures w14:val="none"/>
        </w:rPr>
        <w:t>: RAI certification could adopt building codes as the inspection standard.</w:t>
      </w:r>
    </w:p>
    <w:p w14:paraId="48F7B621"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t>Known uses:</w:t>
      </w:r>
    </w:p>
    <w:p w14:paraId="6212F643" w14:textId="77777777" w:rsidR="00D804A9" w:rsidRPr="00D804A9" w:rsidRDefault="00D804A9" w:rsidP="00D804A9">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color w:val="1D2021"/>
          <w:kern w:val="0"/>
          <w:lang w:eastAsia="en-AU"/>
          <w14:ligatures w14:val="none"/>
        </w:rPr>
        <w:t>The </w:t>
      </w:r>
      <w:hyperlink r:id="rId7" w:history="1">
        <w:r w:rsidRPr="00D804A9">
          <w:rPr>
            <w:rFonts w:ascii="inherit" w:eastAsia="Times New Roman" w:hAnsi="inherit" w:cs="Open Sans"/>
            <w:color w:val="004B87"/>
            <w:kern w:val="0"/>
            <w:u w:val="single"/>
            <w:bdr w:val="none" w:sz="0" w:space="0" w:color="auto" w:frame="1"/>
            <w:lang w:eastAsia="en-AU"/>
            <w14:ligatures w14:val="none"/>
          </w:rPr>
          <w:t>IEEE Building Code for the Internet of Things</w:t>
        </w:r>
      </w:hyperlink>
      <w:r w:rsidRPr="00D804A9">
        <w:rPr>
          <w:rFonts w:ascii="inherit" w:eastAsia="Times New Roman" w:hAnsi="inherit" w:cs="Open Sans"/>
          <w:color w:val="1D2021"/>
          <w:kern w:val="0"/>
          <w:lang w:eastAsia="en-AU"/>
          <w14:ligatures w14:val="none"/>
        </w:rPr>
        <w:t> provides guidelines for developing Internet of Things and smart cities in the form of questions.</w:t>
      </w:r>
    </w:p>
    <w:p w14:paraId="0C7E6639" w14:textId="77777777" w:rsidR="00D804A9" w:rsidRPr="00D804A9" w:rsidRDefault="00D804A9" w:rsidP="00D804A9">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color w:val="1D2021"/>
          <w:kern w:val="0"/>
          <w:lang w:eastAsia="en-AU"/>
          <w14:ligatures w14:val="none"/>
        </w:rPr>
        <w:t>The </w:t>
      </w:r>
      <w:hyperlink r:id="rId8" w:history="1">
        <w:r w:rsidRPr="00D804A9">
          <w:rPr>
            <w:rFonts w:ascii="inherit" w:eastAsia="Times New Roman" w:hAnsi="inherit" w:cs="Open Sans"/>
            <w:color w:val="004B87"/>
            <w:kern w:val="0"/>
            <w:u w:val="single"/>
            <w:bdr w:val="none" w:sz="0" w:space="0" w:color="auto" w:frame="1"/>
            <w:lang w:eastAsia="en-AU"/>
            <w14:ligatures w14:val="none"/>
          </w:rPr>
          <w:t>IEEE Building Code for Medical Device Software Security</w:t>
        </w:r>
      </w:hyperlink>
      <w:r w:rsidRPr="00D804A9">
        <w:rPr>
          <w:rFonts w:ascii="inherit" w:eastAsia="Times New Roman" w:hAnsi="inherit" w:cs="Open Sans"/>
          <w:color w:val="1D2021"/>
          <w:kern w:val="0"/>
          <w:lang w:eastAsia="en-AU"/>
          <w14:ligatures w14:val="none"/>
        </w:rPr>
        <w:t> was released by the IEEE Cybersecurity Initiative to help develop secure medical device software.</w:t>
      </w:r>
    </w:p>
    <w:p w14:paraId="6824522D" w14:textId="77777777" w:rsidR="00D804A9" w:rsidRPr="00D804A9" w:rsidRDefault="00D804A9" w:rsidP="00D804A9">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color w:val="1D2021"/>
          <w:kern w:val="0"/>
          <w:lang w:eastAsia="en-AU"/>
          <w14:ligatures w14:val="none"/>
        </w:rPr>
        <w:t>The </w:t>
      </w:r>
      <w:hyperlink r:id="rId9" w:history="1">
        <w:r w:rsidRPr="00D804A9">
          <w:rPr>
            <w:rFonts w:ascii="inherit" w:eastAsia="Times New Roman" w:hAnsi="inherit" w:cs="Open Sans"/>
            <w:color w:val="004B87"/>
            <w:kern w:val="0"/>
            <w:u w:val="single"/>
            <w:bdr w:val="none" w:sz="0" w:space="0" w:color="auto" w:frame="1"/>
            <w:lang w:eastAsia="en-AU"/>
            <w14:ligatures w14:val="none"/>
          </w:rPr>
          <w:t>IEEE Building Code for Power System Software Security</w:t>
        </w:r>
      </w:hyperlink>
      <w:r w:rsidRPr="00D804A9">
        <w:rPr>
          <w:rFonts w:ascii="inherit" w:eastAsia="Times New Roman" w:hAnsi="inherit" w:cs="Open Sans"/>
          <w:color w:val="1D2021"/>
          <w:kern w:val="0"/>
          <w:lang w:eastAsia="en-AU"/>
          <w14:ligatures w14:val="none"/>
        </w:rPr>
        <w:t> specifies the rules required to ensure the security of power system software.</w:t>
      </w:r>
    </w:p>
    <w:p w14:paraId="54716E66" w14:textId="77777777"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b/>
          <w:bCs/>
          <w:color w:val="1D2021"/>
          <w:kern w:val="0"/>
          <w:lang w:eastAsia="en-AU"/>
          <w14:ligatures w14:val="none"/>
        </w:rPr>
        <w:lastRenderedPageBreak/>
        <w:t>References:</w:t>
      </w:r>
    </w:p>
    <w:p w14:paraId="0856E5D9" w14:textId="02B10512" w:rsidR="00D804A9" w:rsidRPr="00D804A9" w:rsidRDefault="00D804A9" w:rsidP="00D804A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804A9">
        <w:rPr>
          <w:rFonts w:ascii="inherit" w:eastAsia="Times New Roman" w:hAnsi="inherit" w:cs="Open Sans"/>
          <w:color w:val="1D2021"/>
          <w:kern w:val="0"/>
          <w:lang w:eastAsia="en-AU"/>
          <w14:ligatures w14:val="none"/>
        </w:rPr>
        <w:t>[1] Landwehr, C.E., </w:t>
      </w:r>
      <w:r w:rsidRPr="00D804A9">
        <w:rPr>
          <w:rFonts w:ascii="inherit" w:eastAsia="Times New Roman" w:hAnsi="inherit" w:cs="Open Sans"/>
          <w:i/>
          <w:iCs/>
          <w:color w:val="1D2021"/>
          <w:kern w:val="0"/>
          <w:lang w:eastAsia="en-AU"/>
          <w14:ligatures w14:val="none"/>
        </w:rPr>
        <w:t>A building code for building code: putting what we know works to work</w:t>
      </w:r>
      <w:r w:rsidRPr="00D804A9">
        <w:rPr>
          <w:rFonts w:ascii="inherit" w:eastAsia="Times New Roman" w:hAnsi="inherit" w:cs="Open Sans"/>
          <w:color w:val="1D2021"/>
          <w:kern w:val="0"/>
          <w:lang w:eastAsia="en-AU"/>
          <w14:ligatures w14:val="none"/>
        </w:rPr>
        <w:t>, in </w:t>
      </w:r>
      <w:r w:rsidRPr="00D804A9">
        <w:rPr>
          <w:rFonts w:ascii="inherit" w:eastAsia="Times New Roman" w:hAnsi="inherit" w:cs="Open Sans"/>
          <w:i/>
          <w:iCs/>
          <w:color w:val="1D2021"/>
          <w:kern w:val="0"/>
          <w:lang w:eastAsia="en-AU"/>
          <w14:ligatures w14:val="none"/>
        </w:rPr>
        <w:t>Proceedings of the 29th Annual Computer Security Applications Conference</w:t>
      </w:r>
      <w:r w:rsidRPr="00D804A9">
        <w:rPr>
          <w:rFonts w:ascii="inherit" w:eastAsia="Times New Roman" w:hAnsi="inherit" w:cs="Open Sans"/>
          <w:color w:val="1D2021"/>
          <w:kern w:val="0"/>
          <w:lang w:eastAsia="en-AU"/>
          <w14:ligatures w14:val="none"/>
        </w:rPr>
        <w:t>. 2013, Association for Computing Machinery: New Orleans, Louisiana, USA. p. 139–147.</w:t>
      </w:r>
    </w:p>
    <w:sectPr w:rsidR="00D804A9" w:rsidRPr="00D80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8FE"/>
    <w:multiLevelType w:val="multilevel"/>
    <w:tmpl w:val="BD6C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9248F"/>
    <w:multiLevelType w:val="multilevel"/>
    <w:tmpl w:val="61C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887736"/>
    <w:multiLevelType w:val="multilevel"/>
    <w:tmpl w:val="6C08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438BA"/>
    <w:multiLevelType w:val="multilevel"/>
    <w:tmpl w:val="DBA8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935860">
    <w:abstractNumId w:val="0"/>
  </w:num>
  <w:num w:numId="2" w16cid:durableId="1783070241">
    <w:abstractNumId w:val="1"/>
  </w:num>
  <w:num w:numId="3" w16cid:durableId="715085778">
    <w:abstractNumId w:val="3"/>
  </w:num>
  <w:num w:numId="4" w16cid:durableId="2060156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4A9"/>
    <w:rsid w:val="0029460E"/>
    <w:rsid w:val="00D804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159B"/>
  <w15:chartTrackingRefBased/>
  <w15:docId w15:val="{97606A24-BF27-4BA0-872D-E44E632A9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4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4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4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4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4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4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4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4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4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4A9"/>
    <w:rPr>
      <w:rFonts w:eastAsiaTheme="majorEastAsia" w:cstheme="majorBidi"/>
      <w:color w:val="272727" w:themeColor="text1" w:themeTint="D8"/>
    </w:rPr>
  </w:style>
  <w:style w:type="paragraph" w:styleId="Title">
    <w:name w:val="Title"/>
    <w:basedOn w:val="Normal"/>
    <w:next w:val="Normal"/>
    <w:link w:val="TitleChar"/>
    <w:uiPriority w:val="10"/>
    <w:qFormat/>
    <w:rsid w:val="00D80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4A9"/>
    <w:pPr>
      <w:spacing w:before="160"/>
      <w:jc w:val="center"/>
    </w:pPr>
    <w:rPr>
      <w:i/>
      <w:iCs/>
      <w:color w:val="404040" w:themeColor="text1" w:themeTint="BF"/>
    </w:rPr>
  </w:style>
  <w:style w:type="character" w:customStyle="1" w:styleId="QuoteChar">
    <w:name w:val="Quote Char"/>
    <w:basedOn w:val="DefaultParagraphFont"/>
    <w:link w:val="Quote"/>
    <w:uiPriority w:val="29"/>
    <w:rsid w:val="00D804A9"/>
    <w:rPr>
      <w:i/>
      <w:iCs/>
      <w:color w:val="404040" w:themeColor="text1" w:themeTint="BF"/>
    </w:rPr>
  </w:style>
  <w:style w:type="paragraph" w:styleId="ListParagraph">
    <w:name w:val="List Paragraph"/>
    <w:basedOn w:val="Normal"/>
    <w:uiPriority w:val="34"/>
    <w:qFormat/>
    <w:rsid w:val="00D804A9"/>
    <w:pPr>
      <w:ind w:left="720"/>
      <w:contextualSpacing/>
    </w:pPr>
  </w:style>
  <w:style w:type="character" w:styleId="IntenseEmphasis">
    <w:name w:val="Intense Emphasis"/>
    <w:basedOn w:val="DefaultParagraphFont"/>
    <w:uiPriority w:val="21"/>
    <w:qFormat/>
    <w:rsid w:val="00D804A9"/>
    <w:rPr>
      <w:i/>
      <w:iCs/>
      <w:color w:val="0F4761" w:themeColor="accent1" w:themeShade="BF"/>
    </w:rPr>
  </w:style>
  <w:style w:type="paragraph" w:styleId="IntenseQuote">
    <w:name w:val="Intense Quote"/>
    <w:basedOn w:val="Normal"/>
    <w:next w:val="Normal"/>
    <w:link w:val="IntenseQuoteChar"/>
    <w:uiPriority w:val="30"/>
    <w:qFormat/>
    <w:rsid w:val="00D80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4A9"/>
    <w:rPr>
      <w:i/>
      <w:iCs/>
      <w:color w:val="0F4761" w:themeColor="accent1" w:themeShade="BF"/>
    </w:rPr>
  </w:style>
  <w:style w:type="character" w:styleId="IntenseReference">
    <w:name w:val="Intense Reference"/>
    <w:basedOn w:val="DefaultParagraphFont"/>
    <w:uiPriority w:val="32"/>
    <w:qFormat/>
    <w:rsid w:val="00D804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cs-media.computer.org/media/technical-activities/CYBSI/docs/BCMDSS.pdf" TargetMode="External"/><Relationship Id="rId3" Type="http://schemas.openxmlformats.org/officeDocument/2006/relationships/settings" Target="settings.xml"/><Relationship Id="rId7" Type="http://schemas.openxmlformats.org/officeDocument/2006/relationships/hyperlink" Target="https://cybersecurity.ieee.org/blog/2017/10/04/building-code-for-the-internet-of-th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rai-certification/"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eeecs-media.computer.org/media/technical-activities/CYBSI/docs/BCPSS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489</Words>
  <Characters>2936</Characters>
  <Application>Microsoft Office Word</Application>
  <DocSecurity>0</DocSecurity>
  <Lines>58</Lines>
  <Paragraphs>31</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2026-07-14T16:34:00Z</dcterms:created>
  <dcterms:modified xsi:type="dcterms:W3CDTF">2026-07-14T16:34:00Z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2026-07-14T16:34:51Z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3062217f-7d9c-40d8-ac90-4d48a7b66af0</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