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F95B" w14:textId="77777777" w:rsidR="00F519C2" w:rsidRPr="00F519C2" w:rsidRDefault="00F519C2" w:rsidP="00F519C2">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F519C2">
        <w:rPr>
          <w:rFonts w:ascii="Montserrat" w:eastAsia="Times New Roman" w:hAnsi="Montserrat" w:cs="Times New Roman"/>
          <w:color w:val="142C3F"/>
          <w:kern w:val="36"/>
          <w:sz w:val="48"/>
          <w:szCs w:val="48"/>
          <w:lang w:eastAsia="en-AU"/>
          <w14:ligatures w14:val="none"/>
        </w:rPr>
        <w:t>Envisioning Card</w:t>
      </w:r>
    </w:p>
    <w:p w14:paraId="17C80D06" w14:textId="77777777" w:rsidR="00F519C2" w:rsidRPr="00F519C2" w:rsidRDefault="00F519C2" w:rsidP="00F519C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Summary: </w:t>
      </w:r>
      <w:r w:rsidRPr="00F519C2">
        <w:rPr>
          <w:rFonts w:ascii="inherit" w:eastAsia="Times New Roman" w:hAnsi="inherit" w:cs="Open Sans"/>
          <w:color w:val="1D2021"/>
          <w:kern w:val="0"/>
          <w:lang w:eastAsia="en-AU"/>
          <w14:ligatures w14:val="none"/>
        </w:rPr>
        <w:t>Envisioning cards are created to assist the development team in incorporating human values into the design processes of AI systems.</w:t>
      </w:r>
    </w:p>
    <w:p w14:paraId="70A86768" w14:textId="77777777" w:rsidR="00F519C2" w:rsidRPr="00F519C2" w:rsidRDefault="00F519C2" w:rsidP="00F519C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Type of pattern: </w:t>
      </w:r>
      <w:r w:rsidRPr="00F519C2">
        <w:rPr>
          <w:rFonts w:ascii="inherit" w:eastAsia="Times New Roman" w:hAnsi="inherit" w:cs="Open Sans"/>
          <w:color w:val="1D2021"/>
          <w:kern w:val="0"/>
          <w:bdr w:val="none" w:sz="0" w:space="0" w:color="auto" w:frame="1"/>
          <w:lang w:eastAsia="en-AU"/>
          <w14:ligatures w14:val="none"/>
        </w:rPr>
        <w:t>Process pattern</w:t>
      </w:r>
    </w:p>
    <w:p w14:paraId="079404E2" w14:textId="77777777" w:rsidR="00F519C2" w:rsidRPr="00F519C2" w:rsidRDefault="00F519C2" w:rsidP="00F519C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Type of objective: </w:t>
      </w:r>
      <w:r w:rsidRPr="00F519C2">
        <w:rPr>
          <w:rFonts w:ascii="inherit" w:eastAsia="Times New Roman" w:hAnsi="inherit" w:cs="Open Sans"/>
          <w:color w:val="1D2021"/>
          <w:kern w:val="0"/>
          <w:bdr w:val="none" w:sz="0" w:space="0" w:color="auto" w:frame="1"/>
          <w:lang w:eastAsia="en-AU"/>
          <w14:ligatures w14:val="none"/>
        </w:rPr>
        <w:t>Trustworthiness</w:t>
      </w:r>
    </w:p>
    <w:p w14:paraId="548C0E91" w14:textId="77777777" w:rsidR="00F519C2" w:rsidRPr="00F519C2" w:rsidRDefault="00F519C2" w:rsidP="00F519C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Target users: </w:t>
      </w:r>
      <w:r w:rsidRPr="00F519C2">
        <w:rPr>
          <w:rFonts w:ascii="inherit" w:eastAsia="Times New Roman" w:hAnsi="inherit" w:cs="Open Sans"/>
          <w:color w:val="1D2021"/>
          <w:kern w:val="0"/>
          <w:bdr w:val="none" w:sz="0" w:space="0" w:color="auto" w:frame="1"/>
          <w:lang w:eastAsia="en-AU"/>
          <w14:ligatures w14:val="none"/>
        </w:rPr>
        <w:t>Product managers</w:t>
      </w:r>
    </w:p>
    <w:p w14:paraId="1C17C0EC" w14:textId="77777777" w:rsidR="00F519C2" w:rsidRPr="00F519C2" w:rsidRDefault="00F519C2" w:rsidP="00F519C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Impacted stakeholders: </w:t>
      </w:r>
      <w:r w:rsidRPr="00F519C2">
        <w:rPr>
          <w:rFonts w:ascii="inherit" w:eastAsia="Times New Roman" w:hAnsi="inherit" w:cs="Open Sans"/>
          <w:color w:val="1D2021"/>
          <w:kern w:val="0"/>
          <w:bdr w:val="none" w:sz="0" w:space="0" w:color="auto" w:frame="1"/>
          <w:lang w:eastAsia="en-AU"/>
          <w14:ligatures w14:val="none"/>
        </w:rPr>
        <w:t>Developers, data scientists</w:t>
      </w:r>
    </w:p>
    <w:p w14:paraId="5650D4F5" w14:textId="77777777" w:rsidR="00F519C2" w:rsidRPr="00F519C2" w:rsidRDefault="00F519C2" w:rsidP="00F519C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Lifecycle stages: </w:t>
      </w:r>
      <w:r w:rsidRPr="00F519C2">
        <w:rPr>
          <w:rFonts w:ascii="inherit" w:eastAsia="Times New Roman" w:hAnsi="inherit" w:cs="Open Sans"/>
          <w:color w:val="1D2021"/>
          <w:kern w:val="0"/>
          <w:bdr w:val="none" w:sz="0" w:space="0" w:color="auto" w:frame="1"/>
          <w:lang w:eastAsia="en-AU"/>
          <w14:ligatures w14:val="none"/>
        </w:rPr>
        <w:t>Design</w:t>
      </w:r>
    </w:p>
    <w:p w14:paraId="76068FD2" w14:textId="77777777" w:rsidR="00F519C2" w:rsidRPr="00F519C2" w:rsidRDefault="00F519C2" w:rsidP="00F519C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Relevant AI ethics principles: </w:t>
      </w:r>
      <w:r w:rsidRPr="00F519C2">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74C85CCD" w14:textId="77777777" w:rsidR="00F519C2" w:rsidRPr="00F519C2" w:rsidRDefault="00F519C2" w:rsidP="00F519C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Mapping to AI regulations/standards:</w:t>
      </w:r>
      <w:r w:rsidRPr="00F519C2">
        <w:rPr>
          <w:rFonts w:ascii="inherit" w:eastAsia="Times New Roman" w:hAnsi="inherit" w:cs="Open Sans"/>
          <w:color w:val="1D2021"/>
          <w:kern w:val="0"/>
          <w:lang w:eastAsia="en-AU"/>
          <w14:ligatures w14:val="none"/>
        </w:rPr>
        <w:t> EU AI Act, ISO/IEC 42001:2023 Standard.</w:t>
      </w:r>
    </w:p>
    <w:p w14:paraId="459D2BDE" w14:textId="77777777" w:rsidR="00F519C2" w:rsidRPr="00F519C2" w:rsidRDefault="00F519C2" w:rsidP="00F519C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Context: </w:t>
      </w:r>
      <w:r w:rsidRPr="00F519C2">
        <w:rPr>
          <w:rFonts w:ascii="inherit" w:eastAsia="Times New Roman" w:hAnsi="inherit" w:cs="Open Sans"/>
          <w:color w:val="1D2021"/>
          <w:kern w:val="0"/>
          <w:lang w:eastAsia="en-AU"/>
          <w14:ligatures w14:val="none"/>
        </w:rPr>
        <w:t>Responsible AI refers to the development and use of AI systems that adhere to ethical principles, such as </w:t>
      </w:r>
      <w:hyperlink r:id="rId5" w:history="1">
        <w:r w:rsidRPr="00F519C2">
          <w:rPr>
            <w:rFonts w:ascii="inherit" w:eastAsia="Times New Roman" w:hAnsi="inherit" w:cs="Open Sans"/>
            <w:color w:val="004B87"/>
            <w:kern w:val="0"/>
            <w:u w:val="single"/>
            <w:bdr w:val="none" w:sz="0" w:space="0" w:color="auto" w:frame="1"/>
            <w:lang w:eastAsia="en-AU"/>
            <w14:ligatures w14:val="none"/>
          </w:rPr>
          <w:t>Australian AI Ethics Framework</w:t>
        </w:r>
      </w:hyperlink>
      <w:r w:rsidRPr="00F519C2">
        <w:rPr>
          <w:rFonts w:ascii="inherit" w:eastAsia="Times New Roman" w:hAnsi="inherit" w:cs="Open Sans"/>
          <w:color w:val="1D2021"/>
          <w:kern w:val="0"/>
          <w:lang w:eastAsia="en-AU"/>
          <w14:ligatures w14:val="none"/>
        </w:rPr>
        <w:t>. One of these principles is human-centered values. However, developers often find it challenging to implement these high-level principles in practice due to a lack of technical guidance and tools. The ethical principles do not provide concrete guidance and software engineering methods on how to design an AI system that aligns with these principles.</w:t>
      </w:r>
    </w:p>
    <w:p w14:paraId="39A8C62E" w14:textId="77777777" w:rsidR="00F519C2" w:rsidRPr="00F519C2" w:rsidRDefault="00F519C2" w:rsidP="00F519C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Problem: </w:t>
      </w:r>
      <w:r w:rsidRPr="00F519C2">
        <w:rPr>
          <w:rFonts w:ascii="inherit" w:eastAsia="Times New Roman" w:hAnsi="inherit" w:cs="Open Sans"/>
          <w:color w:val="1D2021"/>
          <w:kern w:val="0"/>
          <w:lang w:eastAsia="en-AU"/>
          <w14:ligatures w14:val="none"/>
        </w:rPr>
        <w:t>What are ways to ensure that human-centered values are incorporated in the design of AI systems?</w:t>
      </w:r>
    </w:p>
    <w:p w14:paraId="1AC7A715" w14:textId="77777777" w:rsidR="00F519C2" w:rsidRPr="00F519C2" w:rsidRDefault="00F519C2" w:rsidP="00F519C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Solution: </w:t>
      </w:r>
      <w:r w:rsidRPr="00F519C2">
        <w:rPr>
          <w:rFonts w:ascii="inherit" w:eastAsia="Times New Roman" w:hAnsi="inherit" w:cs="Open Sans"/>
          <w:color w:val="1D2021"/>
          <w:kern w:val="0"/>
          <w:lang w:eastAsia="en-AU"/>
          <w14:ligatures w14:val="none"/>
        </w:rPr>
        <w:t>Envisioning cards are designed to help the development team operationalize human values during the design processes for AI systems. The cards are based on four envisioning criteria, including stakeholder, time, value, and pervasiveness. The stakeholder criterion helps the team consider the effects of the AI system on both direct and indirect holders. The time criterion emphasizes the long-term implication of the AI system on humans, society, and environment. The value criterion guides the team to consider the impact of the AI system on human values. The pervasiveness criterion addresses the challenges encountered if an AI system is widely adopted in terms of geography, culture, demographics, and so on.</w:t>
      </w:r>
    </w:p>
    <w:p w14:paraId="78619855" w14:textId="77777777" w:rsidR="00F519C2" w:rsidRPr="00F519C2" w:rsidRDefault="00F519C2" w:rsidP="00F519C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Benefits:</w:t>
      </w:r>
    </w:p>
    <w:p w14:paraId="531DEE90" w14:textId="77777777" w:rsidR="00F519C2" w:rsidRPr="00F519C2" w:rsidRDefault="00F519C2" w:rsidP="00F519C2">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color w:val="1D2021"/>
          <w:kern w:val="0"/>
          <w:lang w:eastAsia="en-AU"/>
          <w14:ligatures w14:val="none"/>
        </w:rPr>
        <w:t>Low cost: The use of envisioning cards is at a relatively low cost, in terms of both money and time.</w:t>
      </w:r>
    </w:p>
    <w:p w14:paraId="3E55E38D" w14:textId="77777777" w:rsidR="00F519C2" w:rsidRPr="00F519C2" w:rsidRDefault="00F519C2" w:rsidP="00F519C2">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color w:val="1D2021"/>
          <w:kern w:val="0"/>
          <w:lang w:eastAsia="en-AU"/>
          <w14:ligatures w14:val="none"/>
        </w:rPr>
        <w:t>Communication: Envisioning cards provide a visual representation of ideas; the cards also make these ideas easy to understand and share with others.</w:t>
      </w:r>
    </w:p>
    <w:p w14:paraId="00077EE1" w14:textId="77777777" w:rsidR="00F519C2" w:rsidRPr="00F519C2" w:rsidRDefault="00F519C2" w:rsidP="00F519C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lastRenderedPageBreak/>
        <w:t>Drawbacks:</w:t>
      </w:r>
    </w:p>
    <w:p w14:paraId="3A9B2B5F" w14:textId="77777777" w:rsidR="00F519C2" w:rsidRPr="00F519C2" w:rsidRDefault="00F519C2" w:rsidP="00F519C2">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color w:val="1D2021"/>
          <w:kern w:val="0"/>
          <w:lang w:eastAsia="en-AU"/>
          <w14:ligatures w14:val="none"/>
        </w:rPr>
        <w:t>Limited scalability: Scaling the use of envisioning cards can be challenging when working with large teams or complex AI systems.</w:t>
      </w:r>
    </w:p>
    <w:p w14:paraId="6DDBA6BD" w14:textId="77777777" w:rsidR="00F519C2" w:rsidRPr="00F519C2" w:rsidRDefault="00F519C2" w:rsidP="00F519C2">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color w:val="1D2021"/>
          <w:kern w:val="0"/>
          <w:lang w:eastAsia="en-AU"/>
          <w14:ligatures w14:val="none"/>
        </w:rPr>
        <w:t>Potential for biases: Envisioning cards can be influenced by the biases of the individuals using them.</w:t>
      </w:r>
    </w:p>
    <w:p w14:paraId="1E98963A" w14:textId="77777777" w:rsidR="00F519C2" w:rsidRPr="00F519C2" w:rsidRDefault="00F519C2" w:rsidP="00F519C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Related patterns: </w:t>
      </w:r>
      <w:r w:rsidRPr="00F519C2">
        <w:rPr>
          <w:rFonts w:ascii="inherit" w:eastAsia="Times New Roman" w:hAnsi="inherit" w:cs="Open Sans"/>
          <w:color w:val="1D2021"/>
          <w:kern w:val="0"/>
          <w:lang w:eastAsia="en-AU"/>
          <w14:ligatures w14:val="none"/>
        </w:rPr>
        <w:t>N/A</w:t>
      </w:r>
    </w:p>
    <w:p w14:paraId="5EC7E265" w14:textId="77777777" w:rsidR="00F519C2" w:rsidRPr="00F519C2" w:rsidRDefault="00F519C2" w:rsidP="00F519C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b/>
          <w:bCs/>
          <w:color w:val="1D2021"/>
          <w:kern w:val="0"/>
          <w:lang w:eastAsia="en-AU"/>
          <w14:ligatures w14:val="none"/>
        </w:rPr>
        <w:t>Known uses:</w:t>
      </w:r>
    </w:p>
    <w:p w14:paraId="354526CA" w14:textId="77777777" w:rsidR="00F519C2" w:rsidRPr="00F519C2" w:rsidRDefault="00F519C2" w:rsidP="00F519C2">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color w:val="1D2021"/>
          <w:kern w:val="0"/>
          <w:lang w:eastAsia="en-AU"/>
          <w14:ligatures w14:val="none"/>
        </w:rPr>
        <w:t>To increase awareness of impacts on human values, the VSD Lab created </w:t>
      </w:r>
      <w:hyperlink r:id="rId6" w:history="1">
        <w:r w:rsidRPr="00F519C2">
          <w:rPr>
            <w:rFonts w:ascii="inherit" w:eastAsia="Times New Roman" w:hAnsi="inherit" w:cs="Open Sans"/>
            <w:color w:val="004B87"/>
            <w:kern w:val="0"/>
            <w:u w:val="single"/>
            <w:bdr w:val="none" w:sz="0" w:space="0" w:color="auto" w:frame="1"/>
            <w:lang w:eastAsia="en-AU"/>
            <w14:ligatures w14:val="none"/>
          </w:rPr>
          <w:t>envisioning cards</w:t>
        </w:r>
      </w:hyperlink>
      <w:r w:rsidRPr="00F519C2">
        <w:rPr>
          <w:rFonts w:ascii="inherit" w:eastAsia="Times New Roman" w:hAnsi="inherit" w:cs="Open Sans"/>
          <w:color w:val="1D2021"/>
          <w:kern w:val="0"/>
          <w:lang w:eastAsia="en-AU"/>
          <w14:ligatures w14:val="none"/>
        </w:rPr>
        <w:t> that can be used in the design stage based on five envisioning criteria: stakeholders, time, values, pervasiveness, multi-lifespan.</w:t>
      </w:r>
    </w:p>
    <w:p w14:paraId="38EDF504" w14:textId="77777777" w:rsidR="00F519C2" w:rsidRPr="00F519C2" w:rsidRDefault="00F519C2" w:rsidP="00F519C2">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519C2">
        <w:rPr>
          <w:rFonts w:ascii="inherit" w:eastAsia="Times New Roman" w:hAnsi="inherit" w:cs="Open Sans"/>
          <w:color w:val="1D2021"/>
          <w:kern w:val="0"/>
          <w:lang w:eastAsia="en-AU"/>
          <w14:ligatures w14:val="none"/>
        </w:rPr>
        <w:t xml:space="preserve">Nathan et. al. </w:t>
      </w:r>
      <w:proofErr w:type="gramStart"/>
      <w:r w:rsidRPr="00F519C2">
        <w:rPr>
          <w:rFonts w:ascii="inherit" w:eastAsia="Times New Roman" w:hAnsi="inherit" w:cs="Open Sans"/>
          <w:color w:val="1D2021"/>
          <w:kern w:val="0"/>
          <w:lang w:eastAsia="en-AU"/>
          <w14:ligatures w14:val="none"/>
        </w:rPr>
        <w:t>propose</w:t>
      </w:r>
      <w:proofErr w:type="gramEnd"/>
      <w:r w:rsidRPr="00F519C2">
        <w:rPr>
          <w:rFonts w:ascii="inherit" w:eastAsia="Times New Roman" w:hAnsi="inherit" w:cs="Open Sans"/>
          <w:color w:val="1D2021"/>
          <w:kern w:val="0"/>
          <w:lang w:eastAsia="en-AU"/>
          <w14:ligatures w14:val="none"/>
        </w:rPr>
        <w:t> </w:t>
      </w:r>
      <w:hyperlink r:id="rId7" w:history="1">
        <w:r w:rsidRPr="00F519C2">
          <w:rPr>
            <w:rFonts w:ascii="inherit" w:eastAsia="Times New Roman" w:hAnsi="inherit" w:cs="Open Sans"/>
            <w:color w:val="004B87"/>
            <w:kern w:val="0"/>
            <w:u w:val="single"/>
            <w:bdr w:val="none" w:sz="0" w:space="0" w:color="auto" w:frame="1"/>
            <w:lang w:eastAsia="en-AU"/>
            <w14:ligatures w14:val="none"/>
          </w:rPr>
          <w:t>four envisioning criteria</w:t>
        </w:r>
      </w:hyperlink>
      <w:r w:rsidRPr="00F519C2">
        <w:rPr>
          <w:rFonts w:ascii="inherit" w:eastAsia="Times New Roman" w:hAnsi="inherit" w:cs="Open Sans"/>
          <w:color w:val="1D2021"/>
          <w:kern w:val="0"/>
          <w:lang w:eastAsia="en-AU"/>
          <w14:ligatures w14:val="none"/>
        </w:rPr>
        <w:t> – stakeholders, time, values, and pervasiveness and characterize how the criteria can be considered in interactive system design.</w:t>
      </w:r>
    </w:p>
    <w:p w14:paraId="381C12DB" w14:textId="77777777" w:rsidR="00F519C2" w:rsidRDefault="00F519C2"/>
    <w:sectPr w:rsidR="00F51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A2918"/>
    <w:multiLevelType w:val="multilevel"/>
    <w:tmpl w:val="561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FA486B"/>
    <w:multiLevelType w:val="multilevel"/>
    <w:tmpl w:val="DF3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22266"/>
    <w:multiLevelType w:val="multilevel"/>
    <w:tmpl w:val="994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354720">
    <w:abstractNumId w:val="2"/>
  </w:num>
  <w:num w:numId="2" w16cid:durableId="534581620">
    <w:abstractNumId w:val="0"/>
  </w:num>
  <w:num w:numId="3" w16cid:durableId="979336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C2"/>
    <w:rsid w:val="0029460E"/>
    <w:rsid w:val="00F519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46DE"/>
  <w15:chartTrackingRefBased/>
  <w15:docId w15:val="{A1F64D0F-4236-408E-8BD1-5072927E7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C2"/>
    <w:rPr>
      <w:rFonts w:eastAsiaTheme="majorEastAsia" w:cstheme="majorBidi"/>
      <w:color w:val="272727" w:themeColor="text1" w:themeTint="D8"/>
    </w:rPr>
  </w:style>
  <w:style w:type="paragraph" w:styleId="Title">
    <w:name w:val="Title"/>
    <w:basedOn w:val="Normal"/>
    <w:next w:val="Normal"/>
    <w:link w:val="TitleChar"/>
    <w:uiPriority w:val="10"/>
    <w:qFormat/>
    <w:rsid w:val="00F51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C2"/>
    <w:pPr>
      <w:spacing w:before="160"/>
      <w:jc w:val="center"/>
    </w:pPr>
    <w:rPr>
      <w:i/>
      <w:iCs/>
      <w:color w:val="404040" w:themeColor="text1" w:themeTint="BF"/>
    </w:rPr>
  </w:style>
  <w:style w:type="character" w:customStyle="1" w:styleId="QuoteChar">
    <w:name w:val="Quote Char"/>
    <w:basedOn w:val="DefaultParagraphFont"/>
    <w:link w:val="Quote"/>
    <w:uiPriority w:val="29"/>
    <w:rsid w:val="00F519C2"/>
    <w:rPr>
      <w:i/>
      <w:iCs/>
      <w:color w:val="404040" w:themeColor="text1" w:themeTint="BF"/>
    </w:rPr>
  </w:style>
  <w:style w:type="paragraph" w:styleId="ListParagraph">
    <w:name w:val="List Paragraph"/>
    <w:basedOn w:val="Normal"/>
    <w:uiPriority w:val="34"/>
    <w:qFormat/>
    <w:rsid w:val="00F519C2"/>
    <w:pPr>
      <w:ind w:left="720"/>
      <w:contextualSpacing/>
    </w:pPr>
  </w:style>
  <w:style w:type="character" w:styleId="IntenseEmphasis">
    <w:name w:val="Intense Emphasis"/>
    <w:basedOn w:val="DefaultParagraphFont"/>
    <w:uiPriority w:val="21"/>
    <w:qFormat/>
    <w:rsid w:val="00F519C2"/>
    <w:rPr>
      <w:i/>
      <w:iCs/>
      <w:color w:val="0F4761" w:themeColor="accent1" w:themeShade="BF"/>
    </w:rPr>
  </w:style>
  <w:style w:type="paragraph" w:styleId="IntenseQuote">
    <w:name w:val="Intense Quote"/>
    <w:basedOn w:val="Normal"/>
    <w:next w:val="Normal"/>
    <w:link w:val="IntenseQuoteChar"/>
    <w:uiPriority w:val="30"/>
    <w:qFormat/>
    <w:rsid w:val="00F51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9C2"/>
    <w:rPr>
      <w:i/>
      <w:iCs/>
      <w:color w:val="0F4761" w:themeColor="accent1" w:themeShade="BF"/>
    </w:rPr>
  </w:style>
  <w:style w:type="character" w:styleId="IntenseReference">
    <w:name w:val="Intense Reference"/>
    <w:basedOn w:val="DefaultParagraphFont"/>
    <w:uiPriority w:val="32"/>
    <w:qFormat/>
    <w:rsid w:val="00F51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l.acm.org/doi/10.1145/1394445.13944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sdesign.org/toolkits/envisioningcards/" TargetMode="External"/><Relationship Id="rId5" Type="http://schemas.openxmlformats.org/officeDocument/2006/relationships/hyperlink" Target="https://www.industry.gov.au/data-and-publications/australias-artificial-intelligence-ethics-framewor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2711</Characters>
  <Application>Microsoft Office Word</Application>
  <DocSecurity>0</DocSecurity>
  <Lines>50</Lines>
  <Paragraphs>21</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2026-07-14T16:22:00Z</dcterms:created>
  <dcterms:modified xsi:type="dcterms:W3CDTF">2026-07-14T16:22:00Z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2026-07-14T16:22:59Z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3355747e-13aa-47af-b30b-359543d050ad</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