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1DF43" w14:textId="77777777" w:rsidR="0038079D" w:rsidRPr="0038079D" w:rsidRDefault="0038079D" w:rsidP="0038079D">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38079D">
        <w:rPr>
          <w:rFonts w:ascii="Montserrat" w:eastAsia="Times New Roman" w:hAnsi="Montserrat" w:cs="Times New Roman"/>
          <w:color w:val="142C3F"/>
          <w:kern w:val="36"/>
          <w:sz w:val="48"/>
          <w:szCs w:val="48"/>
          <w:lang w:eastAsia="en-AU"/>
          <w14:ligatures w14:val="none"/>
        </w:rPr>
        <w:t>Extensible, Adaptive and Dynamic RAI Risk Assessment</w:t>
      </w:r>
    </w:p>
    <w:p w14:paraId="0F6F0035" w14:textId="77777777" w:rsidR="0038079D" w:rsidRPr="0038079D" w:rsidRDefault="0038079D" w:rsidP="0038079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Summary: </w:t>
      </w:r>
      <w:r w:rsidRPr="0038079D">
        <w:rPr>
          <w:rFonts w:ascii="inherit" w:eastAsia="Times New Roman" w:hAnsi="inherit" w:cs="Open Sans"/>
          <w:color w:val="1D2021"/>
          <w:kern w:val="0"/>
          <w:lang w:eastAsia="en-AU"/>
          <w14:ligatures w14:val="none"/>
        </w:rPr>
        <w:t>It is essential to perform continuous risk assessment and mitigation for RAI systems.</w:t>
      </w:r>
    </w:p>
    <w:p w14:paraId="3067B644" w14:textId="77777777" w:rsidR="0038079D" w:rsidRPr="0038079D" w:rsidRDefault="0038079D" w:rsidP="0038079D">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Type of pattern: </w:t>
      </w:r>
      <w:r w:rsidRPr="0038079D">
        <w:rPr>
          <w:rFonts w:ascii="inherit" w:eastAsia="Times New Roman" w:hAnsi="inherit" w:cs="Open Sans"/>
          <w:color w:val="1D2021"/>
          <w:kern w:val="0"/>
          <w:bdr w:val="none" w:sz="0" w:space="0" w:color="auto" w:frame="1"/>
          <w:lang w:eastAsia="en-AU"/>
          <w14:ligatures w14:val="none"/>
        </w:rPr>
        <w:t>Process pattern</w:t>
      </w:r>
    </w:p>
    <w:p w14:paraId="15C80D59" w14:textId="77777777" w:rsidR="0038079D" w:rsidRPr="0038079D" w:rsidRDefault="0038079D" w:rsidP="0038079D">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Type of objective: </w:t>
      </w:r>
      <w:r w:rsidRPr="0038079D">
        <w:rPr>
          <w:rFonts w:ascii="inherit" w:eastAsia="Times New Roman" w:hAnsi="inherit" w:cs="Open Sans"/>
          <w:color w:val="1D2021"/>
          <w:kern w:val="0"/>
          <w:bdr w:val="none" w:sz="0" w:space="0" w:color="auto" w:frame="1"/>
          <w:lang w:eastAsia="en-AU"/>
          <w14:ligatures w14:val="none"/>
        </w:rPr>
        <w:t>Trustworthiness</w:t>
      </w:r>
    </w:p>
    <w:p w14:paraId="36B4BD1D" w14:textId="77777777" w:rsidR="0038079D" w:rsidRPr="0038079D" w:rsidRDefault="0038079D" w:rsidP="0038079D">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Target users: </w:t>
      </w:r>
      <w:r w:rsidRPr="0038079D">
        <w:rPr>
          <w:rFonts w:ascii="inherit" w:eastAsia="Times New Roman" w:hAnsi="inherit" w:cs="Open Sans"/>
          <w:color w:val="1D2021"/>
          <w:kern w:val="0"/>
          <w:bdr w:val="none" w:sz="0" w:space="0" w:color="auto" w:frame="1"/>
          <w:lang w:eastAsia="en-AU"/>
          <w14:ligatures w14:val="none"/>
        </w:rPr>
        <w:t>Operators</w:t>
      </w:r>
    </w:p>
    <w:p w14:paraId="4EC7DAB3" w14:textId="77777777" w:rsidR="0038079D" w:rsidRPr="0038079D" w:rsidRDefault="0038079D" w:rsidP="0038079D">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Impacted stakeholders: </w:t>
      </w:r>
      <w:r w:rsidRPr="0038079D">
        <w:rPr>
          <w:rFonts w:ascii="inherit" w:eastAsia="Times New Roman" w:hAnsi="inherit" w:cs="Open Sans"/>
          <w:color w:val="1D2021"/>
          <w:kern w:val="0"/>
          <w:bdr w:val="none" w:sz="0" w:space="0" w:color="auto" w:frame="1"/>
          <w:lang w:eastAsia="en-AU"/>
          <w14:ligatures w14:val="none"/>
        </w:rPr>
        <w:t>Developers, business analysts, AI users, AI consumers</w:t>
      </w:r>
    </w:p>
    <w:p w14:paraId="641DE4B5" w14:textId="77777777" w:rsidR="0038079D" w:rsidRPr="0038079D" w:rsidRDefault="0038079D" w:rsidP="0038079D">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Lifecycle stages: </w:t>
      </w:r>
      <w:r w:rsidRPr="0038079D">
        <w:rPr>
          <w:rFonts w:ascii="inherit" w:eastAsia="Times New Roman" w:hAnsi="inherit" w:cs="Open Sans"/>
          <w:color w:val="1D2021"/>
          <w:kern w:val="0"/>
          <w:bdr w:val="none" w:sz="0" w:space="0" w:color="auto" w:frame="1"/>
          <w:lang w:eastAsia="en-AU"/>
          <w14:ligatures w14:val="none"/>
        </w:rPr>
        <w:t>Operation</w:t>
      </w:r>
    </w:p>
    <w:p w14:paraId="69DBF23B" w14:textId="77777777" w:rsidR="0038079D" w:rsidRPr="0038079D" w:rsidRDefault="0038079D" w:rsidP="0038079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Relevant AI ethics principles: </w:t>
      </w:r>
      <w:r w:rsidRPr="0038079D">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35E8B2A7" w14:textId="77777777" w:rsidR="0038079D" w:rsidRPr="0038079D" w:rsidRDefault="0038079D" w:rsidP="0038079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Mapping to AI regulations/standards:</w:t>
      </w:r>
      <w:r w:rsidRPr="0038079D">
        <w:rPr>
          <w:rFonts w:ascii="inherit" w:eastAsia="Times New Roman" w:hAnsi="inherit" w:cs="Open Sans"/>
          <w:color w:val="1D2021"/>
          <w:kern w:val="0"/>
          <w:lang w:eastAsia="en-AU"/>
          <w14:ligatures w14:val="none"/>
        </w:rPr>
        <w:t> EU AI Act, ISO/IEC 42001:2023 Standard.</w:t>
      </w:r>
    </w:p>
    <w:p w14:paraId="3B1A75C1" w14:textId="77777777" w:rsidR="0038079D" w:rsidRPr="0038079D" w:rsidRDefault="0038079D" w:rsidP="0038079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Context: </w:t>
      </w:r>
      <w:r w:rsidRPr="0038079D">
        <w:rPr>
          <w:rFonts w:ascii="inherit" w:eastAsia="Times New Roman" w:hAnsi="inherit" w:cs="Open Sans"/>
          <w:color w:val="1D2021"/>
          <w:kern w:val="0"/>
          <w:lang w:eastAsia="en-AU"/>
          <w14:ligatures w14:val="none"/>
        </w:rPr>
        <w:t>The current risk-based approach to implement RAI often involves a done-once-and-forget algorithm-level risk assessment and mitigation for a sub-group of ethical principles, such as privacy or fairness, at a particular development step. However, this approach is inadequate for highly uncertain and continual learning AI systems. Furthermore, the context of AI systems can vary greatly across different application domains, organizations, cultures, and regions.</w:t>
      </w:r>
    </w:p>
    <w:p w14:paraId="012432BA" w14:textId="77777777" w:rsidR="0038079D" w:rsidRPr="0038079D" w:rsidRDefault="0038079D" w:rsidP="0038079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Problem: </w:t>
      </w:r>
      <w:r w:rsidRPr="0038079D">
        <w:rPr>
          <w:rFonts w:ascii="inherit" w:eastAsia="Times New Roman" w:hAnsi="inherit" w:cs="Open Sans"/>
          <w:color w:val="1D2021"/>
          <w:kern w:val="0"/>
          <w:lang w:eastAsia="en-AU"/>
          <w14:ligatures w14:val="none"/>
        </w:rPr>
        <w:t>How can we measure the extent to which an AI system adheres to AI ethics principles in a given context?</w:t>
      </w:r>
    </w:p>
    <w:p w14:paraId="64BAB33B" w14:textId="77777777" w:rsidR="0038079D" w:rsidRPr="0038079D" w:rsidRDefault="0038079D" w:rsidP="0038079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Solution: </w:t>
      </w:r>
      <w:r w:rsidRPr="0038079D">
        <w:rPr>
          <w:rFonts w:ascii="inherit" w:eastAsia="Times New Roman" w:hAnsi="inherit" w:cs="Open Sans"/>
          <w:color w:val="1D2021"/>
          <w:kern w:val="0"/>
          <w:lang w:eastAsia="en-AU"/>
          <w14:ligatures w14:val="none"/>
        </w:rPr>
        <w:t>It is essential to continuously perform risk assessment and mitigation for RAI systems. The RAI risk assessment framework can be built with specific extension points for different contexts, such as the culture context. The risk mitigation can be approached in three ways: reducing the frequency of occurrence, decreasing the size of consequences, and improving the response to consequences.</w:t>
      </w:r>
    </w:p>
    <w:p w14:paraId="697AB7F9" w14:textId="77777777" w:rsidR="0038079D" w:rsidRPr="0038079D" w:rsidRDefault="0038079D" w:rsidP="0038079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Benefits:</w:t>
      </w:r>
      <w:r w:rsidRPr="0038079D">
        <w:rPr>
          <w:rFonts w:ascii="inherit" w:eastAsia="Times New Roman" w:hAnsi="inherit" w:cs="Open Sans"/>
          <w:b/>
          <w:bCs/>
          <w:i/>
          <w:iCs/>
          <w:color w:val="1D2021"/>
          <w:kern w:val="0"/>
          <w:lang w:eastAsia="en-AU"/>
          <w14:ligatures w14:val="none"/>
        </w:rPr>
        <w:t> </w:t>
      </w:r>
    </w:p>
    <w:p w14:paraId="23F0B316" w14:textId="77777777" w:rsidR="0038079D" w:rsidRPr="0038079D" w:rsidRDefault="0038079D" w:rsidP="0038079D">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color w:val="1D2021"/>
          <w:kern w:val="0"/>
          <w:lang w:eastAsia="en-AU"/>
          <w14:ligatures w14:val="none"/>
        </w:rPr>
        <w:t>Better alignment with context: By considering various extension points (such as cultural context), the RAI risk assessment and mitigation process can be better aligned with the specific context in which the AI systems is operating.</w:t>
      </w:r>
    </w:p>
    <w:p w14:paraId="64130E7C" w14:textId="77777777" w:rsidR="0038079D" w:rsidRPr="0038079D" w:rsidRDefault="0038079D" w:rsidP="0038079D">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color w:val="1D2021"/>
          <w:kern w:val="0"/>
          <w:lang w:eastAsia="en-AU"/>
          <w14:ligatures w14:val="none"/>
        </w:rPr>
        <w:t>Reduced legal and reputational risks: By continuously identifying and mitigating risks, the AI system can be less likely to violate laws and avoid reputational damage.</w:t>
      </w:r>
    </w:p>
    <w:p w14:paraId="4A1F8D6D" w14:textId="77777777" w:rsidR="0038079D" w:rsidRPr="0038079D" w:rsidRDefault="0038079D" w:rsidP="0038079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lastRenderedPageBreak/>
        <w:t>Drawbacks:</w:t>
      </w:r>
    </w:p>
    <w:p w14:paraId="37817B65" w14:textId="77777777" w:rsidR="0038079D" w:rsidRPr="0038079D" w:rsidRDefault="0038079D" w:rsidP="0038079D">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color w:val="1D2021"/>
          <w:kern w:val="0"/>
          <w:lang w:eastAsia="en-AU"/>
          <w14:ligatures w14:val="none"/>
        </w:rPr>
        <w:t>Limited measurability: It is hard to measure some of the ethics principles.</w:t>
      </w:r>
    </w:p>
    <w:p w14:paraId="7D67A1A3" w14:textId="77777777" w:rsidR="0038079D" w:rsidRPr="0038079D" w:rsidRDefault="0038079D" w:rsidP="0038079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Related patterns:</w:t>
      </w:r>
    </w:p>
    <w:p w14:paraId="0BB0E327" w14:textId="77777777" w:rsidR="0038079D" w:rsidRPr="0038079D" w:rsidRDefault="0038079D" w:rsidP="0038079D">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38079D">
          <w:rPr>
            <w:rFonts w:ascii="inherit" w:eastAsia="Times New Roman" w:hAnsi="inherit" w:cs="Open Sans"/>
            <w:color w:val="004B87"/>
            <w:kern w:val="0"/>
            <w:u w:val="single"/>
            <w:bdr w:val="none" w:sz="0" w:space="0" w:color="auto" w:frame="1"/>
            <w:lang w:eastAsia="en-AU"/>
            <w14:ligatures w14:val="none"/>
          </w:rPr>
          <w:t>RAI risk assessment</w:t>
        </w:r>
      </w:hyperlink>
      <w:r w:rsidRPr="0038079D">
        <w:rPr>
          <w:rFonts w:ascii="inherit" w:eastAsia="Times New Roman" w:hAnsi="inherit" w:cs="Open Sans"/>
          <w:color w:val="1D2021"/>
          <w:kern w:val="0"/>
          <w:lang w:eastAsia="en-AU"/>
          <w14:ligatures w14:val="none"/>
        </w:rPr>
        <w:t>: The ethical risk assessment framework of an organization can be designed in an extensible, adaptive, and dynamic way.</w:t>
      </w:r>
    </w:p>
    <w:p w14:paraId="1C07093D" w14:textId="77777777" w:rsidR="0038079D" w:rsidRPr="0038079D" w:rsidRDefault="0038079D" w:rsidP="0038079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b/>
          <w:bCs/>
          <w:color w:val="1D2021"/>
          <w:kern w:val="0"/>
          <w:lang w:eastAsia="en-AU"/>
          <w14:ligatures w14:val="none"/>
        </w:rPr>
        <w:t>Known uses:</w:t>
      </w:r>
    </w:p>
    <w:p w14:paraId="54FA3A3B" w14:textId="77777777" w:rsidR="0038079D" w:rsidRPr="0038079D" w:rsidRDefault="0038079D" w:rsidP="0038079D">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color w:val="1D2021"/>
          <w:kern w:val="0"/>
          <w:lang w:eastAsia="en-AU"/>
          <w14:ligatures w14:val="none"/>
        </w:rPr>
        <w:t>NIST is developing an </w:t>
      </w:r>
      <w:hyperlink r:id="rId6" w:history="1">
        <w:r w:rsidRPr="0038079D">
          <w:rPr>
            <w:rFonts w:ascii="inherit" w:eastAsia="Times New Roman" w:hAnsi="inherit" w:cs="Open Sans"/>
            <w:color w:val="004B87"/>
            <w:kern w:val="0"/>
            <w:u w:val="single"/>
            <w:bdr w:val="none" w:sz="0" w:space="0" w:color="auto" w:frame="1"/>
            <w:lang w:eastAsia="en-AU"/>
            <w14:ligatures w14:val="none"/>
          </w:rPr>
          <w:t>AI Risk Management Framework</w:t>
        </w:r>
      </w:hyperlink>
      <w:r w:rsidRPr="0038079D">
        <w:rPr>
          <w:rFonts w:ascii="inherit" w:eastAsia="Times New Roman" w:hAnsi="inherit" w:cs="Open Sans"/>
          <w:color w:val="1D2021"/>
          <w:kern w:val="0"/>
          <w:lang w:eastAsia="en-AU"/>
          <w14:ligatures w14:val="none"/>
        </w:rPr>
        <w:t> to improve AI trustworthiness.</w:t>
      </w:r>
    </w:p>
    <w:p w14:paraId="1E98D7CE" w14:textId="77777777" w:rsidR="0038079D" w:rsidRPr="0038079D" w:rsidRDefault="0038079D" w:rsidP="0038079D">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color w:val="1D2021"/>
          <w:kern w:val="0"/>
          <w:lang w:eastAsia="en-AU"/>
          <w14:ligatures w14:val="none"/>
        </w:rPr>
        <w:t>ISO/IEC JTC 1/SC 42 committee is developing </w:t>
      </w:r>
      <w:hyperlink r:id="rId7" w:history="1">
        <w:r w:rsidRPr="0038079D">
          <w:rPr>
            <w:rFonts w:ascii="inherit" w:eastAsia="Times New Roman" w:hAnsi="inherit" w:cs="Open Sans"/>
            <w:color w:val="004B87"/>
            <w:kern w:val="0"/>
            <w:u w:val="single"/>
            <w:bdr w:val="none" w:sz="0" w:space="0" w:color="auto" w:frame="1"/>
            <w:lang w:eastAsia="en-AU"/>
            <w14:ligatures w14:val="none"/>
          </w:rPr>
          <w:t>ISO/IEC 23894</w:t>
        </w:r>
      </w:hyperlink>
      <w:r w:rsidRPr="0038079D">
        <w:rPr>
          <w:rFonts w:ascii="inherit" w:eastAsia="Times New Roman" w:hAnsi="inherit" w:cs="Open Sans"/>
          <w:color w:val="1D2021"/>
          <w:kern w:val="0"/>
          <w:lang w:eastAsia="en-AU"/>
          <w14:ligatures w14:val="none"/>
        </w:rPr>
        <w:t> on Artificial Intelligence and Risk Management.</w:t>
      </w:r>
    </w:p>
    <w:p w14:paraId="689BC2AA" w14:textId="77777777" w:rsidR="0038079D" w:rsidRPr="0038079D" w:rsidRDefault="0038079D" w:rsidP="0038079D">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color w:val="1D2021"/>
          <w:kern w:val="0"/>
          <w:lang w:eastAsia="en-AU"/>
          <w14:ligatures w14:val="none"/>
        </w:rPr>
        <w:t>The Canada government has released the </w:t>
      </w:r>
      <w:hyperlink r:id="rId8" w:history="1">
        <w:r w:rsidRPr="0038079D">
          <w:rPr>
            <w:rFonts w:ascii="inherit" w:eastAsia="Times New Roman" w:hAnsi="inherit" w:cs="Open Sans"/>
            <w:color w:val="004B87"/>
            <w:kern w:val="0"/>
            <w:u w:val="single"/>
            <w:bdr w:val="none" w:sz="0" w:space="0" w:color="auto" w:frame="1"/>
            <w:lang w:eastAsia="en-AU"/>
            <w14:ligatures w14:val="none"/>
          </w:rPr>
          <w:t>Algorithmic Impact Assessment tool</w:t>
        </w:r>
      </w:hyperlink>
      <w:r w:rsidRPr="0038079D">
        <w:rPr>
          <w:rFonts w:ascii="inherit" w:eastAsia="Times New Roman" w:hAnsi="inherit" w:cs="Open Sans"/>
          <w:color w:val="1D2021"/>
          <w:kern w:val="0"/>
          <w:lang w:eastAsia="en-AU"/>
          <w14:ligatures w14:val="none"/>
        </w:rPr>
        <w:t> to identify the risks associated with automated decision-making systems.</w:t>
      </w:r>
    </w:p>
    <w:p w14:paraId="3A87E2E1" w14:textId="77777777" w:rsidR="0038079D" w:rsidRPr="0038079D" w:rsidRDefault="0038079D" w:rsidP="0038079D">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color w:val="1D2021"/>
          <w:kern w:val="0"/>
          <w:lang w:eastAsia="en-AU"/>
          <w14:ligatures w14:val="none"/>
        </w:rPr>
        <w:t>The Australian NSW government is mandating all its agencies that are developing AI systems to go through the </w:t>
      </w:r>
      <w:hyperlink r:id="rId9" w:history="1">
        <w:r w:rsidRPr="0038079D">
          <w:rPr>
            <w:rFonts w:ascii="inherit" w:eastAsia="Times New Roman" w:hAnsi="inherit" w:cs="Open Sans"/>
            <w:color w:val="004B87"/>
            <w:kern w:val="0"/>
            <w:u w:val="single"/>
            <w:bdr w:val="none" w:sz="0" w:space="0" w:color="auto" w:frame="1"/>
            <w:lang w:eastAsia="en-AU"/>
            <w14:ligatures w14:val="none"/>
          </w:rPr>
          <w:t>NSW AI Assurance Framework</w:t>
        </w:r>
      </w:hyperlink>
      <w:r w:rsidRPr="0038079D">
        <w:rPr>
          <w:rFonts w:ascii="inherit" w:eastAsia="Times New Roman" w:hAnsi="inherit" w:cs="Open Sans"/>
          <w:color w:val="1D2021"/>
          <w:kern w:val="0"/>
          <w:lang w:eastAsia="en-AU"/>
          <w14:ligatures w14:val="none"/>
        </w:rPr>
        <w:t>.</w:t>
      </w:r>
    </w:p>
    <w:p w14:paraId="0A179387" w14:textId="77777777" w:rsidR="0038079D" w:rsidRPr="0038079D" w:rsidRDefault="0038079D" w:rsidP="0038079D">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8079D">
        <w:rPr>
          <w:rFonts w:ascii="inherit" w:eastAsia="Times New Roman" w:hAnsi="inherit" w:cs="Open Sans"/>
          <w:color w:val="1D2021"/>
          <w:kern w:val="0"/>
          <w:lang w:eastAsia="en-AU"/>
          <w14:ligatures w14:val="none"/>
        </w:rPr>
        <w:t>OpenAI has introduced a range of </w:t>
      </w:r>
      <w:hyperlink r:id="rId10" w:history="1">
        <w:r w:rsidRPr="0038079D">
          <w:rPr>
            <w:rFonts w:ascii="inherit" w:eastAsia="Times New Roman" w:hAnsi="inherit" w:cs="Open Sans"/>
            <w:color w:val="004B87"/>
            <w:kern w:val="0"/>
            <w:u w:val="single"/>
            <w:bdr w:val="none" w:sz="0" w:space="0" w:color="auto" w:frame="1"/>
            <w:lang w:eastAsia="en-AU"/>
            <w14:ligatures w14:val="none"/>
          </w:rPr>
          <w:t>risk measurement methods</w:t>
        </w:r>
      </w:hyperlink>
      <w:r w:rsidRPr="0038079D">
        <w:rPr>
          <w:rFonts w:ascii="inherit" w:eastAsia="Times New Roman" w:hAnsi="inherit" w:cs="Open Sans"/>
          <w:color w:val="1D2021"/>
          <w:kern w:val="0"/>
          <w:lang w:eastAsia="en-AU"/>
          <w14:ligatures w14:val="none"/>
        </w:rPr>
        <w:t>: 1) various safety measures to assess the likelihood of GPT-4 generating undesired outputs; 2) predicting future capabilities of models via scaling laws and emerging properties; 3) predicting acceleration risk by recruiting expert forecasters.</w:t>
      </w:r>
    </w:p>
    <w:p w14:paraId="46BA4B3E" w14:textId="77777777" w:rsidR="0038079D" w:rsidRDefault="0038079D"/>
    <w:sectPr w:rsidR="00380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124"/>
    <w:multiLevelType w:val="multilevel"/>
    <w:tmpl w:val="64FC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538DF"/>
    <w:multiLevelType w:val="multilevel"/>
    <w:tmpl w:val="DE5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16C88"/>
    <w:multiLevelType w:val="multilevel"/>
    <w:tmpl w:val="D388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16BE7"/>
    <w:multiLevelType w:val="multilevel"/>
    <w:tmpl w:val="B11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033001">
    <w:abstractNumId w:val="2"/>
  </w:num>
  <w:num w:numId="2" w16cid:durableId="54285180">
    <w:abstractNumId w:val="1"/>
  </w:num>
  <w:num w:numId="3" w16cid:durableId="2145854532">
    <w:abstractNumId w:val="3"/>
  </w:num>
  <w:num w:numId="4" w16cid:durableId="7505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79D"/>
    <w:rsid w:val="0029460E"/>
    <w:rsid w:val="003807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5AACA"/>
  <w15:chartTrackingRefBased/>
  <w15:docId w15:val="{C061129F-046B-4D5B-8201-AFE9D99C2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79D"/>
    <w:rPr>
      <w:rFonts w:eastAsiaTheme="majorEastAsia" w:cstheme="majorBidi"/>
      <w:color w:val="272727" w:themeColor="text1" w:themeTint="D8"/>
    </w:rPr>
  </w:style>
  <w:style w:type="paragraph" w:styleId="Title">
    <w:name w:val="Title"/>
    <w:basedOn w:val="Normal"/>
    <w:next w:val="Normal"/>
    <w:link w:val="TitleChar"/>
    <w:uiPriority w:val="10"/>
    <w:qFormat/>
    <w:rsid w:val="00380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79D"/>
    <w:pPr>
      <w:spacing w:before="160"/>
      <w:jc w:val="center"/>
    </w:pPr>
    <w:rPr>
      <w:i/>
      <w:iCs/>
      <w:color w:val="404040" w:themeColor="text1" w:themeTint="BF"/>
    </w:rPr>
  </w:style>
  <w:style w:type="character" w:customStyle="1" w:styleId="QuoteChar">
    <w:name w:val="Quote Char"/>
    <w:basedOn w:val="DefaultParagraphFont"/>
    <w:link w:val="Quote"/>
    <w:uiPriority w:val="29"/>
    <w:rsid w:val="0038079D"/>
    <w:rPr>
      <w:i/>
      <w:iCs/>
      <w:color w:val="404040" w:themeColor="text1" w:themeTint="BF"/>
    </w:rPr>
  </w:style>
  <w:style w:type="paragraph" w:styleId="ListParagraph">
    <w:name w:val="List Paragraph"/>
    <w:basedOn w:val="Normal"/>
    <w:uiPriority w:val="34"/>
    <w:qFormat/>
    <w:rsid w:val="0038079D"/>
    <w:pPr>
      <w:ind w:left="720"/>
      <w:contextualSpacing/>
    </w:pPr>
  </w:style>
  <w:style w:type="character" w:styleId="IntenseEmphasis">
    <w:name w:val="Intense Emphasis"/>
    <w:basedOn w:val="DefaultParagraphFont"/>
    <w:uiPriority w:val="21"/>
    <w:qFormat/>
    <w:rsid w:val="0038079D"/>
    <w:rPr>
      <w:i/>
      <w:iCs/>
      <w:color w:val="0F4761" w:themeColor="accent1" w:themeShade="BF"/>
    </w:rPr>
  </w:style>
  <w:style w:type="paragraph" w:styleId="IntenseQuote">
    <w:name w:val="Intense Quote"/>
    <w:basedOn w:val="Normal"/>
    <w:next w:val="Normal"/>
    <w:link w:val="IntenseQuoteChar"/>
    <w:uiPriority w:val="30"/>
    <w:qFormat/>
    <w:rsid w:val="00380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79D"/>
    <w:rPr>
      <w:i/>
      <w:iCs/>
      <w:color w:val="0F4761" w:themeColor="accent1" w:themeShade="BF"/>
    </w:rPr>
  </w:style>
  <w:style w:type="character" w:styleId="IntenseReference">
    <w:name w:val="Intense Reference"/>
    <w:basedOn w:val="DefaultParagraphFont"/>
    <w:uiPriority w:val="32"/>
    <w:qFormat/>
    <w:rsid w:val="00380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government/system/digital-government/digital-government-innovations/responsible-use-ai/algorithmic-impact-assessment.html" TargetMode="External"/><Relationship Id="rId3" Type="http://schemas.openxmlformats.org/officeDocument/2006/relationships/settings" Target="settings.xml"/><Relationship Id="rId7" Type="http://schemas.openxmlformats.org/officeDocument/2006/relationships/hyperlink" Target="https://www.iso.org/standard/77304.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ederalregister.gov/documents/2021/07/29/2021-16176/artificial-intelligence-risk-management-framework" TargetMode="External"/><Relationship Id="rId11" Type="http://schemas.openxmlformats.org/officeDocument/2006/relationships/fontTable" Target="fontTable.xml"/><Relationship Id="rId5" Type="http://schemas.openxmlformats.org/officeDocument/2006/relationships/hyperlink" Target="https://research.csiro.au/ss/science/projects/responsible-ai-pattern-catalogue/rai-risk-assessment/" TargetMode="External"/><Relationship Id="rId10" Type="http://schemas.openxmlformats.org/officeDocument/2006/relationships/hyperlink" Target="https://cdn.openai.com/papers/gpt-4.pdf" TargetMode="External"/><Relationship Id="rId4" Type="http://schemas.openxmlformats.org/officeDocument/2006/relationships/webSettings" Target="webSettings.xml"/><Relationship Id="rId9" Type="http://schemas.openxmlformats.org/officeDocument/2006/relationships/hyperlink" Target="https://www.digital.nsw.gov.au/policy/artificial-intelligence/nsw-ai-assurance-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526</Words>
  <Characters>3172</Characters>
  <Application>Microsoft Office Word</Application>
  <DocSecurity>0</DocSecurity>
  <Lines>59</Lines>
  <Paragraphs>27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2026-07-14T16:30:00Z</dcterms:created>
  <dcterms:modified xsi:type="dcterms:W3CDTF">2026-07-14T16:31:00Z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2026-07-14T16:31:06Z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9fc619c9-9dcd-4370-946b-6f4149654f80</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