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0146F" w14:textId="77777777" w:rsidR="00012F8B" w:rsidRPr="00012F8B" w:rsidRDefault="00012F8B" w:rsidP="00012F8B">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012F8B">
        <w:rPr>
          <w:rFonts w:ascii="Montserrat" w:eastAsia="Times New Roman" w:hAnsi="Montserrat" w:cs="Times New Roman"/>
          <w:color w:val="142C3F"/>
          <w:kern w:val="36"/>
          <w:sz w:val="48"/>
          <w:szCs w:val="48"/>
          <w:lang w:eastAsia="en-AU"/>
          <w14:ligatures w14:val="none"/>
        </w:rPr>
        <w:t>Failure Mode and Effects Analysis (FMEA)</w:t>
      </w:r>
    </w:p>
    <w:p w14:paraId="393CAF15" w14:textId="77777777" w:rsidR="00012F8B" w:rsidRPr="00012F8B" w:rsidRDefault="00012F8B" w:rsidP="00012F8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t>Summary:</w:t>
      </w:r>
      <w:r w:rsidRPr="00012F8B">
        <w:rPr>
          <w:rFonts w:ascii="inherit" w:eastAsia="Times New Roman" w:hAnsi="inherit" w:cs="Open Sans"/>
          <w:color w:val="1D2021"/>
          <w:kern w:val="0"/>
          <w:lang w:eastAsia="en-AU"/>
          <w14:ligatures w14:val="none"/>
        </w:rPr>
        <w:t xml:space="preserve"> FMEA involves conducting a bottom-up risk assessment to identify and </w:t>
      </w:r>
      <w:proofErr w:type="spellStart"/>
      <w:r w:rsidRPr="00012F8B">
        <w:rPr>
          <w:rFonts w:ascii="inherit" w:eastAsia="Times New Roman" w:hAnsi="inherit" w:cs="Open Sans"/>
          <w:color w:val="1D2021"/>
          <w:kern w:val="0"/>
          <w:lang w:eastAsia="en-AU"/>
          <w14:ligatures w14:val="none"/>
        </w:rPr>
        <w:t>analyze</w:t>
      </w:r>
      <w:proofErr w:type="spellEnd"/>
      <w:r w:rsidRPr="00012F8B">
        <w:rPr>
          <w:rFonts w:ascii="inherit" w:eastAsia="Times New Roman" w:hAnsi="inherit" w:cs="Open Sans"/>
          <w:color w:val="1D2021"/>
          <w:kern w:val="0"/>
          <w:lang w:eastAsia="en-AU"/>
          <w14:ligatures w14:val="none"/>
        </w:rPr>
        <w:t xml:space="preserve"> RAI risks.</w:t>
      </w:r>
    </w:p>
    <w:p w14:paraId="68157A6A" w14:textId="77777777" w:rsidR="00012F8B" w:rsidRPr="00012F8B" w:rsidRDefault="00012F8B" w:rsidP="00012F8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t>Type of pattern: </w:t>
      </w:r>
      <w:r w:rsidRPr="00012F8B">
        <w:rPr>
          <w:rFonts w:ascii="inherit" w:eastAsia="Times New Roman" w:hAnsi="inherit" w:cs="Open Sans"/>
          <w:color w:val="1D2021"/>
          <w:kern w:val="0"/>
          <w:bdr w:val="none" w:sz="0" w:space="0" w:color="auto" w:frame="1"/>
          <w:lang w:eastAsia="en-AU"/>
          <w14:ligatures w14:val="none"/>
        </w:rPr>
        <w:t>Governance pattern</w:t>
      </w:r>
    </w:p>
    <w:p w14:paraId="1B0620C8" w14:textId="77777777" w:rsidR="00012F8B" w:rsidRPr="00012F8B" w:rsidRDefault="00012F8B" w:rsidP="00012F8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t>Type of objective: </w:t>
      </w:r>
      <w:r w:rsidRPr="00012F8B">
        <w:rPr>
          <w:rFonts w:ascii="inherit" w:eastAsia="Times New Roman" w:hAnsi="inherit" w:cs="Open Sans"/>
          <w:color w:val="1D2021"/>
          <w:kern w:val="0"/>
          <w:bdr w:val="none" w:sz="0" w:space="0" w:color="auto" w:frame="1"/>
          <w:lang w:eastAsia="en-AU"/>
          <w14:ligatures w14:val="none"/>
        </w:rPr>
        <w:t>Trustworthiness</w:t>
      </w:r>
    </w:p>
    <w:p w14:paraId="55245E30" w14:textId="77777777" w:rsidR="00012F8B" w:rsidRPr="00012F8B" w:rsidRDefault="00012F8B" w:rsidP="00012F8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t>Target users: </w:t>
      </w:r>
      <w:r w:rsidRPr="00012F8B">
        <w:rPr>
          <w:rFonts w:ascii="inherit" w:eastAsia="Times New Roman" w:hAnsi="inherit" w:cs="Open Sans"/>
          <w:color w:val="1D2021"/>
          <w:kern w:val="0"/>
          <w:bdr w:val="none" w:sz="0" w:space="0" w:color="auto" w:frame="1"/>
          <w:lang w:eastAsia="en-AU"/>
          <w14:ligatures w14:val="none"/>
        </w:rPr>
        <w:t>Project managers</w:t>
      </w:r>
    </w:p>
    <w:p w14:paraId="6F3E46DA" w14:textId="77777777" w:rsidR="00012F8B" w:rsidRPr="00012F8B" w:rsidRDefault="00012F8B" w:rsidP="00012F8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t>Impacted users: </w:t>
      </w:r>
      <w:r w:rsidRPr="00012F8B">
        <w:rPr>
          <w:rFonts w:ascii="inherit" w:eastAsia="Times New Roman" w:hAnsi="inherit" w:cs="Open Sans"/>
          <w:color w:val="1D2021"/>
          <w:kern w:val="0"/>
          <w:lang w:eastAsia="en-AU"/>
          <w14:ligatures w14:val="none"/>
        </w:rPr>
        <w:t>Development teams</w:t>
      </w:r>
    </w:p>
    <w:p w14:paraId="43311D38" w14:textId="77777777" w:rsidR="00012F8B" w:rsidRPr="00012F8B" w:rsidRDefault="00012F8B" w:rsidP="00012F8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t>Lifecycle stages: </w:t>
      </w:r>
      <w:r w:rsidRPr="00012F8B">
        <w:rPr>
          <w:rFonts w:ascii="inherit" w:eastAsia="Times New Roman" w:hAnsi="inherit" w:cs="Open Sans"/>
          <w:color w:val="1D2021"/>
          <w:kern w:val="0"/>
          <w:bdr w:val="none" w:sz="0" w:space="0" w:color="auto" w:frame="1"/>
          <w:lang w:eastAsia="en-AU"/>
          <w14:ligatures w14:val="none"/>
        </w:rPr>
        <w:t>Requirements engineering, testing, operation</w:t>
      </w:r>
    </w:p>
    <w:p w14:paraId="4E3AC948" w14:textId="77777777" w:rsidR="00012F8B" w:rsidRPr="00012F8B" w:rsidRDefault="00012F8B" w:rsidP="00012F8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t>Relevant AI ethics principles: </w:t>
      </w:r>
      <w:r w:rsidRPr="00012F8B">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4048A420" w14:textId="77777777" w:rsidR="00012F8B" w:rsidRPr="00012F8B" w:rsidRDefault="00012F8B" w:rsidP="00012F8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t>Mapping to AI regulations/standards:</w:t>
      </w:r>
      <w:r w:rsidRPr="00012F8B">
        <w:rPr>
          <w:rFonts w:ascii="inherit" w:eastAsia="Times New Roman" w:hAnsi="inherit" w:cs="Open Sans"/>
          <w:color w:val="1D2021"/>
          <w:kern w:val="0"/>
          <w:lang w:eastAsia="en-AU"/>
          <w14:ligatures w14:val="none"/>
        </w:rPr>
        <w:t> EU AI Act, ISO/IEC 42001:2023 Standard.</w:t>
      </w:r>
    </w:p>
    <w:p w14:paraId="3DCD38B7" w14:textId="77777777" w:rsidR="00012F8B" w:rsidRPr="00012F8B" w:rsidRDefault="00012F8B" w:rsidP="00012F8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t>Context:</w:t>
      </w:r>
      <w:r w:rsidRPr="00012F8B">
        <w:rPr>
          <w:rFonts w:ascii="inherit" w:eastAsia="Times New Roman" w:hAnsi="inherit" w:cs="Open Sans"/>
          <w:color w:val="1D2021"/>
          <w:kern w:val="0"/>
          <w:lang w:eastAsia="en-AU"/>
          <w14:ligatures w14:val="none"/>
        </w:rPr>
        <w:t> Ethical issues in AI systems are often identified through extensive simulation and testing during the later stages of development. However, this can lead to significant delays in project timelines and an increase in development cost. By identifying and addressing ethical issues early in the development process, development teams can mitigate the ethical issues and avoid costly delays.</w:t>
      </w:r>
    </w:p>
    <w:p w14:paraId="05059D33" w14:textId="77777777" w:rsidR="00012F8B" w:rsidRPr="00012F8B" w:rsidRDefault="00012F8B" w:rsidP="00012F8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bdr w:val="none" w:sz="0" w:space="0" w:color="auto" w:frame="1"/>
          <w:lang w:val="en-US" w:eastAsia="en-AU"/>
          <w14:ligatures w14:val="none"/>
        </w:rPr>
        <w:t>Problem:</w:t>
      </w:r>
      <w:r w:rsidRPr="00012F8B">
        <w:rPr>
          <w:rFonts w:ascii="inherit" w:eastAsia="Times New Roman" w:hAnsi="inherit" w:cs="Open Sans"/>
          <w:color w:val="1D2021"/>
          <w:kern w:val="0"/>
          <w:bdr w:val="none" w:sz="0" w:space="0" w:color="auto" w:frame="1"/>
          <w:lang w:val="en-US" w:eastAsia="en-AU"/>
          <w14:ligatures w14:val="none"/>
        </w:rPr>
        <w:t> </w:t>
      </w:r>
      <w:r w:rsidRPr="00012F8B">
        <w:rPr>
          <w:rFonts w:ascii="inherit" w:eastAsia="Times New Roman" w:hAnsi="inherit" w:cs="Open Sans"/>
          <w:color w:val="1D2021"/>
          <w:kern w:val="0"/>
          <w:lang w:eastAsia="en-AU"/>
          <w14:ligatures w14:val="none"/>
        </w:rPr>
        <w:t>How can we ensure the ethical quality at the beginning of the development process?</w:t>
      </w:r>
    </w:p>
    <w:p w14:paraId="436C6367" w14:textId="77777777" w:rsidR="00012F8B" w:rsidRPr="00012F8B" w:rsidRDefault="00012F8B" w:rsidP="00012F8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bdr w:val="none" w:sz="0" w:space="0" w:color="auto" w:frame="1"/>
          <w:lang w:val="en-US" w:eastAsia="en-AU"/>
          <w14:ligatures w14:val="none"/>
        </w:rPr>
        <w:t>Solution:</w:t>
      </w:r>
      <w:r w:rsidRPr="00012F8B">
        <w:rPr>
          <w:rFonts w:ascii="inherit" w:eastAsia="Times New Roman" w:hAnsi="inherit" w:cs="Open Sans"/>
          <w:color w:val="1D2021"/>
          <w:kern w:val="0"/>
          <w:bdr w:val="none" w:sz="0" w:space="0" w:color="auto" w:frame="1"/>
          <w:lang w:val="en-US" w:eastAsia="en-AU"/>
          <w14:ligatures w14:val="none"/>
        </w:rPr>
        <w:t> F</w:t>
      </w:r>
      <w:r w:rsidRPr="00012F8B">
        <w:rPr>
          <w:rFonts w:ascii="inherit" w:eastAsia="Times New Roman" w:hAnsi="inherit" w:cs="Open Sans"/>
          <w:color w:val="1D2021"/>
          <w:kern w:val="0"/>
          <w:lang w:eastAsia="en-AU"/>
          <w14:ligatures w14:val="none"/>
        </w:rPr>
        <w:t>MEA conducts AI risk assessment in a systematic and qualitative way to identify and evaluate potential RAI risks [1]. This bottom-up approach allows the development team to gain a comprehensive understanding of the potential failure modes, their causes, and the impacts of the failures on the systems and their users. FMEA can provide a clear view on the mitigation actions to reduce occurrence frequency and impact and increase detection probability. When applying FMEA, it is essential to consider not only technical failures but also ethical failures that may lead to ethical dilemmas.</w:t>
      </w:r>
    </w:p>
    <w:p w14:paraId="302E30E6" w14:textId="77777777" w:rsidR="00012F8B" w:rsidRPr="00012F8B" w:rsidRDefault="00012F8B" w:rsidP="00012F8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t>Benefits:</w:t>
      </w:r>
    </w:p>
    <w:p w14:paraId="7716B028" w14:textId="77777777" w:rsidR="00012F8B" w:rsidRPr="00012F8B" w:rsidRDefault="00012F8B" w:rsidP="00012F8B">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color w:val="1D2021"/>
          <w:kern w:val="0"/>
          <w:lang w:eastAsia="en-AU"/>
          <w14:ligatures w14:val="none"/>
        </w:rPr>
        <w:t xml:space="preserve">Improved ethical quality: FMEA ensures that ethical failures are prevented from occurring in the first place by thoroughly </w:t>
      </w:r>
      <w:proofErr w:type="spellStart"/>
      <w:r w:rsidRPr="00012F8B">
        <w:rPr>
          <w:rFonts w:ascii="inherit" w:eastAsia="Times New Roman" w:hAnsi="inherit" w:cs="Open Sans"/>
          <w:color w:val="1D2021"/>
          <w:kern w:val="0"/>
          <w:lang w:eastAsia="en-AU"/>
          <w14:ligatures w14:val="none"/>
        </w:rPr>
        <w:t>analyzing</w:t>
      </w:r>
      <w:proofErr w:type="spellEnd"/>
      <w:r w:rsidRPr="00012F8B">
        <w:rPr>
          <w:rFonts w:ascii="inherit" w:eastAsia="Times New Roman" w:hAnsi="inherit" w:cs="Open Sans"/>
          <w:color w:val="1D2021"/>
          <w:kern w:val="0"/>
          <w:lang w:eastAsia="en-AU"/>
          <w14:ligatures w14:val="none"/>
        </w:rPr>
        <w:t xml:space="preserve"> all possible ethical risks.</w:t>
      </w:r>
    </w:p>
    <w:p w14:paraId="3C70EF1C" w14:textId="77777777" w:rsidR="00012F8B" w:rsidRPr="00012F8B" w:rsidRDefault="00012F8B" w:rsidP="00012F8B">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color w:val="1D2021"/>
          <w:kern w:val="0"/>
          <w:lang w:eastAsia="en-AU"/>
          <w14:ligatures w14:val="none"/>
        </w:rPr>
        <w:t>Ease of use: FMEA is relatively easy to use in practice.</w:t>
      </w:r>
    </w:p>
    <w:p w14:paraId="5391D352" w14:textId="77777777" w:rsidR="00012F8B" w:rsidRPr="00012F8B" w:rsidRDefault="00012F8B" w:rsidP="00012F8B">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color w:val="1D2021"/>
          <w:kern w:val="0"/>
          <w:lang w:eastAsia="en-AU"/>
          <w14:ligatures w14:val="none"/>
        </w:rPr>
        <w:t>Early identification: FMEA provides early identification of ethical failures and helps to avoid delays to schedules.</w:t>
      </w:r>
    </w:p>
    <w:p w14:paraId="1C64DBF0" w14:textId="77777777" w:rsidR="00012F8B" w:rsidRPr="00012F8B" w:rsidRDefault="00012F8B" w:rsidP="00012F8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lastRenderedPageBreak/>
        <w:t>Drawbacks:</w:t>
      </w:r>
    </w:p>
    <w:p w14:paraId="64565649" w14:textId="77777777" w:rsidR="00012F8B" w:rsidRPr="00012F8B" w:rsidRDefault="00012F8B" w:rsidP="00012F8B">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color w:val="1D2021"/>
          <w:kern w:val="0"/>
          <w:lang w:eastAsia="en-AU"/>
          <w14:ligatures w14:val="none"/>
        </w:rPr>
        <w:t>Limited by expertise: FMEA replies on experts to apply their professional knowledge and experience to the RAI risk assessment process. Thus, the quality of the analysis is limited by the expertise of the team performing the analysis.</w:t>
      </w:r>
    </w:p>
    <w:p w14:paraId="5F390F07" w14:textId="77777777" w:rsidR="00012F8B" w:rsidRPr="00012F8B" w:rsidRDefault="00012F8B" w:rsidP="00012F8B">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color w:val="1D2021"/>
          <w:kern w:val="0"/>
          <w:lang w:eastAsia="en-AU"/>
          <w14:ligatures w14:val="none"/>
        </w:rPr>
        <w:t>Missing failures: FMEA is better suited for bottom-up analysis and not able to detect complex system-level ethical failures that require a holistic perspective</w:t>
      </w:r>
    </w:p>
    <w:p w14:paraId="2B025796" w14:textId="77777777" w:rsidR="00012F8B" w:rsidRPr="00012F8B" w:rsidRDefault="00012F8B" w:rsidP="00012F8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t>Related patterns:</w:t>
      </w:r>
    </w:p>
    <w:p w14:paraId="13E6D961" w14:textId="77777777" w:rsidR="00012F8B" w:rsidRPr="00012F8B" w:rsidRDefault="00012F8B" w:rsidP="00012F8B">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012F8B">
          <w:rPr>
            <w:rFonts w:ascii="inherit" w:eastAsia="Times New Roman" w:hAnsi="inherit" w:cs="Open Sans"/>
            <w:color w:val="004B87"/>
            <w:kern w:val="0"/>
            <w:u w:val="single"/>
            <w:bdr w:val="none" w:sz="0" w:space="0" w:color="auto" w:frame="1"/>
            <w:lang w:eastAsia="en-AU"/>
            <w14:ligatures w14:val="none"/>
          </w:rPr>
          <w:t>RAI Risk Assessment</w:t>
        </w:r>
      </w:hyperlink>
      <w:r w:rsidRPr="00012F8B">
        <w:rPr>
          <w:rFonts w:ascii="inherit" w:eastAsia="Times New Roman" w:hAnsi="inherit" w:cs="Open Sans"/>
          <w:color w:val="1D2021"/>
          <w:kern w:val="0"/>
          <w:lang w:eastAsia="en-AU"/>
          <w14:ligatures w14:val="none"/>
        </w:rPr>
        <w:t>: FMEA is a method of RAI risk assessment focusing on the development process and product design.</w:t>
      </w:r>
    </w:p>
    <w:p w14:paraId="1A2E2772" w14:textId="77777777" w:rsidR="00012F8B" w:rsidRPr="00012F8B" w:rsidRDefault="00012F8B" w:rsidP="00012F8B">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012F8B">
          <w:rPr>
            <w:rFonts w:ascii="inherit" w:eastAsia="Times New Roman" w:hAnsi="inherit" w:cs="Open Sans"/>
            <w:color w:val="004B87"/>
            <w:kern w:val="0"/>
            <w:u w:val="single"/>
            <w:bdr w:val="none" w:sz="0" w:space="0" w:color="auto" w:frame="1"/>
            <w:lang w:eastAsia="en-AU"/>
            <w14:ligatures w14:val="none"/>
          </w:rPr>
          <w:t>Fault Tree Analysis (FTA)</w:t>
        </w:r>
      </w:hyperlink>
      <w:r w:rsidRPr="00012F8B">
        <w:rPr>
          <w:rFonts w:ascii="inherit" w:eastAsia="Times New Roman" w:hAnsi="inherit" w:cs="Open Sans"/>
          <w:color w:val="1D2021"/>
          <w:kern w:val="0"/>
          <w:lang w:eastAsia="en-AU"/>
          <w14:ligatures w14:val="none"/>
        </w:rPr>
        <w:t>: FTA assesses each of the possible ethical failures, while FMEA focuses on root causes that may lead to failures.</w:t>
      </w:r>
    </w:p>
    <w:p w14:paraId="77AC05A5" w14:textId="77777777" w:rsidR="00012F8B" w:rsidRPr="00012F8B" w:rsidRDefault="00012F8B" w:rsidP="00012F8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t>Known uses:</w:t>
      </w:r>
    </w:p>
    <w:p w14:paraId="1D6184DA" w14:textId="77777777" w:rsidR="00012F8B" w:rsidRPr="00012F8B" w:rsidRDefault="00012F8B" w:rsidP="00012F8B">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color w:val="1D2021"/>
          <w:kern w:val="0"/>
          <w:lang w:eastAsia="en-AU"/>
          <w14:ligatures w14:val="none"/>
        </w:rPr>
        <w:t>FMEA was originally proposed in </w:t>
      </w:r>
      <w:hyperlink r:id="rId7" w:history="1">
        <w:r w:rsidRPr="00012F8B">
          <w:rPr>
            <w:rFonts w:ascii="inherit" w:eastAsia="Times New Roman" w:hAnsi="inherit" w:cs="Open Sans"/>
            <w:color w:val="004B87"/>
            <w:kern w:val="0"/>
            <w:u w:val="single"/>
            <w:bdr w:val="none" w:sz="0" w:space="0" w:color="auto" w:frame="1"/>
            <w:lang w:eastAsia="en-AU"/>
            <w14:ligatures w14:val="none"/>
          </w:rPr>
          <w:t>US Armed Forces Military Procedures document MIL-P-1629 in 1949 and revised in MIL-STD-1629A in 1980</w:t>
        </w:r>
      </w:hyperlink>
      <w:r w:rsidRPr="00012F8B">
        <w:rPr>
          <w:rFonts w:ascii="inherit" w:eastAsia="Times New Roman" w:hAnsi="inherit" w:cs="Open Sans"/>
          <w:color w:val="1D2021"/>
          <w:kern w:val="0"/>
          <w:lang w:eastAsia="en-AU"/>
          <w14:ligatures w14:val="none"/>
        </w:rPr>
        <w:t>.</w:t>
      </w:r>
    </w:p>
    <w:p w14:paraId="4132670D" w14:textId="77777777" w:rsidR="00012F8B" w:rsidRPr="00012F8B" w:rsidRDefault="00012F8B" w:rsidP="00012F8B">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color w:val="1D2021"/>
          <w:kern w:val="0"/>
          <w:lang w:eastAsia="en-AU"/>
          <w14:ligatures w14:val="none"/>
        </w:rPr>
        <w:t>Ford Motor Company firstly </w:t>
      </w:r>
      <w:hyperlink r:id="rId8" w:history="1">
        <w:r w:rsidRPr="00012F8B">
          <w:rPr>
            <w:rFonts w:ascii="inherit" w:eastAsia="Times New Roman" w:hAnsi="inherit" w:cs="Open Sans"/>
            <w:color w:val="004B87"/>
            <w:kern w:val="0"/>
            <w:u w:val="single"/>
            <w:bdr w:val="none" w:sz="0" w:space="0" w:color="auto" w:frame="1"/>
            <w:lang w:eastAsia="en-AU"/>
            <w14:ligatures w14:val="none"/>
          </w:rPr>
          <w:t>introduced FMEA to the automotive industry for assessing safety risk</w:t>
        </w:r>
      </w:hyperlink>
      <w:r w:rsidRPr="00012F8B">
        <w:rPr>
          <w:rFonts w:ascii="inherit" w:eastAsia="Times New Roman" w:hAnsi="inherit" w:cs="Open Sans"/>
          <w:color w:val="1D2021"/>
          <w:kern w:val="0"/>
          <w:lang w:eastAsia="en-AU"/>
          <w14:ligatures w14:val="none"/>
        </w:rPr>
        <w:t xml:space="preserve"> since </w:t>
      </w:r>
      <w:proofErr w:type="spellStart"/>
      <w:r w:rsidRPr="00012F8B">
        <w:rPr>
          <w:rFonts w:ascii="inherit" w:eastAsia="Times New Roman" w:hAnsi="inherit" w:cs="Open Sans"/>
          <w:color w:val="1D2021"/>
          <w:kern w:val="0"/>
          <w:lang w:eastAsia="en-AU"/>
          <w14:ligatures w14:val="none"/>
        </w:rPr>
        <w:t>mid 1970s</w:t>
      </w:r>
      <w:proofErr w:type="spellEnd"/>
      <w:r w:rsidRPr="00012F8B">
        <w:rPr>
          <w:rFonts w:ascii="inherit" w:eastAsia="Times New Roman" w:hAnsi="inherit" w:cs="Open Sans"/>
          <w:color w:val="1D2021"/>
          <w:kern w:val="0"/>
          <w:lang w:eastAsia="en-AU"/>
          <w14:ligatures w14:val="none"/>
        </w:rPr>
        <w:t>.</w:t>
      </w:r>
    </w:p>
    <w:p w14:paraId="45A83EFB" w14:textId="77777777" w:rsidR="00012F8B" w:rsidRPr="00012F8B" w:rsidRDefault="00012F8B" w:rsidP="00012F8B">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color w:val="1D2021"/>
          <w:kern w:val="0"/>
          <w:lang w:eastAsia="en-AU"/>
          <w14:ligatures w14:val="none"/>
        </w:rPr>
        <w:t>FMEA has been extended and adopted by </w:t>
      </w:r>
      <w:hyperlink r:id="rId9" w:history="1">
        <w:r w:rsidRPr="00012F8B">
          <w:rPr>
            <w:rFonts w:ascii="inherit" w:eastAsia="Times New Roman" w:hAnsi="inherit" w:cs="Open Sans"/>
            <w:color w:val="004B87"/>
            <w:kern w:val="0"/>
            <w:u w:val="single"/>
            <w:bdr w:val="none" w:sz="0" w:space="0" w:color="auto" w:frame="1"/>
            <w:lang w:eastAsia="en-AU"/>
            <w14:ligatures w14:val="none"/>
          </w:rPr>
          <w:t>Toyota’s Design Review Based on Failure Modes (DRBFM)</w:t>
        </w:r>
      </w:hyperlink>
      <w:r w:rsidRPr="00012F8B">
        <w:rPr>
          <w:rFonts w:ascii="inherit" w:eastAsia="Times New Roman" w:hAnsi="inherit" w:cs="Open Sans"/>
          <w:color w:val="1D2021"/>
          <w:kern w:val="0"/>
          <w:lang w:eastAsia="en-AU"/>
          <w14:ligatures w14:val="none"/>
        </w:rPr>
        <w:t> for assessing potential risk and reliability for Automotive and Non-Automotive applications.</w:t>
      </w:r>
    </w:p>
    <w:p w14:paraId="6284F42E" w14:textId="77777777" w:rsidR="00012F8B" w:rsidRPr="00012F8B" w:rsidRDefault="00012F8B" w:rsidP="00012F8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b/>
          <w:bCs/>
          <w:color w:val="1D2021"/>
          <w:kern w:val="0"/>
          <w:lang w:eastAsia="en-AU"/>
          <w14:ligatures w14:val="none"/>
        </w:rPr>
        <w:t>References:</w:t>
      </w:r>
    </w:p>
    <w:p w14:paraId="2198701D" w14:textId="77777777" w:rsidR="00012F8B" w:rsidRPr="00012F8B" w:rsidRDefault="00012F8B" w:rsidP="00012F8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12F8B">
        <w:rPr>
          <w:rFonts w:ascii="inherit" w:eastAsia="Times New Roman" w:hAnsi="inherit" w:cs="Open Sans"/>
          <w:color w:val="1D2021"/>
          <w:kern w:val="0"/>
          <w:lang w:eastAsia="en-AU"/>
          <w14:ligatures w14:val="none"/>
        </w:rPr>
        <w:t>[1] Ebert, C. and M. Weyrich, </w:t>
      </w:r>
      <w:r w:rsidRPr="00012F8B">
        <w:rPr>
          <w:rFonts w:ascii="inherit" w:eastAsia="Times New Roman" w:hAnsi="inherit" w:cs="Open Sans"/>
          <w:i/>
          <w:iCs/>
          <w:color w:val="1D2021"/>
          <w:kern w:val="0"/>
          <w:lang w:eastAsia="en-AU"/>
          <w14:ligatures w14:val="none"/>
        </w:rPr>
        <w:t>Validation of Autonomous Systems.</w:t>
      </w:r>
      <w:r w:rsidRPr="00012F8B">
        <w:rPr>
          <w:rFonts w:ascii="inherit" w:eastAsia="Times New Roman" w:hAnsi="inherit" w:cs="Open Sans"/>
          <w:color w:val="1D2021"/>
          <w:kern w:val="0"/>
          <w:lang w:eastAsia="en-AU"/>
          <w14:ligatures w14:val="none"/>
        </w:rPr>
        <w:t> IEEE Software, 2019. </w:t>
      </w:r>
      <w:r w:rsidRPr="00012F8B">
        <w:rPr>
          <w:rFonts w:ascii="inherit" w:eastAsia="Times New Roman" w:hAnsi="inherit" w:cs="Open Sans"/>
          <w:b/>
          <w:bCs/>
          <w:color w:val="1D2021"/>
          <w:kern w:val="0"/>
          <w:lang w:eastAsia="en-AU"/>
          <w14:ligatures w14:val="none"/>
        </w:rPr>
        <w:t>36</w:t>
      </w:r>
      <w:r w:rsidRPr="00012F8B">
        <w:rPr>
          <w:rFonts w:ascii="inherit" w:eastAsia="Times New Roman" w:hAnsi="inherit" w:cs="Open Sans"/>
          <w:color w:val="1D2021"/>
          <w:kern w:val="0"/>
          <w:lang w:eastAsia="en-AU"/>
          <w14:ligatures w14:val="none"/>
        </w:rPr>
        <w:t>(5): p. 15-23.</w:t>
      </w:r>
    </w:p>
    <w:p w14:paraId="5E1CF027" w14:textId="77777777" w:rsidR="00012F8B" w:rsidRDefault="00012F8B"/>
    <w:sectPr w:rsidR="00012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32211"/>
    <w:multiLevelType w:val="multilevel"/>
    <w:tmpl w:val="2B68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E6CDA"/>
    <w:multiLevelType w:val="multilevel"/>
    <w:tmpl w:val="5940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3012E"/>
    <w:multiLevelType w:val="multilevel"/>
    <w:tmpl w:val="D0C6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4676C6"/>
    <w:multiLevelType w:val="multilevel"/>
    <w:tmpl w:val="A94A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027686">
    <w:abstractNumId w:val="3"/>
  </w:num>
  <w:num w:numId="2" w16cid:durableId="589389954">
    <w:abstractNumId w:val="2"/>
  </w:num>
  <w:num w:numId="3" w16cid:durableId="503861308">
    <w:abstractNumId w:val="0"/>
  </w:num>
  <w:num w:numId="4" w16cid:durableId="366679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8B"/>
    <w:rsid w:val="00012F8B"/>
    <w:rsid w:val="002946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DE31"/>
  <w15:chartTrackingRefBased/>
  <w15:docId w15:val="{F5899DC3-8831-42DB-9192-4C9B76F80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F8B"/>
    <w:rPr>
      <w:rFonts w:eastAsiaTheme="majorEastAsia" w:cstheme="majorBidi"/>
      <w:color w:val="272727" w:themeColor="text1" w:themeTint="D8"/>
    </w:rPr>
  </w:style>
  <w:style w:type="paragraph" w:styleId="Title">
    <w:name w:val="Title"/>
    <w:basedOn w:val="Normal"/>
    <w:next w:val="Normal"/>
    <w:link w:val="TitleChar"/>
    <w:uiPriority w:val="10"/>
    <w:qFormat/>
    <w:rsid w:val="00012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F8B"/>
    <w:pPr>
      <w:spacing w:before="160"/>
      <w:jc w:val="center"/>
    </w:pPr>
    <w:rPr>
      <w:i/>
      <w:iCs/>
      <w:color w:val="404040" w:themeColor="text1" w:themeTint="BF"/>
    </w:rPr>
  </w:style>
  <w:style w:type="character" w:customStyle="1" w:styleId="QuoteChar">
    <w:name w:val="Quote Char"/>
    <w:basedOn w:val="DefaultParagraphFont"/>
    <w:link w:val="Quote"/>
    <w:uiPriority w:val="29"/>
    <w:rsid w:val="00012F8B"/>
    <w:rPr>
      <w:i/>
      <w:iCs/>
      <w:color w:val="404040" w:themeColor="text1" w:themeTint="BF"/>
    </w:rPr>
  </w:style>
  <w:style w:type="paragraph" w:styleId="ListParagraph">
    <w:name w:val="List Paragraph"/>
    <w:basedOn w:val="Normal"/>
    <w:uiPriority w:val="34"/>
    <w:qFormat/>
    <w:rsid w:val="00012F8B"/>
    <w:pPr>
      <w:ind w:left="720"/>
      <w:contextualSpacing/>
    </w:pPr>
  </w:style>
  <w:style w:type="character" w:styleId="IntenseEmphasis">
    <w:name w:val="Intense Emphasis"/>
    <w:basedOn w:val="DefaultParagraphFont"/>
    <w:uiPriority w:val="21"/>
    <w:qFormat/>
    <w:rsid w:val="00012F8B"/>
    <w:rPr>
      <w:i/>
      <w:iCs/>
      <w:color w:val="0F4761" w:themeColor="accent1" w:themeShade="BF"/>
    </w:rPr>
  </w:style>
  <w:style w:type="paragraph" w:styleId="IntenseQuote">
    <w:name w:val="Intense Quote"/>
    <w:basedOn w:val="Normal"/>
    <w:next w:val="Normal"/>
    <w:link w:val="IntenseQuoteChar"/>
    <w:uiPriority w:val="30"/>
    <w:qFormat/>
    <w:rsid w:val="00012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F8B"/>
    <w:rPr>
      <w:i/>
      <w:iCs/>
      <w:color w:val="0F4761" w:themeColor="accent1" w:themeShade="BF"/>
    </w:rPr>
  </w:style>
  <w:style w:type="character" w:styleId="IntenseReference">
    <w:name w:val="Intense Reference"/>
    <w:basedOn w:val="DefaultParagraphFont"/>
    <w:uiPriority w:val="32"/>
    <w:qFormat/>
    <w:rsid w:val="00012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sp.portal.covisint.com/documents/106025/14555722/FMEA+Handbook+v4.2/4c14da5c-0842-4e60-a88b-75c18e143cf7?version=1.0" TargetMode="External"/><Relationship Id="rId3" Type="http://schemas.openxmlformats.org/officeDocument/2006/relationships/settings" Target="settings.xml"/><Relationship Id="rId7" Type="http://schemas.openxmlformats.org/officeDocument/2006/relationships/hyperlink" Target="https://web.archive.org/web/20110722222459/https:/assist.daps.dla.mil/quicksearch/basic_profile.cfm?ident_number=370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fta/" TargetMode="External"/><Relationship Id="rId11" Type="http://schemas.openxmlformats.org/officeDocument/2006/relationships/theme" Target="theme/theme1.xml"/><Relationship Id="rId5" Type="http://schemas.openxmlformats.org/officeDocument/2006/relationships/hyperlink" Target="https://research.csiro.au/ss/science/projects/responsible-ai-pattern-catalogue/rai-risk-assessm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ae.org/standards/content/j2886_2013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559</Words>
  <Characters>3314</Characters>
  <Application>Microsoft Office Word</Application>
  <DocSecurity>0</DocSecurity>
  <Lines>60</Lines>
  <Paragraphs>29</Paragraphs>
  <ScaleCrop>false</ScaleCrop>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2026-07-14T16:14:00Z</dcterms:created>
  <dcterms:modified xsi:type="dcterms:W3CDTF">2026-07-14T16:15:00Z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2026-07-14T16:15:07Z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f61c2ee4-83fa-4765-9a73-f8fb0c0699c9</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