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7BC1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outlineLvl w:val="0"/>
        <w:rPr>
          <w:rFonts w:ascii="Montserrat" w:eastAsia="Times New Roman" w:hAnsi="Montserrat" w:cs="Times New Roman"/>
          <w:color w:val="142C3F"/>
          <w:kern w:val="36"/>
          <w:sz w:val="48"/>
          <w:szCs w:val="48"/>
          <w:lang w:eastAsia="en-AU"/>
          <w14:ligatures w14:val="none"/>
        </w:rPr>
      </w:pPr>
      <w:r w:rsidRPr="00D13F25">
        <w:rPr>
          <w:rFonts w:ascii="Montserrat" w:eastAsia="Times New Roman" w:hAnsi="Montserrat" w:cs="Times New Roman"/>
          <w:color w:val="142C3F"/>
          <w:kern w:val="36"/>
          <w:sz w:val="48"/>
          <w:szCs w:val="48"/>
          <w:lang w:eastAsia="en-AU"/>
          <w14:ligatures w14:val="none"/>
        </w:rPr>
        <w:t>Global Explainer</w:t>
      </w:r>
    </w:p>
    <w:p w14:paraId="5A6974F3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Summary: 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A global explainer treats an AI model </w:t>
      </w:r>
      <w:proofErr w:type="gramStart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as a whole by</w:t>
      </w:r>
      <w:proofErr w:type="gramEnd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using a set of data instances to produce explanations to understand the general </w:t>
      </w:r>
      <w:proofErr w:type="spellStart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of the AI model.</w:t>
      </w:r>
    </w:p>
    <w:p w14:paraId="1AB88651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Type of pattern: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Product pattern</w:t>
      </w:r>
    </w:p>
    <w:p w14:paraId="34058474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Type of objective: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Trust</w:t>
      </w:r>
    </w:p>
    <w:p w14:paraId="52B7245D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Target users: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Data scientists</w:t>
      </w:r>
    </w:p>
    <w:p w14:paraId="56FAF5E6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Impacted stakeholders: 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UX/UI designer, RAI governors, AI users, AI consumers</w:t>
      </w:r>
    </w:p>
    <w:p w14:paraId="74B86AE4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Lifecycle stages: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Design</w:t>
      </w:r>
    </w:p>
    <w:p w14:paraId="61E9B412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Relevant AI ethics principles: 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Explainability</w:t>
      </w:r>
    </w:p>
    <w:p w14:paraId="5DAE117F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Context: 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The black box nature of AI systems can be a significant challenge to their adoption and raises </w:t>
      </w:r>
      <w:proofErr w:type="gramStart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a number of</w:t>
      </w:r>
      <w:proofErr w:type="gramEnd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ethical and legal concerns. One of the main reasons for this is the complexity of the models used in AI systems, particularly Deep Neural Networks (DNNs), which have </w:t>
      </w:r>
      <w:proofErr w:type="gramStart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a large number of</w:t>
      </w:r>
      <w:proofErr w:type="gramEnd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parameters that can make them difficult to understand. This lack of explainability poses a barrier to widespread adoption of AI, because users may be hesitant to trust the suggestions given by AI systems.</w:t>
      </w:r>
    </w:p>
    <w:p w14:paraId="79E211BF" w14:textId="77777777" w:rsidR="00D13F25" w:rsidRPr="00D13F25" w:rsidRDefault="00D13F25" w:rsidP="00D13F25">
      <w:pPr>
        <w:shd w:val="clear" w:color="auto" w:fill="FEFFFE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Problem: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</w:t>
      </w:r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val="en-US" w:eastAsia="en-AU"/>
          <w14:ligatures w14:val="none"/>
        </w:rPr>
        <w:t>How can we help users understand the general behavior of an AI model? </w:t>
      </w:r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 </w:t>
      </w:r>
    </w:p>
    <w:p w14:paraId="70CFB9B4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Solution: 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A global explainer can help users understand the general </w:t>
      </w:r>
      <w:proofErr w:type="spellStart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of an AI system by using a set of data instances to produce explanations. These explanations provide an overview of the model’s </w:t>
      </w:r>
      <w:proofErr w:type="spellStart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by visualizing the relationship between the input features and the model’s output over a range of values. Global surrogate models, such as tree-based models or rule-based models, can be used to understand the complex AI models because they have inherent explainability, allowing the output decisions to be traced back to their source.</w:t>
      </w:r>
    </w:p>
    <w:p w14:paraId="6C142F31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Benefits:</w:t>
      </w:r>
    </w:p>
    <w:p w14:paraId="5D634DEE" w14:textId="77777777" w:rsidR="00D13F25" w:rsidRPr="00D13F25" w:rsidRDefault="00D13F25" w:rsidP="00D13F25">
      <w:pPr>
        <w:numPr>
          <w:ilvl w:val="0"/>
          <w:numId w:val="5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Better understanding:</w:t>
      </w:r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</w:t>
      </w:r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Global explanations simplify complex AI models by reducing them to linear counterparts, which are easier to understand. </w:t>
      </w:r>
    </w:p>
    <w:p w14:paraId="45B1894A" w14:textId="77777777" w:rsidR="00D13F25" w:rsidRPr="00D13F25" w:rsidRDefault="00D13F25" w:rsidP="00D13F25">
      <w:pPr>
        <w:numPr>
          <w:ilvl w:val="0"/>
          <w:numId w:val="5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Improved transparency: Global explanations provide a general understanding of how an AI model behaves, which can help increase transparency and build trust in the AI system. </w:t>
      </w:r>
    </w:p>
    <w:p w14:paraId="46ECAFF4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Drawbacks:</w:t>
      </w:r>
    </w:p>
    <w:p w14:paraId="0126F5D7" w14:textId="77777777" w:rsidR="00D13F25" w:rsidRPr="00D13F25" w:rsidRDefault="00D13F25" w:rsidP="00D13F25">
      <w:pPr>
        <w:numPr>
          <w:ilvl w:val="0"/>
          <w:numId w:val="6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Limited understandability: Global explanations can be difficult for AI users without technical expertise to understand and provide feedback on.   </w:t>
      </w:r>
    </w:p>
    <w:p w14:paraId="4EB1F68C" w14:textId="77777777" w:rsidR="00D13F25" w:rsidRPr="00D13F25" w:rsidRDefault="00D13F25" w:rsidP="00D13F25">
      <w:pPr>
        <w:numPr>
          <w:ilvl w:val="0"/>
          <w:numId w:val="6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lastRenderedPageBreak/>
        <w:t>Limited specificity: While global explanations provide a general understanding of the model’s </w:t>
      </w:r>
      <w:proofErr w:type="spellStart"/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behavior</w:t>
      </w:r>
      <w:proofErr w:type="spellEnd"/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, they may lack the specificity required to understand why a specific decision was made for a particular input. </w:t>
      </w:r>
    </w:p>
    <w:p w14:paraId="1C4C309B" w14:textId="77777777" w:rsidR="00D13F25" w:rsidRPr="00D13F25" w:rsidRDefault="00D13F25" w:rsidP="00D13F25">
      <w:pPr>
        <w:numPr>
          <w:ilvl w:val="0"/>
          <w:numId w:val="6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Lack of accuracy: Global explanations are based on a set of data instances, which can introduce uncertainty and noise, leading to explanations that may not be entirely accurate. </w:t>
      </w:r>
    </w:p>
    <w:p w14:paraId="31F15DC9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Related Patterns:</w:t>
      </w:r>
    </w:p>
    <w:p w14:paraId="13A7B9B2" w14:textId="77777777" w:rsidR="00D13F25" w:rsidRPr="00D13F25" w:rsidRDefault="00D13F25" w:rsidP="00D13F25">
      <w:pPr>
        <w:numPr>
          <w:ilvl w:val="0"/>
          <w:numId w:val="7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5" w:history="1">
        <w:r w:rsidRPr="00D13F2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Local explainer</w:t>
        </w:r>
      </w:hyperlink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: The focus of global explanations is on the whole AI model, while local explanations only consider the individual decision.</w:t>
      </w:r>
    </w:p>
    <w:p w14:paraId="248B94B1" w14:textId="77777777" w:rsidR="00D13F25" w:rsidRPr="00D13F25" w:rsidRDefault="00D13F25" w:rsidP="00D13F25">
      <w:pPr>
        <w:numPr>
          <w:ilvl w:val="0"/>
          <w:numId w:val="7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6" w:history="1">
        <w:r w:rsidRPr="00D13F2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XAI interface</w:t>
        </w:r>
      </w:hyperlink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: Global explanations can be incorporated into the interface design to allow AI users to understand AI systems’ global </w:t>
      </w:r>
      <w:proofErr w:type="spellStart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behaviors</w:t>
      </w:r>
      <w:proofErr w:type="spellEnd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.</w:t>
      </w:r>
    </w:p>
    <w:p w14:paraId="19D41887" w14:textId="77777777" w:rsidR="00D13F25" w:rsidRPr="00D13F25" w:rsidRDefault="00D13F25" w:rsidP="00D13F25">
      <w:pPr>
        <w:shd w:val="clear" w:color="auto" w:fill="FEFFFE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r w:rsidRPr="00D13F25">
        <w:rPr>
          <w:rFonts w:ascii="inherit" w:eastAsia="Times New Roman" w:hAnsi="inherit" w:cs="Open Sans"/>
          <w:b/>
          <w:bCs/>
          <w:color w:val="1D2021"/>
          <w:kern w:val="0"/>
          <w:lang w:eastAsia="en-AU"/>
          <w14:ligatures w14:val="none"/>
        </w:rPr>
        <w:t>Known Uses:</w:t>
      </w:r>
    </w:p>
    <w:p w14:paraId="78BDBECB" w14:textId="77777777" w:rsidR="00D13F25" w:rsidRPr="00D13F25" w:rsidRDefault="00D13F25" w:rsidP="00D13F25">
      <w:pPr>
        <w:numPr>
          <w:ilvl w:val="0"/>
          <w:numId w:val="8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7" w:history="1">
        <w:r w:rsidRPr="00D13F2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IBM AI Explainability 360</w:t>
        </w:r>
      </w:hyperlink>
      <w:bookmarkStart w:id="0" w:name="_ftnref1"/>
      <w:bookmarkEnd w:id="0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 is a toolkit that contains ten explainability methods and two evaluation metrics for understanding data and AI models. The explainability methods support five types of methods, including data explanations, directly interpretable, self-explaining, global post-hoc, and local post-hoc.</w:t>
      </w:r>
    </w:p>
    <w:p w14:paraId="224D6417" w14:textId="77777777" w:rsidR="00D13F25" w:rsidRPr="00D13F25" w:rsidRDefault="00D13F25" w:rsidP="00D13F25">
      <w:pPr>
        <w:numPr>
          <w:ilvl w:val="0"/>
          <w:numId w:val="8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8" w:history="1">
        <w:r w:rsidRPr="00D13F2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 xml:space="preserve">Microsoft </w:t>
        </w:r>
        <w:proofErr w:type="spellStart"/>
        <w:r w:rsidRPr="00D13F2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InterpretML</w:t>
        </w:r>
        <w:proofErr w:type="spellEnd"/>
      </w:hyperlink>
      <w:bookmarkStart w:id="1" w:name="_ftnref2"/>
      <w:bookmarkEnd w:id="1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 is a python toolkit that includes XAI techniques developed by Microsoft and third parties to explain AI model’s overall </w:t>
      </w:r>
      <w:proofErr w:type="spellStart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>behavior</w:t>
      </w:r>
      <w:proofErr w:type="spellEnd"/>
      <w:r w:rsidRPr="00D13F25"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  <w:t xml:space="preserve"> and the reasons behind the individual decisions.</w:t>
      </w:r>
    </w:p>
    <w:p w14:paraId="0E058107" w14:textId="77777777" w:rsidR="00D13F25" w:rsidRPr="00D13F25" w:rsidRDefault="00D13F25" w:rsidP="00D13F25">
      <w:pPr>
        <w:numPr>
          <w:ilvl w:val="0"/>
          <w:numId w:val="8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9" w:history="1">
        <w:proofErr w:type="spellStart"/>
        <w:r w:rsidRPr="00D13F2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EthicalML</w:t>
        </w:r>
        <w:proofErr w:type="spellEnd"/>
        <w:r w:rsidRPr="00D13F2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-XAI</w:t>
        </w:r>
      </w:hyperlink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 xml:space="preserve"> provides global explanations by visualizing the </w:t>
      </w:r>
      <w:proofErr w:type="spellStart"/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behaviors</w:t>
      </w:r>
      <w:proofErr w:type="spellEnd"/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 xml:space="preserve"> of AI models in terms of input variables. </w:t>
      </w:r>
    </w:p>
    <w:p w14:paraId="0433A5A4" w14:textId="77777777" w:rsidR="00D13F25" w:rsidRPr="00D13F25" w:rsidRDefault="00D13F25" w:rsidP="00D13F25">
      <w:pPr>
        <w:numPr>
          <w:ilvl w:val="0"/>
          <w:numId w:val="8"/>
        </w:numPr>
        <w:shd w:val="clear" w:color="auto" w:fill="FEFFFE"/>
        <w:spacing w:after="0" w:line="240" w:lineRule="auto"/>
        <w:textAlignment w:val="baseline"/>
        <w:rPr>
          <w:rFonts w:ascii="inherit" w:eastAsia="Times New Roman" w:hAnsi="inherit" w:cs="Open Sans"/>
          <w:color w:val="1D2021"/>
          <w:kern w:val="0"/>
          <w:lang w:eastAsia="en-AU"/>
          <w14:ligatures w14:val="none"/>
        </w:rPr>
      </w:pPr>
      <w:hyperlink r:id="rId10" w:history="1">
        <w:proofErr w:type="spellStart"/>
        <w:r w:rsidRPr="00D13F2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tf</w:t>
        </w:r>
        <w:proofErr w:type="spellEnd"/>
        <w:r w:rsidRPr="00D13F25">
          <w:rPr>
            <w:rFonts w:ascii="inherit" w:eastAsia="Times New Roman" w:hAnsi="inherit" w:cs="Open Sans"/>
            <w:color w:val="004B87"/>
            <w:kern w:val="0"/>
            <w:u w:val="single"/>
            <w:bdr w:val="none" w:sz="0" w:space="0" w:color="auto" w:frame="1"/>
            <w:lang w:eastAsia="en-AU"/>
            <w14:ligatures w14:val="none"/>
          </w:rPr>
          <w:t>-explain</w:t>
        </w:r>
      </w:hyperlink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 xml:space="preserve"> provides insights to neural networks’ global </w:t>
      </w:r>
      <w:proofErr w:type="spellStart"/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>behaviors</w:t>
      </w:r>
      <w:proofErr w:type="spellEnd"/>
      <w:r w:rsidRPr="00D13F25">
        <w:rPr>
          <w:rFonts w:ascii="inherit" w:eastAsia="Times New Roman" w:hAnsi="inherit" w:cs="Open Sans"/>
          <w:color w:val="1D2021"/>
          <w:kern w:val="0"/>
          <w:bdr w:val="none" w:sz="0" w:space="0" w:color="auto" w:frame="1"/>
          <w:lang w:eastAsia="en-AU"/>
          <w14:ligatures w14:val="none"/>
        </w:rPr>
        <w:t xml:space="preserve"> by visualizing activations of neurons. </w:t>
      </w:r>
    </w:p>
    <w:p w14:paraId="2D00EC4C" w14:textId="77777777" w:rsidR="00D13F25" w:rsidRDefault="00D13F25"/>
    <w:sectPr w:rsidR="00D13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EF0"/>
    <w:multiLevelType w:val="multilevel"/>
    <w:tmpl w:val="D6B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531F"/>
    <w:multiLevelType w:val="multilevel"/>
    <w:tmpl w:val="38A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F2730"/>
    <w:multiLevelType w:val="multilevel"/>
    <w:tmpl w:val="492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45746"/>
    <w:multiLevelType w:val="multilevel"/>
    <w:tmpl w:val="9DD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65B41"/>
    <w:multiLevelType w:val="multilevel"/>
    <w:tmpl w:val="3D3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528E9"/>
    <w:multiLevelType w:val="multilevel"/>
    <w:tmpl w:val="719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8185E"/>
    <w:multiLevelType w:val="multilevel"/>
    <w:tmpl w:val="017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82B1B"/>
    <w:multiLevelType w:val="multilevel"/>
    <w:tmpl w:val="F01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87867">
    <w:abstractNumId w:val="0"/>
  </w:num>
  <w:num w:numId="2" w16cid:durableId="1615287432">
    <w:abstractNumId w:val="2"/>
  </w:num>
  <w:num w:numId="3" w16cid:durableId="1135754436">
    <w:abstractNumId w:val="4"/>
  </w:num>
  <w:num w:numId="4" w16cid:durableId="1385905185">
    <w:abstractNumId w:val="6"/>
  </w:num>
  <w:num w:numId="5" w16cid:durableId="1863203886">
    <w:abstractNumId w:val="5"/>
  </w:num>
  <w:num w:numId="6" w16cid:durableId="645597234">
    <w:abstractNumId w:val="7"/>
  </w:num>
  <w:num w:numId="7" w16cid:durableId="495538185">
    <w:abstractNumId w:val="1"/>
  </w:num>
  <w:num w:numId="8" w16cid:durableId="1368064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25"/>
    <w:rsid w:val="0029460E"/>
    <w:rsid w:val="00D1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966D"/>
  <w15:chartTrackingRefBased/>
  <w15:docId w15:val="{FC39C452-C2B1-4108-8D4E-83E78867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F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pret.ml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ix360.mybluemix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arch.csiro.au/ss/science/projects/responsible-ai-pattern-catalogue/xai-interfac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search.csiro.au/ss/science/projects/responsible-ai-pattern-catalogue/local-explainer/" TargetMode="External"/><Relationship Id="rId10" Type="http://schemas.openxmlformats.org/officeDocument/2006/relationships/hyperlink" Target="https://github.com/sicara/tf-expl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thicalML/x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519</Words>
  <Characters>2959</Characters>
  <Application>Microsoft Office Word</Application>
  <DocSecurity>0</DocSecurity>
  <Lines>57</Lines>
  <Paragraphs>26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Amann</dc:creator>
  <cp:keywords/>
  <dc:description/>
  <cp:lastModifiedBy>Thomas Amann</cp:lastModifiedBy>
  <cp:revision>1</cp:revision>
  <dcterms:created xsi:type="dcterms:W3CDTF">2026-07-14T16:04:00Z</dcterms:created>
  <dcterms:modified xsi:type="dcterms:W3CDTF">2026-07-14T16:09:00Z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7edd2-a6e8-49f8-b944-bb3f06cb6d67_Enabled">
    <vt:lpwstr>true</vt:lpwstr>
  </property>
  <property fmtid="{D5CDD505-2E9C-101B-9397-08002B2CF9AE}" pid="3" name="MSIP_Label_6be7edd2-a6e8-49f8-b944-bb3f06cb6d67_SetDate">
    <vt:lpwstr>2026-07-14T16:09:27Z</vt:lpwstr>
  </property>
  <property fmtid="{D5CDD505-2E9C-101B-9397-08002B2CF9AE}" pid="4" name="MSIP_Label_6be7edd2-a6e8-49f8-b944-bb3f06cb6d67_Method">
    <vt:lpwstr>Privileged</vt:lpwstr>
  </property>
  <property fmtid="{D5CDD505-2E9C-101B-9397-08002B2CF9AE}" pid="5" name="MSIP_Label_6be7edd2-a6e8-49f8-b944-bb3f06cb6d67_Name">
    <vt:lpwstr>UNOFFICIAL - No markings</vt:lpwstr>
  </property>
  <property fmtid="{D5CDD505-2E9C-101B-9397-08002B2CF9AE}" pid="6" name="MSIP_Label_6be7edd2-a6e8-49f8-b944-bb3f06cb6d67_SiteId">
    <vt:lpwstr>1eae4a1d-fcf5-4be9-81d4-b60976404837</vt:lpwstr>
  </property>
  <property fmtid="{D5CDD505-2E9C-101B-9397-08002B2CF9AE}" pid="7" name="MSIP_Label_6be7edd2-a6e8-49f8-b944-bb3f06cb6d67_ActionId">
    <vt:lpwstr>93b782a6-4506-424e-90b1-55fa46ad319d</vt:lpwstr>
  </property>
  <property fmtid="{D5CDD505-2E9C-101B-9397-08002B2CF9AE}" pid="8" name="MSIP_Label_6be7edd2-a6e8-49f8-b944-bb3f06cb6d67_ContentBits">
    <vt:lpwstr>0</vt:lpwstr>
  </property>
  <property fmtid="{D5CDD505-2E9C-101B-9397-08002B2CF9AE}" pid="9" name="MSIP_Label_6be7edd2-a6e8-49f8-b944-bb3f06cb6d67_Tag">
    <vt:lpwstr>10, 0, 1, 1</vt:lpwstr>
  </property>
</Properties>
</file>