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B4E1C" w14:textId="77777777" w:rsidR="00A439F7" w:rsidRPr="00A439F7" w:rsidRDefault="00A439F7" w:rsidP="00A439F7">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A439F7">
        <w:rPr>
          <w:rFonts w:ascii="Montserrat" w:eastAsia="Times New Roman" w:hAnsi="Montserrat" w:cs="Times New Roman"/>
          <w:color w:val="142C3F"/>
          <w:kern w:val="36"/>
          <w:sz w:val="48"/>
          <w:szCs w:val="48"/>
          <w:lang w:eastAsia="en-AU"/>
          <w14:ligatures w14:val="none"/>
        </w:rPr>
        <w:t>Multi-Model Decision-Maker</w:t>
      </w:r>
    </w:p>
    <w:p w14:paraId="12204F6F" w14:textId="77777777" w:rsidR="00A439F7" w:rsidRPr="00A439F7" w:rsidRDefault="00A439F7" w:rsidP="00A439F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439F7">
        <w:rPr>
          <w:rFonts w:ascii="inherit" w:eastAsia="Times New Roman" w:hAnsi="inherit" w:cs="Open Sans"/>
          <w:b/>
          <w:bCs/>
          <w:color w:val="1D2021"/>
          <w:kern w:val="0"/>
          <w:lang w:eastAsia="en-AU"/>
          <w14:ligatures w14:val="none"/>
        </w:rPr>
        <w:t>Summary: </w:t>
      </w:r>
      <w:r w:rsidRPr="00A439F7">
        <w:rPr>
          <w:rFonts w:ascii="inherit" w:eastAsia="Times New Roman" w:hAnsi="inherit" w:cs="Open Sans"/>
          <w:color w:val="1D2021"/>
          <w:kern w:val="0"/>
          <w:lang w:eastAsia="en-AU"/>
          <w14:ligatures w14:val="none"/>
        </w:rPr>
        <w:t>To improve the reliability of the AI component, multi-model decision-maker is used to employ different AI models to perform the same task or enable a single decision.</w:t>
      </w:r>
    </w:p>
    <w:p w14:paraId="7C93FED5" w14:textId="77777777" w:rsidR="00A439F7" w:rsidRPr="00A439F7" w:rsidRDefault="00A439F7" w:rsidP="00A439F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439F7">
        <w:rPr>
          <w:rFonts w:ascii="inherit" w:eastAsia="Times New Roman" w:hAnsi="inherit" w:cs="Open Sans"/>
          <w:b/>
          <w:bCs/>
          <w:color w:val="1D2021"/>
          <w:kern w:val="0"/>
          <w:lang w:eastAsia="en-AU"/>
          <w14:ligatures w14:val="none"/>
        </w:rPr>
        <w:t>Type of pattern: </w:t>
      </w:r>
      <w:r w:rsidRPr="00A439F7">
        <w:rPr>
          <w:rFonts w:ascii="inherit" w:eastAsia="Times New Roman" w:hAnsi="inherit" w:cs="Open Sans"/>
          <w:color w:val="1D2021"/>
          <w:kern w:val="0"/>
          <w:lang w:eastAsia="en-AU"/>
          <w14:ligatures w14:val="none"/>
        </w:rPr>
        <w:t>Product pattern</w:t>
      </w:r>
    </w:p>
    <w:p w14:paraId="54A42358" w14:textId="77777777" w:rsidR="00A439F7" w:rsidRPr="00A439F7" w:rsidRDefault="00A439F7" w:rsidP="00A439F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439F7">
        <w:rPr>
          <w:rFonts w:ascii="inherit" w:eastAsia="Times New Roman" w:hAnsi="inherit" w:cs="Open Sans"/>
          <w:b/>
          <w:bCs/>
          <w:color w:val="1D2021"/>
          <w:kern w:val="0"/>
          <w:lang w:eastAsia="en-AU"/>
          <w14:ligatures w14:val="none"/>
        </w:rPr>
        <w:t>Type of objective: </w:t>
      </w:r>
      <w:r w:rsidRPr="00A439F7">
        <w:rPr>
          <w:rFonts w:ascii="inherit" w:eastAsia="Times New Roman" w:hAnsi="inherit" w:cs="Open Sans"/>
          <w:color w:val="1D2021"/>
          <w:kern w:val="0"/>
          <w:lang w:eastAsia="en-AU"/>
          <w14:ligatures w14:val="none"/>
        </w:rPr>
        <w:t>Trustworthiness</w:t>
      </w:r>
    </w:p>
    <w:p w14:paraId="37ECCB73" w14:textId="77777777" w:rsidR="00A439F7" w:rsidRPr="00A439F7" w:rsidRDefault="00A439F7" w:rsidP="00A439F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439F7">
        <w:rPr>
          <w:rFonts w:ascii="inherit" w:eastAsia="Times New Roman" w:hAnsi="inherit" w:cs="Open Sans"/>
          <w:b/>
          <w:bCs/>
          <w:color w:val="1D2021"/>
          <w:kern w:val="0"/>
          <w:lang w:eastAsia="en-AU"/>
          <w14:ligatures w14:val="none"/>
        </w:rPr>
        <w:t>Target users: </w:t>
      </w:r>
      <w:r w:rsidRPr="00A439F7">
        <w:rPr>
          <w:rFonts w:ascii="inherit" w:eastAsia="Times New Roman" w:hAnsi="inherit" w:cs="Open Sans"/>
          <w:color w:val="1D2021"/>
          <w:kern w:val="0"/>
          <w:lang w:eastAsia="en-AU"/>
          <w14:ligatures w14:val="none"/>
        </w:rPr>
        <w:t>Architects, developers, data scientists</w:t>
      </w:r>
    </w:p>
    <w:p w14:paraId="1245C483" w14:textId="77777777" w:rsidR="00A439F7" w:rsidRPr="00A439F7" w:rsidRDefault="00A439F7" w:rsidP="00A439F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439F7">
        <w:rPr>
          <w:rFonts w:ascii="inherit" w:eastAsia="Times New Roman" w:hAnsi="inherit" w:cs="Open Sans"/>
          <w:b/>
          <w:bCs/>
          <w:color w:val="1D2021"/>
          <w:kern w:val="0"/>
          <w:lang w:eastAsia="en-AU"/>
          <w14:ligatures w14:val="none"/>
        </w:rPr>
        <w:t>Impacted stakeholders: </w:t>
      </w:r>
      <w:r w:rsidRPr="00A439F7">
        <w:rPr>
          <w:rFonts w:ascii="inherit" w:eastAsia="Times New Roman" w:hAnsi="inherit" w:cs="Open Sans"/>
          <w:color w:val="1D2021"/>
          <w:kern w:val="0"/>
          <w:lang w:eastAsia="en-AU"/>
          <w14:ligatures w14:val="none"/>
        </w:rPr>
        <w:t>AI users, AI consumers</w:t>
      </w:r>
    </w:p>
    <w:p w14:paraId="19907EE1" w14:textId="77777777" w:rsidR="00A439F7" w:rsidRPr="00A439F7" w:rsidRDefault="00A439F7" w:rsidP="00A439F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439F7">
        <w:rPr>
          <w:rFonts w:ascii="inherit" w:eastAsia="Times New Roman" w:hAnsi="inherit" w:cs="Open Sans"/>
          <w:b/>
          <w:bCs/>
          <w:color w:val="1D2021"/>
          <w:kern w:val="0"/>
          <w:lang w:eastAsia="en-AU"/>
          <w14:ligatures w14:val="none"/>
        </w:rPr>
        <w:t>Relevant AI ethics principles: </w:t>
      </w:r>
      <w:r w:rsidRPr="00A439F7">
        <w:rPr>
          <w:rFonts w:ascii="inherit" w:eastAsia="Times New Roman" w:hAnsi="inherit" w:cs="Open Sans"/>
          <w:color w:val="1D2021"/>
          <w:kern w:val="0"/>
          <w:lang w:eastAsia="en-AU"/>
          <w14:ligatures w14:val="none"/>
        </w:rPr>
        <w:t>Reliability and safety, fairness</w:t>
      </w:r>
    </w:p>
    <w:p w14:paraId="5760346F" w14:textId="77777777" w:rsidR="00A439F7" w:rsidRPr="00A439F7" w:rsidRDefault="00A439F7" w:rsidP="00A439F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439F7">
        <w:rPr>
          <w:rFonts w:ascii="inherit" w:eastAsia="Times New Roman" w:hAnsi="inherit" w:cs="Open Sans"/>
          <w:b/>
          <w:bCs/>
          <w:color w:val="1D2021"/>
          <w:kern w:val="0"/>
          <w:lang w:eastAsia="en-AU"/>
          <w14:ligatures w14:val="none"/>
        </w:rPr>
        <w:t>Mapping to AI regulations/standards:</w:t>
      </w:r>
      <w:r w:rsidRPr="00A439F7">
        <w:rPr>
          <w:rFonts w:ascii="inherit" w:eastAsia="Times New Roman" w:hAnsi="inherit" w:cs="Open Sans"/>
          <w:color w:val="1D2021"/>
          <w:kern w:val="0"/>
          <w:lang w:eastAsia="en-AU"/>
          <w14:ligatures w14:val="none"/>
        </w:rPr>
        <w:t> ISO/IEC 42001:2023 Standard.</w:t>
      </w:r>
    </w:p>
    <w:p w14:paraId="20C87718" w14:textId="77777777" w:rsidR="00A439F7" w:rsidRPr="00A439F7" w:rsidRDefault="00A439F7" w:rsidP="00A439F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439F7">
        <w:rPr>
          <w:rFonts w:ascii="inherit" w:eastAsia="Times New Roman" w:hAnsi="inherit" w:cs="Open Sans"/>
          <w:b/>
          <w:bCs/>
          <w:color w:val="1D2021"/>
          <w:kern w:val="0"/>
          <w:lang w:eastAsia="en-AU"/>
          <w14:ligatures w14:val="none"/>
        </w:rPr>
        <w:t>Context: </w:t>
      </w:r>
      <w:r w:rsidRPr="00A439F7">
        <w:rPr>
          <w:rFonts w:ascii="inherit" w:eastAsia="Times New Roman" w:hAnsi="inherit" w:cs="Open Sans"/>
          <w:color w:val="1D2021"/>
          <w:kern w:val="0"/>
          <w:lang w:eastAsia="en-AU"/>
          <w14:ligatures w14:val="none"/>
        </w:rPr>
        <w:t xml:space="preserve">It is widely recognized that the performance of an AI model may vary in different context given its data-dependent </w:t>
      </w:r>
      <w:proofErr w:type="spellStart"/>
      <w:r w:rsidRPr="00A439F7">
        <w:rPr>
          <w:rFonts w:ascii="inherit" w:eastAsia="Times New Roman" w:hAnsi="inherit" w:cs="Open Sans"/>
          <w:color w:val="1D2021"/>
          <w:kern w:val="0"/>
          <w:lang w:eastAsia="en-AU"/>
          <w14:ligatures w14:val="none"/>
        </w:rPr>
        <w:t>behavior</w:t>
      </w:r>
      <w:proofErr w:type="spellEnd"/>
      <w:r w:rsidRPr="00A439F7">
        <w:rPr>
          <w:rFonts w:ascii="inherit" w:eastAsia="Times New Roman" w:hAnsi="inherit" w:cs="Open Sans"/>
          <w:color w:val="1D2021"/>
          <w:kern w:val="0"/>
          <w:lang w:eastAsia="en-AU"/>
          <w14:ligatures w14:val="none"/>
        </w:rPr>
        <w:t>. Thus, reliability of AI system largely depends on the method to characterize the impact of the reliability of the AI component.</w:t>
      </w:r>
    </w:p>
    <w:p w14:paraId="458D955B" w14:textId="77777777" w:rsidR="00A439F7" w:rsidRPr="00A439F7" w:rsidRDefault="00A439F7" w:rsidP="00A439F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439F7">
        <w:rPr>
          <w:rFonts w:ascii="inherit" w:eastAsia="Times New Roman" w:hAnsi="inherit" w:cs="Open Sans"/>
          <w:b/>
          <w:bCs/>
          <w:color w:val="1D2021"/>
          <w:kern w:val="0"/>
          <w:lang w:eastAsia="en-AU"/>
          <w14:ligatures w14:val="none"/>
        </w:rPr>
        <w:t>Problem: </w:t>
      </w:r>
      <w:r w:rsidRPr="00A439F7">
        <w:rPr>
          <w:rFonts w:ascii="inherit" w:eastAsia="Times New Roman" w:hAnsi="inherit" w:cs="Open Sans"/>
          <w:color w:val="1D2021"/>
          <w:kern w:val="0"/>
          <w:lang w:eastAsia="en-AU"/>
          <w14:ligatures w14:val="none"/>
        </w:rPr>
        <w:t>How to ensure reliability of an AI system under different context?</w:t>
      </w:r>
    </w:p>
    <w:p w14:paraId="63A7A264" w14:textId="77777777" w:rsidR="00A439F7" w:rsidRPr="00A439F7" w:rsidRDefault="00A439F7" w:rsidP="00A439F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439F7">
        <w:rPr>
          <w:rFonts w:ascii="inherit" w:eastAsia="Times New Roman" w:hAnsi="inherit" w:cs="Open Sans"/>
          <w:b/>
          <w:bCs/>
          <w:color w:val="1D2021"/>
          <w:kern w:val="0"/>
          <w:lang w:eastAsia="en-AU"/>
          <w14:ligatures w14:val="none"/>
        </w:rPr>
        <w:t>Solution: </w:t>
      </w:r>
      <w:r w:rsidRPr="00A439F7">
        <w:rPr>
          <w:rFonts w:ascii="inherit" w:eastAsia="Times New Roman" w:hAnsi="inherit" w:cs="Open Sans"/>
          <w:color w:val="1D2021"/>
          <w:kern w:val="0"/>
          <w:lang w:eastAsia="en-AU"/>
          <w14:ligatures w14:val="none"/>
        </w:rPr>
        <w:t>In the software reliability community, traditional architecture-based software reliability is based on software components. Existing reliability practices, like redundancy, are also applicable to AI components in an AI system. In addition, a reasonable combination of multiple AI models that normally work independently could improve the performance (e.g., accuracy) of the AI components.</w:t>
      </w:r>
    </w:p>
    <w:p w14:paraId="310DCA78" w14:textId="77777777" w:rsidR="00A439F7" w:rsidRPr="00A439F7" w:rsidRDefault="00A439F7" w:rsidP="00A439F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439F7">
        <w:rPr>
          <w:rFonts w:ascii="inherit" w:eastAsia="Times New Roman" w:hAnsi="inherit" w:cs="Open Sans"/>
          <w:color w:val="1D2021"/>
          <w:kern w:val="0"/>
          <w:lang w:eastAsia="en-AU"/>
          <w14:ligatures w14:val="none"/>
        </w:rPr>
        <w:t> </w:t>
      </w:r>
    </w:p>
    <w:p w14:paraId="791D25E5" w14:textId="77777777" w:rsidR="00A439F7" w:rsidRPr="00A439F7" w:rsidRDefault="00A439F7" w:rsidP="00A439F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439F7">
        <w:rPr>
          <w:rFonts w:ascii="inherit" w:eastAsia="Times New Roman" w:hAnsi="inherit" w:cs="Open Sans"/>
          <w:color w:val="1D2021"/>
          <w:kern w:val="0"/>
          <w:lang w:eastAsia="en-AU"/>
          <w14:ligatures w14:val="none"/>
        </w:rPr>
        <w:t>As demonstrated in Figure 1, a multi-model decision-maker employs different models to perform the same task or enable a single decision (e.g., deploying different algorithms for visual perception). It improves the reliability by deploying different models under different contexts (e.g., different geolocation regions) and enabling fault tolerance by cross-validating ethical requirements for a single decision [1]. Different consensus protocols could be defined to make the final decision—for example, taking the majority decision. Another strategy is to accept only the same results from the employed models. In addition, the end user or the operator could step in to review the output from the multiple models and make a final decision based on human expertise.</w:t>
      </w:r>
    </w:p>
    <w:p w14:paraId="6E43CD41" w14:textId="77777777" w:rsidR="00A439F7" w:rsidRPr="00A439F7" w:rsidRDefault="00A439F7" w:rsidP="00A439F7">
      <w:p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A439F7">
        <w:rPr>
          <w:rFonts w:ascii="inherit" w:eastAsia="Times New Roman" w:hAnsi="inherit" w:cs="Open Sans"/>
          <w:noProof/>
          <w:color w:val="1D2021"/>
          <w:kern w:val="0"/>
          <w:lang w:eastAsia="en-AU"/>
          <w14:ligatures w14:val="none"/>
        </w:rPr>
        <w:lastRenderedPageBreak/>
        <w:drawing>
          <wp:inline distT="0" distB="0" distL="0" distR="0" wp14:anchorId="5F85424B" wp14:editId="164D192E">
            <wp:extent cx="4762500" cy="5286375"/>
            <wp:effectExtent l="0" t="0" r="0" b="9525"/>
            <wp:docPr id="5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5286375"/>
                    </a:xfrm>
                    <a:prstGeom prst="rect">
                      <a:avLst/>
                    </a:prstGeom>
                    <a:noFill/>
                    <a:ln>
                      <a:noFill/>
                    </a:ln>
                  </pic:spPr>
                </pic:pic>
              </a:graphicData>
            </a:graphic>
          </wp:inline>
        </w:drawing>
      </w:r>
    </w:p>
    <w:p w14:paraId="3A263B9D" w14:textId="77777777" w:rsidR="00A439F7" w:rsidRPr="00A439F7" w:rsidRDefault="00A439F7" w:rsidP="00A439F7">
      <w:pPr>
        <w:shd w:val="clear" w:color="auto" w:fill="FEFFFE"/>
        <w:spacing w:after="0" w:line="240" w:lineRule="auto"/>
        <w:textAlignment w:val="baseline"/>
        <w:rPr>
          <w:rFonts w:ascii="inherit" w:eastAsia="Times New Roman" w:hAnsi="inherit" w:cs="Open Sans"/>
          <w:color w:val="1D2021"/>
          <w:kern w:val="0"/>
          <w:sz w:val="18"/>
          <w:szCs w:val="18"/>
          <w:lang w:eastAsia="en-AU"/>
          <w14:ligatures w14:val="none"/>
        </w:rPr>
      </w:pPr>
      <w:r w:rsidRPr="00A439F7">
        <w:rPr>
          <w:rFonts w:ascii="inherit" w:eastAsia="Times New Roman" w:hAnsi="inherit" w:cs="Open Sans"/>
          <w:color w:val="1D2021"/>
          <w:kern w:val="0"/>
          <w:sz w:val="18"/>
          <w:szCs w:val="18"/>
          <w:lang w:eastAsia="en-AU"/>
          <w14:ligatures w14:val="none"/>
        </w:rPr>
        <w:t xml:space="preserve">Fig.1 </w:t>
      </w:r>
      <w:proofErr w:type="gramStart"/>
      <w:r w:rsidRPr="00A439F7">
        <w:rPr>
          <w:rFonts w:ascii="inherit" w:eastAsia="Times New Roman" w:hAnsi="inherit" w:cs="Open Sans"/>
          <w:color w:val="1D2021"/>
          <w:kern w:val="0"/>
          <w:sz w:val="18"/>
          <w:szCs w:val="18"/>
          <w:lang w:eastAsia="en-AU"/>
          <w14:ligatures w14:val="none"/>
        </w:rPr>
        <w:t>Multi-model</w:t>
      </w:r>
      <w:proofErr w:type="gramEnd"/>
      <w:r w:rsidRPr="00A439F7">
        <w:rPr>
          <w:rFonts w:ascii="inherit" w:eastAsia="Times New Roman" w:hAnsi="inherit" w:cs="Open Sans"/>
          <w:color w:val="1D2021"/>
          <w:kern w:val="0"/>
          <w:sz w:val="18"/>
          <w:szCs w:val="18"/>
          <w:lang w:eastAsia="en-AU"/>
          <w14:ligatures w14:val="none"/>
        </w:rPr>
        <w:t xml:space="preserve"> decision maker</w:t>
      </w:r>
    </w:p>
    <w:p w14:paraId="67C9B965" w14:textId="77777777" w:rsidR="00A439F7" w:rsidRPr="00A439F7" w:rsidRDefault="00A439F7" w:rsidP="00A439F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439F7">
        <w:rPr>
          <w:rFonts w:ascii="inherit" w:eastAsia="Times New Roman" w:hAnsi="inherit" w:cs="Open Sans"/>
          <w:b/>
          <w:bCs/>
          <w:color w:val="1D2021"/>
          <w:kern w:val="0"/>
          <w:lang w:eastAsia="en-AU"/>
          <w14:ligatures w14:val="none"/>
        </w:rPr>
        <w:t>Benefits:</w:t>
      </w:r>
    </w:p>
    <w:p w14:paraId="40DA3CD8" w14:textId="77777777" w:rsidR="00A439F7" w:rsidRPr="00A439F7" w:rsidRDefault="00A439F7" w:rsidP="00A439F7">
      <w:pPr>
        <w:numPr>
          <w:ilvl w:val="0"/>
          <w:numId w:val="5"/>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A439F7">
        <w:rPr>
          <w:rFonts w:ascii="inherit" w:eastAsia="Times New Roman" w:hAnsi="inherit" w:cs="Open Sans"/>
          <w:color w:val="1D2021"/>
          <w:kern w:val="0"/>
          <w:lang w:eastAsia="en-AU"/>
          <w14:ligatures w14:val="none"/>
        </w:rPr>
        <w:t>Increased reliability: A multi-model decision-maker relies on the output of multiple AI models, which enables cross-validation among different AI models and fault tolerance of the AI component.</w:t>
      </w:r>
    </w:p>
    <w:p w14:paraId="0F5D0C8E" w14:textId="77777777" w:rsidR="00A439F7" w:rsidRPr="00A439F7" w:rsidRDefault="00A439F7" w:rsidP="00A439F7">
      <w:pPr>
        <w:numPr>
          <w:ilvl w:val="0"/>
          <w:numId w:val="5"/>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A439F7">
        <w:rPr>
          <w:rFonts w:ascii="inherit" w:eastAsia="Times New Roman" w:hAnsi="inherit" w:cs="Open Sans"/>
          <w:color w:val="1D2021"/>
          <w:kern w:val="0"/>
          <w:lang w:eastAsia="en-AU"/>
          <w14:ligatures w14:val="none"/>
        </w:rPr>
        <w:t>Fairness: Multiple AI models could be applied to cover different contexts and make a collective and fair decision.</w:t>
      </w:r>
    </w:p>
    <w:p w14:paraId="7FB74E24" w14:textId="77777777" w:rsidR="00A439F7" w:rsidRPr="00A439F7" w:rsidRDefault="00A439F7" w:rsidP="00A439F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439F7">
        <w:rPr>
          <w:rFonts w:ascii="inherit" w:eastAsia="Times New Roman" w:hAnsi="inherit" w:cs="Open Sans"/>
          <w:b/>
          <w:bCs/>
          <w:color w:val="1D2021"/>
          <w:kern w:val="0"/>
          <w:lang w:eastAsia="en-AU"/>
          <w14:ligatures w14:val="none"/>
        </w:rPr>
        <w:t>Drawbacks:</w:t>
      </w:r>
    </w:p>
    <w:p w14:paraId="363DC1E0" w14:textId="77777777" w:rsidR="00A439F7" w:rsidRPr="00A439F7" w:rsidRDefault="00A439F7" w:rsidP="00A439F7">
      <w:pPr>
        <w:numPr>
          <w:ilvl w:val="0"/>
          <w:numId w:val="6"/>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A439F7">
        <w:rPr>
          <w:rFonts w:ascii="inherit" w:eastAsia="Times New Roman" w:hAnsi="inherit" w:cs="Open Sans"/>
          <w:color w:val="1D2021"/>
          <w:kern w:val="0"/>
          <w:lang w:eastAsia="en-AU"/>
          <w14:ligatures w14:val="none"/>
        </w:rPr>
        <w:t>Increased development effort: The development effort is proportional to the number of AI models used by the multi-model decision-maker. The more AI models involved, the more development effort required.</w:t>
      </w:r>
    </w:p>
    <w:p w14:paraId="7A437F85" w14:textId="77777777" w:rsidR="00A439F7" w:rsidRPr="00A439F7" w:rsidRDefault="00A439F7" w:rsidP="00A439F7">
      <w:pPr>
        <w:numPr>
          <w:ilvl w:val="0"/>
          <w:numId w:val="6"/>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A439F7">
        <w:rPr>
          <w:rFonts w:ascii="inherit" w:eastAsia="Times New Roman" w:hAnsi="inherit" w:cs="Open Sans"/>
          <w:color w:val="1D2021"/>
          <w:kern w:val="0"/>
          <w:lang w:eastAsia="en-AU"/>
          <w14:ligatures w14:val="none"/>
        </w:rPr>
        <w:t>More required skills: Training multiple AI models requires more skills and expertise compared with training a single AI model.</w:t>
      </w:r>
    </w:p>
    <w:p w14:paraId="0A8006A8" w14:textId="77777777" w:rsidR="00A439F7" w:rsidRPr="00A439F7" w:rsidRDefault="00A439F7" w:rsidP="00A439F7">
      <w:pPr>
        <w:numPr>
          <w:ilvl w:val="0"/>
          <w:numId w:val="6"/>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A439F7">
        <w:rPr>
          <w:rFonts w:ascii="inherit" w:eastAsia="Times New Roman" w:hAnsi="inherit" w:cs="Open Sans"/>
          <w:color w:val="1D2021"/>
          <w:kern w:val="0"/>
          <w:lang w:eastAsia="en-AU"/>
          <w14:ligatures w14:val="none"/>
        </w:rPr>
        <w:t>Decreased training efficiency: It may take longer to train multiple AI models and reach a consensus among the AI models.</w:t>
      </w:r>
    </w:p>
    <w:p w14:paraId="6C8C1FE3" w14:textId="77777777" w:rsidR="00A439F7" w:rsidRPr="00A439F7" w:rsidRDefault="00A439F7" w:rsidP="00A439F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439F7">
        <w:rPr>
          <w:rFonts w:ascii="inherit" w:eastAsia="Times New Roman" w:hAnsi="inherit" w:cs="Open Sans"/>
          <w:b/>
          <w:bCs/>
          <w:color w:val="1D2021"/>
          <w:kern w:val="0"/>
          <w:lang w:eastAsia="en-AU"/>
          <w14:ligatures w14:val="none"/>
        </w:rPr>
        <w:lastRenderedPageBreak/>
        <w:t>Related patterns:</w:t>
      </w:r>
    </w:p>
    <w:p w14:paraId="56B044E5" w14:textId="77777777" w:rsidR="00A439F7" w:rsidRPr="00A439F7" w:rsidRDefault="00A439F7" w:rsidP="00A439F7">
      <w:pPr>
        <w:numPr>
          <w:ilvl w:val="0"/>
          <w:numId w:val="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 w:history="1">
        <w:r w:rsidRPr="00A439F7">
          <w:rPr>
            <w:rFonts w:ascii="inherit" w:eastAsia="Times New Roman" w:hAnsi="inherit" w:cs="Open Sans"/>
            <w:color w:val="004B87"/>
            <w:kern w:val="0"/>
            <w:u w:val="single"/>
            <w:bdr w:val="none" w:sz="0" w:space="0" w:color="auto" w:frame="1"/>
            <w:lang w:eastAsia="en-AU"/>
            <w14:ligatures w14:val="none"/>
          </w:rPr>
          <w:t>Homogeneous redundancy:</w:t>
        </w:r>
      </w:hyperlink>
      <w:r w:rsidRPr="00A439F7">
        <w:rPr>
          <w:rFonts w:ascii="inherit" w:eastAsia="Times New Roman" w:hAnsi="inherit" w:cs="Open Sans"/>
          <w:color w:val="1D2021"/>
          <w:kern w:val="0"/>
          <w:lang w:eastAsia="en-AU"/>
          <w14:ligatures w14:val="none"/>
        </w:rPr>
        <w:t> Both multi-model decision maker and homogenous redundancy are instantiations of the widely used reliability practice for software system. They are applications at different abstraction levels of AI systems.</w:t>
      </w:r>
    </w:p>
    <w:p w14:paraId="434FE1BA" w14:textId="77777777" w:rsidR="00A439F7" w:rsidRPr="00A439F7" w:rsidRDefault="00A439F7" w:rsidP="00A439F7">
      <w:pPr>
        <w:numPr>
          <w:ilvl w:val="0"/>
          <w:numId w:val="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7" w:history="1">
        <w:r w:rsidRPr="00A439F7">
          <w:rPr>
            <w:rFonts w:ascii="inherit" w:eastAsia="Times New Roman" w:hAnsi="inherit" w:cs="Open Sans"/>
            <w:color w:val="004B87"/>
            <w:kern w:val="0"/>
            <w:u w:val="single"/>
            <w:bdr w:val="none" w:sz="0" w:space="0" w:color="auto" w:frame="1"/>
            <w:lang w:eastAsia="en-AU"/>
            <w14:ligatures w14:val="none"/>
          </w:rPr>
          <w:t>Continuous deployment for RAI</w:t>
        </w:r>
      </w:hyperlink>
      <w:r w:rsidRPr="00A439F7">
        <w:rPr>
          <w:rFonts w:ascii="inherit" w:eastAsia="Times New Roman" w:hAnsi="inherit" w:cs="Open Sans"/>
          <w:color w:val="1D2021"/>
          <w:kern w:val="0"/>
          <w:lang w:eastAsia="en-AU"/>
          <w14:ligatures w14:val="none"/>
        </w:rPr>
        <w:t>: Multiple models can be deployed to make decisions.</w:t>
      </w:r>
    </w:p>
    <w:p w14:paraId="6A9382EC" w14:textId="77777777" w:rsidR="00A439F7" w:rsidRPr="00A439F7" w:rsidRDefault="00A439F7" w:rsidP="00A439F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439F7">
        <w:rPr>
          <w:rFonts w:ascii="inherit" w:eastAsia="Times New Roman" w:hAnsi="inherit" w:cs="Open Sans"/>
          <w:b/>
          <w:bCs/>
          <w:color w:val="1D2021"/>
          <w:kern w:val="0"/>
          <w:lang w:eastAsia="en-AU"/>
          <w14:ligatures w14:val="none"/>
        </w:rPr>
        <w:t>Known uses:</w:t>
      </w:r>
    </w:p>
    <w:p w14:paraId="38127638" w14:textId="77777777" w:rsidR="00A439F7" w:rsidRPr="00A439F7" w:rsidRDefault="00A439F7" w:rsidP="00A439F7">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8" w:history="1">
        <w:r w:rsidRPr="00A439F7">
          <w:rPr>
            <w:rFonts w:ascii="inherit" w:eastAsia="Times New Roman" w:hAnsi="inherit" w:cs="Open Sans"/>
            <w:color w:val="004B87"/>
            <w:kern w:val="0"/>
            <w:u w:val="single"/>
            <w:bdr w:val="none" w:sz="0" w:space="0" w:color="auto" w:frame="1"/>
            <w:lang w:eastAsia="en-AU"/>
            <w14:ligatures w14:val="none"/>
          </w:rPr>
          <w:t>Scikit-learn</w:t>
        </w:r>
      </w:hyperlink>
      <w:r w:rsidRPr="00A439F7">
        <w:rPr>
          <w:rFonts w:ascii="inherit" w:eastAsia="Times New Roman" w:hAnsi="inherit" w:cs="Open Sans"/>
          <w:color w:val="1D2021"/>
          <w:kern w:val="0"/>
          <w:lang w:eastAsia="en-AU"/>
          <w14:ligatures w14:val="none"/>
        </w:rPr>
        <w:t> is a Python package that supports using multiple learning algorithms to obtain better performance through ensemble learning.</w:t>
      </w:r>
    </w:p>
    <w:p w14:paraId="374E1E0F" w14:textId="77777777" w:rsidR="00A439F7" w:rsidRPr="00A439F7" w:rsidRDefault="00A439F7" w:rsidP="00A439F7">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9" w:history="1">
        <w:r w:rsidRPr="00A439F7">
          <w:rPr>
            <w:rFonts w:ascii="inherit" w:eastAsia="Times New Roman" w:hAnsi="inherit" w:cs="Open Sans"/>
            <w:color w:val="004B87"/>
            <w:kern w:val="0"/>
            <w:u w:val="single"/>
            <w:bdr w:val="none" w:sz="0" w:space="0" w:color="auto" w:frame="1"/>
            <w:lang w:eastAsia="en-AU"/>
            <w14:ligatures w14:val="none"/>
          </w:rPr>
          <w:t>AWS fraud detection using machine learning solution</w:t>
        </w:r>
      </w:hyperlink>
      <w:r w:rsidRPr="00A439F7">
        <w:rPr>
          <w:rFonts w:ascii="inherit" w:eastAsia="Times New Roman" w:hAnsi="inherit" w:cs="Open Sans"/>
          <w:color w:val="1D2021"/>
          <w:kern w:val="0"/>
          <w:lang w:eastAsia="en-AU"/>
          <w14:ligatures w14:val="none"/>
        </w:rPr>
        <w:t> trains an unsupervised anomaly detection model in addition to a supervised model, to augment the prediction results.</w:t>
      </w:r>
    </w:p>
    <w:p w14:paraId="4AE3E583" w14:textId="77777777" w:rsidR="00A439F7" w:rsidRPr="00A439F7" w:rsidRDefault="00A439F7" w:rsidP="00A439F7">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10" w:history="1">
        <w:r w:rsidRPr="00A439F7">
          <w:rPr>
            <w:rFonts w:ascii="inherit" w:eastAsia="Times New Roman" w:hAnsi="inherit" w:cs="Open Sans"/>
            <w:color w:val="004B87"/>
            <w:kern w:val="0"/>
            <w:u w:val="single"/>
            <w:bdr w:val="none" w:sz="0" w:space="0" w:color="auto" w:frame="1"/>
            <w:lang w:eastAsia="en-AU"/>
            <w14:ligatures w14:val="none"/>
          </w:rPr>
          <w:t>IBM Watson natural language understanding</w:t>
        </w:r>
      </w:hyperlink>
      <w:r w:rsidRPr="00A439F7">
        <w:rPr>
          <w:rFonts w:ascii="inherit" w:eastAsia="Times New Roman" w:hAnsi="inherit" w:cs="Open Sans"/>
          <w:color w:val="1D2021"/>
          <w:kern w:val="0"/>
          <w:lang w:eastAsia="en-AU"/>
          <w14:ligatures w14:val="none"/>
        </w:rPr>
        <w:t> uses an ensemble learning framework to include predictions from multiple emotion detection models.</w:t>
      </w:r>
    </w:p>
    <w:p w14:paraId="23E8B80B" w14:textId="77777777" w:rsidR="00A439F7" w:rsidRPr="00A439F7" w:rsidRDefault="00A439F7" w:rsidP="00A439F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439F7">
        <w:rPr>
          <w:rFonts w:ascii="inherit" w:eastAsia="Times New Roman" w:hAnsi="inherit" w:cs="Open Sans"/>
          <w:b/>
          <w:bCs/>
          <w:color w:val="1D2021"/>
          <w:kern w:val="0"/>
          <w:lang w:eastAsia="en-AU"/>
          <w14:ligatures w14:val="none"/>
        </w:rPr>
        <w:t>References:</w:t>
      </w:r>
    </w:p>
    <w:p w14:paraId="31E95597" w14:textId="77777777" w:rsidR="00A439F7" w:rsidRPr="00A439F7" w:rsidRDefault="00A439F7" w:rsidP="00A439F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439F7">
        <w:rPr>
          <w:rFonts w:ascii="inherit" w:eastAsia="Times New Roman" w:hAnsi="inherit" w:cs="Open Sans"/>
          <w:color w:val="1D2021"/>
          <w:kern w:val="0"/>
          <w:lang w:eastAsia="en-AU"/>
          <w14:ligatures w14:val="none"/>
        </w:rPr>
        <w:t xml:space="preserve">[1] Dai, J., et al. More reliable AI solution: Breast ultrasound diagnosis using multi-AI combination. </w:t>
      </w:r>
      <w:proofErr w:type="spellStart"/>
      <w:r w:rsidRPr="00A439F7">
        <w:rPr>
          <w:rFonts w:ascii="inherit" w:eastAsia="Times New Roman" w:hAnsi="inherit" w:cs="Open Sans"/>
          <w:color w:val="1D2021"/>
          <w:kern w:val="0"/>
          <w:lang w:eastAsia="en-AU"/>
          <w14:ligatures w14:val="none"/>
        </w:rPr>
        <w:t>arXiv</w:t>
      </w:r>
      <w:proofErr w:type="spellEnd"/>
      <w:r w:rsidRPr="00A439F7">
        <w:rPr>
          <w:rFonts w:ascii="inherit" w:eastAsia="Times New Roman" w:hAnsi="inherit" w:cs="Open Sans"/>
          <w:color w:val="1D2021"/>
          <w:kern w:val="0"/>
          <w:lang w:eastAsia="en-AU"/>
          <w14:ligatures w14:val="none"/>
        </w:rPr>
        <w:t xml:space="preserve"> preprint arXiv:2101.02639, 2021.</w:t>
      </w:r>
    </w:p>
    <w:p w14:paraId="2CC64336" w14:textId="77777777" w:rsidR="00A439F7" w:rsidRDefault="00A439F7"/>
    <w:sectPr w:rsidR="00A439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3E05"/>
    <w:multiLevelType w:val="multilevel"/>
    <w:tmpl w:val="0880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F8428A"/>
    <w:multiLevelType w:val="multilevel"/>
    <w:tmpl w:val="D83A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A42AAF"/>
    <w:multiLevelType w:val="multilevel"/>
    <w:tmpl w:val="59D4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201399"/>
    <w:multiLevelType w:val="multilevel"/>
    <w:tmpl w:val="0D6E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F41D9F"/>
    <w:multiLevelType w:val="multilevel"/>
    <w:tmpl w:val="0260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6B4824"/>
    <w:multiLevelType w:val="multilevel"/>
    <w:tmpl w:val="9406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853576"/>
    <w:multiLevelType w:val="multilevel"/>
    <w:tmpl w:val="5D1E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C7543E"/>
    <w:multiLevelType w:val="multilevel"/>
    <w:tmpl w:val="3288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636537">
    <w:abstractNumId w:val="5"/>
  </w:num>
  <w:num w:numId="2" w16cid:durableId="1377463598">
    <w:abstractNumId w:val="4"/>
  </w:num>
  <w:num w:numId="3" w16cid:durableId="265120094">
    <w:abstractNumId w:val="1"/>
  </w:num>
  <w:num w:numId="4" w16cid:durableId="708922165">
    <w:abstractNumId w:val="0"/>
  </w:num>
  <w:num w:numId="5" w16cid:durableId="1526139966">
    <w:abstractNumId w:val="6"/>
  </w:num>
  <w:num w:numId="6" w16cid:durableId="1665236606">
    <w:abstractNumId w:val="3"/>
  </w:num>
  <w:num w:numId="7" w16cid:durableId="1977681724">
    <w:abstractNumId w:val="7"/>
  </w:num>
  <w:num w:numId="8" w16cid:durableId="10683099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9F7"/>
    <w:rsid w:val="003A31B8"/>
    <w:rsid w:val="00A439F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6835C"/>
  <w15:chartTrackingRefBased/>
  <w15:docId w15:val="{227F5CF4-C751-4E3B-BD48-5228C51EB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9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39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39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9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9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9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9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9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9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9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39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39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9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9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9F7"/>
    <w:rPr>
      <w:rFonts w:eastAsiaTheme="majorEastAsia" w:cstheme="majorBidi"/>
      <w:color w:val="272727" w:themeColor="text1" w:themeTint="D8"/>
    </w:rPr>
  </w:style>
  <w:style w:type="paragraph" w:styleId="Title">
    <w:name w:val="Title"/>
    <w:basedOn w:val="Normal"/>
    <w:next w:val="Normal"/>
    <w:link w:val="TitleChar"/>
    <w:uiPriority w:val="10"/>
    <w:qFormat/>
    <w:rsid w:val="00A43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9F7"/>
    <w:pPr>
      <w:spacing w:before="160"/>
      <w:jc w:val="center"/>
    </w:pPr>
    <w:rPr>
      <w:i/>
      <w:iCs/>
      <w:color w:val="404040" w:themeColor="text1" w:themeTint="BF"/>
    </w:rPr>
  </w:style>
  <w:style w:type="character" w:customStyle="1" w:styleId="QuoteChar">
    <w:name w:val="Quote Char"/>
    <w:basedOn w:val="DefaultParagraphFont"/>
    <w:link w:val="Quote"/>
    <w:uiPriority w:val="29"/>
    <w:rsid w:val="00A439F7"/>
    <w:rPr>
      <w:i/>
      <w:iCs/>
      <w:color w:val="404040" w:themeColor="text1" w:themeTint="BF"/>
    </w:rPr>
  </w:style>
  <w:style w:type="paragraph" w:styleId="ListParagraph">
    <w:name w:val="List Paragraph"/>
    <w:basedOn w:val="Normal"/>
    <w:uiPriority w:val="34"/>
    <w:qFormat/>
    <w:rsid w:val="00A439F7"/>
    <w:pPr>
      <w:ind w:left="720"/>
      <w:contextualSpacing/>
    </w:pPr>
  </w:style>
  <w:style w:type="character" w:styleId="IntenseEmphasis">
    <w:name w:val="Intense Emphasis"/>
    <w:basedOn w:val="DefaultParagraphFont"/>
    <w:uiPriority w:val="21"/>
    <w:qFormat/>
    <w:rsid w:val="00A439F7"/>
    <w:rPr>
      <w:i/>
      <w:iCs/>
      <w:color w:val="0F4761" w:themeColor="accent1" w:themeShade="BF"/>
    </w:rPr>
  </w:style>
  <w:style w:type="paragraph" w:styleId="IntenseQuote">
    <w:name w:val="Intense Quote"/>
    <w:basedOn w:val="Normal"/>
    <w:next w:val="Normal"/>
    <w:link w:val="IntenseQuoteChar"/>
    <w:uiPriority w:val="30"/>
    <w:qFormat/>
    <w:rsid w:val="00A439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9F7"/>
    <w:rPr>
      <w:i/>
      <w:iCs/>
      <w:color w:val="0F4761" w:themeColor="accent1" w:themeShade="BF"/>
    </w:rPr>
  </w:style>
  <w:style w:type="character" w:styleId="IntenseReference">
    <w:name w:val="Intense Reference"/>
    <w:basedOn w:val="DefaultParagraphFont"/>
    <w:uiPriority w:val="32"/>
    <w:qFormat/>
    <w:rsid w:val="00A439F7"/>
    <w:rPr>
      <w:b/>
      <w:bCs/>
      <w:smallCaps/>
      <w:color w:val="0F4761" w:themeColor="accent1" w:themeShade="BF"/>
      <w:spacing w:val="5"/>
    </w:rPr>
  </w:style>
  <w:style w:type="character" w:styleId="Hyperlink">
    <w:name w:val="Hyperlink"/>
    <w:basedOn w:val="DefaultParagraphFont"/>
    <w:uiPriority w:val="99"/>
    <w:unhideWhenUsed/>
    <w:rsid w:val="00A439F7"/>
    <w:rPr>
      <w:color w:val="467886" w:themeColor="hyperlink"/>
      <w:u w:val="single"/>
    </w:rPr>
  </w:style>
  <w:style w:type="character" w:styleId="UnresolvedMention">
    <w:name w:val="Unresolved Mention"/>
    <w:basedOn w:val="DefaultParagraphFont"/>
    <w:uiPriority w:val="99"/>
    <w:semiHidden/>
    <w:unhideWhenUsed/>
    <w:rsid w:val="00A439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cikit-learn/scikit-learn" TargetMode="External"/><Relationship Id="rId3" Type="http://schemas.openxmlformats.org/officeDocument/2006/relationships/settings" Target="settings.xml"/><Relationship Id="rId7" Type="http://schemas.openxmlformats.org/officeDocument/2006/relationships/hyperlink" Target="https://research.csiro.au/ss/science/projects/responsible-ai-pattern-catalogue/continuous-deploymen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earch.csiro.au/ss/science/projects/responsible-ai-pattern-catalogue/homogeneous-redundancy/"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ibm.com/au-en/cloud/watson-natural-language-understanding" TargetMode="External"/><Relationship Id="rId4" Type="http://schemas.openxmlformats.org/officeDocument/2006/relationships/webSettings" Target="webSettings.xml"/><Relationship Id="rId9" Type="http://schemas.openxmlformats.org/officeDocument/2006/relationships/hyperlink" Target="https://aws.amazon.com/solutions/implementations/fraud-detection-using-machine-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532</Words>
  <Characters>3241</Characters>
  <Application>Microsoft Office Word</Application>
  <DocSecurity>0</DocSecurity>
  <Lines>63</Lines>
  <Paragraphs>29</Paragraphs>
  <ScaleCrop>false</ScaleCrop>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2026-07-14T15:38:00Z</dcterms:created>
  <dcterms:modified xsi:type="dcterms:W3CDTF">2026-07-14T15:46:00Z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2026-07-14T15:46:18Z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49890a9d-e623-42ea-98a5-784854f8edf0</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