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85B1" w14:textId="77777777" w:rsidR="003E74AA" w:rsidRPr="003E74AA" w:rsidRDefault="003E74AA" w:rsidP="003E74AA">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3E74AA">
        <w:rPr>
          <w:rFonts w:ascii="Montserrat" w:eastAsia="Times New Roman" w:hAnsi="Montserrat" w:cs="Times New Roman"/>
          <w:color w:val="142C3F"/>
          <w:kern w:val="36"/>
          <w:sz w:val="48"/>
          <w:szCs w:val="48"/>
          <w:lang w:eastAsia="en-AU"/>
          <w14:ligatures w14:val="none"/>
        </w:rPr>
        <w:t>RAI Governance of APIs</w:t>
      </w:r>
    </w:p>
    <w:p w14:paraId="59CE89A7"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Summary: </w:t>
      </w:r>
      <w:r w:rsidRPr="003E74AA">
        <w:rPr>
          <w:rFonts w:ascii="inherit" w:eastAsia="Times New Roman" w:hAnsi="inherit" w:cs="Open Sans"/>
          <w:color w:val="1D2021"/>
          <w:kern w:val="0"/>
          <w:lang w:eastAsia="en-AU"/>
          <w14:ligatures w14:val="none"/>
        </w:rPr>
        <w:t>An RAI knowledge base can be built to support the compliance checking for APIs.</w:t>
      </w:r>
    </w:p>
    <w:p w14:paraId="6383A7E7" w14:textId="77777777" w:rsidR="003E74AA" w:rsidRPr="003E74AA" w:rsidRDefault="003E74AA" w:rsidP="003E74AA">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Type of pattern: </w:t>
      </w:r>
      <w:r w:rsidRPr="003E74AA">
        <w:rPr>
          <w:rFonts w:ascii="inherit" w:eastAsia="Times New Roman" w:hAnsi="inherit" w:cs="Open Sans"/>
          <w:color w:val="1D2021"/>
          <w:kern w:val="0"/>
          <w:bdr w:val="none" w:sz="0" w:space="0" w:color="auto" w:frame="1"/>
          <w:lang w:eastAsia="en-AU"/>
          <w14:ligatures w14:val="none"/>
        </w:rPr>
        <w:t>Process pattern</w:t>
      </w:r>
    </w:p>
    <w:p w14:paraId="4CCD39C2" w14:textId="77777777" w:rsidR="003E74AA" w:rsidRPr="003E74AA" w:rsidRDefault="003E74AA" w:rsidP="003E74AA">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Type of objective: </w:t>
      </w:r>
      <w:r w:rsidRPr="003E74AA">
        <w:rPr>
          <w:rFonts w:ascii="inherit" w:eastAsia="Times New Roman" w:hAnsi="inherit" w:cs="Open Sans"/>
          <w:color w:val="1D2021"/>
          <w:kern w:val="0"/>
          <w:bdr w:val="none" w:sz="0" w:space="0" w:color="auto" w:frame="1"/>
          <w:lang w:eastAsia="en-AU"/>
          <w14:ligatures w14:val="none"/>
        </w:rPr>
        <w:t>Trustworthiness</w:t>
      </w:r>
    </w:p>
    <w:p w14:paraId="782DB671" w14:textId="77777777" w:rsidR="003E74AA" w:rsidRPr="003E74AA" w:rsidRDefault="003E74AA" w:rsidP="003E74AA">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Target users: </w:t>
      </w:r>
      <w:r w:rsidRPr="003E74AA">
        <w:rPr>
          <w:rFonts w:ascii="inherit" w:eastAsia="Times New Roman" w:hAnsi="inherit" w:cs="Open Sans"/>
          <w:color w:val="1D2021"/>
          <w:kern w:val="0"/>
          <w:bdr w:val="none" w:sz="0" w:space="0" w:color="auto" w:frame="1"/>
          <w:lang w:eastAsia="en-AU"/>
          <w14:ligatures w14:val="none"/>
        </w:rPr>
        <w:t>Developers</w:t>
      </w:r>
    </w:p>
    <w:p w14:paraId="0CBD0DA2"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Impacted stakeholders:</w:t>
      </w:r>
      <w:r w:rsidRPr="003E74AA">
        <w:rPr>
          <w:rFonts w:ascii="inherit" w:eastAsia="Times New Roman" w:hAnsi="inherit" w:cs="Open Sans"/>
          <w:color w:val="1D2021"/>
          <w:kern w:val="0"/>
          <w:lang w:eastAsia="en-AU"/>
          <w14:ligatures w14:val="none"/>
        </w:rPr>
        <w:t> Testers, AI users, AI consumers</w:t>
      </w:r>
    </w:p>
    <w:p w14:paraId="4BC0A7A3" w14:textId="77777777" w:rsidR="003E74AA" w:rsidRPr="003E74AA" w:rsidRDefault="003E74AA" w:rsidP="003E74AA">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Lifecycle stages: </w:t>
      </w:r>
      <w:r w:rsidRPr="003E74AA">
        <w:rPr>
          <w:rFonts w:ascii="inherit" w:eastAsia="Times New Roman" w:hAnsi="inherit" w:cs="Open Sans"/>
          <w:color w:val="1D2021"/>
          <w:kern w:val="0"/>
          <w:bdr w:val="none" w:sz="0" w:space="0" w:color="auto" w:frame="1"/>
          <w:lang w:eastAsia="en-AU"/>
          <w14:ligatures w14:val="none"/>
        </w:rPr>
        <w:t>Implementation</w:t>
      </w:r>
    </w:p>
    <w:p w14:paraId="38EC035D"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Relevant AI ethics principles: </w:t>
      </w:r>
      <w:r w:rsidRPr="003E74AA">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5149D6E2"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Mapping to AI regulations/standards:</w:t>
      </w:r>
      <w:r w:rsidRPr="003E74AA">
        <w:rPr>
          <w:rFonts w:ascii="inherit" w:eastAsia="Times New Roman" w:hAnsi="inherit" w:cs="Open Sans"/>
          <w:color w:val="1D2021"/>
          <w:kern w:val="0"/>
          <w:lang w:eastAsia="en-AU"/>
          <w14:ligatures w14:val="none"/>
        </w:rPr>
        <w:t> EU AI Act, ISO/IEC 42001:2023 Standard.</w:t>
      </w:r>
    </w:p>
    <w:p w14:paraId="18C57C9D"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Context: </w:t>
      </w:r>
      <w:r w:rsidRPr="003E74AA">
        <w:rPr>
          <w:rFonts w:ascii="inherit" w:eastAsia="Times New Roman" w:hAnsi="inherit" w:cs="Open Sans"/>
          <w:color w:val="1D2021"/>
          <w:kern w:val="0"/>
          <w:lang w:eastAsia="en-AU"/>
          <w14:ligatures w14:val="none"/>
        </w:rPr>
        <w:t>AI libraries or services offer reusable functionality APIs that developers can utilize during the development of AI systems. APIs can increase efficiency and significantly reduce the development cost and time associated with developing AI systems. However, it is important to consider potential ethical concerns, such as data privacy breaches or fairness issues, when utilizing APIs.</w:t>
      </w:r>
    </w:p>
    <w:p w14:paraId="6B4A44B6"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Problem: </w:t>
      </w:r>
      <w:r w:rsidRPr="003E74AA">
        <w:rPr>
          <w:rFonts w:ascii="inherit" w:eastAsia="Times New Roman" w:hAnsi="inherit" w:cs="Open Sans"/>
          <w:color w:val="1D2021"/>
          <w:kern w:val="0"/>
          <w:lang w:eastAsia="en-AU"/>
          <w14:ligatures w14:val="none"/>
        </w:rPr>
        <w:t>What are the ways to ensure that the design of APIs adheres to RAI regulations?</w:t>
      </w:r>
    </w:p>
    <w:p w14:paraId="1B3AE45E"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Solution: </w:t>
      </w:r>
      <w:r w:rsidRPr="003E74AA">
        <w:rPr>
          <w:rFonts w:ascii="inherit" w:eastAsia="Times New Roman" w:hAnsi="inherit" w:cs="Open Sans"/>
          <w:color w:val="1D2021"/>
          <w:kern w:val="0"/>
          <w:lang w:eastAsia="en-AU"/>
          <w14:ligatures w14:val="none"/>
        </w:rPr>
        <w:t>RAI compliance checking is necessary to detect whether any potential violation exists in the design of APIs. A knowledge-driven approach can be adopted to detect ethics issues using an RAI knowledge base. The RAI knowledge base provides a structured representation of meaningful entities, concepts, and their relationships in the development of AI systems. The rich relationships between entities are made explicit and traceable across various high-level documents and AI system artifacts. The RAI knowledge base can be constructed based on ethical principles and guidelines, such as the General Data Protection Regulation (GDPR), and technical documents like API documentation to support the RAI compliance checking for APIs.</w:t>
      </w:r>
    </w:p>
    <w:p w14:paraId="3D57B381"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Benefits: </w:t>
      </w:r>
    </w:p>
    <w:p w14:paraId="688E2F08" w14:textId="77777777" w:rsidR="003E74AA" w:rsidRPr="003E74AA" w:rsidRDefault="003E74AA" w:rsidP="003E74AA">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Compliance-checking: The RAI knowledge base, derived from the RAI regulatory documents and principles, provides structured data to support the creation of RAI compliance checking solutions for API design.</w:t>
      </w:r>
    </w:p>
    <w:p w14:paraId="31AF3793" w14:textId="77777777" w:rsidR="003E74AA" w:rsidRPr="003E74AA" w:rsidRDefault="003E74AA" w:rsidP="003E74AA">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 xml:space="preserve">Reduced verification cost: The RAI knowledge base can greatly reduce the </w:t>
      </w:r>
      <w:proofErr w:type="spellStart"/>
      <w:r w:rsidRPr="003E74AA">
        <w:rPr>
          <w:rFonts w:ascii="inherit" w:eastAsia="Times New Roman" w:hAnsi="inherit" w:cs="Open Sans"/>
          <w:color w:val="1D2021"/>
          <w:kern w:val="0"/>
          <w:lang w:eastAsia="en-AU"/>
          <w14:ligatures w14:val="none"/>
        </w:rPr>
        <w:t>labor</w:t>
      </w:r>
      <w:proofErr w:type="spellEnd"/>
      <w:r w:rsidRPr="003E74AA">
        <w:rPr>
          <w:rFonts w:ascii="inherit" w:eastAsia="Times New Roman" w:hAnsi="inherit" w:cs="Open Sans"/>
          <w:color w:val="1D2021"/>
          <w:kern w:val="0"/>
          <w:lang w:eastAsia="en-AU"/>
          <w14:ligatures w14:val="none"/>
        </w:rPr>
        <w:t xml:space="preserve"> cost associated with compliance checking.</w:t>
      </w:r>
    </w:p>
    <w:p w14:paraId="29F3CAEF"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lastRenderedPageBreak/>
        <w:t>Drawbacks:</w:t>
      </w:r>
      <w:r w:rsidRPr="003E74AA">
        <w:rPr>
          <w:rFonts w:ascii="inherit" w:eastAsia="Times New Roman" w:hAnsi="inherit" w:cs="Open Sans"/>
          <w:b/>
          <w:bCs/>
          <w:i/>
          <w:iCs/>
          <w:color w:val="1D2021"/>
          <w:kern w:val="0"/>
          <w:lang w:eastAsia="en-AU"/>
          <w14:ligatures w14:val="none"/>
        </w:rPr>
        <w:t> </w:t>
      </w:r>
    </w:p>
    <w:p w14:paraId="08BD0613" w14:textId="77777777" w:rsidR="003E74AA" w:rsidRPr="003E74AA" w:rsidRDefault="003E74AA" w:rsidP="003E74AA">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Increased development cost: Building an RAI knowledge base using natural language processing techniques can be time consuming and error prone.</w:t>
      </w:r>
    </w:p>
    <w:p w14:paraId="569EB2CF" w14:textId="77777777" w:rsidR="003E74AA" w:rsidRPr="003E74AA" w:rsidRDefault="003E74AA" w:rsidP="003E74AA">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Lack of expertise: It may require expertise in RAI regulations, as well as the technical knowledge of API design.</w:t>
      </w:r>
    </w:p>
    <w:p w14:paraId="213E99F9"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Related patterns:</w:t>
      </w:r>
    </w:p>
    <w:p w14:paraId="79A5B913" w14:textId="77777777" w:rsidR="003E74AA" w:rsidRPr="003E74AA" w:rsidRDefault="003E74AA" w:rsidP="003E74AA">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3E74AA">
          <w:rPr>
            <w:rFonts w:ascii="inherit" w:eastAsia="Times New Roman" w:hAnsi="inherit" w:cs="Open Sans"/>
            <w:color w:val="004B87"/>
            <w:kern w:val="0"/>
            <w:u w:val="single"/>
            <w:bdr w:val="none" w:sz="0" w:space="0" w:color="auto" w:frame="1"/>
            <w:lang w:eastAsia="en-AU"/>
            <w14:ligatures w14:val="none"/>
          </w:rPr>
          <w:t>RAI knowledge base</w:t>
        </w:r>
      </w:hyperlink>
      <w:r w:rsidRPr="003E74AA">
        <w:rPr>
          <w:rFonts w:ascii="inherit" w:eastAsia="Times New Roman" w:hAnsi="inherit" w:cs="Open Sans"/>
          <w:color w:val="1D2021"/>
          <w:kern w:val="0"/>
          <w:lang w:eastAsia="en-AU"/>
          <w14:ligatures w14:val="none"/>
        </w:rPr>
        <w:t>: Ethical issues of APIs can be detected by ethical knowledge base.</w:t>
      </w:r>
    </w:p>
    <w:p w14:paraId="65BA0303" w14:textId="77777777" w:rsidR="003E74AA" w:rsidRPr="003E74AA" w:rsidRDefault="003E74AA" w:rsidP="003E74A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b/>
          <w:bCs/>
          <w:color w:val="1D2021"/>
          <w:kern w:val="0"/>
          <w:lang w:eastAsia="en-AU"/>
          <w14:ligatures w14:val="none"/>
        </w:rPr>
        <w:t>Known uses:</w:t>
      </w:r>
    </w:p>
    <w:p w14:paraId="2C1286B2" w14:textId="77777777" w:rsidR="003E74AA" w:rsidRPr="003E74AA" w:rsidRDefault="003E74AA" w:rsidP="003E74AA">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Pandit et al. create a </w:t>
      </w:r>
      <w:hyperlink r:id="rId6" w:history="1">
        <w:r w:rsidRPr="003E74AA">
          <w:rPr>
            <w:rFonts w:ascii="inherit" w:eastAsia="Times New Roman" w:hAnsi="inherit" w:cs="Open Sans"/>
            <w:color w:val="004B87"/>
            <w:kern w:val="0"/>
            <w:u w:val="single"/>
            <w:bdr w:val="none" w:sz="0" w:space="0" w:color="auto" w:frame="1"/>
            <w:lang w:eastAsia="en-AU"/>
            <w14:ligatures w14:val="none"/>
          </w:rPr>
          <w:t>knowledge-based systems for GDPR compliance checking</w:t>
        </w:r>
      </w:hyperlink>
      <w:r w:rsidRPr="003E74AA">
        <w:rPr>
          <w:rFonts w:ascii="inherit" w:eastAsia="Times New Roman" w:hAnsi="inherit" w:cs="Open Sans"/>
          <w:color w:val="1D2021"/>
          <w:kern w:val="0"/>
          <w:lang w:eastAsia="en-AU"/>
          <w14:ligatures w14:val="none"/>
        </w:rPr>
        <w:t>.</w:t>
      </w:r>
    </w:p>
    <w:p w14:paraId="5DC63720" w14:textId="77777777" w:rsidR="003E74AA" w:rsidRPr="003E74AA" w:rsidRDefault="003E74AA" w:rsidP="003E74AA">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 xml:space="preserve">Libal </w:t>
      </w:r>
      <w:proofErr w:type="gramStart"/>
      <w:r w:rsidRPr="003E74AA">
        <w:rPr>
          <w:rFonts w:ascii="inherit" w:eastAsia="Times New Roman" w:hAnsi="inherit" w:cs="Open Sans"/>
          <w:color w:val="1D2021"/>
          <w:kern w:val="0"/>
          <w:lang w:eastAsia="en-AU"/>
          <w14:ligatures w14:val="none"/>
        </w:rPr>
        <w:t>design</w:t>
      </w:r>
      <w:proofErr w:type="gramEnd"/>
      <w:r w:rsidRPr="003E74AA">
        <w:rPr>
          <w:rFonts w:ascii="inherit" w:eastAsia="Times New Roman" w:hAnsi="inherit" w:cs="Open Sans"/>
          <w:color w:val="1D2021"/>
          <w:kern w:val="0"/>
          <w:lang w:eastAsia="en-AU"/>
          <w14:ligatures w14:val="none"/>
        </w:rPr>
        <w:t xml:space="preserve"> a tool named the </w:t>
      </w:r>
      <w:hyperlink r:id="rId7" w:history="1">
        <w:r w:rsidRPr="003E74AA">
          <w:rPr>
            <w:rFonts w:ascii="inherit" w:eastAsia="Times New Roman" w:hAnsi="inherit" w:cs="Open Sans"/>
            <w:color w:val="004B87"/>
            <w:kern w:val="0"/>
            <w:u w:val="single"/>
            <w:bdr w:val="none" w:sz="0" w:space="0" w:color="auto" w:frame="1"/>
            <w:lang w:eastAsia="en-AU"/>
            <w14:ligatures w14:val="none"/>
          </w:rPr>
          <w:t>NAI suite</w:t>
        </w:r>
      </w:hyperlink>
      <w:r w:rsidRPr="003E74AA">
        <w:rPr>
          <w:rFonts w:ascii="inherit" w:eastAsia="Times New Roman" w:hAnsi="inherit" w:cs="Open Sans"/>
          <w:color w:val="1D2021"/>
          <w:kern w:val="0"/>
          <w:lang w:eastAsia="en-AU"/>
          <w14:ligatures w14:val="none"/>
        </w:rPr>
        <w:t> that annotates GDPR article 13 and checks the process of data collection and processing.</w:t>
      </w:r>
    </w:p>
    <w:p w14:paraId="183DA603" w14:textId="77777777" w:rsidR="003E74AA" w:rsidRPr="003E74AA" w:rsidRDefault="003E74AA" w:rsidP="003E74AA">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3E74AA">
        <w:rPr>
          <w:rFonts w:ascii="inherit" w:eastAsia="Times New Roman" w:hAnsi="inherit" w:cs="Open Sans"/>
          <w:color w:val="1D2021"/>
          <w:kern w:val="0"/>
          <w:lang w:eastAsia="en-AU"/>
          <w14:ligatures w14:val="none"/>
        </w:rPr>
        <w:t>Hussain et al. present the </w:t>
      </w:r>
      <w:hyperlink r:id="rId8" w:history="1">
        <w:r w:rsidRPr="003E74AA">
          <w:rPr>
            <w:rFonts w:ascii="inherit" w:eastAsia="Times New Roman" w:hAnsi="inherit" w:cs="Open Sans"/>
            <w:color w:val="004B87"/>
            <w:kern w:val="0"/>
            <w:u w:val="single"/>
            <w:bdr w:val="none" w:sz="0" w:space="0" w:color="auto" w:frame="1"/>
            <w:lang w:eastAsia="en-AU"/>
            <w14:ligatures w14:val="none"/>
          </w:rPr>
          <w:t>effects of API security mechanisms on GDPR</w:t>
        </w:r>
      </w:hyperlink>
      <w:r w:rsidRPr="003E74AA">
        <w:rPr>
          <w:rFonts w:ascii="inherit" w:eastAsia="Times New Roman" w:hAnsi="inherit" w:cs="Open Sans"/>
          <w:color w:val="1D2021"/>
          <w:kern w:val="0"/>
          <w:lang w:eastAsia="en-AU"/>
          <w14:ligatures w14:val="none"/>
        </w:rPr>
        <w:t>.</w:t>
      </w:r>
    </w:p>
    <w:p w14:paraId="232531D1" w14:textId="77777777" w:rsidR="003E74AA" w:rsidRDefault="003E74AA"/>
    <w:sectPr w:rsidR="003E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830"/>
    <w:multiLevelType w:val="multilevel"/>
    <w:tmpl w:val="AC2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F47EE"/>
    <w:multiLevelType w:val="multilevel"/>
    <w:tmpl w:val="707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5673B"/>
    <w:multiLevelType w:val="multilevel"/>
    <w:tmpl w:val="1BB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044E9"/>
    <w:multiLevelType w:val="multilevel"/>
    <w:tmpl w:val="CD4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77285">
    <w:abstractNumId w:val="0"/>
  </w:num>
  <w:num w:numId="2" w16cid:durableId="1901088461">
    <w:abstractNumId w:val="2"/>
  </w:num>
  <w:num w:numId="3" w16cid:durableId="1818524087">
    <w:abstractNumId w:val="3"/>
  </w:num>
  <w:num w:numId="4" w16cid:durableId="11713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AA"/>
    <w:rsid w:val="0029460E"/>
    <w:rsid w:val="003E74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3DD8"/>
  <w15:chartTrackingRefBased/>
  <w15:docId w15:val="{19E2B29C-678A-4F51-AD6D-AAE6E44F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4AA"/>
    <w:rPr>
      <w:rFonts w:eastAsiaTheme="majorEastAsia" w:cstheme="majorBidi"/>
      <w:color w:val="272727" w:themeColor="text1" w:themeTint="D8"/>
    </w:rPr>
  </w:style>
  <w:style w:type="paragraph" w:styleId="Title">
    <w:name w:val="Title"/>
    <w:basedOn w:val="Normal"/>
    <w:next w:val="Normal"/>
    <w:link w:val="TitleChar"/>
    <w:uiPriority w:val="10"/>
    <w:qFormat/>
    <w:rsid w:val="003E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4AA"/>
    <w:pPr>
      <w:spacing w:before="160"/>
      <w:jc w:val="center"/>
    </w:pPr>
    <w:rPr>
      <w:i/>
      <w:iCs/>
      <w:color w:val="404040" w:themeColor="text1" w:themeTint="BF"/>
    </w:rPr>
  </w:style>
  <w:style w:type="character" w:customStyle="1" w:styleId="QuoteChar">
    <w:name w:val="Quote Char"/>
    <w:basedOn w:val="DefaultParagraphFont"/>
    <w:link w:val="Quote"/>
    <w:uiPriority w:val="29"/>
    <w:rsid w:val="003E74AA"/>
    <w:rPr>
      <w:i/>
      <w:iCs/>
      <w:color w:val="404040" w:themeColor="text1" w:themeTint="BF"/>
    </w:rPr>
  </w:style>
  <w:style w:type="paragraph" w:styleId="ListParagraph">
    <w:name w:val="List Paragraph"/>
    <w:basedOn w:val="Normal"/>
    <w:uiPriority w:val="34"/>
    <w:qFormat/>
    <w:rsid w:val="003E74AA"/>
    <w:pPr>
      <w:ind w:left="720"/>
      <w:contextualSpacing/>
    </w:pPr>
  </w:style>
  <w:style w:type="character" w:styleId="IntenseEmphasis">
    <w:name w:val="Intense Emphasis"/>
    <w:basedOn w:val="DefaultParagraphFont"/>
    <w:uiPriority w:val="21"/>
    <w:qFormat/>
    <w:rsid w:val="003E74AA"/>
    <w:rPr>
      <w:i/>
      <w:iCs/>
      <w:color w:val="0F4761" w:themeColor="accent1" w:themeShade="BF"/>
    </w:rPr>
  </w:style>
  <w:style w:type="paragraph" w:styleId="IntenseQuote">
    <w:name w:val="Intense Quote"/>
    <w:basedOn w:val="Normal"/>
    <w:next w:val="Normal"/>
    <w:link w:val="IntenseQuoteChar"/>
    <w:uiPriority w:val="30"/>
    <w:qFormat/>
    <w:rsid w:val="003E7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4AA"/>
    <w:rPr>
      <w:i/>
      <w:iCs/>
      <w:color w:val="0F4761" w:themeColor="accent1" w:themeShade="BF"/>
    </w:rPr>
  </w:style>
  <w:style w:type="character" w:styleId="IntenseReference">
    <w:name w:val="Intense Reference"/>
    <w:basedOn w:val="DefaultParagraphFont"/>
    <w:uiPriority w:val="32"/>
    <w:qFormat/>
    <w:rsid w:val="003E7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stamp/stamp.jsp?tp=&amp;arnumber=9194432" TargetMode="External"/><Relationship Id="rId3" Type="http://schemas.openxmlformats.org/officeDocument/2006/relationships/settings" Target="settings.xml"/><Relationship Id="rId7" Type="http://schemas.openxmlformats.org/officeDocument/2006/relationships/hyperlink" Target="https://link.springer.com/chapter/10.1007/978-3-030-73959-1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eur-ws.org/Vol-2317/article-08.pdf" TargetMode="External"/><Relationship Id="rId5" Type="http://schemas.openxmlformats.org/officeDocument/2006/relationships/hyperlink" Target="https://research.csiro.au/ss/science/projects/responsible-ai-pattern-catalogue/rai-knowledge-b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2692</Characters>
  <Application>Microsoft Office Word</Application>
  <DocSecurity>0</DocSecurity>
  <Lines>53</Lines>
  <Paragraphs>29</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2026-07-14T16:26:00Z</dcterms:created>
  <dcterms:modified xsi:type="dcterms:W3CDTF">2026-07-14T16:26:00Z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2026-07-14T16:26:44Z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c2678d08-0daf-4982-947d-a10b2cceb1eb</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