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7186E" w14:textId="77777777" w:rsidR="00BD1084" w:rsidRPr="00BD1084" w:rsidRDefault="00BD1084" w:rsidP="00BD1084">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BD1084">
        <w:rPr>
          <w:rFonts w:ascii="Montserrat" w:eastAsia="Times New Roman" w:hAnsi="Montserrat" w:cs="Times New Roman"/>
          <w:color w:val="142C3F"/>
          <w:kern w:val="36"/>
          <w:sz w:val="48"/>
          <w:szCs w:val="48"/>
          <w:lang w:eastAsia="en-AU"/>
          <w14:ligatures w14:val="none"/>
        </w:rPr>
        <w:t>RAI Governance via APIs</w:t>
      </w:r>
    </w:p>
    <w:p w14:paraId="14110C14"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Summary: </w:t>
      </w:r>
      <w:r w:rsidRPr="00BD1084">
        <w:rPr>
          <w:rFonts w:ascii="inherit" w:eastAsia="Times New Roman" w:hAnsi="inherit" w:cs="Open Sans"/>
          <w:color w:val="1D2021"/>
          <w:kern w:val="0"/>
          <w:lang w:eastAsia="en-AU"/>
          <w14:ligatures w14:val="none"/>
        </w:rPr>
        <w:t>To restrict the way AI systems are used, developers can provide AI services in the cloud and control the interactions with these services via APIs.</w:t>
      </w:r>
    </w:p>
    <w:p w14:paraId="6D09261E"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Type of pattern: </w:t>
      </w:r>
      <w:r w:rsidRPr="00BD1084">
        <w:rPr>
          <w:rFonts w:ascii="inherit" w:eastAsia="Times New Roman" w:hAnsi="inherit" w:cs="Open Sans"/>
          <w:color w:val="1D2021"/>
          <w:kern w:val="0"/>
          <w:lang w:eastAsia="en-AU"/>
          <w14:ligatures w14:val="none"/>
        </w:rPr>
        <w:t>Process pattern</w:t>
      </w:r>
    </w:p>
    <w:p w14:paraId="13083859"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Type of objective: </w:t>
      </w:r>
      <w:r w:rsidRPr="00BD1084">
        <w:rPr>
          <w:rFonts w:ascii="inherit" w:eastAsia="Times New Roman" w:hAnsi="inherit" w:cs="Open Sans"/>
          <w:color w:val="1D2021"/>
          <w:kern w:val="0"/>
          <w:lang w:eastAsia="en-AU"/>
          <w14:ligatures w14:val="none"/>
        </w:rPr>
        <w:t>Trustworthiness</w:t>
      </w:r>
    </w:p>
    <w:p w14:paraId="3D667417"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Target users: </w:t>
      </w:r>
      <w:r w:rsidRPr="00BD1084">
        <w:rPr>
          <w:rFonts w:ascii="inherit" w:eastAsia="Times New Roman" w:hAnsi="inherit" w:cs="Open Sans"/>
          <w:color w:val="1D2021"/>
          <w:kern w:val="0"/>
          <w:lang w:eastAsia="en-AU"/>
          <w14:ligatures w14:val="none"/>
        </w:rPr>
        <w:t>Developers</w:t>
      </w:r>
    </w:p>
    <w:p w14:paraId="1E807451"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Impacted stakeholders: </w:t>
      </w:r>
      <w:r w:rsidRPr="00BD1084">
        <w:rPr>
          <w:rFonts w:ascii="inherit" w:eastAsia="Times New Roman" w:hAnsi="inherit" w:cs="Open Sans"/>
          <w:color w:val="1D2021"/>
          <w:kern w:val="0"/>
          <w:lang w:eastAsia="en-AU"/>
          <w14:ligatures w14:val="none"/>
        </w:rPr>
        <w:t>AI technology procurers, AI solution procurers, AI users, AI consumers</w:t>
      </w:r>
    </w:p>
    <w:p w14:paraId="40FB18B9"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Lifecycle stages: </w:t>
      </w:r>
      <w:r w:rsidRPr="00BD1084">
        <w:rPr>
          <w:rFonts w:ascii="inherit" w:eastAsia="Times New Roman" w:hAnsi="inherit" w:cs="Open Sans"/>
          <w:color w:val="1D2021"/>
          <w:kern w:val="0"/>
          <w:lang w:eastAsia="en-AU"/>
          <w14:ligatures w14:val="none"/>
        </w:rPr>
        <w:t>Implementation</w:t>
      </w:r>
    </w:p>
    <w:p w14:paraId="7BF04E1D"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Relevant AI ethics principles: </w:t>
      </w:r>
      <w:r w:rsidRPr="00BD1084">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4CF1B7BA"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Mapping to AI regulations/standards:</w:t>
      </w:r>
      <w:r w:rsidRPr="00BD1084">
        <w:rPr>
          <w:rFonts w:ascii="inherit" w:eastAsia="Times New Roman" w:hAnsi="inherit" w:cs="Open Sans"/>
          <w:color w:val="1D2021"/>
          <w:kern w:val="0"/>
          <w:lang w:eastAsia="en-AU"/>
          <w14:ligatures w14:val="none"/>
        </w:rPr>
        <w:t> EU AI Act, ISO/IEC 42001:2023 Standard.</w:t>
      </w:r>
    </w:p>
    <w:p w14:paraId="70224AE3"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Context: </w:t>
      </w:r>
      <w:r w:rsidRPr="00BD1084">
        <w:rPr>
          <w:rFonts w:ascii="inherit" w:eastAsia="Times New Roman" w:hAnsi="inherit" w:cs="Open Sans"/>
          <w:color w:val="1D2021"/>
          <w:kern w:val="0"/>
          <w:lang w:eastAsia="en-AU"/>
          <w14:ligatures w14:val="none"/>
        </w:rPr>
        <w:t>Some AI systems may possess high-risk capabilities, which can be used or modified to perform harmful tasks. These capabilities may include natural language processing, speech and facial recognition, and decision-making abilities. It is crucial for developers to be aware of these high-risk capabilities and implement strict access controls to prevent any suspicious activity.</w:t>
      </w:r>
    </w:p>
    <w:p w14:paraId="6E9FCB04"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Problem: </w:t>
      </w:r>
      <w:r w:rsidRPr="00BD1084">
        <w:rPr>
          <w:rFonts w:ascii="inherit" w:eastAsia="Times New Roman" w:hAnsi="inherit" w:cs="Open Sans"/>
          <w:color w:val="1D2021"/>
          <w:kern w:val="0"/>
          <w:lang w:eastAsia="en-AU"/>
          <w14:ligatures w14:val="none"/>
        </w:rPr>
        <w:t>How can developers limit the use of AI systems?</w:t>
      </w:r>
    </w:p>
    <w:p w14:paraId="033C4FAB"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Solution: </w:t>
      </w:r>
      <w:r w:rsidRPr="00BD1084">
        <w:rPr>
          <w:rFonts w:ascii="inherit" w:eastAsia="Times New Roman" w:hAnsi="inherit" w:cs="Open Sans"/>
          <w:color w:val="1D2021"/>
          <w:kern w:val="0"/>
          <w:lang w:eastAsia="en-AU"/>
          <w14:ligatures w14:val="none"/>
        </w:rPr>
        <w:t>To prevent harmful dual use of AI systems, developers should carefully consider both the intended and unintended uses of their AI systems. This includes being aware of ways the systems may be adapted or modified. To limit the use of AI systems, developers should implement restrictions on the way AI systems are used and prevent the users from getting around restrictions by unauthorized reverse-engineering or modification of the system design. One way to do this is by providing AI services on cloud platforms and managing interactions through API controls, rather than allowing AI systems to run locally with unrestricted access.</w:t>
      </w:r>
    </w:p>
    <w:p w14:paraId="3BC9064C"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Benefits: </w:t>
      </w:r>
    </w:p>
    <w:p w14:paraId="2A036DC6" w14:textId="77777777" w:rsidR="00BD1084" w:rsidRPr="00BD1084" w:rsidRDefault="00BD1084" w:rsidP="00BD1084">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color w:val="1D2021"/>
          <w:kern w:val="0"/>
          <w:lang w:eastAsia="en-AU"/>
          <w14:ligatures w14:val="none"/>
        </w:rPr>
        <w:t>Compliance with regulations: Providing AI services on cloud platforms and controlling interactions through API controls can help developers comply with RAI regulatory requirements.</w:t>
      </w:r>
    </w:p>
    <w:p w14:paraId="60971F71" w14:textId="77777777" w:rsidR="00BD1084" w:rsidRPr="00BD1084" w:rsidRDefault="00BD1084" w:rsidP="00BD1084">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color w:val="1D2021"/>
          <w:kern w:val="0"/>
          <w:lang w:eastAsia="en-AU"/>
          <w14:ligatures w14:val="none"/>
        </w:rPr>
        <w:t>Protection against malicious use: By restricting access to AI systems and preventing unauthorized modifications, developers can reduce the risk of their systems being used for harmful purposes.</w:t>
      </w:r>
    </w:p>
    <w:p w14:paraId="209E1C14"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lastRenderedPageBreak/>
        <w:t>Drawbacks:</w:t>
      </w:r>
      <w:r w:rsidRPr="00BD1084">
        <w:rPr>
          <w:rFonts w:ascii="inherit" w:eastAsia="Times New Roman" w:hAnsi="inherit" w:cs="Open Sans"/>
          <w:b/>
          <w:bCs/>
          <w:i/>
          <w:iCs/>
          <w:color w:val="1D2021"/>
          <w:kern w:val="0"/>
          <w:lang w:eastAsia="en-AU"/>
          <w14:ligatures w14:val="none"/>
        </w:rPr>
        <w:t> </w:t>
      </w:r>
    </w:p>
    <w:p w14:paraId="6CA7DF90" w14:textId="77777777" w:rsidR="00BD1084" w:rsidRPr="00BD1084" w:rsidRDefault="00BD1084" w:rsidP="00BD1084">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color w:val="1D2021"/>
          <w:kern w:val="0"/>
          <w:lang w:eastAsia="en-AU"/>
          <w14:ligatures w14:val="none"/>
        </w:rPr>
        <w:t>Dependence on cloud providers: By hosting AI services on cloud platforms, developers may become dependent on the platform providers and their policies.</w:t>
      </w:r>
    </w:p>
    <w:p w14:paraId="7F388F45" w14:textId="77777777" w:rsidR="00BD1084" w:rsidRPr="00BD1084" w:rsidRDefault="00BD1084" w:rsidP="00BD1084">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color w:val="1D2021"/>
          <w:kern w:val="0"/>
          <w:lang w:eastAsia="en-AU"/>
          <w14:ligatures w14:val="none"/>
        </w:rPr>
        <w:t>Limited access to certain users: Some users may be prevented from accessing the AI services if they do not have much knowledge on how to use APIs.</w:t>
      </w:r>
    </w:p>
    <w:p w14:paraId="37DD42ED" w14:textId="77777777" w:rsidR="00BD1084" w:rsidRPr="00BD1084" w:rsidRDefault="00BD1084" w:rsidP="00BD1084">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color w:val="1D2021"/>
          <w:kern w:val="0"/>
          <w:lang w:eastAsia="en-AU"/>
          <w14:ligatures w14:val="none"/>
        </w:rPr>
        <w:t>Limited performance: Offering AI services on cloud platforms may result in longer response time compared to local deployment.</w:t>
      </w:r>
    </w:p>
    <w:p w14:paraId="3E5D577D"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Related patterns:</w:t>
      </w:r>
    </w:p>
    <w:p w14:paraId="1DF224A3" w14:textId="77777777" w:rsidR="00BD1084" w:rsidRPr="00BD1084" w:rsidRDefault="00BD1084" w:rsidP="00BD1084">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BD1084">
          <w:rPr>
            <w:rFonts w:ascii="inherit" w:eastAsia="Times New Roman" w:hAnsi="inherit" w:cs="Open Sans"/>
            <w:color w:val="004B87"/>
            <w:kern w:val="0"/>
            <w:u w:val="single"/>
            <w:bdr w:val="none" w:sz="0" w:space="0" w:color="auto" w:frame="1"/>
            <w:lang w:eastAsia="en-AU"/>
            <w14:ligatures w14:val="none"/>
          </w:rPr>
          <w:t>AI regulation</w:t>
        </w:r>
      </w:hyperlink>
      <w:r w:rsidRPr="00BD1084">
        <w:rPr>
          <w:rFonts w:ascii="inherit" w:eastAsia="Times New Roman" w:hAnsi="inherit" w:cs="Open Sans"/>
          <w:color w:val="1D2021"/>
          <w:kern w:val="0"/>
          <w:lang w:eastAsia="en-AU"/>
          <w14:ligatures w14:val="none"/>
        </w:rPr>
        <w:t>: The design of APIs must be compliant with RAI regulations.</w:t>
      </w:r>
    </w:p>
    <w:p w14:paraId="6D744CF7" w14:textId="77777777" w:rsidR="00BD1084" w:rsidRPr="00BD1084" w:rsidRDefault="00BD1084" w:rsidP="00BD1084">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D1084">
        <w:rPr>
          <w:rFonts w:ascii="inherit" w:eastAsia="Times New Roman" w:hAnsi="inherit" w:cs="Open Sans"/>
          <w:b/>
          <w:bCs/>
          <w:color w:val="1D2021"/>
          <w:kern w:val="0"/>
          <w:lang w:eastAsia="en-AU"/>
          <w14:ligatures w14:val="none"/>
        </w:rPr>
        <w:t>Known uses:</w:t>
      </w:r>
    </w:p>
    <w:p w14:paraId="21B99213" w14:textId="77777777" w:rsidR="00BD1084" w:rsidRPr="00BD1084" w:rsidRDefault="00BD1084" w:rsidP="00BD108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BD1084">
          <w:rPr>
            <w:rFonts w:ascii="inherit" w:eastAsia="Times New Roman" w:hAnsi="inherit" w:cs="Open Sans"/>
            <w:color w:val="004B87"/>
            <w:kern w:val="0"/>
            <w:u w:val="single"/>
            <w:bdr w:val="none" w:sz="0" w:space="0" w:color="auto" w:frame="1"/>
            <w:lang w:eastAsia="en-AU"/>
            <w14:ligatures w14:val="none"/>
          </w:rPr>
          <w:t>OpenAI’s lan</w:t>
        </w:r>
      </w:hyperlink>
      <w:hyperlink r:id="rId7" w:history="1">
        <w:r w:rsidRPr="00BD1084">
          <w:rPr>
            <w:rFonts w:ascii="inherit" w:eastAsia="Times New Roman" w:hAnsi="inherit" w:cs="Open Sans"/>
            <w:color w:val="004B87"/>
            <w:kern w:val="0"/>
            <w:u w:val="single"/>
            <w:bdr w:val="none" w:sz="0" w:space="0" w:color="auto" w:frame="1"/>
            <w:lang w:eastAsia="en-AU"/>
            <w14:ligatures w14:val="none"/>
          </w:rPr>
          <w:t>guage model GPT-3</w:t>
        </w:r>
      </w:hyperlink>
      <w:r w:rsidRPr="00BD1084">
        <w:rPr>
          <w:rFonts w:ascii="inherit" w:eastAsia="Times New Roman" w:hAnsi="inherit" w:cs="Open Sans"/>
          <w:color w:val="1D2021"/>
          <w:kern w:val="0"/>
          <w:lang w:eastAsia="en-AU"/>
          <w14:ligatures w14:val="none"/>
        </w:rPr>
        <w:t> can be only integrated with AI systems through an API by approved users.</w:t>
      </w:r>
    </w:p>
    <w:p w14:paraId="67259D92" w14:textId="77777777" w:rsidR="00BD1084" w:rsidRPr="00BD1084" w:rsidRDefault="00BD1084" w:rsidP="00BD108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BD1084">
          <w:rPr>
            <w:rFonts w:ascii="inherit" w:eastAsia="Times New Roman" w:hAnsi="inherit" w:cs="Open Sans"/>
            <w:color w:val="004B87"/>
            <w:kern w:val="0"/>
            <w:u w:val="single"/>
            <w:bdr w:val="none" w:sz="0" w:space="0" w:color="auto" w:frame="1"/>
            <w:lang w:eastAsia="en-AU"/>
            <w14:ligatures w14:val="none"/>
          </w:rPr>
          <w:t>Google Vision AI</w:t>
        </w:r>
      </w:hyperlink>
      <w:r w:rsidRPr="00BD1084">
        <w:rPr>
          <w:rFonts w:ascii="inherit" w:eastAsia="Times New Roman" w:hAnsi="inherit" w:cs="Open Sans"/>
          <w:color w:val="1D2021"/>
          <w:kern w:val="0"/>
          <w:lang w:eastAsia="en-AU"/>
          <w14:ligatures w14:val="none"/>
        </w:rPr>
        <w:t> limit its facial recognition feature to a few celebrities through API.</w:t>
      </w:r>
    </w:p>
    <w:p w14:paraId="1B409AB4" w14:textId="06598821" w:rsidR="00BD1084" w:rsidRPr="00BD1084" w:rsidRDefault="00BD1084" w:rsidP="00BD1084">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BD1084">
          <w:rPr>
            <w:rFonts w:ascii="inherit" w:eastAsia="Times New Roman" w:hAnsi="inherit" w:cs="Open Sans"/>
            <w:color w:val="004B87"/>
            <w:kern w:val="0"/>
            <w:u w:val="single"/>
            <w:bdr w:val="none" w:sz="0" w:space="0" w:color="auto" w:frame="1"/>
            <w:lang w:eastAsia="en-AU"/>
            <w14:ligatures w14:val="none"/>
          </w:rPr>
          <w:t>Amazon Rekognition</w:t>
        </w:r>
      </w:hyperlink>
      <w:r w:rsidRPr="00BD1084">
        <w:rPr>
          <w:rFonts w:ascii="inherit" w:eastAsia="Times New Roman" w:hAnsi="inherit" w:cs="Open Sans"/>
          <w:color w:val="1D2021"/>
          <w:kern w:val="0"/>
          <w:lang w:eastAsia="en-AU"/>
          <w14:ligatures w14:val="none"/>
        </w:rPr>
        <w:t> provides customizable computer vision APIs for building image and video analysis.</w:t>
      </w:r>
    </w:p>
    <w:sectPr w:rsidR="00BD1084" w:rsidRPr="00BD1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0ADD"/>
    <w:multiLevelType w:val="multilevel"/>
    <w:tmpl w:val="FFE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1622"/>
    <w:multiLevelType w:val="multilevel"/>
    <w:tmpl w:val="A26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9223F"/>
    <w:multiLevelType w:val="multilevel"/>
    <w:tmpl w:val="2BB6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56593"/>
    <w:multiLevelType w:val="multilevel"/>
    <w:tmpl w:val="000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17798">
    <w:abstractNumId w:val="1"/>
  </w:num>
  <w:num w:numId="2" w16cid:durableId="1356347460">
    <w:abstractNumId w:val="2"/>
  </w:num>
  <w:num w:numId="3" w16cid:durableId="1969895217">
    <w:abstractNumId w:val="3"/>
  </w:num>
  <w:num w:numId="4" w16cid:durableId="9078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84"/>
    <w:rsid w:val="0029460E"/>
    <w:rsid w:val="00BD10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A7FB"/>
  <w15:chartTrackingRefBased/>
  <w15:docId w15:val="{26234CAF-182B-4854-95B3-3FAA4C47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84"/>
    <w:rPr>
      <w:rFonts w:eastAsiaTheme="majorEastAsia" w:cstheme="majorBidi"/>
      <w:color w:val="272727" w:themeColor="text1" w:themeTint="D8"/>
    </w:rPr>
  </w:style>
  <w:style w:type="paragraph" w:styleId="Title">
    <w:name w:val="Title"/>
    <w:basedOn w:val="Normal"/>
    <w:next w:val="Normal"/>
    <w:link w:val="TitleChar"/>
    <w:uiPriority w:val="10"/>
    <w:qFormat/>
    <w:rsid w:val="00BD1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84"/>
    <w:pPr>
      <w:spacing w:before="160"/>
      <w:jc w:val="center"/>
    </w:pPr>
    <w:rPr>
      <w:i/>
      <w:iCs/>
      <w:color w:val="404040" w:themeColor="text1" w:themeTint="BF"/>
    </w:rPr>
  </w:style>
  <w:style w:type="character" w:customStyle="1" w:styleId="QuoteChar">
    <w:name w:val="Quote Char"/>
    <w:basedOn w:val="DefaultParagraphFont"/>
    <w:link w:val="Quote"/>
    <w:uiPriority w:val="29"/>
    <w:rsid w:val="00BD1084"/>
    <w:rPr>
      <w:i/>
      <w:iCs/>
      <w:color w:val="404040" w:themeColor="text1" w:themeTint="BF"/>
    </w:rPr>
  </w:style>
  <w:style w:type="paragraph" w:styleId="ListParagraph">
    <w:name w:val="List Paragraph"/>
    <w:basedOn w:val="Normal"/>
    <w:uiPriority w:val="34"/>
    <w:qFormat/>
    <w:rsid w:val="00BD1084"/>
    <w:pPr>
      <w:ind w:left="720"/>
      <w:contextualSpacing/>
    </w:pPr>
  </w:style>
  <w:style w:type="character" w:styleId="IntenseEmphasis">
    <w:name w:val="Intense Emphasis"/>
    <w:basedOn w:val="DefaultParagraphFont"/>
    <w:uiPriority w:val="21"/>
    <w:qFormat/>
    <w:rsid w:val="00BD1084"/>
    <w:rPr>
      <w:i/>
      <w:iCs/>
      <w:color w:val="0F4761" w:themeColor="accent1" w:themeShade="BF"/>
    </w:rPr>
  </w:style>
  <w:style w:type="paragraph" w:styleId="IntenseQuote">
    <w:name w:val="Intense Quote"/>
    <w:basedOn w:val="Normal"/>
    <w:next w:val="Normal"/>
    <w:link w:val="IntenseQuoteChar"/>
    <w:uiPriority w:val="30"/>
    <w:qFormat/>
    <w:rsid w:val="00BD1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084"/>
    <w:rPr>
      <w:i/>
      <w:iCs/>
      <w:color w:val="0F4761" w:themeColor="accent1" w:themeShade="BF"/>
    </w:rPr>
  </w:style>
  <w:style w:type="character" w:styleId="IntenseReference">
    <w:name w:val="Intense Reference"/>
    <w:basedOn w:val="DefaultParagraphFont"/>
    <w:uiPriority w:val="32"/>
    <w:qFormat/>
    <w:rsid w:val="00BD1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vision" TargetMode="External"/><Relationship Id="rId3" Type="http://schemas.openxmlformats.org/officeDocument/2006/relationships/settings" Target="settings.xml"/><Relationship Id="rId7" Type="http://schemas.openxmlformats.org/officeDocument/2006/relationships/hyperlink" Target="https://openai.com/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api/"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ai-regul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rek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2826</Characters>
  <Application>Microsoft Office Word</Application>
  <DocSecurity>0</DocSecurity>
  <Lines>55</Lines>
  <Paragraphs>32</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2026-07-14T16:26:00Z</dcterms:created>
  <dcterms:modified xsi:type="dcterms:W3CDTF">2026-07-14T16:27:00Z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2026-07-14T16:27:16Z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c619e3ee-c073-4923-84e8-015a617866c2</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