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9A969" w14:textId="77777777" w:rsidR="008C6F63" w:rsidRPr="008C6F63" w:rsidRDefault="008C6F63" w:rsidP="008C6F63">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8C6F63">
        <w:rPr>
          <w:rFonts w:ascii="Montserrat" w:eastAsia="Times New Roman" w:hAnsi="Montserrat" w:cs="Times New Roman"/>
          <w:color w:val="142C3F"/>
          <w:kern w:val="36"/>
          <w:sz w:val="48"/>
          <w:szCs w:val="48"/>
          <w:lang w:eastAsia="en-AU"/>
          <w14:ligatures w14:val="none"/>
        </w:rPr>
        <w:t>RAI Knowledge Base</w:t>
      </w:r>
    </w:p>
    <w:p w14:paraId="76D4F044"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Summary:</w:t>
      </w:r>
      <w:r w:rsidRPr="008C6F63">
        <w:rPr>
          <w:rFonts w:ascii="inherit" w:eastAsia="Times New Roman" w:hAnsi="inherit" w:cs="Open Sans"/>
          <w:color w:val="1D2021"/>
          <w:kern w:val="0"/>
          <w:lang w:eastAsia="en-AU"/>
          <w14:ligatures w14:val="none"/>
        </w:rPr>
        <w:t> The RAI knowledge base (e.g., the knowledge captured by a knowledge graph) makes meaningful entities and concepts, and their relationships in design, implementation, deployment, and operation of AI systems.</w:t>
      </w:r>
    </w:p>
    <w:p w14:paraId="621259B6"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Type of pattern:</w:t>
      </w:r>
      <w:r w:rsidRPr="008C6F63">
        <w:rPr>
          <w:rFonts w:ascii="inherit" w:eastAsia="Times New Roman" w:hAnsi="inherit" w:cs="Open Sans"/>
          <w:color w:val="1D2021"/>
          <w:kern w:val="0"/>
          <w:lang w:eastAsia="en-AU"/>
          <w14:ligatures w14:val="none"/>
        </w:rPr>
        <w:t> Product pattern</w:t>
      </w:r>
    </w:p>
    <w:p w14:paraId="75088271"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Type of objective:</w:t>
      </w:r>
      <w:r w:rsidRPr="008C6F63">
        <w:rPr>
          <w:rFonts w:ascii="inherit" w:eastAsia="Times New Roman" w:hAnsi="inherit" w:cs="Open Sans"/>
          <w:color w:val="1D2021"/>
          <w:kern w:val="0"/>
          <w:lang w:eastAsia="en-AU"/>
          <w14:ligatures w14:val="none"/>
        </w:rPr>
        <w:t> Trustworthiness</w:t>
      </w:r>
    </w:p>
    <w:p w14:paraId="62811565"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Target users:</w:t>
      </w:r>
      <w:r w:rsidRPr="008C6F63">
        <w:rPr>
          <w:rFonts w:ascii="inherit" w:eastAsia="Times New Roman" w:hAnsi="inherit" w:cs="Open Sans"/>
          <w:color w:val="1D2021"/>
          <w:kern w:val="0"/>
          <w:lang w:eastAsia="en-AU"/>
          <w14:ligatures w14:val="none"/>
        </w:rPr>
        <w:t> Architects, developers, data scientists</w:t>
      </w:r>
    </w:p>
    <w:p w14:paraId="0D1EB6B6"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Impacted stakeholders:</w:t>
      </w:r>
      <w:r w:rsidRPr="008C6F63">
        <w:rPr>
          <w:rFonts w:ascii="inherit" w:eastAsia="Times New Roman" w:hAnsi="inherit" w:cs="Open Sans"/>
          <w:color w:val="1D2021"/>
          <w:kern w:val="0"/>
          <w:lang w:eastAsia="en-AU"/>
          <w14:ligatures w14:val="none"/>
        </w:rPr>
        <w:t> RAI governors, AI users, AI consumers </w:t>
      </w:r>
    </w:p>
    <w:p w14:paraId="6E54109F"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Relevant AI ethics principles:</w:t>
      </w:r>
      <w:r w:rsidRPr="008C6F63">
        <w:rPr>
          <w:rFonts w:ascii="inherit" w:eastAsia="Times New Roman" w:hAnsi="inherit" w:cs="Open Sans"/>
          <w:color w:val="1D2021"/>
          <w:kern w:val="0"/>
          <w:lang w:eastAsia="en-AU"/>
          <w14:ligatures w14:val="none"/>
        </w:rPr>
        <w:t> Human, societal and environmental wellbeing, human-centred values, fairness, privacy protection and security, reliability and safety, transparency and explainability, contestability, accountability</w:t>
      </w:r>
    </w:p>
    <w:p w14:paraId="2A0E9FEB"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Mapping to AI regulations/standards:</w:t>
      </w:r>
      <w:r w:rsidRPr="008C6F63">
        <w:rPr>
          <w:rFonts w:ascii="inherit" w:eastAsia="Times New Roman" w:hAnsi="inherit" w:cs="Open Sans"/>
          <w:color w:val="1D2021"/>
          <w:kern w:val="0"/>
          <w:lang w:eastAsia="en-AU"/>
          <w14:ligatures w14:val="none"/>
        </w:rPr>
        <w:t> ISO/IEC 42001:2023 Standard.</w:t>
      </w:r>
    </w:p>
    <w:p w14:paraId="0E19D377"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Context:</w:t>
      </w:r>
      <w:r w:rsidRPr="008C6F63">
        <w:rPr>
          <w:rFonts w:ascii="inherit" w:eastAsia="Times New Roman" w:hAnsi="inherit" w:cs="Open Sans"/>
          <w:color w:val="1D2021"/>
          <w:kern w:val="0"/>
          <w:lang w:eastAsia="en-AU"/>
          <w14:ligatures w14:val="none"/>
        </w:rPr>
        <w:t> The ecosystem of AI systems involves broad ethical knowledge, such as AI ethics principles, regulations, and guidelines. Such ethical knowledge is scattered and is usually implicit or abstract to end users or even developers and data scientists who primarily do not have a legal background and focus more on the technical aspects of AI systems.</w:t>
      </w:r>
    </w:p>
    <w:p w14:paraId="0FD22E96"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Problem:</w:t>
      </w:r>
      <w:r w:rsidRPr="008C6F63">
        <w:rPr>
          <w:rFonts w:ascii="inherit" w:eastAsia="Times New Roman" w:hAnsi="inherit" w:cs="Open Sans"/>
          <w:color w:val="1D2021"/>
          <w:kern w:val="0"/>
          <w:lang w:eastAsia="en-AU"/>
          <w14:ligatures w14:val="none"/>
        </w:rPr>
        <w:t> The content of some regulations is not easy to understand and interpret by stakeholders who do not have a legal background. This results in negligence or ad hoc usage of relevant ethical knowledge in AI system operation. How can stakeholders apply ethical knowledge to the operation of AI systems? How can we make AI systems compliant with high-level principles and regulations?</w:t>
      </w:r>
    </w:p>
    <w:p w14:paraId="0D51E65E"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Solution:</w:t>
      </w:r>
      <w:r w:rsidRPr="008C6F63">
        <w:rPr>
          <w:rFonts w:ascii="inherit" w:eastAsia="Times New Roman" w:hAnsi="inherit" w:cs="Open Sans"/>
          <w:color w:val="1D2021"/>
          <w:kern w:val="0"/>
          <w:lang w:eastAsia="en-AU"/>
          <w14:ligatures w14:val="none"/>
        </w:rPr>
        <w:t> A knowledge graph is a technology that represents entities in the real world, like objects, situations, concepts, or events, and the relationship between the entities. Knowledge graphs have been used to achieve explainable AI in different AI fields.</w:t>
      </w:r>
    </w:p>
    <w:p w14:paraId="19FF6EA1"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color w:val="1D2021"/>
          <w:kern w:val="0"/>
          <w:lang w:eastAsia="en-AU"/>
          <w14:ligatures w14:val="none"/>
        </w:rPr>
        <w:br/>
        <w:t xml:space="preserve">A knowledge graph–based RAI knowledge base makes meaningful entities and concepts and their relationships in design, implementation, deployment, and operation of AI systems. With the RAI knowledge base, the rich semantic relationships between entities are explicit and traceable across heterogeneous high-level documents on one hand and different artifacts across the AI system lifecycle on the other hand. Thus, RAI requirements of the AI system can be systematically accessed and </w:t>
      </w:r>
      <w:proofErr w:type="spellStart"/>
      <w:r w:rsidRPr="008C6F63">
        <w:rPr>
          <w:rFonts w:ascii="inherit" w:eastAsia="Times New Roman" w:hAnsi="inherit" w:cs="Open Sans"/>
          <w:color w:val="1D2021"/>
          <w:kern w:val="0"/>
          <w:lang w:eastAsia="en-AU"/>
          <w14:ligatures w14:val="none"/>
        </w:rPr>
        <w:t>analyzed</w:t>
      </w:r>
      <w:proofErr w:type="spellEnd"/>
      <w:r w:rsidRPr="008C6F63">
        <w:rPr>
          <w:rFonts w:ascii="inherit" w:eastAsia="Times New Roman" w:hAnsi="inherit" w:cs="Open Sans"/>
          <w:color w:val="1D2021"/>
          <w:kern w:val="0"/>
          <w:lang w:eastAsia="en-AU"/>
          <w14:ligatures w14:val="none"/>
        </w:rPr>
        <w:t xml:space="preserve"> using the RAI knowledge base [1].</w:t>
      </w:r>
    </w:p>
    <w:p w14:paraId="7743DF17" w14:textId="77777777" w:rsidR="008C6F63" w:rsidRPr="008C6F63" w:rsidRDefault="008C6F63" w:rsidP="008C6F63">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noProof/>
          <w:color w:val="1D2021"/>
          <w:kern w:val="0"/>
          <w:lang w:eastAsia="en-AU"/>
          <w14:ligatures w14:val="none"/>
        </w:rPr>
        <w:lastRenderedPageBreak/>
        <w:drawing>
          <wp:inline distT="0" distB="0" distL="0" distR="0" wp14:anchorId="1F18E59B" wp14:editId="192D3D35">
            <wp:extent cx="3209925" cy="3514725"/>
            <wp:effectExtent l="0" t="0" r="9525" b="9525"/>
            <wp:docPr id="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9925" cy="3514725"/>
                    </a:xfrm>
                    <a:prstGeom prst="rect">
                      <a:avLst/>
                    </a:prstGeom>
                    <a:noFill/>
                    <a:ln>
                      <a:noFill/>
                    </a:ln>
                  </pic:spPr>
                </pic:pic>
              </a:graphicData>
            </a:graphic>
          </wp:inline>
        </w:drawing>
      </w:r>
    </w:p>
    <w:p w14:paraId="01D275F0" w14:textId="77777777" w:rsidR="008C6F63" w:rsidRPr="008C6F63" w:rsidRDefault="008C6F63" w:rsidP="008C6F63">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8C6F63">
        <w:rPr>
          <w:rFonts w:ascii="inherit" w:eastAsia="Times New Roman" w:hAnsi="inherit" w:cs="Open Sans"/>
          <w:color w:val="1D2021"/>
          <w:kern w:val="0"/>
          <w:sz w:val="18"/>
          <w:szCs w:val="18"/>
          <w:lang w:eastAsia="en-AU"/>
          <w14:ligatures w14:val="none"/>
        </w:rPr>
        <w:t>Fig.1 RAI knowledge base</w:t>
      </w:r>
    </w:p>
    <w:p w14:paraId="02031FFB"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Benefits:</w:t>
      </w:r>
    </w:p>
    <w:p w14:paraId="4CEE7E9B" w14:textId="77777777" w:rsidR="008C6F63" w:rsidRPr="008C6F63" w:rsidRDefault="008C6F63" w:rsidP="008C6F63">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color w:val="1D2021"/>
          <w:kern w:val="0"/>
          <w:lang w:eastAsia="en-AU"/>
          <w14:ligatures w14:val="none"/>
        </w:rPr>
        <w:t>Compliance checking: The RAI knowledge base is extracted from the regulatory document and high-level principles. The knowledge graph provides structured data for stakeholders to employ compliance-checking solutions.</w:t>
      </w:r>
    </w:p>
    <w:p w14:paraId="747BE767"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Drawbacks:</w:t>
      </w:r>
    </w:p>
    <w:p w14:paraId="50695094" w14:textId="77777777" w:rsidR="008C6F63" w:rsidRPr="008C6F63" w:rsidRDefault="008C6F63" w:rsidP="008C6F63">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color w:val="1D2021"/>
          <w:kern w:val="0"/>
          <w:lang w:eastAsia="en-AU"/>
          <w14:ligatures w14:val="none"/>
        </w:rPr>
        <w:t>Increased development effort: Building a correct and efficient knowledge base through natural language processing is time-consuming and error prone.</w:t>
      </w:r>
    </w:p>
    <w:p w14:paraId="734528D6"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Related patterns:</w:t>
      </w:r>
    </w:p>
    <w:p w14:paraId="3F3C893C" w14:textId="77777777" w:rsidR="008C6F63" w:rsidRPr="008C6F63" w:rsidRDefault="008C6F63" w:rsidP="008C6F63">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8C6F63">
          <w:rPr>
            <w:rFonts w:ascii="inherit" w:eastAsia="Times New Roman" w:hAnsi="inherit" w:cs="Open Sans"/>
            <w:color w:val="004B87"/>
            <w:kern w:val="0"/>
            <w:u w:val="single"/>
            <w:bdr w:val="none" w:sz="0" w:space="0" w:color="auto" w:frame="1"/>
            <w:lang w:eastAsia="en-AU"/>
            <w14:ligatures w14:val="none"/>
          </w:rPr>
          <w:t>Continuous RAI validator</w:t>
        </w:r>
      </w:hyperlink>
      <w:r w:rsidRPr="008C6F63">
        <w:rPr>
          <w:rFonts w:ascii="inherit" w:eastAsia="Times New Roman" w:hAnsi="inherit" w:cs="Open Sans"/>
          <w:color w:val="1D2021"/>
          <w:kern w:val="0"/>
          <w:lang w:eastAsia="en-AU"/>
          <w14:ligatures w14:val="none"/>
        </w:rPr>
        <w:t>: RAI knowledge base could be an input of continuous RAI validator.</w:t>
      </w:r>
    </w:p>
    <w:p w14:paraId="1069A76E" w14:textId="77777777" w:rsidR="008C6F63" w:rsidRPr="008C6F63" w:rsidRDefault="008C6F63" w:rsidP="008C6F63">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8C6F63">
          <w:rPr>
            <w:rFonts w:ascii="inherit" w:eastAsia="Times New Roman" w:hAnsi="inherit" w:cs="Open Sans"/>
            <w:color w:val="004B87"/>
            <w:kern w:val="0"/>
            <w:u w:val="single"/>
            <w:bdr w:val="none" w:sz="0" w:space="0" w:color="auto" w:frame="1"/>
            <w:lang w:eastAsia="en-AU"/>
            <w14:ligatures w14:val="none"/>
          </w:rPr>
          <w:t>RAI digital twin</w:t>
        </w:r>
      </w:hyperlink>
      <w:r w:rsidRPr="008C6F63">
        <w:rPr>
          <w:rFonts w:ascii="inherit" w:eastAsia="Times New Roman" w:hAnsi="inherit" w:cs="Open Sans"/>
          <w:color w:val="1D2021"/>
          <w:kern w:val="0"/>
          <w:lang w:eastAsia="en-AU"/>
          <w14:ligatures w14:val="none"/>
        </w:rPr>
        <w:t>: RAI digital twin could be built based on the RAI knowledge base.</w:t>
      </w:r>
    </w:p>
    <w:p w14:paraId="4048D844" w14:textId="77777777" w:rsidR="008C6F63" w:rsidRPr="008C6F63" w:rsidRDefault="008C6F63" w:rsidP="008C6F63">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8C6F63">
          <w:rPr>
            <w:rFonts w:ascii="inherit" w:eastAsia="Times New Roman" w:hAnsi="inherit" w:cs="Open Sans"/>
            <w:color w:val="004B87"/>
            <w:kern w:val="0"/>
            <w:u w:val="single"/>
            <w:bdr w:val="none" w:sz="0" w:space="0" w:color="auto" w:frame="1"/>
            <w:lang w:eastAsia="en-AU"/>
            <w14:ligatures w14:val="none"/>
          </w:rPr>
          <w:t>RAI governance of APIs</w:t>
        </w:r>
      </w:hyperlink>
      <w:r w:rsidRPr="008C6F63">
        <w:rPr>
          <w:rFonts w:ascii="inherit" w:eastAsia="Times New Roman" w:hAnsi="inherit" w:cs="Open Sans"/>
          <w:color w:val="1D2021"/>
          <w:kern w:val="0"/>
          <w:lang w:eastAsia="en-AU"/>
          <w14:ligatures w14:val="none"/>
        </w:rPr>
        <w:t>: RAI issues of APIs can be detected by RAI knowledge base.</w:t>
      </w:r>
    </w:p>
    <w:p w14:paraId="459D701C"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Known uses:</w:t>
      </w:r>
    </w:p>
    <w:p w14:paraId="43E2BFFB" w14:textId="77777777" w:rsidR="008C6F63" w:rsidRPr="008C6F63" w:rsidRDefault="008C6F63" w:rsidP="008C6F63">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r w:rsidRPr="008C6F63">
          <w:rPr>
            <w:rFonts w:ascii="inherit" w:eastAsia="Times New Roman" w:hAnsi="inherit" w:cs="Open Sans"/>
            <w:color w:val="004B87"/>
            <w:kern w:val="0"/>
            <w:u w:val="single"/>
            <w:bdr w:val="none" w:sz="0" w:space="0" w:color="auto" w:frame="1"/>
            <w:lang w:eastAsia="en-AU"/>
            <w14:ligatures w14:val="none"/>
          </w:rPr>
          <w:t>Awesome AI guidelines</w:t>
        </w:r>
      </w:hyperlink>
      <w:r w:rsidRPr="008C6F63">
        <w:rPr>
          <w:rFonts w:ascii="inherit" w:eastAsia="Times New Roman" w:hAnsi="inherit" w:cs="Open Sans"/>
          <w:color w:val="1D2021"/>
          <w:kern w:val="0"/>
          <w:lang w:eastAsia="en-AU"/>
          <w14:ligatures w14:val="none"/>
        </w:rPr>
        <w:t> aims to provide a mapping between ecosystem of guidelines, principles, codes of ethics, standards and regulation around artificial intelligence.</w:t>
      </w:r>
    </w:p>
    <w:p w14:paraId="6CEBE9E8" w14:textId="77777777" w:rsidR="008C6F63" w:rsidRPr="008C6F63" w:rsidRDefault="008C6F63" w:rsidP="008C6F63">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8C6F63">
          <w:rPr>
            <w:rFonts w:ascii="inherit" w:eastAsia="Times New Roman" w:hAnsi="inherit" w:cs="Open Sans"/>
            <w:color w:val="004B87"/>
            <w:kern w:val="0"/>
            <w:u w:val="single"/>
            <w:bdr w:val="none" w:sz="0" w:space="0" w:color="auto" w:frame="1"/>
            <w:lang w:eastAsia="en-AU"/>
            <w14:ligatures w14:val="none"/>
          </w:rPr>
          <w:t>The responsible AI community portal</w:t>
        </w:r>
      </w:hyperlink>
      <w:r w:rsidRPr="008C6F63">
        <w:rPr>
          <w:rFonts w:ascii="inherit" w:eastAsia="Times New Roman" w:hAnsi="inherit" w:cs="Open Sans"/>
          <w:color w:val="1D2021"/>
          <w:kern w:val="0"/>
          <w:lang w:eastAsia="en-AU"/>
          <w14:ligatures w14:val="none"/>
        </w:rPr>
        <w:t> is provided by AI Global, which is an evolving repository of reports, standards, models, government policies, datasets, and open-source software to inform and support responsible AI development.</w:t>
      </w:r>
    </w:p>
    <w:p w14:paraId="31794E70" w14:textId="77777777" w:rsidR="008C6F63" w:rsidRPr="008C6F63" w:rsidRDefault="008C6F63" w:rsidP="008C6F63">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1" w:history="1">
        <w:r w:rsidRPr="008C6F63">
          <w:rPr>
            <w:rFonts w:ascii="inherit" w:eastAsia="Times New Roman" w:hAnsi="inherit" w:cs="Open Sans"/>
            <w:color w:val="004B87"/>
            <w:kern w:val="0"/>
            <w:u w:val="single"/>
            <w:bdr w:val="none" w:sz="0" w:space="0" w:color="auto" w:frame="1"/>
            <w:lang w:eastAsia="en-AU"/>
            <w14:ligatures w14:val="none"/>
          </w:rPr>
          <w:t xml:space="preserve">Responsible AI </w:t>
        </w:r>
        <w:proofErr w:type="gramStart"/>
        <w:r w:rsidRPr="008C6F63">
          <w:rPr>
            <w:rFonts w:ascii="inherit" w:eastAsia="Times New Roman" w:hAnsi="inherit" w:cs="Open Sans"/>
            <w:color w:val="004B87"/>
            <w:kern w:val="0"/>
            <w:u w:val="single"/>
            <w:bdr w:val="none" w:sz="0" w:space="0" w:color="auto" w:frame="1"/>
            <w:lang w:eastAsia="en-AU"/>
            <w14:ligatures w14:val="none"/>
          </w:rPr>
          <w:t>knowledge-base</w:t>
        </w:r>
        <w:proofErr w:type="gramEnd"/>
      </w:hyperlink>
      <w:r w:rsidRPr="008C6F63">
        <w:rPr>
          <w:rFonts w:ascii="inherit" w:eastAsia="Times New Roman" w:hAnsi="inherit" w:cs="Open Sans"/>
          <w:color w:val="1D2021"/>
          <w:kern w:val="0"/>
          <w:lang w:eastAsia="en-AU"/>
          <w14:ligatures w14:val="none"/>
        </w:rPr>
        <w:t> is a knowledge base of different areas of using and developing AI in a responsible way.</w:t>
      </w:r>
    </w:p>
    <w:p w14:paraId="15C2DA8F" w14:textId="77777777" w:rsidR="008C6F63" w:rsidRPr="008C6F63" w:rsidRDefault="008C6F63" w:rsidP="008C6F6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b/>
          <w:bCs/>
          <w:color w:val="1D2021"/>
          <w:kern w:val="0"/>
          <w:lang w:eastAsia="en-AU"/>
          <w14:ligatures w14:val="none"/>
        </w:rPr>
        <w:t>Reference</w:t>
      </w:r>
    </w:p>
    <w:p w14:paraId="6F475871" w14:textId="77777777" w:rsidR="008C6F63" w:rsidRPr="008C6F63" w:rsidRDefault="008C6F63" w:rsidP="008C6F63">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8C6F63">
        <w:rPr>
          <w:rFonts w:ascii="inherit" w:eastAsia="Times New Roman" w:hAnsi="inherit" w:cs="Open Sans"/>
          <w:color w:val="1D2021"/>
          <w:kern w:val="0"/>
          <w:lang w:eastAsia="en-AU"/>
          <w14:ligatures w14:val="none"/>
        </w:rPr>
        <w:t>[1] Naja, I., et al. </w:t>
      </w:r>
      <w:r w:rsidRPr="008C6F63">
        <w:rPr>
          <w:rFonts w:ascii="inherit" w:eastAsia="Times New Roman" w:hAnsi="inherit" w:cs="Open Sans"/>
          <w:color w:val="1D2021"/>
          <w:kern w:val="0"/>
          <w:bdr w:val="none" w:sz="0" w:space="0" w:color="auto" w:frame="1"/>
          <w:lang w:eastAsia="en-AU"/>
          <w14:ligatures w14:val="none"/>
        </w:rPr>
        <w:t>A semantic framework to support AI system accountability and audit</w:t>
      </w:r>
      <w:r w:rsidRPr="008C6F63">
        <w:rPr>
          <w:rFonts w:ascii="inherit" w:eastAsia="Times New Roman" w:hAnsi="inherit" w:cs="Open Sans"/>
          <w:color w:val="1D2021"/>
          <w:kern w:val="0"/>
          <w:lang w:eastAsia="en-AU"/>
          <w14:ligatures w14:val="none"/>
        </w:rPr>
        <w:t>. in European Semantic Web Conference. 2021. Springer.</w:t>
      </w:r>
    </w:p>
    <w:p w14:paraId="6E3DE9E0" w14:textId="77777777" w:rsidR="008C6F63" w:rsidRDefault="008C6F63"/>
    <w:sectPr w:rsidR="008C6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D1DA8"/>
    <w:multiLevelType w:val="multilevel"/>
    <w:tmpl w:val="E2F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C1D77"/>
    <w:multiLevelType w:val="multilevel"/>
    <w:tmpl w:val="0A0A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63FE5"/>
    <w:multiLevelType w:val="multilevel"/>
    <w:tmpl w:val="CA78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DB1FBB"/>
    <w:multiLevelType w:val="multilevel"/>
    <w:tmpl w:val="F99A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667798">
    <w:abstractNumId w:val="3"/>
  </w:num>
  <w:num w:numId="2" w16cid:durableId="311446410">
    <w:abstractNumId w:val="0"/>
  </w:num>
  <w:num w:numId="3" w16cid:durableId="1170873149">
    <w:abstractNumId w:val="2"/>
  </w:num>
  <w:num w:numId="4" w16cid:durableId="1977375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F63"/>
    <w:rsid w:val="003A31B8"/>
    <w:rsid w:val="008C6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29F44"/>
  <w15:chartTrackingRefBased/>
  <w15:docId w15:val="{E974E512-E652-461D-9877-EE54BC0D4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F63"/>
    <w:rPr>
      <w:rFonts w:eastAsiaTheme="majorEastAsia" w:cstheme="majorBidi"/>
      <w:color w:val="272727" w:themeColor="text1" w:themeTint="D8"/>
    </w:rPr>
  </w:style>
  <w:style w:type="paragraph" w:styleId="Title">
    <w:name w:val="Title"/>
    <w:basedOn w:val="Normal"/>
    <w:next w:val="Normal"/>
    <w:link w:val="TitleChar"/>
    <w:uiPriority w:val="10"/>
    <w:qFormat/>
    <w:rsid w:val="008C6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F63"/>
    <w:pPr>
      <w:spacing w:before="160"/>
      <w:jc w:val="center"/>
    </w:pPr>
    <w:rPr>
      <w:i/>
      <w:iCs/>
      <w:color w:val="404040" w:themeColor="text1" w:themeTint="BF"/>
    </w:rPr>
  </w:style>
  <w:style w:type="character" w:customStyle="1" w:styleId="QuoteChar">
    <w:name w:val="Quote Char"/>
    <w:basedOn w:val="DefaultParagraphFont"/>
    <w:link w:val="Quote"/>
    <w:uiPriority w:val="29"/>
    <w:rsid w:val="008C6F63"/>
    <w:rPr>
      <w:i/>
      <w:iCs/>
      <w:color w:val="404040" w:themeColor="text1" w:themeTint="BF"/>
    </w:rPr>
  </w:style>
  <w:style w:type="paragraph" w:styleId="ListParagraph">
    <w:name w:val="List Paragraph"/>
    <w:basedOn w:val="Normal"/>
    <w:uiPriority w:val="34"/>
    <w:qFormat/>
    <w:rsid w:val="008C6F63"/>
    <w:pPr>
      <w:ind w:left="720"/>
      <w:contextualSpacing/>
    </w:pPr>
  </w:style>
  <w:style w:type="character" w:styleId="IntenseEmphasis">
    <w:name w:val="Intense Emphasis"/>
    <w:basedOn w:val="DefaultParagraphFont"/>
    <w:uiPriority w:val="21"/>
    <w:qFormat/>
    <w:rsid w:val="008C6F63"/>
    <w:rPr>
      <w:i/>
      <w:iCs/>
      <w:color w:val="0F4761" w:themeColor="accent1" w:themeShade="BF"/>
    </w:rPr>
  </w:style>
  <w:style w:type="paragraph" w:styleId="IntenseQuote">
    <w:name w:val="Intense Quote"/>
    <w:basedOn w:val="Normal"/>
    <w:next w:val="Normal"/>
    <w:link w:val="IntenseQuoteChar"/>
    <w:uiPriority w:val="30"/>
    <w:qFormat/>
    <w:rsid w:val="008C6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F63"/>
    <w:rPr>
      <w:i/>
      <w:iCs/>
      <w:color w:val="0F4761" w:themeColor="accent1" w:themeShade="BF"/>
    </w:rPr>
  </w:style>
  <w:style w:type="character" w:styleId="IntenseReference">
    <w:name w:val="Intense Reference"/>
    <w:basedOn w:val="DefaultParagraphFont"/>
    <w:uiPriority w:val="32"/>
    <w:qFormat/>
    <w:rsid w:val="008C6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csiro.au/ss/science/projects/responsible-ai-pattern-catalogue/rai-governance-of-api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search.csiro.au/ss/science/projects/responsible-ai-pattern-catalogue/rai-digital-tw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continuous-rai-validator/" TargetMode="External"/><Relationship Id="rId11" Type="http://schemas.openxmlformats.org/officeDocument/2006/relationships/hyperlink" Target="https://github.com/alexandrainst/responsible-ai" TargetMode="External"/><Relationship Id="rId5" Type="http://schemas.openxmlformats.org/officeDocument/2006/relationships/image" Target="media/image1.png"/><Relationship Id="rId10" Type="http://schemas.openxmlformats.org/officeDocument/2006/relationships/hyperlink" Target="https://portal.ai-global.org/" TargetMode="External"/><Relationship Id="rId4" Type="http://schemas.openxmlformats.org/officeDocument/2006/relationships/webSettings" Target="webSettings.xml"/><Relationship Id="rId9" Type="http://schemas.openxmlformats.org/officeDocument/2006/relationships/hyperlink" Target="https://github.com/EthicalML/awesome-artificial-intelligence-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637</Words>
  <Characters>3519</Characters>
  <Application>Microsoft Office Word</Application>
  <DocSecurity>0</DocSecurity>
  <Lines>71</Lines>
  <Paragraphs>40</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2026-07-14T15:49:00Z</dcterms:created>
  <dcterms:modified xsi:type="dcterms:W3CDTF">2026-07-14T15:50:00Z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2026-07-14T15:50:24Z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21549792-a3fa-42a3-9ac8-8ce5a184fa85</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