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96DD" w14:textId="77777777" w:rsidR="0040494A" w:rsidRPr="0040494A" w:rsidRDefault="0040494A" w:rsidP="0040494A">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40494A">
        <w:rPr>
          <w:rFonts w:ascii="Montserrat" w:eastAsia="Times New Roman" w:hAnsi="Montserrat" w:cs="Times New Roman"/>
          <w:color w:val="142C3F"/>
          <w:kern w:val="36"/>
          <w:sz w:val="48"/>
          <w:szCs w:val="48"/>
          <w:lang w:eastAsia="en-AU"/>
          <w14:ligatures w14:val="none"/>
        </w:rPr>
        <w:t>RAI Sandbox</w:t>
      </w:r>
    </w:p>
    <w:p w14:paraId="53605AC7"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Summary: </w:t>
      </w:r>
      <w:r w:rsidRPr="0040494A">
        <w:rPr>
          <w:rFonts w:ascii="inherit" w:eastAsia="Times New Roman" w:hAnsi="inherit" w:cs="Open Sans"/>
          <w:color w:val="1D2021"/>
          <w:kern w:val="0"/>
          <w:lang w:eastAsia="en-AU"/>
          <w14:ligatures w14:val="none"/>
        </w:rPr>
        <w:t>Given that AI is a high-stakes technology, an RAI sandbox can be applied to isolate AI components from non-AI components by running the AI components separately in a safe and isolated environment using virtual machines.</w:t>
      </w:r>
    </w:p>
    <w:p w14:paraId="32876181"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Type of pattern: </w:t>
      </w:r>
      <w:r w:rsidRPr="0040494A">
        <w:rPr>
          <w:rFonts w:ascii="inherit" w:eastAsia="Times New Roman" w:hAnsi="inherit" w:cs="Open Sans"/>
          <w:color w:val="1D2021"/>
          <w:kern w:val="0"/>
          <w:lang w:eastAsia="en-AU"/>
          <w14:ligatures w14:val="none"/>
        </w:rPr>
        <w:t>Product pattern</w:t>
      </w:r>
    </w:p>
    <w:p w14:paraId="0EB46A35"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Type of objective:</w:t>
      </w:r>
      <w:r w:rsidRPr="0040494A">
        <w:rPr>
          <w:rFonts w:ascii="inherit" w:eastAsia="Times New Roman" w:hAnsi="inherit" w:cs="Open Sans"/>
          <w:color w:val="1D2021"/>
          <w:kern w:val="0"/>
          <w:lang w:eastAsia="en-AU"/>
          <w14:ligatures w14:val="none"/>
        </w:rPr>
        <w:t> Trustworthiness</w:t>
      </w:r>
    </w:p>
    <w:p w14:paraId="3A5B2CA6"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Target users:</w:t>
      </w:r>
      <w:r w:rsidRPr="0040494A">
        <w:rPr>
          <w:rFonts w:ascii="inherit" w:eastAsia="Times New Roman" w:hAnsi="inherit" w:cs="Open Sans"/>
          <w:color w:val="1D2021"/>
          <w:kern w:val="0"/>
          <w:lang w:eastAsia="en-AU"/>
          <w14:ligatures w14:val="none"/>
        </w:rPr>
        <w:t> Architects, developers</w:t>
      </w:r>
    </w:p>
    <w:p w14:paraId="56CCBB63"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Impacted stakeholders:</w:t>
      </w:r>
      <w:r w:rsidRPr="0040494A">
        <w:rPr>
          <w:rFonts w:ascii="inherit" w:eastAsia="Times New Roman" w:hAnsi="inherit" w:cs="Open Sans"/>
          <w:color w:val="1D2021"/>
          <w:kern w:val="0"/>
          <w:lang w:eastAsia="en-AU"/>
          <w14:ligatures w14:val="none"/>
        </w:rPr>
        <w:t> Data scientists</w:t>
      </w:r>
    </w:p>
    <w:p w14:paraId="073DB210"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Relevant AI ethics principles: </w:t>
      </w:r>
      <w:r w:rsidRPr="0040494A">
        <w:rPr>
          <w:rFonts w:ascii="inherit" w:eastAsia="Times New Roman" w:hAnsi="inherit" w:cs="Open Sans"/>
          <w:color w:val="1D2021"/>
          <w:kern w:val="0"/>
          <w:lang w:eastAsia="en-AU"/>
          <w14:ligatures w14:val="none"/>
        </w:rPr>
        <w:t>Human-centered values, fairness, privacy protection and security, reliability and safety</w:t>
      </w:r>
    </w:p>
    <w:p w14:paraId="64E4D545"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Context: </w:t>
      </w:r>
      <w:r w:rsidRPr="0040494A">
        <w:rPr>
          <w:rFonts w:ascii="inherit" w:eastAsia="Times New Roman" w:hAnsi="inherit" w:cs="Open Sans"/>
          <w:color w:val="1D2021"/>
          <w:kern w:val="0"/>
          <w:lang w:eastAsia="en-AU"/>
          <w14:ligatures w14:val="none"/>
        </w:rPr>
        <w:t>Given AI systems are of high stake, it is risky to run the entire system in the same execution environment.</w:t>
      </w:r>
    </w:p>
    <w:p w14:paraId="39D6A084"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Problem: </w:t>
      </w:r>
      <w:r w:rsidRPr="0040494A">
        <w:rPr>
          <w:rFonts w:ascii="inherit" w:eastAsia="Times New Roman" w:hAnsi="inherit" w:cs="Open Sans"/>
          <w:color w:val="1D2021"/>
          <w:kern w:val="0"/>
          <w:lang w:eastAsia="en-AU"/>
          <w14:ligatures w14:val="none"/>
        </w:rPr>
        <w:t>How can we minimize the interference of an AI component on the rest of the AI system with other AI components and non-AI components?</w:t>
      </w:r>
    </w:p>
    <w:p w14:paraId="79D8C9BB"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Solution: </w:t>
      </w:r>
      <w:r w:rsidRPr="0040494A">
        <w:rPr>
          <w:rFonts w:ascii="inherit" w:eastAsia="Times New Roman" w:hAnsi="inherit" w:cs="Open Sans"/>
          <w:color w:val="1D2021"/>
          <w:kern w:val="0"/>
          <w:lang w:eastAsia="en-AU"/>
          <w14:ligatures w14:val="none"/>
        </w:rPr>
        <w:t>The RAI sandbox can be applied to isolate an AI component from other AI components and non-AI components by running the AI component separately in a safe environment [1]—for example, sandboxing the unverified visual perception component so that the AI component can execute without affecting other components and the output of the AI system. As illustrated in Figure 1, an RAI sandbox is an emulated environment with no access to the rest of the AI system. An emulation environment duplicates all the hardware and software functionality of an AI system. Thus, users can run an AI component safely without affecting the operation of other components. Maximal tolerable probability of violating the RAI requirements should be defined as an ethical margin for the sandbox.</w:t>
      </w:r>
    </w:p>
    <w:p w14:paraId="0CC00CB6" w14:textId="77777777" w:rsidR="0040494A" w:rsidRPr="0040494A" w:rsidRDefault="0040494A" w:rsidP="0040494A">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noProof/>
          <w:color w:val="1D2021"/>
          <w:kern w:val="0"/>
          <w:lang w:eastAsia="en-AU"/>
          <w14:ligatures w14:val="none"/>
        </w:rPr>
        <w:lastRenderedPageBreak/>
        <w:drawing>
          <wp:inline distT="0" distB="0" distL="0" distR="0" wp14:anchorId="5BEBBAC3" wp14:editId="7D68B336">
            <wp:extent cx="5238750" cy="3448050"/>
            <wp:effectExtent l="0" t="0" r="0" b="0"/>
            <wp:docPr id="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8750" cy="3448050"/>
                    </a:xfrm>
                    <a:prstGeom prst="rect">
                      <a:avLst/>
                    </a:prstGeom>
                    <a:noFill/>
                    <a:ln>
                      <a:noFill/>
                    </a:ln>
                  </pic:spPr>
                </pic:pic>
              </a:graphicData>
            </a:graphic>
          </wp:inline>
        </w:drawing>
      </w:r>
    </w:p>
    <w:p w14:paraId="3EB46CAC" w14:textId="77777777" w:rsidR="0040494A" w:rsidRPr="0040494A" w:rsidRDefault="0040494A" w:rsidP="0040494A">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40494A">
        <w:rPr>
          <w:rFonts w:ascii="inherit" w:eastAsia="Times New Roman" w:hAnsi="inherit" w:cs="Open Sans"/>
          <w:color w:val="1D2021"/>
          <w:kern w:val="0"/>
          <w:sz w:val="18"/>
          <w:szCs w:val="18"/>
          <w:lang w:eastAsia="en-AU"/>
          <w14:ligatures w14:val="none"/>
        </w:rPr>
        <w:t>Fig.1 RAI sandbox</w:t>
      </w:r>
    </w:p>
    <w:p w14:paraId="2AB9D20F"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Benefits:</w:t>
      </w:r>
    </w:p>
    <w:p w14:paraId="35BC5F8B" w14:textId="77777777" w:rsidR="0040494A" w:rsidRPr="0040494A" w:rsidRDefault="0040494A" w:rsidP="0040494A">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color w:val="1D2021"/>
          <w:kern w:val="0"/>
          <w:lang w:eastAsia="en-AU"/>
          <w14:ligatures w14:val="none"/>
        </w:rPr>
        <w:t>Increased RAI quality: The RAI sandbox enables the potential RAI risks to be detected within an isolated environment.</w:t>
      </w:r>
    </w:p>
    <w:p w14:paraId="16AA2606" w14:textId="77777777" w:rsidR="0040494A" w:rsidRPr="0040494A" w:rsidRDefault="0040494A" w:rsidP="0040494A">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color w:val="1D2021"/>
          <w:kern w:val="0"/>
          <w:lang w:eastAsia="en-AU"/>
          <w14:ligatures w14:val="none"/>
        </w:rPr>
        <w:t>Safety: The RAI sandbox provides a safe environment to test an AI component without affecting the rest of the AI system.</w:t>
      </w:r>
    </w:p>
    <w:p w14:paraId="18817572"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Drawbacks:</w:t>
      </w:r>
    </w:p>
    <w:p w14:paraId="398351E8" w14:textId="77777777" w:rsidR="0040494A" w:rsidRPr="0040494A" w:rsidRDefault="0040494A" w:rsidP="0040494A">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color w:val="1D2021"/>
          <w:kern w:val="0"/>
          <w:lang w:eastAsia="en-AU"/>
          <w14:ligatures w14:val="none"/>
        </w:rPr>
        <w:t>Applicability: The RAI sandbox might be hard to use for the RAI risks that are not easy to quantify.</w:t>
      </w:r>
    </w:p>
    <w:p w14:paraId="7DEA13A9" w14:textId="77777777" w:rsidR="0040494A" w:rsidRPr="0040494A" w:rsidRDefault="0040494A" w:rsidP="0040494A">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color w:val="1D2021"/>
          <w:kern w:val="0"/>
          <w:lang w:eastAsia="en-AU"/>
          <w14:ligatures w14:val="none"/>
        </w:rPr>
        <w:t>Performance penalty: Having an emulation environment that duplicates both hardware and software of the AI system causes extra cost on the required resources or compromises performance with the same resources.</w:t>
      </w:r>
    </w:p>
    <w:p w14:paraId="18012731"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Related patterns:</w:t>
      </w:r>
    </w:p>
    <w:p w14:paraId="7F4952BF" w14:textId="77777777" w:rsidR="0040494A" w:rsidRPr="0040494A" w:rsidRDefault="0040494A" w:rsidP="0040494A">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40494A">
          <w:rPr>
            <w:rFonts w:ascii="inherit" w:eastAsia="Times New Roman" w:hAnsi="inherit" w:cs="Open Sans"/>
            <w:color w:val="004B87"/>
            <w:kern w:val="0"/>
            <w:u w:val="single"/>
            <w:bdr w:val="none" w:sz="0" w:space="0" w:color="auto" w:frame="1"/>
            <w:lang w:eastAsia="en-AU"/>
            <w14:ligatures w14:val="none"/>
          </w:rPr>
          <w:t>AI mode switcher</w:t>
        </w:r>
      </w:hyperlink>
      <w:r w:rsidRPr="0040494A">
        <w:rPr>
          <w:rFonts w:ascii="inherit" w:eastAsia="Times New Roman" w:hAnsi="inherit" w:cs="Open Sans"/>
          <w:color w:val="1D2021"/>
          <w:kern w:val="0"/>
          <w:lang w:eastAsia="en-AU"/>
          <w14:ligatures w14:val="none"/>
        </w:rPr>
        <w:t>: AI mode switcher could work with RAI sandbox to react to a predicted RAI risk detected by the sandbox.</w:t>
      </w:r>
    </w:p>
    <w:p w14:paraId="3AF86252" w14:textId="77777777" w:rsidR="0040494A" w:rsidRPr="0040494A" w:rsidRDefault="0040494A" w:rsidP="0040494A">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40494A">
          <w:rPr>
            <w:rFonts w:ascii="inherit" w:eastAsia="Times New Roman" w:hAnsi="inherit" w:cs="Open Sans"/>
            <w:color w:val="004B87"/>
            <w:kern w:val="0"/>
            <w:u w:val="single"/>
            <w:bdr w:val="none" w:sz="0" w:space="0" w:color="auto" w:frame="1"/>
            <w:lang w:eastAsia="en-AU"/>
            <w14:ligatures w14:val="none"/>
          </w:rPr>
          <w:t>RAI digital twin</w:t>
        </w:r>
      </w:hyperlink>
      <w:r w:rsidRPr="0040494A">
        <w:rPr>
          <w:rFonts w:ascii="inherit" w:eastAsia="Times New Roman" w:hAnsi="inherit" w:cs="Open Sans"/>
          <w:color w:val="1D2021"/>
          <w:kern w:val="0"/>
          <w:lang w:eastAsia="en-AU"/>
          <w14:ligatures w14:val="none"/>
        </w:rPr>
        <w:t>: RAI digital twin is running in a simulation environment, while RAI sandbox is an emulation environment with both hardware and software.</w:t>
      </w:r>
    </w:p>
    <w:p w14:paraId="65E0C438"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Known uses:</w:t>
      </w:r>
    </w:p>
    <w:p w14:paraId="7AD48FC7" w14:textId="77777777" w:rsidR="0040494A" w:rsidRPr="0040494A" w:rsidRDefault="0040494A" w:rsidP="0040494A">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proofErr w:type="spellStart"/>
        <w:r w:rsidRPr="0040494A">
          <w:rPr>
            <w:rFonts w:ascii="inherit" w:eastAsia="Times New Roman" w:hAnsi="inherit" w:cs="Open Sans"/>
            <w:color w:val="004B87"/>
            <w:kern w:val="0"/>
            <w:u w:val="single"/>
            <w:bdr w:val="none" w:sz="0" w:space="0" w:color="auto" w:frame="1"/>
            <w:lang w:eastAsia="en-AU"/>
            <w14:ligatures w14:val="none"/>
          </w:rPr>
          <w:t>Fastcase</w:t>
        </w:r>
        <w:proofErr w:type="spellEnd"/>
        <w:r w:rsidRPr="0040494A">
          <w:rPr>
            <w:rFonts w:ascii="inherit" w:eastAsia="Times New Roman" w:hAnsi="inherit" w:cs="Open Sans"/>
            <w:color w:val="004B87"/>
            <w:kern w:val="0"/>
            <w:u w:val="single"/>
            <w:bdr w:val="none" w:sz="0" w:space="0" w:color="auto" w:frame="1"/>
            <w:lang w:eastAsia="en-AU"/>
            <w14:ligatures w14:val="none"/>
          </w:rPr>
          <w:t xml:space="preserve"> AI Sandbox</w:t>
        </w:r>
      </w:hyperlink>
      <w:r w:rsidRPr="0040494A">
        <w:rPr>
          <w:rFonts w:ascii="inherit" w:eastAsia="Times New Roman" w:hAnsi="inherit" w:cs="Open Sans"/>
          <w:color w:val="1D2021"/>
          <w:kern w:val="0"/>
          <w:lang w:eastAsia="en-AU"/>
          <w14:ligatures w14:val="none"/>
        </w:rPr>
        <w:t> provides a secure platform for the users to upload dataset and do data analysis in a safe environment.</w:t>
      </w:r>
    </w:p>
    <w:p w14:paraId="479CB3AA" w14:textId="77777777" w:rsidR="0040494A" w:rsidRPr="0040494A" w:rsidRDefault="0040494A" w:rsidP="0040494A">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40494A">
          <w:rPr>
            <w:rFonts w:ascii="inherit" w:eastAsia="Times New Roman" w:hAnsi="inherit" w:cs="Open Sans"/>
            <w:color w:val="004B87"/>
            <w:kern w:val="0"/>
            <w:u w:val="single"/>
            <w:bdr w:val="none" w:sz="0" w:space="0" w:color="auto" w:frame="1"/>
            <w:lang w:eastAsia="en-AU"/>
            <w14:ligatures w14:val="none"/>
          </w:rPr>
          <w:t>AI Sandbox</w:t>
        </w:r>
      </w:hyperlink>
      <w:r w:rsidRPr="0040494A">
        <w:rPr>
          <w:rFonts w:ascii="inherit" w:eastAsia="Times New Roman" w:hAnsi="inherit" w:cs="Open Sans"/>
          <w:color w:val="1D2021"/>
          <w:kern w:val="0"/>
          <w:lang w:eastAsia="en-AU"/>
          <w14:ligatures w14:val="none"/>
        </w:rPr>
        <w:t> provides an AI execution and RESTful interfaces that could be used by modern programming languages.</w:t>
      </w:r>
    </w:p>
    <w:p w14:paraId="61A549A9" w14:textId="77777777" w:rsidR="0040494A" w:rsidRPr="0040494A" w:rsidRDefault="0040494A" w:rsidP="0040494A">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color w:val="1D2021"/>
          <w:kern w:val="0"/>
          <w:lang w:eastAsia="en-AU"/>
          <w14:ligatures w14:val="none"/>
        </w:rPr>
        <w:t>The Norwegian data protection agency introduces a </w:t>
      </w:r>
      <w:hyperlink r:id="rId10" w:history="1">
        <w:r w:rsidRPr="0040494A">
          <w:rPr>
            <w:rFonts w:ascii="inherit" w:eastAsia="Times New Roman" w:hAnsi="inherit" w:cs="Open Sans"/>
            <w:color w:val="004B87"/>
            <w:kern w:val="0"/>
            <w:u w:val="single"/>
            <w:bdr w:val="none" w:sz="0" w:space="0" w:color="auto" w:frame="1"/>
            <w:lang w:eastAsia="en-AU"/>
            <w14:ligatures w14:val="none"/>
          </w:rPr>
          <w:t>regulatory sandbox</w:t>
        </w:r>
      </w:hyperlink>
      <w:r w:rsidRPr="0040494A">
        <w:rPr>
          <w:rFonts w:ascii="inherit" w:eastAsia="Times New Roman" w:hAnsi="inherit" w:cs="Open Sans"/>
          <w:color w:val="1D2021"/>
          <w:kern w:val="0"/>
          <w:lang w:eastAsia="en-AU"/>
          <w14:ligatures w14:val="none"/>
        </w:rPr>
        <w:t>, which establishes a project environment for AI, where private and public companies can get free guidance on personal data protection.</w:t>
      </w:r>
    </w:p>
    <w:p w14:paraId="1D07CE7C" w14:textId="77777777" w:rsidR="0040494A" w:rsidRPr="0040494A" w:rsidRDefault="0040494A" w:rsidP="0040494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b/>
          <w:bCs/>
          <w:color w:val="1D2021"/>
          <w:kern w:val="0"/>
          <w:lang w:eastAsia="en-AU"/>
          <w14:ligatures w14:val="none"/>
        </w:rPr>
        <w:t>References:</w:t>
      </w:r>
    </w:p>
    <w:p w14:paraId="4F8928B6" w14:textId="77777777" w:rsidR="0040494A" w:rsidRPr="0040494A" w:rsidRDefault="0040494A" w:rsidP="0040494A">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0494A">
        <w:rPr>
          <w:rFonts w:ascii="inherit" w:eastAsia="Times New Roman" w:hAnsi="inherit" w:cs="Open Sans"/>
          <w:color w:val="1D2021"/>
          <w:kern w:val="0"/>
          <w:lang w:eastAsia="en-AU"/>
          <w14:ligatures w14:val="none"/>
        </w:rPr>
        <w:t xml:space="preserve">[1] </w:t>
      </w:r>
      <w:proofErr w:type="spellStart"/>
      <w:r w:rsidRPr="0040494A">
        <w:rPr>
          <w:rFonts w:ascii="inherit" w:eastAsia="Times New Roman" w:hAnsi="inherit" w:cs="Open Sans"/>
          <w:color w:val="1D2021"/>
          <w:kern w:val="0"/>
          <w:lang w:eastAsia="en-AU"/>
          <w14:ligatures w14:val="none"/>
        </w:rPr>
        <w:t>Lavaei</w:t>
      </w:r>
      <w:proofErr w:type="spellEnd"/>
      <w:r w:rsidRPr="0040494A">
        <w:rPr>
          <w:rFonts w:ascii="inherit" w:eastAsia="Times New Roman" w:hAnsi="inherit" w:cs="Open Sans"/>
          <w:color w:val="1D2021"/>
          <w:kern w:val="0"/>
          <w:lang w:eastAsia="en-AU"/>
          <w14:ligatures w14:val="none"/>
        </w:rPr>
        <w:t>, A., et al. Towards trustworthy AI: safe-visor architecture for uncertified controllers in stochastic cyber-physical systems. in Proceedings of the Workshop on Computation-Aware Algorithmic Design for Cyber-Physical Systems. 2021.</w:t>
      </w:r>
    </w:p>
    <w:p w14:paraId="193503A7" w14:textId="77777777" w:rsidR="0040494A" w:rsidRDefault="0040494A"/>
    <w:sectPr w:rsidR="00404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501F4"/>
    <w:multiLevelType w:val="multilevel"/>
    <w:tmpl w:val="57A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549EB"/>
    <w:multiLevelType w:val="multilevel"/>
    <w:tmpl w:val="EBF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900C7"/>
    <w:multiLevelType w:val="multilevel"/>
    <w:tmpl w:val="E7C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735A6"/>
    <w:multiLevelType w:val="multilevel"/>
    <w:tmpl w:val="A32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B31A3"/>
    <w:multiLevelType w:val="multilevel"/>
    <w:tmpl w:val="10C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D202A"/>
    <w:multiLevelType w:val="multilevel"/>
    <w:tmpl w:val="4D0C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90ABF"/>
    <w:multiLevelType w:val="multilevel"/>
    <w:tmpl w:val="015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C32AA"/>
    <w:multiLevelType w:val="multilevel"/>
    <w:tmpl w:val="B4F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994287">
    <w:abstractNumId w:val="1"/>
  </w:num>
  <w:num w:numId="2" w16cid:durableId="774128851">
    <w:abstractNumId w:val="5"/>
  </w:num>
  <w:num w:numId="3" w16cid:durableId="480074853">
    <w:abstractNumId w:val="0"/>
  </w:num>
  <w:num w:numId="4" w16cid:durableId="652636554">
    <w:abstractNumId w:val="6"/>
  </w:num>
  <w:num w:numId="5" w16cid:durableId="891427739">
    <w:abstractNumId w:val="2"/>
  </w:num>
  <w:num w:numId="6" w16cid:durableId="998388840">
    <w:abstractNumId w:val="4"/>
  </w:num>
  <w:num w:numId="7" w16cid:durableId="1972243168">
    <w:abstractNumId w:val="3"/>
  </w:num>
  <w:num w:numId="8" w16cid:durableId="1459226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4A"/>
    <w:rsid w:val="003A31B8"/>
    <w:rsid w:val="004049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4BF5"/>
  <w15:chartTrackingRefBased/>
  <w15:docId w15:val="{C6C0421B-FC89-40BB-BB6A-AFA761EE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94A"/>
    <w:rPr>
      <w:rFonts w:eastAsiaTheme="majorEastAsia" w:cstheme="majorBidi"/>
      <w:color w:val="272727" w:themeColor="text1" w:themeTint="D8"/>
    </w:rPr>
  </w:style>
  <w:style w:type="paragraph" w:styleId="Title">
    <w:name w:val="Title"/>
    <w:basedOn w:val="Normal"/>
    <w:next w:val="Normal"/>
    <w:link w:val="TitleChar"/>
    <w:uiPriority w:val="10"/>
    <w:qFormat/>
    <w:rsid w:val="00404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94A"/>
    <w:pPr>
      <w:spacing w:before="160"/>
      <w:jc w:val="center"/>
    </w:pPr>
    <w:rPr>
      <w:i/>
      <w:iCs/>
      <w:color w:val="404040" w:themeColor="text1" w:themeTint="BF"/>
    </w:rPr>
  </w:style>
  <w:style w:type="character" w:customStyle="1" w:styleId="QuoteChar">
    <w:name w:val="Quote Char"/>
    <w:basedOn w:val="DefaultParagraphFont"/>
    <w:link w:val="Quote"/>
    <w:uiPriority w:val="29"/>
    <w:rsid w:val="0040494A"/>
    <w:rPr>
      <w:i/>
      <w:iCs/>
      <w:color w:val="404040" w:themeColor="text1" w:themeTint="BF"/>
    </w:rPr>
  </w:style>
  <w:style w:type="paragraph" w:styleId="ListParagraph">
    <w:name w:val="List Paragraph"/>
    <w:basedOn w:val="Normal"/>
    <w:uiPriority w:val="34"/>
    <w:qFormat/>
    <w:rsid w:val="0040494A"/>
    <w:pPr>
      <w:ind w:left="720"/>
      <w:contextualSpacing/>
    </w:pPr>
  </w:style>
  <w:style w:type="character" w:styleId="IntenseEmphasis">
    <w:name w:val="Intense Emphasis"/>
    <w:basedOn w:val="DefaultParagraphFont"/>
    <w:uiPriority w:val="21"/>
    <w:qFormat/>
    <w:rsid w:val="0040494A"/>
    <w:rPr>
      <w:i/>
      <w:iCs/>
      <w:color w:val="0F4761" w:themeColor="accent1" w:themeShade="BF"/>
    </w:rPr>
  </w:style>
  <w:style w:type="paragraph" w:styleId="IntenseQuote">
    <w:name w:val="Intense Quote"/>
    <w:basedOn w:val="Normal"/>
    <w:next w:val="Normal"/>
    <w:link w:val="IntenseQuoteChar"/>
    <w:uiPriority w:val="30"/>
    <w:qFormat/>
    <w:rsid w:val="00404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94A"/>
    <w:rPr>
      <w:i/>
      <w:iCs/>
      <w:color w:val="0F4761" w:themeColor="accent1" w:themeShade="BF"/>
    </w:rPr>
  </w:style>
  <w:style w:type="character" w:styleId="IntenseReference">
    <w:name w:val="Intense Reference"/>
    <w:basedOn w:val="DefaultParagraphFont"/>
    <w:uiPriority w:val="32"/>
    <w:qFormat/>
    <w:rsid w:val="0040494A"/>
    <w:rPr>
      <w:b/>
      <w:bCs/>
      <w:smallCaps/>
      <w:color w:val="0F4761" w:themeColor="accent1" w:themeShade="BF"/>
      <w:spacing w:val="5"/>
    </w:rPr>
  </w:style>
  <w:style w:type="character" w:styleId="Hyperlink">
    <w:name w:val="Hyperlink"/>
    <w:basedOn w:val="DefaultParagraphFont"/>
    <w:uiPriority w:val="99"/>
    <w:unhideWhenUsed/>
    <w:rsid w:val="0040494A"/>
    <w:rPr>
      <w:color w:val="467886" w:themeColor="hyperlink"/>
      <w:u w:val="single"/>
    </w:rPr>
  </w:style>
  <w:style w:type="character" w:styleId="UnresolvedMention">
    <w:name w:val="Unresolved Mention"/>
    <w:basedOn w:val="DefaultParagraphFont"/>
    <w:uiPriority w:val="99"/>
    <w:semiHidden/>
    <w:unhideWhenUsed/>
    <w:rsid w:val="00404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tcase.com/solutions/legal-data-api/"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rai-digital-tw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ai-mode-switcher/"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ataethics.eu/sandbox-for-responsible-artificial-intelligence/" TargetMode="External"/><Relationship Id="rId4" Type="http://schemas.openxmlformats.org/officeDocument/2006/relationships/webSettings" Target="webSettings.xml"/><Relationship Id="rId9" Type="http://schemas.openxmlformats.org/officeDocument/2006/relationships/hyperlink" Target="https://aisandbox.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2658</Characters>
  <Application>Microsoft Office Word</Application>
  <DocSecurity>0</DocSecurity>
  <Lines>54</Lines>
  <Paragraphs>26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2026-07-14T15:48:00Z</dcterms:created>
  <dcterms:modified xsi:type="dcterms:W3CDTF">2026-07-14T15:49:00Z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2026-07-14T15:49:13Z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603f9a75-f940-4f9e-9168-68f97399de40</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