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510D1" w14:textId="77777777" w:rsidR="004A38A4" w:rsidRPr="004A38A4" w:rsidRDefault="004A38A4" w:rsidP="004A38A4">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4A38A4">
        <w:rPr>
          <w:rFonts w:ascii="Montserrat" w:eastAsia="Times New Roman" w:hAnsi="Montserrat" w:cs="Times New Roman"/>
          <w:color w:val="142C3F"/>
          <w:kern w:val="36"/>
          <w:sz w:val="48"/>
          <w:szCs w:val="48"/>
          <w:lang w:eastAsia="en-AU"/>
          <w14:ligatures w14:val="none"/>
        </w:rPr>
        <w:t>Regulatory Sandbox</w:t>
      </w:r>
    </w:p>
    <w:p w14:paraId="6042EE80" w14:textId="77777777" w:rsidR="004A38A4" w:rsidRPr="004A38A4" w:rsidRDefault="004A38A4" w:rsidP="004A38A4">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b/>
          <w:bCs/>
          <w:color w:val="1D2021"/>
          <w:kern w:val="0"/>
          <w:bdr w:val="none" w:sz="0" w:space="0" w:color="auto" w:frame="1"/>
          <w:lang w:val="en-US" w:eastAsia="en-AU"/>
          <w14:ligatures w14:val="none"/>
        </w:rPr>
        <w:t>Summary: </w:t>
      </w:r>
      <w:r w:rsidRPr="004A38A4">
        <w:rPr>
          <w:rFonts w:ascii="inherit" w:eastAsia="Times New Roman" w:hAnsi="inherit" w:cs="Open Sans"/>
          <w:color w:val="1D2021"/>
          <w:kern w:val="0"/>
          <w:lang w:eastAsia="en-AU"/>
          <w14:ligatures w14:val="none"/>
        </w:rPr>
        <w:t>A regulatory sandbox allows for the testing of innovative AI products in a real-world setting, with relaxed regulatory requirements, on a time-limited basis, at a smaller scale, and with appropriate safeguards in place.</w:t>
      </w:r>
    </w:p>
    <w:p w14:paraId="02C496C5" w14:textId="77777777" w:rsidR="004A38A4" w:rsidRPr="004A38A4" w:rsidRDefault="004A38A4" w:rsidP="004A38A4">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b/>
          <w:bCs/>
          <w:color w:val="1D2021"/>
          <w:kern w:val="0"/>
          <w:lang w:eastAsia="en-AU"/>
          <w14:ligatures w14:val="none"/>
        </w:rPr>
        <w:t>Type of pattern: </w:t>
      </w:r>
      <w:r w:rsidRPr="004A38A4">
        <w:rPr>
          <w:rFonts w:ascii="inherit" w:eastAsia="Times New Roman" w:hAnsi="inherit" w:cs="Open Sans"/>
          <w:color w:val="1D2021"/>
          <w:kern w:val="0"/>
          <w:lang w:eastAsia="en-AU"/>
          <w14:ligatures w14:val="none"/>
        </w:rPr>
        <w:t>G</w:t>
      </w:r>
      <w:r w:rsidRPr="004A38A4">
        <w:rPr>
          <w:rFonts w:ascii="inherit" w:eastAsia="Times New Roman" w:hAnsi="inherit" w:cs="Open Sans"/>
          <w:color w:val="1D2021"/>
          <w:kern w:val="0"/>
          <w:bdr w:val="none" w:sz="0" w:space="0" w:color="auto" w:frame="1"/>
          <w:lang w:eastAsia="en-AU"/>
          <w14:ligatures w14:val="none"/>
        </w:rPr>
        <w:t>overnance pattern</w:t>
      </w:r>
    </w:p>
    <w:p w14:paraId="4AD8B71E" w14:textId="77777777" w:rsidR="004A38A4" w:rsidRPr="004A38A4" w:rsidRDefault="004A38A4" w:rsidP="004A38A4">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b/>
          <w:bCs/>
          <w:color w:val="1D2021"/>
          <w:kern w:val="0"/>
          <w:lang w:eastAsia="en-AU"/>
          <w14:ligatures w14:val="none"/>
        </w:rPr>
        <w:t>Type of objective: </w:t>
      </w:r>
      <w:r w:rsidRPr="004A38A4">
        <w:rPr>
          <w:rFonts w:ascii="inherit" w:eastAsia="Times New Roman" w:hAnsi="inherit" w:cs="Open Sans"/>
          <w:color w:val="1D2021"/>
          <w:kern w:val="0"/>
          <w:bdr w:val="none" w:sz="0" w:space="0" w:color="auto" w:frame="1"/>
          <w:lang w:eastAsia="en-AU"/>
          <w14:ligatures w14:val="none"/>
        </w:rPr>
        <w:t>Trustworthiness</w:t>
      </w:r>
    </w:p>
    <w:p w14:paraId="76F5D28A" w14:textId="77777777" w:rsidR="004A38A4" w:rsidRPr="004A38A4" w:rsidRDefault="004A38A4" w:rsidP="004A38A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b/>
          <w:bCs/>
          <w:color w:val="1D2021"/>
          <w:kern w:val="0"/>
          <w:lang w:eastAsia="en-AU"/>
          <w14:ligatures w14:val="none"/>
        </w:rPr>
        <w:t>Target users: </w:t>
      </w:r>
      <w:r w:rsidRPr="004A38A4">
        <w:rPr>
          <w:rFonts w:ascii="inherit" w:eastAsia="Times New Roman" w:hAnsi="inherit" w:cs="Open Sans"/>
          <w:color w:val="1D2021"/>
          <w:kern w:val="0"/>
          <w:lang w:eastAsia="en-AU"/>
          <w14:ligatures w14:val="none"/>
        </w:rPr>
        <w:t>RAI governors</w:t>
      </w:r>
    </w:p>
    <w:p w14:paraId="4F9AE467" w14:textId="77777777" w:rsidR="004A38A4" w:rsidRPr="004A38A4" w:rsidRDefault="004A38A4" w:rsidP="004A38A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b/>
          <w:bCs/>
          <w:color w:val="1D2021"/>
          <w:kern w:val="0"/>
          <w:lang w:eastAsia="en-AU"/>
          <w14:ligatures w14:val="none"/>
        </w:rPr>
        <w:t>Impacted stakeholders: </w:t>
      </w:r>
      <w:r w:rsidRPr="004A38A4">
        <w:rPr>
          <w:rFonts w:ascii="inherit" w:eastAsia="Times New Roman" w:hAnsi="inherit" w:cs="Open Sans"/>
          <w:color w:val="1D2021"/>
          <w:kern w:val="0"/>
          <w:lang w:eastAsia="en-AU"/>
          <w14:ligatures w14:val="none"/>
        </w:rPr>
        <w:t>AI technology producers and procurers, AI solution producers and procurers, RAI tool producers and procurers</w:t>
      </w:r>
    </w:p>
    <w:p w14:paraId="04392F65" w14:textId="77777777" w:rsidR="004A38A4" w:rsidRPr="004A38A4" w:rsidRDefault="004A38A4" w:rsidP="004A38A4">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b/>
          <w:bCs/>
          <w:color w:val="1D2021"/>
          <w:kern w:val="0"/>
          <w:lang w:eastAsia="en-AU"/>
          <w14:ligatures w14:val="none"/>
        </w:rPr>
        <w:t>Lifecycle stages: </w:t>
      </w:r>
      <w:r w:rsidRPr="004A38A4">
        <w:rPr>
          <w:rFonts w:ascii="inherit" w:eastAsia="Times New Roman" w:hAnsi="inherit" w:cs="Open Sans"/>
          <w:color w:val="1D2021"/>
          <w:kern w:val="0"/>
          <w:lang w:eastAsia="en-AU"/>
          <w14:ligatures w14:val="none"/>
        </w:rPr>
        <w:t>A</w:t>
      </w:r>
      <w:r w:rsidRPr="004A38A4">
        <w:rPr>
          <w:rFonts w:ascii="inherit" w:eastAsia="Times New Roman" w:hAnsi="inherit" w:cs="Open Sans"/>
          <w:color w:val="1D2021"/>
          <w:kern w:val="0"/>
          <w:bdr w:val="none" w:sz="0" w:space="0" w:color="auto" w:frame="1"/>
          <w:lang w:eastAsia="en-AU"/>
          <w14:ligatures w14:val="none"/>
        </w:rPr>
        <w:t>ll stages</w:t>
      </w:r>
    </w:p>
    <w:p w14:paraId="20DBDF5B" w14:textId="77777777" w:rsidR="004A38A4" w:rsidRPr="004A38A4" w:rsidRDefault="004A38A4" w:rsidP="004A38A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b/>
          <w:bCs/>
          <w:color w:val="1D2021"/>
          <w:kern w:val="0"/>
          <w:lang w:eastAsia="en-AU"/>
          <w14:ligatures w14:val="none"/>
        </w:rPr>
        <w:t>Relevant AI ethics principles: </w:t>
      </w:r>
      <w:r w:rsidRPr="004A38A4">
        <w:rPr>
          <w:rFonts w:ascii="inherit" w:eastAsia="Times New Roman" w:hAnsi="inherit" w:cs="Open Sans"/>
          <w:color w:val="1D2021"/>
          <w:kern w:val="0"/>
          <w:lang w:eastAsia="en-AU"/>
          <w14:ligatures w14:val="none"/>
        </w:rPr>
        <w:t>Human, societal and environmental wellbeing, human-centered values, fairness, privacy protection and security, reliability and safety, transparency and explainability, contestability, accountability</w:t>
      </w:r>
    </w:p>
    <w:p w14:paraId="2E14593C" w14:textId="77777777" w:rsidR="004A38A4" w:rsidRPr="004A38A4" w:rsidRDefault="004A38A4" w:rsidP="004A38A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b/>
          <w:bCs/>
          <w:color w:val="1D2021"/>
          <w:kern w:val="0"/>
          <w:lang w:eastAsia="en-AU"/>
          <w14:ligatures w14:val="none"/>
        </w:rPr>
        <w:t>Mapping to AI regulations/standards:</w:t>
      </w:r>
      <w:r w:rsidRPr="004A38A4">
        <w:rPr>
          <w:rFonts w:ascii="inherit" w:eastAsia="Times New Roman" w:hAnsi="inherit" w:cs="Open Sans"/>
          <w:color w:val="1D2021"/>
          <w:kern w:val="0"/>
          <w:lang w:eastAsia="en-AU"/>
          <w14:ligatures w14:val="none"/>
        </w:rPr>
        <w:t> EU AI Act, ISO/IEC 42001:2023 Standard.</w:t>
      </w:r>
    </w:p>
    <w:p w14:paraId="5DB02EF5" w14:textId="77777777" w:rsidR="004A38A4" w:rsidRPr="004A38A4" w:rsidRDefault="004A38A4" w:rsidP="004A38A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b/>
          <w:bCs/>
          <w:color w:val="1D2021"/>
          <w:kern w:val="0"/>
          <w:lang w:eastAsia="en-AU"/>
          <w14:ligatures w14:val="none"/>
        </w:rPr>
        <w:t>Context: </w:t>
      </w:r>
      <w:r w:rsidRPr="004A38A4">
        <w:rPr>
          <w:rFonts w:ascii="inherit" w:eastAsia="Times New Roman" w:hAnsi="inherit" w:cs="Open Sans"/>
          <w:color w:val="1D2021"/>
          <w:kern w:val="0"/>
          <w:lang w:eastAsia="en-AU"/>
          <w14:ligatures w14:val="none"/>
        </w:rPr>
        <w:t>As AI becomes more widespread in society, both organizations and individuals have called for clearer rules to ensure that it is developed and used responsibly. RAI laws and regulations refer to government rules and policies that oversee and advance AI technology. While the policies and rules are necessary to both advance AI and mitigate related RAI risks, they often take a long time to enact.</w:t>
      </w:r>
    </w:p>
    <w:p w14:paraId="4B0656E1" w14:textId="77777777" w:rsidR="004A38A4" w:rsidRPr="004A38A4" w:rsidRDefault="004A38A4" w:rsidP="004A38A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b/>
          <w:bCs/>
          <w:color w:val="1D2021"/>
          <w:kern w:val="0"/>
          <w:lang w:eastAsia="en-AU"/>
          <w14:ligatures w14:val="none"/>
        </w:rPr>
        <w:t>Problem: </w:t>
      </w:r>
      <w:r w:rsidRPr="004A38A4">
        <w:rPr>
          <w:rFonts w:ascii="inherit" w:eastAsia="Times New Roman" w:hAnsi="inherit" w:cs="Open Sans"/>
          <w:color w:val="1D2021"/>
          <w:kern w:val="0"/>
          <w:lang w:eastAsia="en-AU"/>
          <w14:ligatures w14:val="none"/>
        </w:rPr>
        <w:t>How can we facilitate the trial of innovative AI products in the market?</w:t>
      </w:r>
    </w:p>
    <w:p w14:paraId="4D3FC277" w14:textId="77777777" w:rsidR="004A38A4" w:rsidRPr="004A38A4" w:rsidRDefault="004A38A4" w:rsidP="004A38A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b/>
          <w:bCs/>
          <w:color w:val="1D2021"/>
          <w:kern w:val="0"/>
          <w:lang w:eastAsia="en-AU"/>
          <w14:ligatures w14:val="none"/>
        </w:rPr>
        <w:t>Solution: </w:t>
      </w:r>
      <w:r w:rsidRPr="004A38A4">
        <w:rPr>
          <w:rFonts w:ascii="inherit" w:eastAsia="Times New Roman" w:hAnsi="inherit" w:cs="Open Sans"/>
          <w:color w:val="1D2021"/>
          <w:kern w:val="0"/>
          <w:lang w:eastAsia="en-AU"/>
          <w14:ligatures w14:val="none"/>
        </w:rPr>
        <w:t>One way to facilitate the testing of innovative AI products in the market is to create a regulatory sandbox, which enables the testing of innovative AI products in a real-world setting under relaxed regulatory requirements but with appropriate safeguards in place on a time-limited and small-scale basis [1]. Depending on the experiment, the sandbox may provide appropriate regulatory support by temporarily easing certain regulatory requirements for the duration and space of the sandbox. The sandbox can include safeguards to assess and mitigate RAI risks. Once the AI products exit the sandbox after the experiment, they must fully comply with RAI regulatory rules.</w:t>
      </w:r>
    </w:p>
    <w:p w14:paraId="22142912" w14:textId="77777777" w:rsidR="004A38A4" w:rsidRPr="004A38A4" w:rsidRDefault="004A38A4" w:rsidP="004A38A4">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noProof/>
          <w:color w:val="1D2021"/>
          <w:kern w:val="0"/>
          <w:lang w:eastAsia="en-AU"/>
          <w14:ligatures w14:val="none"/>
        </w:rPr>
        <w:lastRenderedPageBreak/>
        <w:drawing>
          <wp:inline distT="0" distB="0" distL="0" distR="0" wp14:anchorId="34503F4F" wp14:editId="059993D8">
            <wp:extent cx="4286250" cy="2343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2343150"/>
                    </a:xfrm>
                    <a:prstGeom prst="rect">
                      <a:avLst/>
                    </a:prstGeom>
                    <a:noFill/>
                    <a:ln>
                      <a:noFill/>
                    </a:ln>
                  </pic:spPr>
                </pic:pic>
              </a:graphicData>
            </a:graphic>
          </wp:inline>
        </w:drawing>
      </w:r>
    </w:p>
    <w:p w14:paraId="7A786935" w14:textId="77777777" w:rsidR="004A38A4" w:rsidRPr="004A38A4" w:rsidRDefault="004A38A4" w:rsidP="004A38A4">
      <w:pPr>
        <w:shd w:val="clear" w:color="auto" w:fill="FEFFFE"/>
        <w:spacing w:after="0" w:line="240" w:lineRule="auto"/>
        <w:textAlignment w:val="baseline"/>
        <w:rPr>
          <w:rFonts w:ascii="inherit" w:eastAsia="Times New Roman" w:hAnsi="inherit" w:cs="Open Sans"/>
          <w:color w:val="1D2021"/>
          <w:kern w:val="0"/>
          <w:sz w:val="18"/>
          <w:szCs w:val="18"/>
          <w:lang w:eastAsia="en-AU"/>
          <w14:ligatures w14:val="none"/>
        </w:rPr>
      </w:pPr>
      <w:r w:rsidRPr="004A38A4">
        <w:rPr>
          <w:rFonts w:ascii="inherit" w:eastAsia="Times New Roman" w:hAnsi="inherit" w:cs="Open Sans"/>
          <w:color w:val="1D2021"/>
          <w:kern w:val="0"/>
          <w:sz w:val="18"/>
          <w:szCs w:val="18"/>
          <w:lang w:eastAsia="en-AU"/>
          <w14:ligatures w14:val="none"/>
        </w:rPr>
        <w:t>Fig.1. Regulatory sandbox.</w:t>
      </w:r>
    </w:p>
    <w:p w14:paraId="78691601" w14:textId="77777777" w:rsidR="004A38A4" w:rsidRPr="004A38A4" w:rsidRDefault="004A38A4" w:rsidP="004A38A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color w:val="1D2021"/>
          <w:kern w:val="0"/>
          <w:lang w:eastAsia="en-AU"/>
          <w14:ligatures w14:val="none"/>
        </w:rPr>
        <w:t> </w:t>
      </w:r>
    </w:p>
    <w:p w14:paraId="727E1906" w14:textId="77777777" w:rsidR="004A38A4" w:rsidRPr="004A38A4" w:rsidRDefault="004A38A4" w:rsidP="004A38A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b/>
          <w:bCs/>
          <w:color w:val="1D2021"/>
          <w:kern w:val="0"/>
          <w:lang w:eastAsia="en-AU"/>
          <w14:ligatures w14:val="none"/>
        </w:rPr>
        <w:t>Benefits:</w:t>
      </w:r>
    </w:p>
    <w:p w14:paraId="6A92F456" w14:textId="77777777" w:rsidR="004A38A4" w:rsidRPr="004A38A4" w:rsidRDefault="004A38A4" w:rsidP="004A38A4">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color w:val="1D2021"/>
          <w:kern w:val="0"/>
          <w:lang w:eastAsia="en-AU"/>
          <w14:ligatures w14:val="none"/>
        </w:rPr>
        <w:t>Reduced time to market: AI systems can be brought to market faster under more flexible regulatory requirements.</w:t>
      </w:r>
    </w:p>
    <w:p w14:paraId="22B47C82" w14:textId="77777777" w:rsidR="004A38A4" w:rsidRPr="004A38A4" w:rsidRDefault="004A38A4" w:rsidP="004A38A4">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color w:val="1D2021"/>
          <w:kern w:val="0"/>
          <w:lang w:eastAsia="en-AU"/>
          <w14:ligatures w14:val="none"/>
        </w:rPr>
        <w:t>Real-world trial: Companies can test their AI products in the market with real consumers and determine whether the AI product is appealing to them.</w:t>
      </w:r>
    </w:p>
    <w:p w14:paraId="011944F9" w14:textId="77777777" w:rsidR="004A38A4" w:rsidRPr="004A38A4" w:rsidRDefault="004A38A4" w:rsidP="004A38A4">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color w:val="1D2021"/>
          <w:kern w:val="0"/>
          <w:lang w:eastAsia="en-AU"/>
          <w14:ligatures w14:val="none"/>
        </w:rPr>
        <w:t>Accelerated regulations: The regulatory sandbox allows for agile regulation, keeping pace with AI innovation.</w:t>
      </w:r>
    </w:p>
    <w:p w14:paraId="4177AB58" w14:textId="77777777" w:rsidR="004A38A4" w:rsidRPr="004A38A4" w:rsidRDefault="004A38A4" w:rsidP="004A38A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b/>
          <w:bCs/>
          <w:color w:val="1D2021"/>
          <w:kern w:val="0"/>
          <w:lang w:eastAsia="en-AU"/>
          <w14:ligatures w14:val="none"/>
        </w:rPr>
        <w:t>Drawbacks:</w:t>
      </w:r>
    </w:p>
    <w:p w14:paraId="26F5333A" w14:textId="77777777" w:rsidR="004A38A4" w:rsidRPr="004A38A4" w:rsidRDefault="004A38A4" w:rsidP="004A38A4">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color w:val="1D2021"/>
          <w:kern w:val="0"/>
          <w:lang w:eastAsia="en-AU"/>
          <w14:ligatures w14:val="none"/>
        </w:rPr>
        <w:t>Increased cost: It may be additional costs associated with applying for a regulatory sandbox.</w:t>
      </w:r>
    </w:p>
    <w:p w14:paraId="27BAF85C" w14:textId="77777777" w:rsidR="004A38A4" w:rsidRPr="004A38A4" w:rsidRDefault="004A38A4" w:rsidP="004A38A4">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color w:val="1D2021"/>
          <w:kern w:val="0"/>
          <w:lang w:eastAsia="en-AU"/>
          <w14:ligatures w14:val="none"/>
        </w:rPr>
        <w:t>Inconsistency with large-scale deployment: AI products tested in a regulatory sandbox may not perform as well when deployed at a larger scale or in a different context.</w:t>
      </w:r>
    </w:p>
    <w:p w14:paraId="4AD6B56B" w14:textId="77777777" w:rsidR="004A38A4" w:rsidRPr="004A38A4" w:rsidRDefault="004A38A4" w:rsidP="004A38A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b/>
          <w:bCs/>
          <w:color w:val="1D2021"/>
          <w:kern w:val="0"/>
          <w:lang w:eastAsia="en-AU"/>
          <w14:ligatures w14:val="none"/>
        </w:rPr>
        <w:t>Related patterns:</w:t>
      </w:r>
    </w:p>
    <w:p w14:paraId="29FA951A" w14:textId="77777777" w:rsidR="004A38A4" w:rsidRPr="004A38A4" w:rsidRDefault="004A38A4" w:rsidP="004A38A4">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4A38A4">
          <w:rPr>
            <w:rFonts w:ascii="inherit" w:eastAsia="Times New Roman" w:hAnsi="inherit" w:cs="Open Sans"/>
            <w:color w:val="004B87"/>
            <w:kern w:val="0"/>
            <w:u w:val="single"/>
            <w:bdr w:val="none" w:sz="0" w:space="0" w:color="auto" w:frame="1"/>
            <w:lang w:eastAsia="en-AU"/>
            <w14:ligatures w14:val="none"/>
          </w:rPr>
          <w:t>RAI law and regulation</w:t>
        </w:r>
      </w:hyperlink>
      <w:r w:rsidRPr="004A38A4">
        <w:rPr>
          <w:rFonts w:ascii="inherit" w:eastAsia="Times New Roman" w:hAnsi="inherit" w:cs="Open Sans"/>
          <w:color w:val="1D2021"/>
          <w:kern w:val="0"/>
          <w:lang w:eastAsia="en-AU"/>
          <w14:ligatures w14:val="none"/>
        </w:rPr>
        <w:t>: A regulatory sandbox can be implemented temporarily while RAI laws and regulations are being developed.</w:t>
      </w:r>
    </w:p>
    <w:p w14:paraId="0D36C803" w14:textId="77777777" w:rsidR="004A38A4" w:rsidRPr="004A38A4" w:rsidRDefault="004A38A4" w:rsidP="004A38A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b/>
          <w:bCs/>
          <w:color w:val="1D2021"/>
          <w:kern w:val="0"/>
          <w:lang w:eastAsia="en-AU"/>
          <w14:ligatures w14:val="none"/>
        </w:rPr>
        <w:t>Known uses:</w:t>
      </w:r>
    </w:p>
    <w:p w14:paraId="09A3CC19" w14:textId="77777777" w:rsidR="004A38A4" w:rsidRPr="004A38A4" w:rsidRDefault="004A38A4" w:rsidP="004A38A4">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4A38A4">
          <w:rPr>
            <w:rFonts w:ascii="inherit" w:eastAsia="Times New Roman" w:hAnsi="inherit" w:cs="Open Sans"/>
            <w:color w:val="004B87"/>
            <w:kern w:val="0"/>
            <w:u w:val="single"/>
            <w:bdr w:val="none" w:sz="0" w:space="0" w:color="auto" w:frame="1"/>
            <w:lang w:eastAsia="en-AU"/>
            <w14:ligatures w14:val="none"/>
          </w:rPr>
          <w:t>EU’s AI Regulatory Sandbox</w:t>
        </w:r>
      </w:hyperlink>
      <w:r w:rsidRPr="004A38A4">
        <w:rPr>
          <w:rFonts w:ascii="inherit" w:eastAsia="Times New Roman" w:hAnsi="inherit" w:cs="Open Sans"/>
          <w:color w:val="1D2021"/>
          <w:kern w:val="0"/>
          <w:lang w:eastAsia="en-AU"/>
          <w14:ligatures w14:val="none"/>
        </w:rPr>
        <w:t> is introduced in the EU’s Artificial Intelligence Act proposal submitted in April 2021.</w:t>
      </w:r>
    </w:p>
    <w:p w14:paraId="6BD9869D" w14:textId="77777777" w:rsidR="004A38A4" w:rsidRPr="004A38A4" w:rsidRDefault="004A38A4" w:rsidP="004A38A4">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color w:val="1D2021"/>
          <w:kern w:val="0"/>
          <w:lang w:eastAsia="en-AU"/>
          <w14:ligatures w14:val="none"/>
        </w:rPr>
        <w:t>The UK Information Commissioner’s Office (ICO) introduced a </w:t>
      </w:r>
      <w:hyperlink r:id="rId8" w:history="1">
        <w:r w:rsidRPr="004A38A4">
          <w:rPr>
            <w:rFonts w:ascii="inherit" w:eastAsia="Times New Roman" w:hAnsi="inherit" w:cs="Open Sans"/>
            <w:color w:val="004B87"/>
            <w:kern w:val="0"/>
            <w:u w:val="single"/>
            <w:bdr w:val="none" w:sz="0" w:space="0" w:color="auto" w:frame="1"/>
            <w:lang w:eastAsia="en-AU"/>
            <w14:ligatures w14:val="none"/>
          </w:rPr>
          <w:t>Regulatory Sandbox</w:t>
        </w:r>
      </w:hyperlink>
      <w:r w:rsidRPr="004A38A4">
        <w:rPr>
          <w:rFonts w:ascii="inherit" w:eastAsia="Times New Roman" w:hAnsi="inherit" w:cs="Open Sans"/>
          <w:color w:val="1D2021"/>
          <w:kern w:val="0"/>
          <w:lang w:eastAsia="en-AU"/>
          <w14:ligatures w14:val="none"/>
        </w:rPr>
        <w:t> for the services and products which utilises personal data.</w:t>
      </w:r>
    </w:p>
    <w:p w14:paraId="130E2355" w14:textId="77777777" w:rsidR="004A38A4" w:rsidRPr="004A38A4" w:rsidRDefault="004A38A4" w:rsidP="004A38A4">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color w:val="1D2021"/>
          <w:kern w:val="0"/>
          <w:lang w:eastAsia="en-AU"/>
          <w14:ligatures w14:val="none"/>
        </w:rPr>
        <w:t>The Australian Government released the </w:t>
      </w:r>
      <w:hyperlink r:id="rId9" w:history="1">
        <w:r w:rsidRPr="004A38A4">
          <w:rPr>
            <w:rFonts w:ascii="inherit" w:eastAsia="Times New Roman" w:hAnsi="inherit" w:cs="Open Sans"/>
            <w:color w:val="004B87"/>
            <w:kern w:val="0"/>
            <w:u w:val="single"/>
            <w:bdr w:val="none" w:sz="0" w:space="0" w:color="auto" w:frame="1"/>
            <w:lang w:eastAsia="en-AU"/>
            <w14:ligatures w14:val="none"/>
          </w:rPr>
          <w:t>Enhanced Regulatory Sandbox</w:t>
        </w:r>
      </w:hyperlink>
      <w:r w:rsidRPr="004A38A4">
        <w:rPr>
          <w:rFonts w:ascii="inherit" w:eastAsia="Times New Roman" w:hAnsi="inherit" w:cs="Open Sans"/>
          <w:color w:val="1D2021"/>
          <w:kern w:val="0"/>
          <w:lang w:eastAsia="en-AU"/>
          <w14:ligatures w14:val="none"/>
        </w:rPr>
        <w:t> for innovative financial services without the need to meet existing regulatory requirements.</w:t>
      </w:r>
    </w:p>
    <w:p w14:paraId="206E35BE" w14:textId="77777777" w:rsidR="004A38A4" w:rsidRPr="004A38A4" w:rsidRDefault="004A38A4" w:rsidP="004A38A4">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0" w:history="1">
        <w:r w:rsidRPr="004A38A4">
          <w:rPr>
            <w:rFonts w:ascii="inherit" w:eastAsia="Times New Roman" w:hAnsi="inherit" w:cs="Open Sans"/>
            <w:color w:val="004B87"/>
            <w:kern w:val="0"/>
            <w:u w:val="single"/>
            <w:bdr w:val="none" w:sz="0" w:space="0" w:color="auto" w:frame="1"/>
            <w:lang w:eastAsia="en-AU"/>
            <w14:ligatures w14:val="none"/>
          </w:rPr>
          <w:t>Singapore’s FinTech Regulatory Sandbox</w:t>
        </w:r>
      </w:hyperlink>
      <w:r w:rsidRPr="004A38A4">
        <w:rPr>
          <w:rFonts w:ascii="inherit" w:eastAsia="Times New Roman" w:hAnsi="inherit" w:cs="Open Sans"/>
          <w:color w:val="1D2021"/>
          <w:kern w:val="0"/>
          <w:lang w:eastAsia="en-AU"/>
          <w14:ligatures w14:val="none"/>
        </w:rPr>
        <w:t> allows financial companies to test with innovative financial products and services in a live environment with relaxed regulatory requirements.</w:t>
      </w:r>
    </w:p>
    <w:p w14:paraId="3F1086E6" w14:textId="77777777" w:rsidR="004A38A4" w:rsidRPr="004A38A4" w:rsidRDefault="004A38A4" w:rsidP="004A38A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b/>
          <w:bCs/>
          <w:color w:val="1D2021"/>
          <w:kern w:val="0"/>
          <w:lang w:eastAsia="en-AU"/>
          <w14:ligatures w14:val="none"/>
        </w:rPr>
        <w:t>References:</w:t>
      </w:r>
    </w:p>
    <w:p w14:paraId="78140D54" w14:textId="77777777" w:rsidR="004A38A4" w:rsidRPr="004A38A4" w:rsidRDefault="004A38A4" w:rsidP="004A38A4">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4A38A4">
        <w:rPr>
          <w:rFonts w:ascii="inherit" w:eastAsia="Times New Roman" w:hAnsi="inherit" w:cs="Open Sans"/>
          <w:color w:val="1D2021"/>
          <w:kern w:val="0"/>
          <w:lang w:eastAsia="en-AU"/>
          <w14:ligatures w14:val="none"/>
        </w:rPr>
        <w:t>[1] J. Schaich Borg, “Four investment areas for ethical ai: Transdisciplinary opportunities to close the publication-to-practice gap,” Big Data &amp; Society, vol. 8, no. 2, p. 20539517211040197, 2021.</w:t>
      </w:r>
    </w:p>
    <w:p w14:paraId="1BBB7E23" w14:textId="77777777" w:rsidR="004A38A4" w:rsidRDefault="004A38A4"/>
    <w:sectPr w:rsidR="004A38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73AB"/>
    <w:multiLevelType w:val="multilevel"/>
    <w:tmpl w:val="8488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74B6E"/>
    <w:multiLevelType w:val="multilevel"/>
    <w:tmpl w:val="1310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036050"/>
    <w:multiLevelType w:val="multilevel"/>
    <w:tmpl w:val="5BC8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CA63A0"/>
    <w:multiLevelType w:val="multilevel"/>
    <w:tmpl w:val="763C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213105">
    <w:abstractNumId w:val="1"/>
  </w:num>
  <w:num w:numId="2" w16cid:durableId="903223720">
    <w:abstractNumId w:val="3"/>
  </w:num>
  <w:num w:numId="3" w16cid:durableId="1674723828">
    <w:abstractNumId w:val="0"/>
  </w:num>
  <w:num w:numId="4" w16cid:durableId="585380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8A4"/>
    <w:rsid w:val="0029460E"/>
    <w:rsid w:val="004A38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B0CB4"/>
  <w15:chartTrackingRefBased/>
  <w15:docId w15:val="{54F2D5B8-C70D-4DE8-906A-BF1EADE4E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8A4"/>
    <w:rPr>
      <w:rFonts w:eastAsiaTheme="majorEastAsia" w:cstheme="majorBidi"/>
      <w:color w:val="272727" w:themeColor="text1" w:themeTint="D8"/>
    </w:rPr>
  </w:style>
  <w:style w:type="paragraph" w:styleId="Title">
    <w:name w:val="Title"/>
    <w:basedOn w:val="Normal"/>
    <w:next w:val="Normal"/>
    <w:link w:val="TitleChar"/>
    <w:uiPriority w:val="10"/>
    <w:qFormat/>
    <w:rsid w:val="004A3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8A4"/>
    <w:pPr>
      <w:spacing w:before="160"/>
      <w:jc w:val="center"/>
    </w:pPr>
    <w:rPr>
      <w:i/>
      <w:iCs/>
      <w:color w:val="404040" w:themeColor="text1" w:themeTint="BF"/>
    </w:rPr>
  </w:style>
  <w:style w:type="character" w:customStyle="1" w:styleId="QuoteChar">
    <w:name w:val="Quote Char"/>
    <w:basedOn w:val="DefaultParagraphFont"/>
    <w:link w:val="Quote"/>
    <w:uiPriority w:val="29"/>
    <w:rsid w:val="004A38A4"/>
    <w:rPr>
      <w:i/>
      <w:iCs/>
      <w:color w:val="404040" w:themeColor="text1" w:themeTint="BF"/>
    </w:rPr>
  </w:style>
  <w:style w:type="paragraph" w:styleId="ListParagraph">
    <w:name w:val="List Paragraph"/>
    <w:basedOn w:val="Normal"/>
    <w:uiPriority w:val="34"/>
    <w:qFormat/>
    <w:rsid w:val="004A38A4"/>
    <w:pPr>
      <w:ind w:left="720"/>
      <w:contextualSpacing/>
    </w:pPr>
  </w:style>
  <w:style w:type="character" w:styleId="IntenseEmphasis">
    <w:name w:val="Intense Emphasis"/>
    <w:basedOn w:val="DefaultParagraphFont"/>
    <w:uiPriority w:val="21"/>
    <w:qFormat/>
    <w:rsid w:val="004A38A4"/>
    <w:rPr>
      <w:i/>
      <w:iCs/>
      <w:color w:val="0F4761" w:themeColor="accent1" w:themeShade="BF"/>
    </w:rPr>
  </w:style>
  <w:style w:type="paragraph" w:styleId="IntenseQuote">
    <w:name w:val="Intense Quote"/>
    <w:basedOn w:val="Normal"/>
    <w:next w:val="Normal"/>
    <w:link w:val="IntenseQuoteChar"/>
    <w:uiPriority w:val="30"/>
    <w:qFormat/>
    <w:rsid w:val="004A3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8A4"/>
    <w:rPr>
      <w:i/>
      <w:iCs/>
      <w:color w:val="0F4761" w:themeColor="accent1" w:themeShade="BF"/>
    </w:rPr>
  </w:style>
  <w:style w:type="character" w:styleId="IntenseReference">
    <w:name w:val="Intense Reference"/>
    <w:basedOn w:val="DefaultParagraphFont"/>
    <w:uiPriority w:val="32"/>
    <w:qFormat/>
    <w:rsid w:val="004A38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o.org.uk/for-organisations/regulatory-sandbox/the-guide-to-the-sandbox/" TargetMode="External"/><Relationship Id="rId3" Type="http://schemas.openxmlformats.org/officeDocument/2006/relationships/settings" Target="settings.xml"/><Relationship Id="rId7" Type="http://schemas.openxmlformats.org/officeDocument/2006/relationships/hyperlink" Target="https://www.eipa.eu/publications/briefing/sandboxes-for-responsible-artificial-intelligenc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ai-regulation/"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mas.gov.sg/development/fintech/regulatory-sandbox" TargetMode="External"/><Relationship Id="rId4" Type="http://schemas.openxmlformats.org/officeDocument/2006/relationships/webSettings" Target="webSettings.xml"/><Relationship Id="rId9" Type="http://schemas.openxmlformats.org/officeDocument/2006/relationships/hyperlink" Target="https://asic.gov.au/for-business/innovation-hub/enhanced-regulatory-sand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519</Words>
  <Characters>3117</Characters>
  <Application>Microsoft Office Word</Application>
  <DocSecurity>0</DocSecurity>
  <Lines>62</Lines>
  <Paragraphs>29</Paragraphs>
  <ScaleCrop>false</ScaleCrop>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2026-07-14T16:32:00Z</dcterms:created>
  <dcterms:modified xsi:type="dcterms:W3CDTF">2026-07-14T16:34:00Z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2026-07-14T16:34:11Z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fe6ac412-eb99-464b-9573-2a9f5ccdf9fd</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