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49AC1" w14:textId="77777777" w:rsidR="00D56087" w:rsidRPr="00D56087" w:rsidRDefault="00D56087" w:rsidP="00D56087">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D56087">
        <w:rPr>
          <w:rFonts w:ascii="Montserrat" w:eastAsia="Times New Roman" w:hAnsi="Montserrat" w:cs="Times New Roman"/>
          <w:color w:val="142C3F"/>
          <w:kern w:val="36"/>
          <w:sz w:val="48"/>
          <w:szCs w:val="48"/>
          <w:lang w:eastAsia="en-AU"/>
          <w14:ligatures w14:val="none"/>
        </w:rPr>
        <w:t>Stakeholder Engagement</w:t>
      </w:r>
    </w:p>
    <w:p w14:paraId="1A21B495" w14:textId="77777777" w:rsidR="00D56087" w:rsidRPr="00D56087" w:rsidRDefault="00D56087" w:rsidP="00D5608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56087">
        <w:rPr>
          <w:rFonts w:ascii="inherit" w:eastAsia="Times New Roman" w:hAnsi="inherit" w:cs="Open Sans"/>
          <w:b/>
          <w:bCs/>
          <w:color w:val="1D2021"/>
          <w:kern w:val="0"/>
          <w:lang w:eastAsia="en-AU"/>
          <w14:ligatures w14:val="none"/>
        </w:rPr>
        <w:t>Summary: </w:t>
      </w:r>
      <w:r w:rsidRPr="00D56087">
        <w:rPr>
          <w:rFonts w:ascii="inherit" w:eastAsia="Times New Roman" w:hAnsi="inherit" w:cs="Open Sans"/>
          <w:color w:val="1D2021"/>
          <w:kern w:val="0"/>
          <w:lang w:eastAsia="en-AU"/>
          <w14:ligatures w14:val="none"/>
        </w:rPr>
        <w:t>Keeping stakeholders engaged throughout the AI project is essential to building AI systems responsibly.</w:t>
      </w:r>
    </w:p>
    <w:p w14:paraId="1A198323" w14:textId="77777777" w:rsidR="00D56087" w:rsidRPr="00D56087" w:rsidRDefault="00D56087" w:rsidP="00D56087">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D56087">
        <w:rPr>
          <w:rFonts w:ascii="inherit" w:eastAsia="Times New Roman" w:hAnsi="inherit" w:cs="Open Sans"/>
          <w:b/>
          <w:bCs/>
          <w:color w:val="1D2021"/>
          <w:kern w:val="0"/>
          <w:lang w:eastAsia="en-AU"/>
          <w14:ligatures w14:val="none"/>
        </w:rPr>
        <w:t>Type of pattern: </w:t>
      </w:r>
      <w:r w:rsidRPr="00D56087">
        <w:rPr>
          <w:rFonts w:ascii="inherit" w:eastAsia="Times New Roman" w:hAnsi="inherit" w:cs="Open Sans"/>
          <w:color w:val="1D2021"/>
          <w:kern w:val="0"/>
          <w:bdr w:val="none" w:sz="0" w:space="0" w:color="auto" w:frame="1"/>
          <w:lang w:eastAsia="en-AU"/>
          <w14:ligatures w14:val="none"/>
        </w:rPr>
        <w:t>Governance pattern</w:t>
      </w:r>
    </w:p>
    <w:p w14:paraId="5FC8825F" w14:textId="77777777" w:rsidR="00D56087" w:rsidRPr="00D56087" w:rsidRDefault="00D56087" w:rsidP="00D56087">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D56087">
        <w:rPr>
          <w:rFonts w:ascii="inherit" w:eastAsia="Times New Roman" w:hAnsi="inherit" w:cs="Open Sans"/>
          <w:b/>
          <w:bCs/>
          <w:color w:val="1D2021"/>
          <w:kern w:val="0"/>
          <w:lang w:eastAsia="en-AU"/>
          <w14:ligatures w14:val="none"/>
        </w:rPr>
        <w:t>Type of objective: </w:t>
      </w:r>
      <w:r w:rsidRPr="00D56087">
        <w:rPr>
          <w:rFonts w:ascii="inherit" w:eastAsia="Times New Roman" w:hAnsi="inherit" w:cs="Open Sans"/>
          <w:color w:val="1D2021"/>
          <w:kern w:val="0"/>
          <w:bdr w:val="none" w:sz="0" w:space="0" w:color="auto" w:frame="1"/>
          <w:lang w:eastAsia="en-AU"/>
          <w14:ligatures w14:val="none"/>
        </w:rPr>
        <w:t>Trustworthiness</w:t>
      </w:r>
    </w:p>
    <w:p w14:paraId="2A3E5A3E" w14:textId="77777777" w:rsidR="00D56087" w:rsidRPr="00D56087" w:rsidRDefault="00D56087" w:rsidP="00D56087">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D56087">
        <w:rPr>
          <w:rFonts w:ascii="inherit" w:eastAsia="Times New Roman" w:hAnsi="inherit" w:cs="Open Sans"/>
          <w:b/>
          <w:bCs/>
          <w:color w:val="1D2021"/>
          <w:kern w:val="0"/>
          <w:lang w:eastAsia="en-AU"/>
          <w14:ligatures w14:val="none"/>
        </w:rPr>
        <w:t>Target users: </w:t>
      </w:r>
      <w:r w:rsidRPr="00D56087">
        <w:rPr>
          <w:rFonts w:ascii="inherit" w:eastAsia="Times New Roman" w:hAnsi="inherit" w:cs="Open Sans"/>
          <w:color w:val="1D2021"/>
          <w:kern w:val="0"/>
          <w:bdr w:val="none" w:sz="0" w:space="0" w:color="auto" w:frame="1"/>
          <w:lang w:eastAsia="en-AU"/>
          <w14:ligatures w14:val="none"/>
        </w:rPr>
        <w:t>Project managers</w:t>
      </w:r>
    </w:p>
    <w:p w14:paraId="3518CD4C" w14:textId="77777777" w:rsidR="00D56087" w:rsidRPr="00D56087" w:rsidRDefault="00D56087" w:rsidP="00D56087">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D56087">
        <w:rPr>
          <w:rFonts w:ascii="inherit" w:eastAsia="Times New Roman" w:hAnsi="inherit" w:cs="Open Sans"/>
          <w:b/>
          <w:bCs/>
          <w:color w:val="1D2021"/>
          <w:kern w:val="0"/>
          <w:lang w:eastAsia="en-AU"/>
          <w14:ligatures w14:val="none"/>
        </w:rPr>
        <w:t>Impacted stakeholders: </w:t>
      </w:r>
      <w:r w:rsidRPr="00D56087">
        <w:rPr>
          <w:rFonts w:ascii="inherit" w:eastAsia="Times New Roman" w:hAnsi="inherit" w:cs="Open Sans"/>
          <w:color w:val="1D2021"/>
          <w:kern w:val="0"/>
          <w:bdr w:val="none" w:sz="0" w:space="0" w:color="auto" w:frame="1"/>
          <w:lang w:eastAsia="en-AU"/>
          <w14:ligatures w14:val="none"/>
        </w:rPr>
        <w:t>Development teams</w:t>
      </w:r>
    </w:p>
    <w:p w14:paraId="1388AF1C" w14:textId="77777777" w:rsidR="00D56087" w:rsidRPr="00D56087" w:rsidRDefault="00D56087" w:rsidP="00D56087">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D56087">
        <w:rPr>
          <w:rFonts w:ascii="inherit" w:eastAsia="Times New Roman" w:hAnsi="inherit" w:cs="Open Sans"/>
          <w:b/>
          <w:bCs/>
          <w:color w:val="1D2021"/>
          <w:kern w:val="0"/>
          <w:lang w:eastAsia="en-AU"/>
          <w14:ligatures w14:val="none"/>
        </w:rPr>
        <w:t>Lifecycle stages: </w:t>
      </w:r>
      <w:r w:rsidRPr="00D56087">
        <w:rPr>
          <w:rFonts w:ascii="inherit" w:eastAsia="Times New Roman" w:hAnsi="inherit" w:cs="Open Sans"/>
          <w:color w:val="1D2021"/>
          <w:kern w:val="0"/>
          <w:bdr w:val="none" w:sz="0" w:space="0" w:color="auto" w:frame="1"/>
          <w:lang w:eastAsia="en-AU"/>
          <w14:ligatures w14:val="none"/>
        </w:rPr>
        <w:t>All stages</w:t>
      </w:r>
    </w:p>
    <w:p w14:paraId="7DB2781F" w14:textId="77777777" w:rsidR="00D56087" w:rsidRPr="00D56087" w:rsidRDefault="00D56087" w:rsidP="00D56087">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D56087">
        <w:rPr>
          <w:rFonts w:ascii="inherit" w:eastAsia="Times New Roman" w:hAnsi="inherit" w:cs="Open Sans"/>
          <w:b/>
          <w:bCs/>
          <w:color w:val="1D2021"/>
          <w:kern w:val="0"/>
          <w:lang w:eastAsia="en-AU"/>
          <w14:ligatures w14:val="none"/>
        </w:rPr>
        <w:t>Relevant AI ethics principles: </w:t>
      </w:r>
      <w:r w:rsidRPr="00D56087">
        <w:rPr>
          <w:rFonts w:ascii="inherit" w:eastAsia="Times New Roman" w:hAnsi="inherit" w:cs="Open Sans"/>
          <w:color w:val="1D2021"/>
          <w:kern w:val="0"/>
          <w:bdr w:val="none" w:sz="0" w:space="0" w:color="auto" w:frame="1"/>
          <w:lang w:eastAsia="en-AU"/>
          <w14:ligatures w14:val="none"/>
        </w:rPr>
        <w:t>Human, societal and environmental wellbeing, human-centered values, fairness, privacy protection and security, reliability and safety, transparency and explainability, contestability, accountability</w:t>
      </w:r>
    </w:p>
    <w:p w14:paraId="42B72AE2" w14:textId="77777777" w:rsidR="00D56087" w:rsidRPr="00D56087" w:rsidRDefault="00D56087" w:rsidP="00D5608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56087">
        <w:rPr>
          <w:rFonts w:ascii="inherit" w:eastAsia="Times New Roman" w:hAnsi="inherit" w:cs="Open Sans"/>
          <w:b/>
          <w:bCs/>
          <w:color w:val="1D2021"/>
          <w:kern w:val="0"/>
          <w:lang w:eastAsia="en-AU"/>
          <w14:ligatures w14:val="none"/>
        </w:rPr>
        <w:t>Mapping to AI regulations/standards:</w:t>
      </w:r>
      <w:r w:rsidRPr="00D56087">
        <w:rPr>
          <w:rFonts w:ascii="inherit" w:eastAsia="Times New Roman" w:hAnsi="inherit" w:cs="Open Sans"/>
          <w:color w:val="1D2021"/>
          <w:kern w:val="0"/>
          <w:lang w:eastAsia="en-AU"/>
          <w14:ligatures w14:val="none"/>
        </w:rPr>
        <w:t> EU AI Act, ISO/IEC 42001:2023 Standard.</w:t>
      </w:r>
    </w:p>
    <w:p w14:paraId="07F4F00E" w14:textId="77777777" w:rsidR="00D56087" w:rsidRPr="00D56087" w:rsidRDefault="00D56087" w:rsidP="00D5608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56087">
        <w:rPr>
          <w:rFonts w:ascii="inherit" w:eastAsia="Times New Roman" w:hAnsi="inherit" w:cs="Open Sans"/>
          <w:b/>
          <w:bCs/>
          <w:color w:val="1D2021"/>
          <w:kern w:val="0"/>
          <w:lang w:eastAsia="en-AU"/>
          <w14:ligatures w14:val="none"/>
        </w:rPr>
        <w:t>Context: </w:t>
      </w:r>
      <w:r w:rsidRPr="00D56087">
        <w:rPr>
          <w:rFonts w:ascii="inherit" w:eastAsia="Times New Roman" w:hAnsi="inherit" w:cs="Open Sans"/>
          <w:color w:val="1D2021"/>
          <w:kern w:val="0"/>
          <w:lang w:eastAsia="en-AU"/>
          <w14:ligatures w14:val="none"/>
        </w:rPr>
        <w:t>Stakeholders in AI projects include individuals, groups, or organizations that may influence or be impacted by the project’s outcomes. These stakeholders may have various ethical concerns regarding the development and use of AI systems, such as the trustworthiness of AI systems and the potential impact of AI on humanity.</w:t>
      </w:r>
    </w:p>
    <w:p w14:paraId="5AA9F54B" w14:textId="77777777" w:rsidR="00D56087" w:rsidRPr="00D56087" w:rsidRDefault="00D56087" w:rsidP="00D5608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56087">
        <w:rPr>
          <w:rFonts w:ascii="inherit" w:eastAsia="Times New Roman" w:hAnsi="inherit" w:cs="Open Sans"/>
          <w:b/>
          <w:bCs/>
          <w:color w:val="1D2021"/>
          <w:kern w:val="0"/>
          <w:lang w:eastAsia="en-AU"/>
          <w14:ligatures w14:val="none"/>
        </w:rPr>
        <w:t>Problem: </w:t>
      </w:r>
      <w:r w:rsidRPr="00D56087">
        <w:rPr>
          <w:rFonts w:ascii="inherit" w:eastAsia="Times New Roman" w:hAnsi="inherit" w:cs="Open Sans"/>
          <w:color w:val="1D2021"/>
          <w:kern w:val="0"/>
          <w:lang w:eastAsia="en-AU"/>
          <w14:ligatures w14:val="none"/>
        </w:rPr>
        <w:t>How can we manage the needs and expectations of stakeholders?</w:t>
      </w:r>
    </w:p>
    <w:p w14:paraId="45341E87" w14:textId="77777777" w:rsidR="00D56087" w:rsidRPr="00D56087" w:rsidRDefault="00D56087" w:rsidP="00D5608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56087">
        <w:rPr>
          <w:rFonts w:ascii="inherit" w:eastAsia="Times New Roman" w:hAnsi="inherit" w:cs="Open Sans"/>
          <w:b/>
          <w:bCs/>
          <w:color w:val="1D2021"/>
          <w:kern w:val="0"/>
          <w:lang w:eastAsia="en-AU"/>
          <w14:ligatures w14:val="none"/>
        </w:rPr>
        <w:t>Solution: </w:t>
      </w:r>
      <w:r w:rsidRPr="00D56087">
        <w:rPr>
          <w:rFonts w:ascii="inherit" w:eastAsia="Times New Roman" w:hAnsi="inherit" w:cs="Open Sans"/>
          <w:color w:val="1D2021"/>
          <w:kern w:val="0"/>
          <w:lang w:eastAsia="en-AU"/>
          <w14:ligatures w14:val="none"/>
        </w:rPr>
        <w:t>Keeping stakeholder engagement throughout the AI project is essential to building AI systems responsibly. Stakeholder engagement allows AI systems to better reflect needs and expectations of stakeholders. There are various ways to engage stakeholders, such as interviews, online and offline meetings, project planning and review, and participatory design workshops. Choosing the most effective ways to encourage stakeholders depends on the project’s scope, objectives, and the stakeholders’ preferences. Possible methods to measure engagement may include the number of stakeholders involved, the frequency of their participation, and the quality of feedback received from stakeholders.</w:t>
      </w:r>
    </w:p>
    <w:p w14:paraId="7B840A8A" w14:textId="77777777" w:rsidR="00D56087" w:rsidRPr="00D56087" w:rsidRDefault="00D56087" w:rsidP="00D5608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56087">
        <w:rPr>
          <w:rFonts w:ascii="inherit" w:eastAsia="Times New Roman" w:hAnsi="inherit" w:cs="Open Sans"/>
          <w:b/>
          <w:bCs/>
          <w:color w:val="1D2021"/>
          <w:kern w:val="0"/>
          <w:lang w:eastAsia="en-AU"/>
          <w14:ligatures w14:val="none"/>
        </w:rPr>
        <w:t>Benefits:</w:t>
      </w:r>
    </w:p>
    <w:p w14:paraId="139546BF" w14:textId="77777777" w:rsidR="00D56087" w:rsidRPr="00D56087" w:rsidRDefault="00D56087" w:rsidP="00D56087">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D56087">
        <w:rPr>
          <w:rFonts w:ascii="inherit" w:eastAsia="Times New Roman" w:hAnsi="inherit" w:cs="Open Sans"/>
          <w:color w:val="1D2021"/>
          <w:kern w:val="0"/>
          <w:lang w:eastAsia="en-AU"/>
          <w14:ligatures w14:val="none"/>
        </w:rPr>
        <w:t>Improved trust: Stakeholder engagement aligns the development of AI systems with societal expectations and helps build stakeholders’ trust in AI projects.</w:t>
      </w:r>
    </w:p>
    <w:p w14:paraId="60C7D58A" w14:textId="77777777" w:rsidR="00D56087" w:rsidRPr="00D56087" w:rsidRDefault="00D56087" w:rsidP="00D56087">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D56087">
        <w:rPr>
          <w:rFonts w:ascii="inherit" w:eastAsia="Times New Roman" w:hAnsi="inherit" w:cs="Open Sans"/>
          <w:color w:val="1D2021"/>
          <w:kern w:val="0"/>
          <w:lang w:eastAsia="en-AU"/>
          <w14:ligatures w14:val="none"/>
        </w:rPr>
        <w:t>Reduced risk: Stakeholders may help the project team identify and mitigate potential RAI risks before they become threats.</w:t>
      </w:r>
    </w:p>
    <w:p w14:paraId="6D580C43" w14:textId="77777777" w:rsidR="00D56087" w:rsidRPr="00D56087" w:rsidRDefault="00D56087" w:rsidP="00D5608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56087">
        <w:rPr>
          <w:rFonts w:ascii="inherit" w:eastAsia="Times New Roman" w:hAnsi="inherit" w:cs="Open Sans"/>
          <w:b/>
          <w:bCs/>
          <w:color w:val="1D2021"/>
          <w:kern w:val="0"/>
          <w:lang w:eastAsia="en-AU"/>
          <w14:ligatures w14:val="none"/>
        </w:rPr>
        <w:t>Drawbacks:</w:t>
      </w:r>
    </w:p>
    <w:p w14:paraId="65DB4D37" w14:textId="77777777" w:rsidR="00D56087" w:rsidRPr="00D56087" w:rsidRDefault="00D56087" w:rsidP="00D56087">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D56087">
        <w:rPr>
          <w:rFonts w:ascii="inherit" w:eastAsia="Times New Roman" w:hAnsi="inherit" w:cs="Open Sans"/>
          <w:color w:val="1D2021"/>
          <w:kern w:val="0"/>
          <w:lang w:eastAsia="en-AU"/>
          <w14:ligatures w14:val="none"/>
        </w:rPr>
        <w:lastRenderedPageBreak/>
        <w:t>Conflicting opinions: There may be conflicting opinions from different stakeholders.</w:t>
      </w:r>
    </w:p>
    <w:p w14:paraId="292E1FF5" w14:textId="77777777" w:rsidR="00D56087" w:rsidRPr="00D56087" w:rsidRDefault="00D56087" w:rsidP="00D56087">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D56087">
        <w:rPr>
          <w:rFonts w:ascii="inherit" w:eastAsia="Times New Roman" w:hAnsi="inherit" w:cs="Open Sans"/>
          <w:color w:val="1D2021"/>
          <w:kern w:val="0"/>
          <w:lang w:eastAsia="en-AU"/>
          <w14:ligatures w14:val="none"/>
        </w:rPr>
        <w:t>Increased cost: Addressing the needs and expectations from the stakeholders may incur unexpected cost.</w:t>
      </w:r>
    </w:p>
    <w:p w14:paraId="698CBFD6" w14:textId="77777777" w:rsidR="00D56087" w:rsidRPr="00D56087" w:rsidRDefault="00D56087" w:rsidP="00D5608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56087">
        <w:rPr>
          <w:rFonts w:ascii="inherit" w:eastAsia="Times New Roman" w:hAnsi="inherit" w:cs="Open Sans"/>
          <w:b/>
          <w:bCs/>
          <w:color w:val="1D2021"/>
          <w:kern w:val="0"/>
          <w:lang w:eastAsia="en-AU"/>
          <w14:ligatures w14:val="none"/>
        </w:rPr>
        <w:t>Related patterns:</w:t>
      </w:r>
    </w:p>
    <w:p w14:paraId="57A859AB" w14:textId="77777777" w:rsidR="00D56087" w:rsidRPr="00D56087" w:rsidRDefault="00D56087" w:rsidP="00D56087">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D56087">
          <w:rPr>
            <w:rFonts w:ascii="inherit" w:eastAsia="Times New Roman" w:hAnsi="inherit" w:cs="Open Sans"/>
            <w:color w:val="004B87"/>
            <w:kern w:val="0"/>
            <w:u w:val="single"/>
            <w:bdr w:val="none" w:sz="0" w:space="0" w:color="auto" w:frame="1"/>
            <w:lang w:eastAsia="en-AU"/>
            <w14:ligatures w14:val="none"/>
          </w:rPr>
          <w:t>Diverse team</w:t>
        </w:r>
      </w:hyperlink>
      <w:r w:rsidRPr="00D56087">
        <w:rPr>
          <w:rFonts w:ascii="inherit" w:eastAsia="Times New Roman" w:hAnsi="inherit" w:cs="Open Sans"/>
          <w:color w:val="1D2021"/>
          <w:kern w:val="0"/>
          <w:lang w:eastAsia="en-AU"/>
          <w14:ligatures w14:val="none"/>
        </w:rPr>
        <w:t>: Project teams need to continuously engage in communication and collaboration with stakeholders throughout the entire project lifecycle. Diverse teams can improve the communication efficiency by increasing understanding towards the needs and concerns of different stakeholders.</w:t>
      </w:r>
    </w:p>
    <w:p w14:paraId="7084E8A8" w14:textId="77777777" w:rsidR="00D56087" w:rsidRPr="00D56087" w:rsidRDefault="00D56087" w:rsidP="00D5608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56087">
        <w:rPr>
          <w:rFonts w:ascii="inherit" w:eastAsia="Times New Roman" w:hAnsi="inherit" w:cs="Open Sans"/>
          <w:b/>
          <w:bCs/>
          <w:color w:val="1D2021"/>
          <w:kern w:val="0"/>
          <w:lang w:eastAsia="en-AU"/>
          <w14:ligatures w14:val="none"/>
        </w:rPr>
        <w:t>Known uses:</w:t>
      </w:r>
    </w:p>
    <w:p w14:paraId="35DE78AE" w14:textId="77777777" w:rsidR="00D56087" w:rsidRPr="00D56087" w:rsidRDefault="00D56087" w:rsidP="00D56087">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D56087">
        <w:rPr>
          <w:rFonts w:ascii="inherit" w:eastAsia="Times New Roman" w:hAnsi="inherit" w:cs="Open Sans"/>
          <w:color w:val="1D2021"/>
          <w:kern w:val="0"/>
          <w:lang w:eastAsia="en-AU"/>
          <w14:ligatures w14:val="none"/>
        </w:rPr>
        <w:t>Association for project management (APM) has published </w:t>
      </w:r>
      <w:hyperlink r:id="rId6" w:history="1">
        <w:r w:rsidRPr="00D56087">
          <w:rPr>
            <w:rFonts w:ascii="inherit" w:eastAsia="Times New Roman" w:hAnsi="inherit" w:cs="Open Sans"/>
            <w:color w:val="004B87"/>
            <w:kern w:val="0"/>
            <w:u w:val="single"/>
            <w:bdr w:val="none" w:sz="0" w:space="0" w:color="auto" w:frame="1"/>
            <w:lang w:eastAsia="en-AU"/>
            <w14:ligatures w14:val="none"/>
          </w:rPr>
          <w:t>ten key principles of stakeholder engagement</w:t>
        </w:r>
      </w:hyperlink>
      <w:r w:rsidRPr="00D56087">
        <w:rPr>
          <w:rFonts w:ascii="inherit" w:eastAsia="Times New Roman" w:hAnsi="inherit" w:cs="Open Sans"/>
          <w:color w:val="1D2021"/>
          <w:kern w:val="0"/>
          <w:lang w:eastAsia="en-AU"/>
          <w14:ligatures w14:val="none"/>
        </w:rPr>
        <w:t>.</w:t>
      </w:r>
    </w:p>
    <w:p w14:paraId="32C88A99" w14:textId="77777777" w:rsidR="00D56087" w:rsidRPr="00D56087" w:rsidRDefault="00D56087" w:rsidP="00D56087">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D56087">
        <w:rPr>
          <w:rFonts w:ascii="inherit" w:eastAsia="Times New Roman" w:hAnsi="inherit" w:cs="Open Sans"/>
          <w:color w:val="1D2021"/>
          <w:kern w:val="0"/>
          <w:lang w:eastAsia="en-AU"/>
          <w14:ligatures w14:val="none"/>
        </w:rPr>
        <w:t>Australian Public Service Commission has published </w:t>
      </w:r>
      <w:hyperlink r:id="rId7" w:history="1">
        <w:r w:rsidRPr="00D56087">
          <w:rPr>
            <w:rFonts w:ascii="inherit" w:eastAsia="Times New Roman" w:hAnsi="inherit" w:cs="Open Sans"/>
            <w:color w:val="004B87"/>
            <w:kern w:val="0"/>
            <w:u w:val="single"/>
            <w:bdr w:val="none" w:sz="0" w:space="0" w:color="auto" w:frame="1"/>
            <w:lang w:eastAsia="en-AU"/>
            <w14:ligatures w14:val="none"/>
          </w:rPr>
          <w:t>guidelines on effective stakeholder engagement</w:t>
        </w:r>
      </w:hyperlink>
      <w:r w:rsidRPr="00D56087">
        <w:rPr>
          <w:rFonts w:ascii="inherit" w:eastAsia="Times New Roman" w:hAnsi="inherit" w:cs="Open Sans"/>
          <w:color w:val="1D2021"/>
          <w:kern w:val="0"/>
          <w:lang w:eastAsia="en-AU"/>
          <w14:ligatures w14:val="none"/>
        </w:rPr>
        <w:t>.</w:t>
      </w:r>
    </w:p>
    <w:p w14:paraId="5279CBD3" w14:textId="77777777" w:rsidR="00D56087" w:rsidRPr="00D56087" w:rsidRDefault="00D56087" w:rsidP="00D56087">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D56087">
        <w:rPr>
          <w:rFonts w:ascii="inherit" w:eastAsia="Times New Roman" w:hAnsi="inherit" w:cs="Open Sans"/>
          <w:color w:val="1D2021"/>
          <w:kern w:val="0"/>
          <w:lang w:eastAsia="en-AU"/>
          <w14:ligatures w14:val="none"/>
        </w:rPr>
        <w:t>Deloitte has published </w:t>
      </w:r>
      <w:hyperlink r:id="rId8" w:history="1">
        <w:r w:rsidRPr="00D56087">
          <w:rPr>
            <w:rFonts w:ascii="inherit" w:eastAsia="Times New Roman" w:hAnsi="inherit" w:cs="Open Sans"/>
            <w:color w:val="004B87"/>
            <w:kern w:val="0"/>
            <w:u w:val="single"/>
            <w:bdr w:val="none" w:sz="0" w:space="0" w:color="auto" w:frame="1"/>
            <w:lang w:eastAsia="en-AU"/>
            <w14:ligatures w14:val="none"/>
          </w:rPr>
          <w:t>a report on stakeholder engagement</w:t>
        </w:r>
      </w:hyperlink>
      <w:r w:rsidRPr="00D56087">
        <w:rPr>
          <w:rFonts w:ascii="inherit" w:eastAsia="Times New Roman" w:hAnsi="inherit" w:cs="Open Sans"/>
          <w:color w:val="1D2021"/>
          <w:kern w:val="0"/>
          <w:lang w:eastAsia="en-AU"/>
          <w14:ligatures w14:val="none"/>
        </w:rPr>
        <w:t>.</w:t>
      </w:r>
    </w:p>
    <w:p w14:paraId="64E114FC" w14:textId="77777777" w:rsidR="00D56087" w:rsidRDefault="00D56087"/>
    <w:sectPr w:rsidR="00D560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A5A"/>
    <w:multiLevelType w:val="multilevel"/>
    <w:tmpl w:val="CC12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20442"/>
    <w:multiLevelType w:val="multilevel"/>
    <w:tmpl w:val="EF90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882DD9"/>
    <w:multiLevelType w:val="multilevel"/>
    <w:tmpl w:val="4318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0135F1"/>
    <w:multiLevelType w:val="multilevel"/>
    <w:tmpl w:val="4332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485258">
    <w:abstractNumId w:val="2"/>
  </w:num>
  <w:num w:numId="2" w16cid:durableId="246886739">
    <w:abstractNumId w:val="1"/>
  </w:num>
  <w:num w:numId="3" w16cid:durableId="1371108154">
    <w:abstractNumId w:val="0"/>
  </w:num>
  <w:num w:numId="4" w16cid:durableId="12064116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087"/>
    <w:rsid w:val="0029460E"/>
    <w:rsid w:val="00D5608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EB837"/>
  <w15:chartTrackingRefBased/>
  <w15:docId w15:val="{0E0F21E5-E628-445A-95F2-29DB5F2A2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0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0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0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0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0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0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0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0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0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0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087"/>
    <w:rPr>
      <w:rFonts w:eastAsiaTheme="majorEastAsia" w:cstheme="majorBidi"/>
      <w:color w:val="272727" w:themeColor="text1" w:themeTint="D8"/>
    </w:rPr>
  </w:style>
  <w:style w:type="paragraph" w:styleId="Title">
    <w:name w:val="Title"/>
    <w:basedOn w:val="Normal"/>
    <w:next w:val="Normal"/>
    <w:link w:val="TitleChar"/>
    <w:uiPriority w:val="10"/>
    <w:qFormat/>
    <w:rsid w:val="00D56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087"/>
    <w:pPr>
      <w:spacing w:before="160"/>
      <w:jc w:val="center"/>
    </w:pPr>
    <w:rPr>
      <w:i/>
      <w:iCs/>
      <w:color w:val="404040" w:themeColor="text1" w:themeTint="BF"/>
    </w:rPr>
  </w:style>
  <w:style w:type="character" w:customStyle="1" w:styleId="QuoteChar">
    <w:name w:val="Quote Char"/>
    <w:basedOn w:val="DefaultParagraphFont"/>
    <w:link w:val="Quote"/>
    <w:uiPriority w:val="29"/>
    <w:rsid w:val="00D56087"/>
    <w:rPr>
      <w:i/>
      <w:iCs/>
      <w:color w:val="404040" w:themeColor="text1" w:themeTint="BF"/>
    </w:rPr>
  </w:style>
  <w:style w:type="paragraph" w:styleId="ListParagraph">
    <w:name w:val="List Paragraph"/>
    <w:basedOn w:val="Normal"/>
    <w:uiPriority w:val="34"/>
    <w:qFormat/>
    <w:rsid w:val="00D56087"/>
    <w:pPr>
      <w:ind w:left="720"/>
      <w:contextualSpacing/>
    </w:pPr>
  </w:style>
  <w:style w:type="character" w:styleId="IntenseEmphasis">
    <w:name w:val="Intense Emphasis"/>
    <w:basedOn w:val="DefaultParagraphFont"/>
    <w:uiPriority w:val="21"/>
    <w:qFormat/>
    <w:rsid w:val="00D56087"/>
    <w:rPr>
      <w:i/>
      <w:iCs/>
      <w:color w:val="0F4761" w:themeColor="accent1" w:themeShade="BF"/>
    </w:rPr>
  </w:style>
  <w:style w:type="paragraph" w:styleId="IntenseQuote">
    <w:name w:val="Intense Quote"/>
    <w:basedOn w:val="Normal"/>
    <w:next w:val="Normal"/>
    <w:link w:val="IntenseQuoteChar"/>
    <w:uiPriority w:val="30"/>
    <w:qFormat/>
    <w:rsid w:val="00D56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087"/>
    <w:rPr>
      <w:i/>
      <w:iCs/>
      <w:color w:val="0F4761" w:themeColor="accent1" w:themeShade="BF"/>
    </w:rPr>
  </w:style>
  <w:style w:type="character" w:styleId="IntenseReference">
    <w:name w:val="Intense Reference"/>
    <w:basedOn w:val="DefaultParagraphFont"/>
    <w:uiPriority w:val="32"/>
    <w:qFormat/>
    <w:rsid w:val="00D560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2.deloitte.com/content/dam/Deloitte/za/Documents/governance-risk-compliance/ZA_StakeholderEngagement_04042014.pdf" TargetMode="External"/><Relationship Id="rId3" Type="http://schemas.openxmlformats.org/officeDocument/2006/relationships/settings" Target="settings.xml"/><Relationship Id="rId7" Type="http://schemas.openxmlformats.org/officeDocument/2006/relationships/hyperlink" Target="https://www.apsc.gov.au/initiatives-and-programs/workforce-information/taskforce-toolkit/stakeholder-engag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pm.org.uk/resources/find-a-resource/stakeholder-engagement/key-principles/" TargetMode="External"/><Relationship Id="rId5" Type="http://schemas.openxmlformats.org/officeDocument/2006/relationships/hyperlink" Target="https://research.csiro.au/ss/science/projects/responsible-ai-pattern-catalogue/diverse-tea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2799</Characters>
  <Application>Microsoft Office Word</Application>
  <DocSecurity>0</DocSecurity>
  <Lines>51</Lines>
  <Paragraphs>25</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2026-07-14T16:12:00Z</dcterms:created>
  <dcterms:modified xsi:type="dcterms:W3CDTF">2026-07-14T16:12:00Z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2026-07-14T16:12:30Z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67bd9ae2-b975-4b53-a710-3a0121d309d5</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