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B8975A"/>
          <w:sz w:val="20"/>
          <w:szCs w:val="20"/>
        </w:rPr>
        <w:t xml:space="preserve">RHÉTORÈS FINANCE</w:t>
      </w:r>
    </w:p>
    <w:p>
      <w:pPr>
        <w:spacing w:after="80"/>
      </w:pPr>
      <w:r>
        <w:rPr>
          <w:b/>
          <w:bCs/>
          <w:color w:val="14324F"/>
          <w:sz w:val="44"/>
          <w:szCs w:val="44"/>
        </w:rPr>
        <w:t xml:space="preserve">Le reporting consolidé avec Claude</w:t>
      </w:r>
    </w:p>
    <w:p>
      <w:pPr>
        <w:spacing w:after="40"/>
      </w:pPr>
      <w:r>
        <w:rPr>
          <w:color w:val="6B7A89"/>
          <w:sz w:val="22"/>
          <w:szCs w:val="22"/>
        </w:rPr>
        <w:t xml:space="preserve">Guide du conseiller · version du 31 juillet 2026</w:t>
      </w:r>
    </w:p>
    <w:p>
      <w:pPr>
        <w:pBdr>
          <w:bottom w:val="single" w:color="B8975A" w:sz="12" w:space="6"/>
        </w:pBdr>
        <w:spacing w:after="260"/>
      </w:pPr>
    </w:p>
    <w:p>
      <w:pPr>
        <w:spacing w:after="140" w:line="300"/>
      </w:pPr>
      <w:r>
        <w:rPr>
          <w:color w:val="1E2A36"/>
        </w:rPr>
        <w:t xml:space="preserve">Ce guide explique simplement comment produire un reporting patrimonial consolidé pour un client à partir de ses relevés. </w:t>
      </w:r>
      <w:r>
        <w:rPr>
          <w:b/>
          <w:bCs/>
          <w:color w:val="1E2A36"/>
        </w:rPr>
        <w:t xml:space="preserve">Aucune connaissance technique n'est nécessaire.</w:t>
      </w:r>
    </w:p>
    <w:p>
      <w:pPr>
        <w:pStyle w:val="Heading1"/>
        <w:spacing w:after="140" w:before="360"/>
      </w:pPr>
      <w:r>
        <w:rPr>
          <w:b/>
          <w:bCs/>
          <w:color w:val="14324F"/>
        </w:rPr>
        <w:t xml:space="preserve">C'est quoi ?</w:t>
      </w:r>
    </w:p>
    <w:p>
      <w:pPr>
        <w:spacing w:after="140" w:line="300"/>
      </w:pPr>
      <w:r>
        <w:rPr>
          <w:color w:val="1E2A36"/>
        </w:rPr>
        <w:t xml:space="preserve">Un assistant qui fabrique le </w:t>
      </w:r>
      <w:r>
        <w:rPr>
          <w:b/>
          <w:bCs/>
          <w:color w:val="1E2A36"/>
        </w:rPr>
        <w:t xml:space="preserve">reporting patrimonial consolidé</w:t>
      </w:r>
      <w:r>
        <w:rPr>
          <w:color w:val="1E2A36"/>
        </w:rPr>
        <w:t xml:space="preserve"> d'un client — le document avec le contexte de marché, les indicateurs, les graphiques d'allocation, le détail par contrat et le suivi du non coté — à partir de deux choses que vous lui donnez : les </w:t>
      </w:r>
      <w:r>
        <w:rPr>
          <w:b/>
          <w:bCs/>
          <w:color w:val="1E2A36"/>
        </w:rPr>
        <w:t xml:space="preserve">relevés officiels</w:t>
      </w:r>
      <w:r>
        <w:rPr>
          <w:color w:val="1E2A36"/>
        </w:rPr>
        <w:t xml:space="preserve"> du client et votre </w:t>
      </w:r>
      <w:r>
        <w:rPr>
          <w:b/>
          <w:bCs/>
          <w:color w:val="1E2A36"/>
        </w:rPr>
        <w:t xml:space="preserve">Excel de structure</w:t>
      </w:r>
      <w:r>
        <w:rPr>
          <w:color w:val="1E2A36"/>
        </w:rPr>
        <w:t xml:space="preserve">. Il lit, vérifie, assemble, se contrôle, et vous pose des questions quand quelque chose n'est pas clair. Il ne devine jamais à votre place.</w:t>
      </w:r>
    </w:p>
    <w:p>
      <w:pPr>
        <w:pStyle w:val="Heading1"/>
        <w:spacing w:after="140" w:before="360"/>
      </w:pPr>
      <w:r>
        <w:rPr>
          <w:b/>
          <w:bCs/>
          <w:color w:val="14324F"/>
        </w:rPr>
        <w:t xml:space="preserve">Ce qu'il vous faut avant de commencer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  <w:color w:val="1E2A36"/>
        </w:rPr>
        <w:t xml:space="preserve">L'Excel de structure du client</w:t>
      </w:r>
      <w:r>
        <w:rPr>
          <w:color w:val="1E2A36"/>
        </w:rPr>
        <w:t xml:space="preserve"> — la liste de ses contrats et investissements (un modèle vierge est fourni avec l'outil si c'est un nouveau client).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  <w:color w:val="1E2A36"/>
        </w:rPr>
        <w:t xml:space="preserve">Les relevés officiels en PDF</w:t>
      </w:r>
      <w:r>
        <w:rPr>
          <w:color w:val="1E2A36"/>
        </w:rPr>
        <w:t xml:space="preserve"> — relevés bancaires, situations de contrats d'assurance-vie ou de capitalisation, relevés de mandats. Les vrais documents des établissements, pas des récapitulatifs maison.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1E2A36"/>
        </w:rPr>
        <w:t xml:space="preserve">Dix minutes de disponibilité vers la fin : c'est là qu'il vous posera ses questions.</w:t>
      </w:r>
    </w:p>
    <w:p>
      <w:pPr>
        <w:pStyle w:val="Heading1"/>
        <w:spacing w:after="140" w:before="360"/>
      </w:pPr>
      <w:r>
        <w:rPr>
          <w:b/>
          <w:bCs/>
          <w:color w:val="14324F"/>
        </w:rPr>
        <w:t xml:space="preserve">Comment lancer</w:t>
      </w:r>
    </w:p>
    <w:p>
      <w:pPr>
        <w:spacing w:after="140" w:line="300"/>
      </w:pPr>
      <w:r>
        <w:rPr>
          <w:color w:val="1E2A36"/>
        </w:rPr>
        <w:t xml:space="preserve">Ouvrez une conversation avec Claude, déposez vos fichiers (l'Excel + les PDF), et écrivez simplement quelque chose comme :</w:t>
      </w:r>
    </w:p>
    <w:p>
      <w:pPr>
        <w:pBdr>
          <w:left w:val="single" w:color="B8975A" w:sz="18" w:space="12"/>
        </w:pBdr>
        <w:spacing w:after="160" w:line="300"/>
        <w:ind w:left="480"/>
      </w:pPr>
      <w:r>
        <w:rPr>
          <w:i/>
          <w:iCs/>
          <w:color w:val="14324F"/>
        </w:rPr>
        <w:t xml:space="preserve">« Prépare le reporting consolidé de [Client] au [date d'arrêté] avec ces documents. »</w:t>
      </w:r>
    </w:p>
    <w:p>
      <w:pPr>
        <w:spacing w:after="140" w:line="300"/>
      </w:pPr>
      <w:r>
        <w:rPr>
          <w:color w:val="1E2A36"/>
        </w:rPr>
        <w:t xml:space="preserve">C'est tout. Le reste se déroule tout seul, et dure en général une dizaine de minutes.</w:t>
      </w:r>
    </w:p>
    <w:p>
      <w:pPr>
        <w:pStyle w:val="Heading1"/>
        <w:spacing w:after="140" w:before="360"/>
      </w:pPr>
      <w:r>
        <w:rPr>
          <w:b/>
          <w:bCs/>
          <w:color w:val="14324F"/>
        </w:rPr>
        <w:t xml:space="preserve">Ce qui se passe pendant qu'il travaille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color w:val="1E2A36"/>
        </w:rPr>
        <w:t xml:space="preserve">Il </w:t>
      </w:r>
      <w:r>
        <w:rPr>
          <w:b/>
          <w:bCs/>
          <w:color w:val="1E2A36"/>
        </w:rPr>
        <w:t xml:space="preserve">identifie chaque document</w:t>
      </w:r>
      <w:r>
        <w:rPr>
          <w:color w:val="1E2A36"/>
        </w:rPr>
        <w:t xml:space="preserve"> : quel établissement, quel type de relevé. S'il ne reconnaît pas un document, il vous le dira au lieu de faire semblant.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color w:val="1E2A36"/>
        </w:rPr>
        <w:t xml:space="preserve">Il </w:t>
      </w:r>
      <w:r>
        <w:rPr>
          <w:b/>
          <w:bCs/>
          <w:color w:val="1E2A36"/>
        </w:rPr>
        <w:t xml:space="preserve">lit chaque relevé et se vérifie contre les totaux imprimés</w:t>
      </w:r>
      <w:r>
        <w:rPr>
          <w:color w:val="1E2A36"/>
        </w:rPr>
        <w:t xml:space="preserve"> dessus : si sa lecture ne retombe pas sur le total du document, il recommence ou vous le signale.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color w:val="1E2A36"/>
        </w:rPr>
        <w:t xml:space="preserve">Il </w:t>
      </w:r>
      <w:r>
        <w:rPr>
          <w:b/>
          <w:bCs/>
          <w:color w:val="1E2A36"/>
        </w:rPr>
        <w:t xml:space="preserve">assemble</w:t>
      </w:r>
      <w:r>
        <w:rPr>
          <w:color w:val="1E2A36"/>
        </w:rPr>
        <w:t xml:space="preserve"> le tout dans le reporting, puis passe une batterie de contrôles comptables (les totaux doivent se recouper entre eux, ligne à ligne, contrat par contrat).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color w:val="1E2A36"/>
        </w:rPr>
        <w:t xml:space="preserve">Un reporting qui ne passe pas ses contrôles </w:t>
      </w:r>
      <w:r>
        <w:rPr>
          <w:b/>
          <w:bCs/>
          <w:color w:val="1E2A36"/>
        </w:rPr>
        <w:t xml:space="preserve">ne vous est pas livré</w:t>
      </w:r>
      <w:r>
        <w:rPr>
          <w:color w:val="1E2A36"/>
        </w:rPr>
        <w:t xml:space="preserve"> — c'est voulu.</w:t>
      </w:r>
    </w:p>
    <w:p>
      <w:pPr>
        <w:pStyle w:val="Heading1"/>
        <w:spacing w:after="140" w:before="360"/>
      </w:pPr>
      <w:r>
        <w:rPr>
          <w:b/>
          <w:bCs/>
          <w:color w:val="14324F"/>
        </w:rPr>
        <w:t xml:space="preserve">Les questions qu'il vous posera</w:t>
      </w:r>
    </w:p>
    <w:p>
      <w:pPr>
        <w:spacing w:after="140" w:line="300"/>
      </w:pPr>
      <w:r>
        <w:rPr>
          <w:color w:val="1E2A36"/>
        </w:rPr>
        <w:t xml:space="preserve">Elles arrivent groupées, en une fois, vers la fin. Typiquement 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  <w:color w:val="1E2A36"/>
        </w:rPr>
        <w:t xml:space="preserve">Un écart</w:t>
      </w:r>
      <w:r>
        <w:rPr>
          <w:color w:val="1E2A36"/>
        </w:rPr>
        <w:t xml:space="preserve"> entre un relevé et votre Excel de structure → il vous montre les deux valeurs et vous demande laquelle fait foi. Il ne corrige jamais en silence.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  <w:color w:val="1E2A36"/>
        </w:rPr>
        <w:t xml:space="preserve">Une donnée absente</w:t>
      </w:r>
      <w:r>
        <w:rPr>
          <w:color w:val="1E2A36"/>
        </w:rPr>
        <w:t xml:space="preserve"> — par exemple la valeur d'un fonds de private equity sans document récent → il vous demande la dernière valeur connue, ou votre accord pour afficher le montant investi « au coût » (et le reporting le dira explicitement).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  <w:color w:val="1E2A36"/>
        </w:rPr>
        <w:t xml:space="preserve">Un établissement ou un document inconnu</w:t>
      </w:r>
      <w:r>
        <w:rPr>
          <w:color w:val="1E2A36"/>
        </w:rPr>
        <w:t xml:space="preserve"> → il vous demande de le nommer.</w:t>
      </w:r>
    </w:p>
    <w:p>
      <w:pPr>
        <w:spacing w:after="140" w:line="300"/>
      </w:pPr>
      <w:r>
        <w:rPr>
          <w:color w:val="1E2A36"/>
        </w:rPr>
        <w:t xml:space="preserve">Répondez simplement ; vos réponses sont retenues pour les fois suivantes.</w:t>
      </w:r>
    </w:p>
    <w:p>
      <w:pPr>
        <w:pStyle w:val="Heading1"/>
        <w:spacing w:after="140" w:before="360"/>
      </w:pPr>
      <w:r>
        <w:rPr>
          <w:b/>
          <w:bCs/>
          <w:color w:val="14324F"/>
        </w:rPr>
        <w:t xml:space="preserve">Ce que vous recevez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  <w:color w:val="1E2A36"/>
        </w:rPr>
        <w:t xml:space="preserve">Le reporting HTML</w:t>
      </w:r>
      <w:r>
        <w:rPr>
          <w:color w:val="1E2A36"/>
        </w:rPr>
        <w:t xml:space="preserve"> — le document à présenter au client. Il s'ouvre dans n'importe quel navigateur et s'imprime proprement.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color w:val="1E2A36"/>
        </w:rPr>
        <w:t xml:space="preserve">Sur demande, le </w:t>
      </w:r>
      <w:r>
        <w:rPr>
          <w:b/>
          <w:bCs/>
          <w:color w:val="1E2A36"/>
        </w:rPr>
        <w:t xml:space="preserve">dossier complet du run</w:t>
      </w:r>
      <w:r>
        <w:rPr>
          <w:color w:val="1E2A36"/>
        </w:rPr>
        <w:t xml:space="preserve"> : tout ce qui a servi à produire le reporting, archivé et rejouable (utile en cas de question ultérieure).</w:t>
      </w:r>
    </w:p>
    <w:p>
      <w:pPr>
        <w:spacing w:after="140" w:line="300"/>
      </w:pPr>
      <w:r>
        <w:rPr>
          <w:color w:val="1E2A36"/>
        </w:rPr>
        <w:t xml:space="preserve">Le reporting s'adapte de lui-même au client : un nouveau client sans historique n'aura pas de colonnes vides « performance depuis l'origine », un client suivi depuis des années aura tout. Quand une valeur est estimée plutôt que constatée, </w:t>
      </w:r>
      <w:r>
        <w:rPr>
          <w:b/>
          <w:bCs/>
          <w:color w:val="1E2A36"/>
        </w:rPr>
        <w:t xml:space="preserve">le document le dit</w:t>
      </w:r>
      <w:r>
        <w:rPr>
          <w:color w:val="1E2A36"/>
        </w:rPr>
        <w:t xml:space="preserve"> (« au coût », « courbe simplifiée ») — jamais une estimation déguisée en certitude.</w:t>
      </w:r>
    </w:p>
    <w:p>
      <w:pPr>
        <w:pStyle w:val="Heading1"/>
        <w:spacing w:after="140" w:before="360"/>
      </w:pPr>
      <w:r>
        <w:rPr>
          <w:b/>
          <w:bCs/>
          <w:color w:val="14324F"/>
        </w:rPr>
        <w:t xml:space="preserve">Les bons documents à donner (et ceux à éviter)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432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Donnez</w:t>
            </w:r>
          </w:p>
        </w:tc>
        <w:tc>
          <w:tcPr>
            <w:tcW w:type="dxa" w:w="4680"/>
            <w:shd w:fill="1432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Évitez</w:t>
            </w:r>
          </w:p>
        </w:tc>
      </w:tr>
      <w:tr>
        <w:tc>
          <w:tcPr>
            <w:tcW w:type="dxa" w:w="4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A36"/>
              </w:rPr>
              <w:t xml:space="preserve">Relevés et situations officiels des établissements</w:t>
            </w:r>
          </w:p>
        </w:tc>
        <w:tc>
          <w:tcPr>
            <w:tcW w:type="dxa" w:w="4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A36"/>
              </w:rPr>
              <w:t xml:space="preserve">Récapitulatifs faits main, captures d'écran</w:t>
            </w:r>
          </w:p>
        </w:tc>
      </w:tr>
      <w:tr>
        <w:tc>
          <w:tcPr>
            <w:tcW w:type="dxa" w:w="4680"/>
            <w:shd w:fill="F5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A36"/>
              </w:rPr>
              <w:t xml:space="preserve">Pour le private equity : la situation d'associé (1-2 pages) ou les avis d'appel / distribution</w:t>
            </w:r>
          </w:p>
        </w:tc>
        <w:tc>
          <w:tcPr>
            <w:tcW w:type="dxa" w:w="4680"/>
            <w:shd w:fill="F5F1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A36"/>
              </w:rPr>
              <w:t xml:space="preserve">Le rapport trimestriel de 80 pages du fonds</w:t>
            </w:r>
          </w:p>
        </w:tc>
      </w:tr>
      <w:tr>
        <w:tc>
          <w:tcPr>
            <w:tcW w:type="dxa" w:w="4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A36"/>
              </w:rPr>
              <w:t xml:space="preserve">Des PDF nets, texte lisible</w:t>
            </w:r>
          </w:p>
        </w:tc>
        <w:tc>
          <w:tcPr>
            <w:tcW w:type="dxa" w:w="468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color w:val="1E2A36"/>
              </w:rPr>
              <w:t xml:space="preserve">Scans penchés ou photos — si c'est illisible, il vous le dira</w:t>
            </w:r>
          </w:p>
        </w:tc>
      </w:tr>
    </w:tbl>
    <w:p>
      <w:pPr>
        <w:spacing w:after="140"/>
      </w:pPr>
    </w:p>
    <w:p>
      <w:pPr>
        <w:pStyle w:val="Heading1"/>
        <w:spacing w:after="140" w:before="360"/>
      </w:pPr>
      <w:r>
        <w:rPr>
          <w:b/>
          <w:bCs/>
          <w:color w:val="14324F"/>
        </w:rPr>
        <w:t xml:space="preserve">Ce que l'outil ne fera jamais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color w:val="1E2A36"/>
        </w:rPr>
        <w:t xml:space="preserve">Inventer une valeur manquante, ou en corriger une en silence.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color w:val="1E2A36"/>
        </w:rPr>
        <w:t xml:space="preserve">Faire passer un montant investi pour une valorisation.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color w:val="1E2A36"/>
        </w:rPr>
        <w:t xml:space="preserve">Livrer un reporting dont les contrôles comptables échouent.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color w:val="1E2A36"/>
        </w:rPr>
        <w:t xml:space="preserve">Modifier les référentiels partagés du cabinet de sa propre initiative : quand il découvre un nouvel établissement ou un nouveau type de document, il en fait la </w:t>
      </w:r>
      <w:r>
        <w:rPr>
          <w:b/>
          <w:bCs/>
          <w:color w:val="1E2A36"/>
        </w:rPr>
        <w:t xml:space="preserve">proposition</w:t>
      </w:r>
      <w:r>
        <w:rPr>
          <w:color w:val="1E2A36"/>
        </w:rPr>
        <w:t xml:space="preserve">, et c'est l'administrateur qui valide.</w:t>
      </w:r>
    </w:p>
    <w:p>
      <w:pPr>
        <w:pStyle w:val="Heading1"/>
        <w:spacing w:after="140" w:before="360"/>
      </w:pPr>
      <w:r>
        <w:rPr>
          <w:b/>
          <w:bCs/>
          <w:color w:val="14324F"/>
        </w:rPr>
        <w:t xml:space="preserve">Si quelque chose cloche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  <w:color w:val="1E2A36"/>
        </w:rPr>
        <w:t xml:space="preserve">« Le paquet installé est corrompu » au démarrage</w:t>
      </w:r>
      <w:r>
        <w:rPr>
          <w:color w:val="1E2A36"/>
        </w:rPr>
        <w:t xml:space="preserve"> → réinstallez le skill (ou relancez l'application). N'essayez pas de réparer à la main.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  <w:color w:val="1E2A36"/>
        </w:rPr>
        <w:t xml:space="preserve">« Référentiels lus depuis le snapshot embarqué »</w:t>
      </w:r>
      <w:r>
        <w:rPr>
          <w:color w:val="1E2A36"/>
        </w:rPr>
        <w:t xml:space="preserve"> → l'outil a travaillé avec sa copie locale car le service partagé n'était pas joignable. Le reporting est valable ; mentionnez-le simplement à l'administrateur pour que les dernières validations vous parviennent.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b/>
          <w:bCs/>
          <w:color w:val="1E2A36"/>
        </w:rPr>
        <w:t xml:space="preserve">Une valeur du reporting vous semble fausse</w:t>
      </w:r>
      <w:r>
        <w:rPr>
          <w:color w:val="1E2A36"/>
        </w:rPr>
        <w:t xml:space="preserve"> → dites-le dans la conversation : il vous montrera d'où elle vient (quel document, quelle page) et corrigera avec vous.</w:t>
      </w:r>
    </w:p>
    <w:p>
      <w:pPr>
        <w:pStyle w:val="Heading1"/>
        <w:spacing w:after="140" w:before="360"/>
      </w:pPr>
      <w:r>
        <w:rPr>
          <w:b/>
          <w:bCs/>
          <w:color w:val="14324F"/>
        </w:rPr>
        <w:t xml:space="preserve">Confidentialité</w:t>
      </w:r>
    </w:p>
    <w:p>
      <w:pPr>
        <w:spacing w:after="140" w:line="300"/>
      </w:pPr>
      <w:r>
        <w:rPr>
          <w:color w:val="1E2A36"/>
        </w:rPr>
        <w:t xml:space="preserve">Les documents de vos clients restent dans votre environnement de travail. Ce qui remonte au cabinet quand vous validez un nouveau type de document, ce sont des </w:t>
      </w:r>
      <w:r>
        <w:rPr>
          <w:b/>
          <w:bCs/>
          <w:color w:val="1E2A36"/>
        </w:rPr>
        <w:t xml:space="preserve">modèles anonymisés</w:t>
      </w:r>
      <w:r>
        <w:rPr>
          <w:color w:val="1E2A36"/>
        </w:rPr>
        <w:t xml:space="preserve"> — jamais un nom de client, jamais un numéro de contrat, jamais un fichier client.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A89"/>
        <w:sz w:val="18"/>
        <w:szCs w:val="18"/>
      </w:rPr>
      <w:t xml:space="preserve">Rhétorès Finance — Guide du conseiller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432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2026-07-31T14:47:30.633Z</dcterms:created>
  <dcterms:modified xsi:type="dcterms:W3CDTF">2026-07-31T14:47:30.634Z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