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400" w:after="240"/>
        <w:contextualSpacing/>
        <w:jc w:val="center"/>
        <w:rPr/>
      </w:pPr>
      <w:r>
        <w:rPr>
          <w:rFonts w:eastAsia="Liberation Sans" w:cs="Liberation Sans" w:ascii="Liberation Sans" w:hAnsi="Liberation Sans"/>
          <w:b/>
          <w:color w:val="16324F"/>
          <w:sz w:val="50"/>
        </w:rPr>
        <w:t>KI – Die geliehene Intelligenz</w:t>
        <w:br/>
        <w:t>und der Verlust von Kontrolle</w:t>
      </w:r>
    </w:p>
    <w:p>
      <w:pPr>
        <w:pStyle w:val="Subtitle"/>
        <w:jc w:val="center"/>
        <w:rPr/>
      </w:pPr>
      <w:r>
        <w:rPr>
          <w:rFonts w:eastAsia="Liberation Sans" w:cs="Liberation Sans" w:ascii="Liberation Sans" w:hAnsi="Liberation Sans"/>
          <w:b/>
          <w:color w:val="2E6F73"/>
          <w:sz w:val="30"/>
        </w:rPr>
        <w:t>Epistemische Genealogie, Embodiment und rekursive Technogenese</w:t>
      </w:r>
    </w:p>
    <w:p>
      <w:pPr>
        <w:pStyle w:val="Normal"/>
        <w:spacing w:before="200" w:after="100"/>
        <w:jc w:val="center"/>
        <w:rPr/>
      </w:pPr>
      <w:r>
        <w:rPr>
          <w:rFonts w:eastAsia="Liberation Serif" w:cs="Liberation Serif"/>
          <w:i/>
          <w:color w:val="1F2933"/>
          <w:sz w:val="26"/>
        </w:rPr>
        <w:t>Zur Verschiebung von Autorenschaft, Handlungsmacht, Kontrolle und Verantwortung</w:t>
        <w:br/>
        <w:t>in nichtorganischen Intelligenzsystemen</w:t>
      </w:r>
    </w:p>
    <w:p>
      <w:pPr>
        <w:pStyle w:val="Small"/>
        <w:spacing w:before="1800" w:after="80"/>
        <w:rPr/>
      </w:pPr>
      <w:r>
        <w:rPr/>
        <w:t>Dissertationsmanuskript – umfassende Forschungs- und Grundlagenfassung</w:t>
      </w:r>
    </w:p>
    <w:p>
      <w:pPr>
        <w:pStyle w:val="Small"/>
        <w:rPr/>
      </w:pPr>
      <w:r>
        <w:rPr/>
        <w:t>Interdisziplinäre Einordnung: KI-Forschung · Wissenschaftstheorie · Technikphilosophie · Ethik · Recht · STS · Kognitionswissenschaft</w:t>
      </w:r>
    </w:p>
    <w:p>
      <w:pPr>
        <w:pStyle w:val="Small"/>
        <w:rPr/>
      </w:pPr>
      <w:r>
        <w:rPr/>
        <w:t>Autor: Thomas Heisig</w:t>
      </w:r>
    </w:p>
    <w:p>
      <w:pPr>
        <w:pStyle w:val="Small"/>
        <w:rPr/>
      </w:pPr>
      <w:r>
        <w:rPr/>
        <w:t>Stand: 21. August 2026 · Zitationssystem: APA 7; historische Primärtexte nach Werk-, Buch- und Stellenangabe</w:t>
      </w:r>
    </w:p>
    <w:p>
      <w:pPr>
        <w:pStyle w:val="Normal"/>
        <w:rPr/>
      </w:pPr>
      <w:r>
        <w:rPr/>
      </w:r>
      <w:r>
        <w:br w:type="page"/>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16324F"/>
              <w:start w:val="single" w:sz="10" w:space="0" w:color="16324F"/>
              <w:bottom w:val="single" w:sz="10" w:space="0" w:color="16324F"/>
              <w:end w:val="single" w:sz="10" w:space="0" w:color="16324F"/>
            </w:tcBorders>
            <w:shd w:fill="EAF0F4"/>
          </w:tcPr>
          <w:p>
            <w:pPr>
              <w:pStyle w:val="Normal"/>
              <w:pageBreakBefore/>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Forschungsposition</w:t>
              <w:br/>
            </w:r>
            <w:r>
              <w:rPr>
                <w:rFonts w:eastAsia="Liberation Serif" w:cs="Liberation Serif"/>
                <w:color w:val="1F2933"/>
                <w:kern w:val="0"/>
                <w:sz w:val="21"/>
                <w:szCs w:val="22"/>
                <w:lang w:val="en-US" w:eastAsia="en-US" w:bidi="ar-SA"/>
              </w:rPr>
              <w:t>Der Titel bezeichnet keine vorweggenommene Schlussfolgerung. „Geliehene Intelligenz“ und „Verlust von Kontrolle“ werden als prüfbare Theoriebegriffe behandelt. Die Arbeit unterscheidet deskriptive Befunde, begriffliche Rekonstruktionen, normative Argumente und analytische Grenzszenarien.</w:t>
            </w:r>
          </w:p>
        </w:tc>
      </w:tr>
    </w:tbl>
    <w:p>
      <w:pPr>
        <w:pStyle w:val="Normal"/>
        <w:spacing w:before="0" w:after="0"/>
        <w:rPr/>
      </w:pPr>
      <w:r>
        <w:rPr/>
      </w:r>
    </w:p>
    <w:p>
      <w:pPr>
        <w:pStyle w:val="Normal"/>
        <w:widowControl/>
        <w:rPr/>
      </w:pPr>
      <w:r>
        <w:rPr/>
        <w:t>Die leitende Forschungsfrage entstand aus der Arbeit an Brain-5D und aus der Nutzung verschiedener Large Language Models bei der Entwicklung lernender technischer Systeme. Die Dissertation ist jedoch von diesem Einzelfall gelöst. Brain-5D dient als begrenzter Beobachtungs- und Dokumentationsraum für rekursive maschinelle Entwurfsprozesse, nicht als Beweis für allgemeine Aussagen über künstliche Intelligenz.</w:t>
      </w:r>
    </w:p>
    <w:p>
      <w:pPr>
        <w:pStyle w:val="Normal"/>
        <w:widowControl/>
        <w:rPr/>
      </w:pPr>
      <w:r>
        <w:rPr/>
        <w:t>Die Arbeit verwendet keine menschlichen Versuchs- oder Kontrollgruppen. Ihr empirischer Anschluss erfolgt über technische Artefakte, dokumentierte Entwicklungsverläufe, Prompt- und Modellprovenienz, Rechtsquellen, historische Primärtexte sowie systematische Literaturkartierung. Wo Vergleichsobjekte eingesetzt werden, handelt es sich um Referenzartefakte und nicht um experimentelle Personengruppen.</w:t>
      </w:r>
    </w:p>
    <w:p>
      <w:pPr>
        <w:pStyle w:val="Normal"/>
        <w:rPr/>
      </w:pPr>
      <w:r>
        <w:rPr/>
      </w:r>
      <w:r>
        <w:br w:type="page"/>
      </w:r>
    </w:p>
    <w:p>
      <w:pPr>
        <w:pStyle w:val="Heading1"/>
        <w:spacing w:before="0" w:after="200"/>
        <w:rPr/>
      </w:pPr>
      <w:bookmarkStart w:id="0" w:name="__RefHeading___Toc4341_1712987439"/>
      <w:bookmarkEnd w:id="0"/>
      <w:r>
        <w:rPr/>
        <w:t>Abstract</w:t>
      </w:r>
    </w:p>
    <w:p>
      <w:pPr>
        <w:pStyle w:val="Normal"/>
        <w:widowControl/>
        <w:rPr/>
      </w:pPr>
      <w:r>
        <w:rPr/>
        <w:t>Diese Dissertation entwickelt eine interdisziplinäre Theorie der „geliehenen Intelligenz“ und des möglichen Verlusts effektiver menschlicher Kontrolle. Ausgangspunkt ist weder die Behauptung einer bereits autonomen künstlichen Lebensform noch eine dystopische Übernahmeerzählung. Untersucht wird ein struktureller Übergang: Künstliche Systeme erzeugen nicht mehr nur Ausgaben, sondern können an der Konstruktion, Bewertung, Auswahl und Weiterentwicklung weiterer lernender Systeme beteiligt werden. Damit verändert sich die klassische Genealogie, in der Menschen technische Artefakte unmittelbar entwerfen, zu einer rekursiven Kette menschlicher, maschineller und institutioneller Beiträge. Die zentrale Frage lautet, was unter diesen Bedingungen aus menschlicher Autorenschaft, Handlungsmacht, Kontrolle und Verantwortung wird.</w:t>
      </w:r>
    </w:p>
    <w:p>
      <w:pPr>
        <w:pStyle w:val="Normal"/>
        <w:widowControl/>
        <w:rPr/>
      </w:pPr>
      <w:r>
        <w:rPr/>
        <w:t>Der Begriff „geliehene Intelligenz“ beschreibt zunächst die epistemische Abhängigkeit gegenwärtiger KI von menschlicher Sprache, Mathematik, Wissenschaft, kulturellen Symbolsystemen, Trainingsdaten, Zielsetzungen und Bewertungsordnungen. Diese Derivativität wird nicht mit bloßer Reproduktion gleichgesetzt. Ein System kann aus übernommenen Ressourcen neuartige Strukturen hervorbringen, ohne dadurch genealogisch unabhängig zu sein. Zur Beschreibung dieses Verhältnisses entwickelt die Arbeit ein mehrdimensionales Modell künstlicher Intelligenz, das materielle Realisierung, epistemische Herkunft, Entwicklungsgenealogie, Zielautonomie und Existenzabhängigkeit voneinander trennt. Ergänzend wird „rekursive Technogenese“ als Prozess definiert, in dem technische Systeme kausal an der Hervorbringung nachfolgender technischer Systeme derselben oder verwandter Funktionsklassen beteiligt sind.</w:t>
      </w:r>
    </w:p>
    <w:p>
      <w:pPr>
        <w:pStyle w:val="Normal"/>
        <w:widowControl/>
        <w:rPr/>
      </w:pPr>
      <w:r>
        <w:rPr/>
        <w:t>Ein eigener Schwerpunkt liegt auf Embodiment. Die Dissertation fragt, ob Intelligenz ohne aktuelle Reize und ohne eigenen Körper möglich ist oder ob in einem solchen Fall lediglich gespeicherte Kompetenz ohne situationsgebundene Weltbeziehung vorliegt. Dabei wird der Körperbegriff nicht auf einen biologischen Organismus reduziert. Unterschieden werden physische, virtuelle, sensorimotorische, interozeptive, soziale und institutionelle Verkörperung. Sprachmodelle sind zur Laufzeit häufig nur schwach sensorimotorisch gekoppelt; ihre Trainingsdaten enthalten jedoch sedimentierte Spuren menschlicher Wahrnehmung, Handlung und sozialer Praxis. Die Arbeit prüft deshalb die These, dass formale und sprachliche Intelligenz ohne eigenen Körper möglich sein kann, während robuste Bedeutungsgrundierung, eigenständige Zielbildung, Homeostase, dauerhafte Agency und mögliche Empfindungsfähigkeit stärkere Formen der Körper-Umwelt-Kopplung voraussetzen könnten. Diese These bleibt offen für Gegenargumente aus Funktionalismus, Repräsentationalismus und virtueller Verkörperung.</w:t>
      </w:r>
    </w:p>
    <w:p>
      <w:pPr>
        <w:pStyle w:val="Normal"/>
        <w:widowControl/>
        <w:rPr/>
      </w:pPr>
      <w:r>
        <w:rPr/>
        <w:t>Kontrolle wird nicht mit vollständiger Vorhersagbarkeit gleichgesetzt. Ein komplexes System kann schwer vorhersehbar, aber begrenzbar, beobachtbar, unterbrechbar, reversibel und reproduzierbar sein. Umgekehrt kann ein statistisch gut vorhersagbares System praktisch unkontrollierbar werden, wenn Eingriffsrechte fehlen oder der Mensch die Entscheidung nicht mehr epistemisch beurteilen kann. Die Arbeit führt dafür einen Hoheitsvektor H=(G,E,B,F,M,R,A), einen Kontrollvektor C=(B,O,I,V,R,P,Hc) und einen Autonomierisikofaktor U=(S,W,Q,Z,D,T) ein. Diese Instrumente trennen Zielsetzungs-, Entwurfs-, Bewertungs-, Freigabe-, Selbständerungs-, Ressourcen- und Abbruchrechte von Beobachtbarkeit, Reversibilität und weiteren Kontrollbedingungen. Kontrollverlust beginnt damit nicht erst bei vollständiger technischer Unabhängigkeit, sondern kann als Differenz zwischen formaler und effektiver Kontrolle auftreten.</w:t>
      </w:r>
    </w:p>
    <w:p>
      <w:pPr>
        <w:pStyle w:val="Normal"/>
        <w:widowControl/>
        <w:rPr/>
      </w:pPr>
      <w:r>
        <w:rPr/>
        <w:t>Die Dissertation rekonstruiert künstliche Wesen von antiken Mythen und Aristoteles’ selbsttätigen Werkzeugen über Mechanismus, Formalisierung, Kybernetik und lernende Netze bis zu generativen und agentischen Systemen. Vergangenheit, Gegenwart und Zukunft bilden Kontextperspektiven, nicht die primäre Gliederungsachse. Die Gegenwartsanalyse beschreibt KI im Jahr 2026 als leistungsfähigen, aber infrastrukturell und normativ weiterhin stark menschlich eingebetteten Mitproduzenten. Zukunftsszenarien werden ausschließlich als Grenzwertanalysen eingesetzt: darunter Mensch-KI-Ko-Kognition, weitgehende Delegation, menschenarme technische Ordnungen und das Fortbestehen nichtorganischer Systeme ohne Menschen. Diese Szenarien dienen nicht der Prognose oder Dramatisierung, sondern prüfen, welche Begriffe und Regelwerke ihre Erklärungskraft verlieren, wenn dauerhafte menschliche Anwesenheit nicht vorausgesetzt wird.</w:t>
      </w:r>
    </w:p>
    <w:p>
      <w:pPr>
        <w:pStyle w:val="Normal"/>
        <w:widowControl/>
        <w:rPr/>
      </w:pPr>
      <w:r>
        <w:rPr/>
        <w:t>Normativ verbindet die Arbeit aristotelische Ursachenlehre, kantische Autonomie- und Würdekonzeption, Jonas’ Verantwortungsethik, kybernetische Kontrolltheorie, Heideggers Technikdenken, Simondons technische Individuation, Dennetts intentionale Haltung, Floridis Informationsethik sowie Theorien erweiterter und verteilter Kognition. Asimovs Robotergesetze werden als kultureller Ausgangspunkt einer Frage behandelt, die technisch und philosophisch wesentlich komplexer ist: Lässt sich Ethik als „normative DNA“ in selbstverändernde Systeme integrieren? Vorgeschlagen wird eine Regelhierarchie R0&gt;R1&gt;R2&gt;R3 aus fundamentaler normativer Ordnung, positivem Recht, technischer Governance und adaptiven Systemregeln. Zu prüfen bleibt, ob und wie verhindert werden kann, dass adaptive Regeln ihre legitimierenden höheren Ebenen selbst suspendieren.</w:t>
      </w:r>
    </w:p>
    <w:p>
      <w:pPr>
        <w:pStyle w:val="Normal"/>
        <w:widowControl/>
        <w:rPr/>
      </w:pPr>
      <w:r>
        <w:rPr/>
        <w:t>Methodisch kombiniert die Arbeit systematische Literaturkartierung, historisch-genealogische Rekonstruktion, begriffsanalytische Philosophie, rechtsdogmatische Analyse, vergleichende Ethik, soziotechnische Systemanalyse und reflexive Begleitforschung. Die eigene Nutzung von KI wird als Gegenstand der Methodenkontrolle dokumentiert. Ein Forscher besitzt danach nicht deshalb Kontrolle über eine Arbeit, weil sein Name auf dem Titelblatt steht, sondern nur, wenn er Quellen, Methodik, Argumentation, Gegenpositionen und Schlussfolgerungen prüfen, erklären, verändern und verantworten kann. Die originären Beiträge der Dissertation bestehen in der Theorie geliehener Intelligenz, dem Modell epistemischer Genealogie, dem Begriff rekursiver Technogenese, einer Embodiment-Taxonomie, operativen Hoheits- und Kontrollmodellen, einer Typologie menschlicher Rollen, Kriterien asymmetrischer Autorenschaft und einer reflexiven Methodik KI-gestützter Wissenschaft.</w:t>
      </w:r>
    </w:p>
    <w:p>
      <w:pPr>
        <w:pStyle w:val="Heading1"/>
        <w:rPr/>
      </w:pPr>
      <w:bookmarkStart w:id="1" w:name="__RefHeading___Toc4343_1712987439"/>
      <w:bookmarkEnd w:id="1"/>
      <w:r>
        <w:rPr/>
        <w:t>Abstract in English</w:t>
      </w:r>
    </w:p>
    <w:p>
      <w:pPr>
        <w:pStyle w:val="Normal"/>
        <w:widowControl/>
        <w:rPr/>
      </w:pPr>
      <w:r>
        <w:rPr/>
        <w:t>This dissertation develops an interdisciplinary theory of “borrowed intelligence” and the potential loss of effective human control. Its point of departure is not the assumption that current artificial systems are autonomous life forms, nor a dystopian narrative of machine domination. The study addresses a structural transition: artificial systems increasingly participate in the design, evaluation, selection, and further development of other learning systems. Human authorship, agency, control, and responsibility therefore become distributed across human actors, language models, validators, learning systems, infrastructures, and institutions.</w:t>
      </w:r>
    </w:p>
    <w:p>
      <w:pPr>
        <w:pStyle w:val="Normal"/>
        <w:widowControl/>
        <w:rPr/>
      </w:pPr>
      <w:r>
        <w:rPr/>
        <w:t>“</w:t>
      </w:r>
      <w:r>
        <w:rPr/>
        <w:t>Borrowed intelligence” denotes the epistemic dependence of contemporary AI on human language, mathematics, scientific knowledge, cultural symbol systems, training data, goals, and evaluative practices. Derivative origin does not exclude genuine novelty. The dissertation introduces the concept of recursive technogenesis and a multidimensional model separating material implementation, epistemic descent, developmental genealogy, goal autonomy, and existential dependence. A substantial part examines embodiment: whether intelligence can exist without current stimuli and a body, or whether disembodied systems merely exhibit stored competence without a grounded relation to a world. Physical, virtual, sensorimotor, interoceptive, social, and institutional forms of embodiment are distinguished.</w:t>
      </w:r>
    </w:p>
    <w:p>
      <w:pPr>
        <w:pStyle w:val="Normal"/>
        <w:widowControl/>
        <w:rPr/>
      </w:pPr>
      <w:r>
        <w:rPr/>
        <w:t>Control is not equated with predictability. The dissertation proposes separate authority, controllability, autonomy-risk, and embodiment vectors and develops levels of AI-supported generation of further AI systems. Methodologically, it combines systematic literature mapping, historical genealogy, conceptual analysis, legal doctrine, comparative normative ethics, sociotechnical analysis, and reflexive research. Brain-5D functions as a bounded technical observation space rather than the thesis’s sole object. The dissertation’s original contributions consist in a theory of borrowed intelligence, a genealogy of recursive machine authorship, an embodiment framework, operational models of authority and control, a taxonomy of human roles, and a reflexive methodology for AI-assisted science.</w:t>
      </w:r>
    </w:p>
    <w:p>
      <w:pPr>
        <w:pStyle w:val="Small"/>
        <w:rPr/>
      </w:pPr>
      <w:bookmarkStart w:id="2" w:name="__RefHeading___Toc4345_1712987439"/>
      <w:bookmarkEnd w:id="2"/>
      <w:r>
        <w:rPr>
          <w:b/>
          <w:color w:val="2E6F73"/>
          <w:sz w:val="20"/>
        </w:rPr>
        <w:t>Schlüsselbegriffe</w:t>
      </w:r>
    </w:p>
    <w:p>
      <w:pPr>
        <w:pStyle w:val="Normal"/>
        <w:widowControl/>
        <w:rPr/>
      </w:pPr>
      <w:r>
        <w:rPr/>
        <w:t>Geliehene Intelligenz · epistemische Genealogie · rekursive Technogenese · Embodiment · Grounding · Autorenschaft · Agency · effektive Kontrolle · menschliche Aufsicht · Verantwortung · moralischer Status · KI-gestützte Wissenschaft</w:t>
      </w:r>
    </w:p>
    <w:p>
      <w:pPr>
        <w:pStyle w:val="Normal"/>
        <w:rPr/>
      </w:pPr>
      <w:r>
        <w:rPr/>
      </w:r>
      <w:r>
        <w:br w:type="page"/>
      </w:r>
    </w:p>
    <w:p>
      <w:pPr>
        <w:pStyle w:val="TOCHeading"/>
        <w:spacing w:before="0" w:after="200"/>
        <w:rPr/>
      </w:pPr>
      <w:bookmarkStart w:id="3" w:name="__RefHeading___Toc4347_1712987439"/>
      <w:bookmarkEnd w:id="3"/>
      <w:r>
        <w:rPr>
          <w:rFonts w:ascii="Carlito" w:hAnsi="Carlito"/>
          <w:b/>
          <w:color w:val="16324F"/>
          <w:sz w:val="33"/>
        </w:rPr>
        <w:t>Inhaltsverzeichnis</w:t>
      </w:r>
    </w:p>
    <w:sdt>
      <w:sdtPr>
        <w:docPartObj>
          <w:docPartGallery w:val="Table of Contents"/>
          <w:docPartUnique w:val="true"/>
        </w:docPartObj>
      </w:sdtPr>
      <w:sdtContent>
        <w:p>
          <w:pPr>
            <w:pStyle w:val="TOC1"/>
            <w:tabs>
              <w:tab w:val="clear" w:pos="9763"/>
              <w:tab w:val="right" w:pos="9762"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41_1712987439">
            <w:r>
              <w:rPr>
                <w:webHidden/>
                <w:rStyle w:val="IndexLink"/>
              </w:rPr>
              <w:t>Abstract</w:t>
              <w:tab/>
              <w:t>3</w:t>
            </w:r>
          </w:hyperlink>
        </w:p>
        <w:p>
          <w:pPr>
            <w:pStyle w:val="TOC1"/>
            <w:tabs>
              <w:tab w:val="clear" w:pos="9763"/>
              <w:tab w:val="right" w:pos="9762" w:leader="dot"/>
            </w:tabs>
            <w:rPr/>
          </w:pPr>
          <w:hyperlink w:anchor="__RefHeading___Toc4343_1712987439">
            <w:r>
              <w:rPr>
                <w:webHidden/>
                <w:rStyle w:val="IndexLink"/>
              </w:rPr>
              <w:t>Abstract in English</w:t>
              <w:tab/>
              <w:t>5</w:t>
            </w:r>
          </w:hyperlink>
        </w:p>
        <w:p>
          <w:pPr>
            <w:pStyle w:val="TOC1"/>
            <w:tabs>
              <w:tab w:val="clear" w:pos="9763"/>
              <w:tab w:val="right" w:pos="9762" w:leader="dot"/>
            </w:tabs>
            <w:rPr/>
          </w:pPr>
          <w:hyperlink w:anchor="__RefHeading___Toc4349_1712987439">
            <w:r>
              <w:rPr>
                <w:webHidden/>
                <w:rStyle w:val="IndexLink"/>
              </w:rPr>
              <w:t>Abbildungs- und Tabellenübersicht</w:t>
              <w:tab/>
              <w:t>12</w:t>
            </w:r>
          </w:hyperlink>
        </w:p>
        <w:p>
          <w:pPr>
            <w:pStyle w:val="TOC1"/>
            <w:tabs>
              <w:tab w:val="clear" w:pos="9763"/>
              <w:tab w:val="right" w:pos="9762" w:leader="dot"/>
            </w:tabs>
            <w:rPr/>
          </w:pPr>
          <w:hyperlink w:anchor="__RefHeading___Toc4351_1712987439">
            <w:r>
              <w:rPr>
                <w:webHidden/>
                <w:rStyle w:val="IndexLink"/>
              </w:rPr>
              <w:t>Teil I – Forschungsproblem, Fragen und Methodologie</w:t>
              <w:tab/>
              <w:t>13</w:t>
            </w:r>
          </w:hyperlink>
        </w:p>
        <w:p>
          <w:pPr>
            <w:pStyle w:val="TOC2"/>
            <w:tabs>
              <w:tab w:val="clear" w:pos="9480"/>
              <w:tab w:val="right" w:pos="9762" w:leader="dot"/>
            </w:tabs>
            <w:rPr/>
          </w:pPr>
          <w:hyperlink w:anchor="__RefHeading___Toc4353_1712987439">
            <w:r>
              <w:rPr>
                <w:webHidden/>
                <w:rStyle w:val="IndexLink"/>
              </w:rPr>
              <w:t>1. Erkenntnisinteresse und wissenschaftliches Desiderat</w:t>
              <w:tab/>
              <w:t>13</w:t>
            </w:r>
          </w:hyperlink>
        </w:p>
        <w:p>
          <w:pPr>
            <w:pStyle w:val="TOC3"/>
            <w:tabs>
              <w:tab w:val="clear" w:pos="9196"/>
              <w:tab w:val="right" w:pos="9762" w:leader="dot"/>
            </w:tabs>
            <w:rPr/>
          </w:pPr>
          <w:hyperlink w:anchor="__RefHeading___Toc4355_1712987439">
            <w:r>
              <w:rPr>
                <w:webHidden/>
                <w:rStyle w:val="IndexLink"/>
              </w:rPr>
              <w:t>Von der Technikfrage zur Intelligenzfrage</w:t>
              <w:tab/>
              <w:t>13</w:t>
            </w:r>
          </w:hyperlink>
        </w:p>
        <w:p>
          <w:pPr>
            <w:pStyle w:val="TOC3"/>
            <w:tabs>
              <w:tab w:val="clear" w:pos="9196"/>
              <w:tab w:val="right" w:pos="9762" w:leader="dot"/>
            </w:tabs>
            <w:rPr/>
          </w:pPr>
          <w:hyperlink w:anchor="__RefHeading___Toc4357_1712987439">
            <w:r>
              <w:rPr>
                <w:webHidden/>
                <w:rStyle w:val="IndexLink"/>
              </w:rPr>
              <w:t>Zentrale Forschungsfrage – Zusammenführung der Problemfelder</w:t>
              <w:tab/>
              <w:t>13</w:t>
            </w:r>
          </w:hyperlink>
        </w:p>
        <w:p>
          <w:pPr>
            <w:pStyle w:val="TOC3"/>
            <w:tabs>
              <w:tab w:val="clear" w:pos="9196"/>
              <w:tab w:val="right" w:pos="9762" w:leader="dot"/>
            </w:tabs>
            <w:rPr/>
          </w:pPr>
          <w:hyperlink w:anchor="__RefHeading___Toc4359_1712987439">
            <w:r>
              <w:rPr>
                <w:webHidden/>
                <w:rStyle w:val="IndexLink"/>
              </w:rPr>
              <w:t>Forschungsziel</w:t>
              <w:tab/>
              <w:t>13</w:t>
            </w:r>
          </w:hyperlink>
        </w:p>
        <w:p>
          <w:pPr>
            <w:pStyle w:val="TOC3"/>
            <w:tabs>
              <w:tab w:val="clear" w:pos="9196"/>
              <w:tab w:val="right" w:pos="9762" w:leader="dot"/>
            </w:tabs>
            <w:rPr/>
          </w:pPr>
          <w:hyperlink w:anchor="__RefHeading___Toc4361_1712987439">
            <w:r>
              <w:rPr>
                <w:webHidden/>
                <w:rStyle w:val="IndexLink"/>
              </w:rPr>
              <w:t>1.1 Originärer wissenschaftlicher Beitrag</w:t>
              <w:tab/>
              <w:t>14</w:t>
            </w:r>
          </w:hyperlink>
        </w:p>
        <w:p>
          <w:pPr>
            <w:pStyle w:val="TOC2"/>
            <w:tabs>
              <w:tab w:val="clear" w:pos="9480"/>
              <w:tab w:val="right" w:pos="9762" w:leader="dot"/>
            </w:tabs>
            <w:rPr/>
          </w:pPr>
          <w:hyperlink w:anchor="__RefHeading___Toc4363_1712987439">
            <w:r>
              <w:rPr>
                <w:webHidden/>
                <w:rStyle w:val="IndexLink"/>
              </w:rPr>
              <w:t>2. Zusammengeführte Forschungsfrage, Teilfragen und Hypothesen</w:t>
              <w:tab/>
              <w:t>14</w:t>
            </w:r>
          </w:hyperlink>
        </w:p>
        <w:p>
          <w:pPr>
            <w:pStyle w:val="TOC3"/>
            <w:tabs>
              <w:tab w:val="clear" w:pos="9196"/>
              <w:tab w:val="right" w:pos="9762" w:leader="dot"/>
            </w:tabs>
            <w:rPr/>
          </w:pPr>
          <w:hyperlink w:anchor="__RefHeading___Toc4365_1712987439">
            <w:r>
              <w:rPr>
                <w:webHidden/>
                <w:rStyle w:val="IndexLink"/>
              </w:rPr>
              <w:t>2.1 Arbeitshypothesen und Gegenhypothesen</w:t>
              <w:tab/>
              <w:t>17</w:t>
            </w:r>
          </w:hyperlink>
        </w:p>
        <w:p>
          <w:pPr>
            <w:pStyle w:val="TOC2"/>
            <w:tabs>
              <w:tab w:val="clear" w:pos="9480"/>
              <w:tab w:val="right" w:pos="9762" w:leader="dot"/>
            </w:tabs>
            <w:rPr/>
          </w:pPr>
          <w:hyperlink w:anchor="__RefHeading___Toc4367_1712987439">
            <w:r>
              <w:rPr>
                <w:webHidden/>
                <w:rStyle w:val="IndexLink"/>
              </w:rPr>
              <w:t>3. Methodologie und wissenschaftliche Arbeitsweise</w:t>
              <w:tab/>
              <w:t>18</w:t>
            </w:r>
          </w:hyperlink>
        </w:p>
        <w:p>
          <w:pPr>
            <w:pStyle w:val="TOC3"/>
            <w:tabs>
              <w:tab w:val="clear" w:pos="9196"/>
              <w:tab w:val="right" w:pos="9762" w:leader="dot"/>
            </w:tabs>
            <w:rPr/>
          </w:pPr>
          <w:hyperlink w:anchor="__RefHeading___Toc4369_1712987439">
            <w:r>
              <w:rPr>
                <w:webHidden/>
                <w:rStyle w:val="IndexLink"/>
              </w:rPr>
              <w:t>Methodologischer Grundsatz</w:t>
              <w:tab/>
              <w:t>18</w:t>
            </w:r>
          </w:hyperlink>
        </w:p>
        <w:p>
          <w:pPr>
            <w:pStyle w:val="TOC3"/>
            <w:tabs>
              <w:tab w:val="clear" w:pos="9196"/>
              <w:tab w:val="right" w:pos="9762" w:leader="dot"/>
            </w:tabs>
            <w:rPr/>
          </w:pPr>
          <w:hyperlink w:anchor="__RefHeading___Toc4371_1712987439">
            <w:r>
              <w:rPr>
                <w:webHidden/>
                <w:rStyle w:val="IndexLink"/>
              </w:rPr>
              <w:t>Systematische Literaturarbeit</w:t>
              <w:tab/>
              <w:t>18</w:t>
            </w:r>
          </w:hyperlink>
        </w:p>
        <w:p>
          <w:pPr>
            <w:pStyle w:val="TOC3"/>
            <w:tabs>
              <w:tab w:val="clear" w:pos="9196"/>
              <w:tab w:val="right" w:pos="9762" w:leader="dot"/>
            </w:tabs>
            <w:rPr/>
          </w:pPr>
          <w:hyperlink w:anchor="__RefHeading___Toc4373_1712987439">
            <w:r>
              <w:rPr>
                <w:webHidden/>
                <w:rStyle w:val="IndexLink"/>
              </w:rPr>
              <w:t>Philosophische Arbeitsweise</w:t>
              <w:tab/>
              <w:t>18</w:t>
            </w:r>
          </w:hyperlink>
        </w:p>
        <w:p>
          <w:pPr>
            <w:pStyle w:val="TOC3"/>
            <w:tabs>
              <w:tab w:val="clear" w:pos="9196"/>
              <w:tab w:val="right" w:pos="9762" w:leader="dot"/>
            </w:tabs>
            <w:rPr/>
          </w:pPr>
          <w:hyperlink w:anchor="__RefHeading___Toc4375_1712987439">
            <w:r>
              <w:rPr>
                <w:webHidden/>
                <w:rStyle w:val="IndexLink"/>
              </w:rPr>
              <w:t>Rechtswissenschaftliche Arbeitsweise</w:t>
              <w:tab/>
              <w:t>18</w:t>
            </w:r>
          </w:hyperlink>
        </w:p>
        <w:p>
          <w:pPr>
            <w:pStyle w:val="TOC3"/>
            <w:tabs>
              <w:tab w:val="clear" w:pos="9196"/>
              <w:tab w:val="right" w:pos="9762" w:leader="dot"/>
            </w:tabs>
            <w:rPr/>
          </w:pPr>
          <w:hyperlink w:anchor="__RefHeading___Toc4377_1712987439">
            <w:r>
              <w:rPr>
                <w:webHidden/>
                <w:rStyle w:val="IndexLink"/>
              </w:rPr>
              <w:t>Zukunftsmethodik</w:t>
              <w:tab/>
              <w:t>18</w:t>
            </w:r>
          </w:hyperlink>
        </w:p>
        <w:p>
          <w:pPr>
            <w:pStyle w:val="TOC3"/>
            <w:tabs>
              <w:tab w:val="clear" w:pos="9196"/>
              <w:tab w:val="right" w:pos="9762" w:leader="dot"/>
            </w:tabs>
            <w:rPr/>
          </w:pPr>
          <w:hyperlink w:anchor="__RefHeading___Toc4379_1712987439">
            <w:r>
              <w:rPr>
                <w:webHidden/>
                <w:rStyle w:val="IndexLink"/>
              </w:rPr>
              <w:t>3.1 Methodentriangulation</w:t>
              <w:tab/>
              <w:t>19</w:t>
            </w:r>
          </w:hyperlink>
        </w:p>
        <w:p>
          <w:pPr>
            <w:pStyle w:val="TOC3"/>
            <w:tabs>
              <w:tab w:val="clear" w:pos="9196"/>
              <w:tab w:val="right" w:pos="9762" w:leader="dot"/>
            </w:tabs>
            <w:rPr/>
          </w:pPr>
          <w:hyperlink w:anchor="__RefHeading___Toc4381_1712987439">
            <w:r>
              <w:rPr>
                <w:webHidden/>
                <w:rStyle w:val="IndexLink"/>
              </w:rPr>
              <w:t>3.2 Keine Erhebung an menschlichen Probandengruppen</w:t>
              <w:tab/>
              <w:t>20</w:t>
            </w:r>
          </w:hyperlink>
        </w:p>
        <w:p>
          <w:pPr>
            <w:pStyle w:val="TOC3"/>
            <w:tabs>
              <w:tab w:val="clear" w:pos="9196"/>
              <w:tab w:val="right" w:pos="9762" w:leader="dot"/>
            </w:tabs>
            <w:rPr/>
          </w:pPr>
          <w:hyperlink w:anchor="__RefHeading___Toc4383_1712987439">
            <w:r>
              <w:rPr>
                <w:webHidden/>
                <w:rStyle w:val="IndexLink"/>
              </w:rPr>
              <w:t>3.3 Literatur- und Zitationsregeln</w:t>
              <w:tab/>
              <w:t>20</w:t>
            </w:r>
          </w:hyperlink>
        </w:p>
        <w:p>
          <w:pPr>
            <w:pStyle w:val="TOC2"/>
            <w:tabs>
              <w:tab w:val="clear" w:pos="9480"/>
              <w:tab w:val="right" w:pos="9762" w:leader="dot"/>
            </w:tabs>
            <w:rPr/>
          </w:pPr>
          <w:hyperlink w:anchor="__RefHeading___Toc4385_1712987439">
            <w:r>
              <w:rPr>
                <w:webHidden/>
                <w:rStyle w:val="IndexLink"/>
              </w:rPr>
              <w:t>4. Begriffsapparat und analytische Unterscheidungen</w:t>
              <w:tab/>
              <w:t>20</w:t>
            </w:r>
          </w:hyperlink>
        </w:p>
        <w:p>
          <w:pPr>
            <w:pStyle w:val="TOC1"/>
            <w:tabs>
              <w:tab w:val="clear" w:pos="9763"/>
              <w:tab w:val="right" w:pos="9762" w:leader="dot"/>
            </w:tabs>
            <w:rPr/>
          </w:pPr>
          <w:hyperlink w:anchor="__RefHeading___Toc4387_1712987439">
            <w:r>
              <w:rPr>
                <w:webHidden/>
                <w:rStyle w:val="IndexLink"/>
              </w:rPr>
              <w:t>Teil II – Genealogischer und gegenwärtiger Kontext</w:t>
              <w:tab/>
              <w:t>22</w:t>
            </w:r>
          </w:hyperlink>
        </w:p>
        <w:p>
          <w:pPr>
            <w:pStyle w:val="TOC2"/>
            <w:tabs>
              <w:tab w:val="clear" w:pos="9480"/>
              <w:tab w:val="right" w:pos="9762" w:leader="dot"/>
            </w:tabs>
            <w:rPr/>
          </w:pPr>
          <w:hyperlink w:anchor="__RefHeading___Toc4389_1712987439">
            <w:r>
              <w:rPr>
                <w:webHidden/>
                <w:rStyle w:val="IndexLink"/>
              </w:rPr>
              <w:t>5. Antike Konstellationen künstlicher Agency</w:t>
              <w:tab/>
              <w:t>22</w:t>
            </w:r>
          </w:hyperlink>
        </w:p>
        <w:p>
          <w:pPr>
            <w:pStyle w:val="TOC3"/>
            <w:tabs>
              <w:tab w:val="clear" w:pos="9196"/>
              <w:tab w:val="right" w:pos="9762" w:leader="dot"/>
            </w:tabs>
            <w:rPr/>
          </w:pPr>
          <w:hyperlink w:anchor="__RefHeading___Toc4391_1712987439">
            <w:r>
              <w:rPr>
                <w:webHidden/>
                <w:rStyle w:val="IndexLink"/>
              </w:rPr>
              <w:t>Hephaistos: selbstbewegte Werkzeuge und künstliche Diener</w:t>
              <w:tab/>
              <w:t>22</w:t>
            </w:r>
          </w:hyperlink>
        </w:p>
        <w:p>
          <w:pPr>
            <w:pStyle w:val="TOC3"/>
            <w:tabs>
              <w:tab w:val="clear" w:pos="9196"/>
              <w:tab w:val="right" w:pos="9762" w:leader="dot"/>
            </w:tabs>
            <w:rPr/>
          </w:pPr>
          <w:hyperlink w:anchor="__RefHeading___Toc4393_1712987439">
            <w:r>
              <w:rPr>
                <w:webHidden/>
                <w:rStyle w:val="IndexLink"/>
              </w:rPr>
              <w:t>Talos: der künstliche Wächter</w:t>
              <w:tab/>
              <w:t>22</w:t>
            </w:r>
          </w:hyperlink>
        </w:p>
        <w:p>
          <w:pPr>
            <w:pStyle w:val="TOC3"/>
            <w:tabs>
              <w:tab w:val="clear" w:pos="9196"/>
              <w:tab w:val="right" w:pos="9762" w:leader="dot"/>
            </w:tabs>
            <w:rPr/>
          </w:pPr>
          <w:hyperlink w:anchor="__RefHeading___Toc4395_1712987439">
            <w:r>
              <w:rPr>
                <w:webHidden/>
                <w:rStyle w:val="IndexLink"/>
              </w:rPr>
              <w:t>Pygmalion: künstliche Form und soziale Anerkennung</w:t>
              <w:tab/>
              <w:t>22</w:t>
            </w:r>
          </w:hyperlink>
        </w:p>
        <w:p>
          <w:pPr>
            <w:pStyle w:val="TOC3"/>
            <w:tabs>
              <w:tab w:val="clear" w:pos="9196"/>
              <w:tab w:val="right" w:pos="9762" w:leader="dot"/>
            </w:tabs>
            <w:rPr/>
          </w:pPr>
          <w:hyperlink w:anchor="__RefHeading___Toc4397_1712987439">
            <w:r>
              <w:rPr>
                <w:webHidden/>
                <w:rStyle w:val="IndexLink"/>
              </w:rPr>
              <w:t>Archytas und die mechanische Taube</w:t>
              <w:tab/>
              <w:t>23</w:t>
            </w:r>
          </w:hyperlink>
        </w:p>
        <w:p>
          <w:pPr>
            <w:pStyle w:val="TOC3"/>
            <w:tabs>
              <w:tab w:val="clear" w:pos="9196"/>
              <w:tab w:val="right" w:pos="9762" w:leader="dot"/>
            </w:tabs>
            <w:rPr/>
          </w:pPr>
          <w:hyperlink w:anchor="__RefHeading___Toc4399_1712987439">
            <w:r>
              <w:rPr>
                <w:webHidden/>
                <w:rStyle w:val="IndexLink"/>
              </w:rPr>
              <w:t>Aristoteles: automatische Werkzeuge und die politische Ordnung der Arbeit</w:t>
              <w:tab/>
              <w:t>23</w:t>
            </w:r>
          </w:hyperlink>
        </w:p>
        <w:p>
          <w:pPr>
            <w:pStyle w:val="TOC3"/>
            <w:tabs>
              <w:tab w:val="clear" w:pos="9196"/>
              <w:tab w:val="right" w:pos="9762" w:leader="dot"/>
            </w:tabs>
            <w:rPr/>
          </w:pPr>
          <w:hyperlink w:anchor="__RefHeading___Toc4401_1712987439">
            <w:r>
              <w:rPr>
                <w:webHidden/>
                <w:rStyle w:val="IndexLink"/>
              </w:rPr>
              <w:t>Zwischenbefund: Antike ohne Informatik, aber nicht ohne Problem</w:t>
              <w:tab/>
              <w:t>23</w:t>
            </w:r>
          </w:hyperlink>
        </w:p>
        <w:p>
          <w:pPr>
            <w:pStyle w:val="TOC3"/>
            <w:tabs>
              <w:tab w:val="clear" w:pos="9196"/>
              <w:tab w:val="right" w:pos="9762" w:leader="dot"/>
            </w:tabs>
            <w:rPr/>
          </w:pPr>
          <w:hyperlink w:anchor="__RefHeading___Toc4403_1712987439">
            <w:r>
              <w:rPr>
                <w:webHidden/>
                <w:rStyle w:val="IndexLink"/>
              </w:rPr>
              <w:t>Mythos als philosophisches Material, nicht als Technikgeschichte</w:t>
              <w:tab/>
              <w:t>23</w:t>
            </w:r>
          </w:hyperlink>
        </w:p>
        <w:p>
          <w:pPr>
            <w:pStyle w:val="TOC3"/>
            <w:tabs>
              <w:tab w:val="clear" w:pos="9196"/>
              <w:tab w:val="right" w:pos="9762" w:leader="dot"/>
            </w:tabs>
            <w:rPr/>
          </w:pPr>
          <w:hyperlink w:anchor="__RefHeading___Toc4405_1712987439">
            <w:r>
              <w:rPr>
                <w:webHidden/>
                <w:rStyle w:val="IndexLink"/>
              </w:rPr>
              <w:t>Daidalos und die Angst vor dem bewegten Artefakt</w:t>
              <w:tab/>
              <w:t>23</w:t>
            </w:r>
          </w:hyperlink>
        </w:p>
        <w:p>
          <w:pPr>
            <w:pStyle w:val="TOC3"/>
            <w:tabs>
              <w:tab w:val="clear" w:pos="9196"/>
              <w:tab w:val="right" w:pos="9762" w:leader="dot"/>
            </w:tabs>
            <w:rPr/>
          </w:pPr>
          <w:hyperlink w:anchor="__RefHeading___Toc4407_1712987439">
            <w:r>
              <w:rPr>
                <w:webHidden/>
                <w:rStyle w:val="IndexLink"/>
              </w:rPr>
              <w:t>Hephaistos und die frühe Trennung von Material und Kompetenz</w:t>
              <w:tab/>
              <w:t>24</w:t>
            </w:r>
          </w:hyperlink>
        </w:p>
        <w:p>
          <w:pPr>
            <w:pStyle w:val="TOC3"/>
            <w:tabs>
              <w:tab w:val="clear" w:pos="9196"/>
              <w:tab w:val="right" w:pos="9762" w:leader="dot"/>
            </w:tabs>
            <w:rPr/>
          </w:pPr>
          <w:hyperlink w:anchor="__RefHeading___Toc4409_1712987439">
            <w:r>
              <w:rPr>
                <w:webHidden/>
                <w:rStyle w:val="IndexLink"/>
              </w:rPr>
              <w:t>Talos und programmierte Territorialität</w:t>
              <w:tab/>
              <w:t>24</w:t>
            </w:r>
          </w:hyperlink>
        </w:p>
        <w:p>
          <w:pPr>
            <w:pStyle w:val="TOC3"/>
            <w:tabs>
              <w:tab w:val="clear" w:pos="9196"/>
              <w:tab w:val="right" w:pos="9762" w:leader="dot"/>
            </w:tabs>
            <w:rPr/>
          </w:pPr>
          <w:hyperlink w:anchor="__RefHeading___Toc4411_1712987439">
            <w:r>
              <w:rPr>
                <w:webHidden/>
                <w:rStyle w:val="IndexLink"/>
              </w:rPr>
              <w:t>Aristoteles als frühe Theorie sozialer Folgen der Automation</w:t>
              <w:tab/>
              <w:t>24</w:t>
            </w:r>
          </w:hyperlink>
        </w:p>
        <w:p>
          <w:pPr>
            <w:pStyle w:val="TOC3"/>
            <w:tabs>
              <w:tab w:val="clear" w:pos="9196"/>
              <w:tab w:val="right" w:pos="9762" w:leader="dot"/>
            </w:tabs>
            <w:rPr/>
          </w:pPr>
          <w:hyperlink w:anchor="__RefHeading___Toc4413_1712987439">
            <w:r>
              <w:rPr>
                <w:webHidden/>
                <w:rStyle w:val="IndexLink"/>
              </w:rPr>
              <w:t>Von der Selbstbewegung zur Selbstbeschreibung</w:t>
              <w:tab/>
              <w:t>24</w:t>
            </w:r>
          </w:hyperlink>
        </w:p>
        <w:p>
          <w:pPr>
            <w:pStyle w:val="TOC2"/>
            <w:tabs>
              <w:tab w:val="clear" w:pos="9480"/>
              <w:tab w:val="right" w:pos="9762" w:leader="dot"/>
            </w:tabs>
            <w:rPr/>
          </w:pPr>
          <w:hyperlink w:anchor="__RefHeading___Toc4415_1712987439">
            <w:r>
              <w:rPr>
                <w:webHidden/>
                <w:rStyle w:val="IndexLink"/>
              </w:rPr>
              <w:t>6. Mechanismus, Formalisierung, Kybernetik und Lernen</w:t>
              <w:tab/>
              <w:t>24</w:t>
            </w:r>
          </w:hyperlink>
        </w:p>
        <w:p>
          <w:pPr>
            <w:pStyle w:val="TOC3"/>
            <w:tabs>
              <w:tab w:val="clear" w:pos="9196"/>
              <w:tab w:val="right" w:pos="9762" w:leader="dot"/>
            </w:tabs>
            <w:rPr/>
          </w:pPr>
          <w:hyperlink w:anchor="__RefHeading___Toc4417_1712987439">
            <w:r>
              <w:rPr>
                <w:webHidden/>
                <w:rStyle w:val="IndexLink"/>
              </w:rPr>
              <w:t>Mittelalter und Frühe Neuzeit: Automaten zwischen Wunder und Mechanik</w:t>
              <w:tab/>
              <w:t>24</w:t>
            </w:r>
          </w:hyperlink>
        </w:p>
        <w:p>
          <w:pPr>
            <w:pStyle w:val="TOC3"/>
            <w:tabs>
              <w:tab w:val="clear" w:pos="9196"/>
              <w:tab w:val="right" w:pos="9762" w:leader="dot"/>
            </w:tabs>
            <w:rPr/>
          </w:pPr>
          <w:hyperlink w:anchor="__RefHeading___Toc4419_1712987439">
            <w:r>
              <w:rPr>
                <w:webHidden/>
                <w:rStyle w:val="IndexLink"/>
              </w:rPr>
              <w:t>Descartes, Hobbes und La Mettrie: Organismus als Maschine</w:t>
              <w:tab/>
              <w:t>25</w:t>
            </w:r>
          </w:hyperlink>
        </w:p>
        <w:p>
          <w:pPr>
            <w:pStyle w:val="TOC3"/>
            <w:tabs>
              <w:tab w:val="clear" w:pos="9196"/>
              <w:tab w:val="right" w:pos="9762" w:leader="dot"/>
            </w:tabs>
            <w:rPr/>
          </w:pPr>
          <w:hyperlink w:anchor="__RefHeading___Toc4421_1712987439">
            <w:r>
              <w:rPr>
                <w:webHidden/>
                <w:rStyle w:val="IndexLink"/>
              </w:rPr>
              <w:t>Leibniz: Kalkül und mechanisierte Vernunft</w:t>
              <w:tab/>
              <w:t>25</w:t>
            </w:r>
          </w:hyperlink>
        </w:p>
        <w:p>
          <w:pPr>
            <w:pStyle w:val="TOC3"/>
            <w:tabs>
              <w:tab w:val="clear" w:pos="9196"/>
              <w:tab w:val="right" w:pos="9762" w:leader="dot"/>
            </w:tabs>
            <w:rPr/>
          </w:pPr>
          <w:hyperlink w:anchor="__RefHeading___Toc4423_1712987439">
            <w:r>
              <w:rPr>
                <w:webHidden/>
                <w:rStyle w:val="IndexLink"/>
              </w:rPr>
              <w:t>Industrielle Automation und die Maschine als Konkurrent</w:t>
              <w:tab/>
              <w:t>25</w:t>
            </w:r>
          </w:hyperlink>
        </w:p>
        <w:p>
          <w:pPr>
            <w:pStyle w:val="TOC3"/>
            <w:tabs>
              <w:tab w:val="clear" w:pos="9196"/>
              <w:tab w:val="right" w:pos="9762" w:leader="dot"/>
            </w:tabs>
            <w:rPr/>
          </w:pPr>
          <w:hyperlink w:anchor="__RefHeading___Toc4425_1712987439">
            <w:r>
              <w:rPr>
                <w:webHidden/>
                <w:rStyle w:val="IndexLink"/>
              </w:rPr>
              <w:t>Čapek, Technik und soziale Wesen</w:t>
              <w:tab/>
              <w:t>25</w:t>
            </w:r>
          </w:hyperlink>
        </w:p>
        <w:p>
          <w:pPr>
            <w:pStyle w:val="TOC3"/>
            <w:tabs>
              <w:tab w:val="clear" w:pos="9196"/>
              <w:tab w:val="right" w:pos="9762" w:leader="dot"/>
            </w:tabs>
            <w:rPr/>
          </w:pPr>
          <w:hyperlink w:anchor="__RefHeading___Toc4427_1712987439">
            <w:r>
              <w:rPr>
                <w:webHidden/>
                <w:rStyle w:val="IndexLink"/>
              </w:rPr>
              <w:t>Turing, Kybernetik und lernende Systeme</w:t>
              <w:tab/>
              <w:t>25</w:t>
            </w:r>
          </w:hyperlink>
        </w:p>
        <w:p>
          <w:pPr>
            <w:pStyle w:val="TOC3"/>
            <w:tabs>
              <w:tab w:val="clear" w:pos="9196"/>
              <w:tab w:val="right" w:pos="9762" w:leader="dot"/>
            </w:tabs>
            <w:rPr/>
          </w:pPr>
          <w:hyperlink w:anchor="__RefHeading___Toc4429_1712987439">
            <w:r>
              <w:rPr>
                <w:webHidden/>
                <w:rStyle w:val="IndexLink"/>
              </w:rPr>
              <w:t>Künstliche Wesen als ideengeschichtliches Problem</w:t>
              <w:tab/>
              <w:t>26</w:t>
            </w:r>
          </w:hyperlink>
        </w:p>
        <w:p>
          <w:pPr>
            <w:pStyle w:val="TOC3"/>
            <w:tabs>
              <w:tab w:val="clear" w:pos="9196"/>
              <w:tab w:val="right" w:pos="9762" w:leader="dot"/>
            </w:tabs>
            <w:rPr/>
          </w:pPr>
          <w:hyperlink w:anchor="__RefHeading___Toc4431_1712987439">
            <w:r>
              <w:rPr>
                <w:webHidden/>
                <w:rStyle w:val="IndexLink"/>
              </w:rPr>
              <w:t>Mechanismus und Formalisierung</w:t>
              <w:tab/>
              <w:t>26</w:t>
            </w:r>
          </w:hyperlink>
        </w:p>
        <w:p>
          <w:pPr>
            <w:pStyle w:val="TOC3"/>
            <w:tabs>
              <w:tab w:val="clear" w:pos="9196"/>
              <w:tab w:val="right" w:pos="9762" w:leader="dot"/>
            </w:tabs>
            <w:rPr/>
          </w:pPr>
          <w:hyperlink w:anchor="__RefHeading___Toc4433_1712987439">
            <w:r>
              <w:rPr>
                <w:webHidden/>
                <w:rStyle w:val="IndexLink"/>
              </w:rPr>
              <w:t>Konnektionismus, Lernen und die Auflösung des direkten Entwurfs</w:t>
              <w:tab/>
              <w:t>26</w:t>
            </w:r>
          </w:hyperlink>
        </w:p>
        <w:p>
          <w:pPr>
            <w:pStyle w:val="TOC3"/>
            <w:tabs>
              <w:tab w:val="clear" w:pos="9196"/>
              <w:tab w:val="right" w:pos="9762" w:leader="dot"/>
            </w:tabs>
            <w:rPr/>
          </w:pPr>
          <w:hyperlink w:anchor="__RefHeading___Toc4435_1712987439">
            <w:r>
              <w:rPr>
                <w:webHidden/>
                <w:rStyle w:val="IndexLink"/>
              </w:rPr>
              <w:t>Technikphilosophische Bezugslinien</w:t>
              <w:tab/>
              <w:t>27</w:t>
            </w:r>
          </w:hyperlink>
        </w:p>
        <w:p>
          <w:pPr>
            <w:pStyle w:val="TOC3"/>
            <w:tabs>
              <w:tab w:val="clear" w:pos="9196"/>
              <w:tab w:val="right" w:pos="9762" w:leader="dot"/>
            </w:tabs>
            <w:rPr/>
          </w:pPr>
          <w:hyperlink w:anchor="__RefHeading___Toc4437_1712987439">
            <w:r>
              <w:rPr>
                <w:webHidden/>
                <w:rStyle w:val="IndexLink"/>
              </w:rPr>
              <w:t>Philosophie des Geistes und künstliche Agency</w:t>
              <w:tab/>
              <w:t>27</w:t>
            </w:r>
          </w:hyperlink>
        </w:p>
        <w:p>
          <w:pPr>
            <w:pStyle w:val="TOC3"/>
            <w:tabs>
              <w:tab w:val="clear" w:pos="9196"/>
              <w:tab w:val="right" w:pos="9762" w:leader="dot"/>
            </w:tabs>
            <w:rPr/>
          </w:pPr>
          <w:hyperlink w:anchor="__RefHeading___Toc4439_1712987439">
            <w:r>
              <w:rPr>
                <w:webHidden/>
                <w:rStyle w:val="IndexLink"/>
              </w:rPr>
              <w:t>KI-Ethik und Governance</w:t>
              <w:tab/>
              <w:t>27</w:t>
            </w:r>
          </w:hyperlink>
        </w:p>
        <w:p>
          <w:pPr>
            <w:pStyle w:val="TOC2"/>
            <w:tabs>
              <w:tab w:val="clear" w:pos="9480"/>
              <w:tab w:val="right" w:pos="9762" w:leader="dot"/>
            </w:tabs>
            <w:rPr/>
          </w:pPr>
          <w:hyperlink w:anchor="__RefHeading___Toc4441_1712987439">
            <w:r>
              <w:rPr>
                <w:webHidden/>
                <w:rStyle w:val="IndexLink"/>
              </w:rPr>
              <w:t>7. Gegenwart 2026: KI als epistemischer und technischer Mitproduzent</w:t>
              <w:tab/>
              <w:t>27</w:t>
            </w:r>
          </w:hyperlink>
        </w:p>
        <w:p>
          <w:pPr>
            <w:pStyle w:val="TOC3"/>
            <w:tabs>
              <w:tab w:val="clear" w:pos="9196"/>
              <w:tab w:val="right" w:pos="9762" w:leader="dot"/>
            </w:tabs>
            <w:rPr/>
          </w:pPr>
          <w:hyperlink w:anchor="__RefHeading___Toc4443_1712987439">
            <w:r>
              <w:rPr>
                <w:webHidden/>
                <w:rStyle w:val="IndexLink"/>
              </w:rPr>
              <w:t>Was gegenwärtig tatsächlich vorhanden ist</w:t>
              <w:tab/>
              <w:t>27</w:t>
            </w:r>
          </w:hyperlink>
        </w:p>
        <w:p>
          <w:pPr>
            <w:pStyle w:val="TOC3"/>
            <w:tabs>
              <w:tab w:val="clear" w:pos="9196"/>
              <w:tab w:val="right" w:pos="9762" w:leader="dot"/>
            </w:tabs>
            <w:rPr/>
          </w:pPr>
          <w:hyperlink w:anchor="__RefHeading___Toc4445_1712987439">
            <w:r>
              <w:rPr>
                <w:webHidden/>
                <w:rStyle w:val="IndexLink"/>
              </w:rPr>
              <w:t>KI erzeugt technische Strukturen</w:t>
              <w:tab/>
              <w:t>28</w:t>
            </w:r>
          </w:hyperlink>
        </w:p>
        <w:p>
          <w:pPr>
            <w:pStyle w:val="TOC3"/>
            <w:tabs>
              <w:tab w:val="clear" w:pos="9196"/>
              <w:tab w:val="right" w:pos="9762" w:leader="dot"/>
            </w:tabs>
            <w:rPr/>
          </w:pPr>
          <w:hyperlink w:anchor="__RefHeading___Toc4447_1712987439">
            <w:r>
              <w:rPr>
                <w:webHidden/>
                <w:rStyle w:val="IndexLink"/>
              </w:rPr>
              <w:t>Die Gegenwart als Übergang, nicht als Endzustand</w:t>
              <w:tab/>
              <w:t>28</w:t>
            </w:r>
          </w:hyperlink>
        </w:p>
        <w:p>
          <w:pPr>
            <w:pStyle w:val="TOC3"/>
            <w:tabs>
              <w:tab w:val="clear" w:pos="9196"/>
              <w:tab w:val="right" w:pos="9762" w:leader="dot"/>
            </w:tabs>
            <w:rPr/>
          </w:pPr>
          <w:hyperlink w:anchor="__RefHeading___Toc4449_1712987439">
            <w:r>
              <w:rPr>
                <w:webHidden/>
                <w:rStyle w:val="IndexLink"/>
              </w:rPr>
              <w:t>Keine Singularitätsdiagnose</w:t>
              <w:tab/>
              <w:t>28</w:t>
            </w:r>
          </w:hyperlink>
        </w:p>
        <w:p>
          <w:pPr>
            <w:pStyle w:val="TOC3"/>
            <w:tabs>
              <w:tab w:val="clear" w:pos="9196"/>
              <w:tab w:val="right" w:pos="9762" w:leader="dot"/>
            </w:tabs>
            <w:rPr/>
          </w:pPr>
          <w:hyperlink w:anchor="__RefHeading___Toc4451_1712987439">
            <w:r>
              <w:rPr>
                <w:webHidden/>
                <w:rStyle w:val="IndexLink"/>
              </w:rPr>
              <w:t>Wissenschaftliche Arbeit durch Agenten</w:t>
              <w:tab/>
              <w:t>28</w:t>
            </w:r>
          </w:hyperlink>
        </w:p>
        <w:p>
          <w:pPr>
            <w:pStyle w:val="TOC3"/>
            <w:tabs>
              <w:tab w:val="clear" w:pos="9196"/>
              <w:tab w:val="right" w:pos="9762" w:leader="dot"/>
            </w:tabs>
            <w:rPr/>
          </w:pPr>
          <w:hyperlink w:anchor="__RefHeading___Toc4453_1712987439">
            <w:r>
              <w:rPr>
                <w:webHidden/>
                <w:rStyle w:val="IndexLink"/>
              </w:rPr>
              <w:t>KI als Entwickler technischer Systeme</w:t>
              <w:tab/>
              <w:t>29</w:t>
            </w:r>
          </w:hyperlink>
        </w:p>
        <w:p>
          <w:pPr>
            <w:pStyle w:val="TOC3"/>
            <w:tabs>
              <w:tab w:val="clear" w:pos="9196"/>
              <w:tab w:val="right" w:pos="9762" w:leader="dot"/>
            </w:tabs>
            <w:rPr/>
          </w:pPr>
          <w:hyperlink w:anchor="__RefHeading___Toc4455_1712987439">
            <w:r>
              <w:rPr>
                <w:webHidden/>
                <w:rStyle w:val="IndexLink"/>
              </w:rPr>
              <w:t>Grenzen heutiger Unabhängigkeit</w:t>
              <w:tab/>
              <w:t>29</w:t>
            </w:r>
          </w:hyperlink>
        </w:p>
        <w:p>
          <w:pPr>
            <w:pStyle w:val="TOC3"/>
            <w:tabs>
              <w:tab w:val="clear" w:pos="9196"/>
              <w:tab w:val="right" w:pos="9762" w:leader="dot"/>
            </w:tabs>
            <w:rPr/>
          </w:pPr>
          <w:hyperlink w:anchor="__RefHeading___Toc4457_1712987439">
            <w:r>
              <w:rPr>
                <w:webHidden/>
                <w:rStyle w:val="IndexLink"/>
              </w:rPr>
              <w:t>Transparenz als gegenwärtiges Strukturproblem</w:t>
              <w:tab/>
              <w:t>29</w:t>
            </w:r>
          </w:hyperlink>
        </w:p>
        <w:p>
          <w:pPr>
            <w:pStyle w:val="TOC2"/>
            <w:tabs>
              <w:tab w:val="clear" w:pos="9480"/>
              <w:tab w:val="right" w:pos="9762" w:leader="dot"/>
            </w:tabs>
            <w:rPr/>
          </w:pPr>
          <w:hyperlink w:anchor="__RefHeading___Toc4459_1712987439">
            <w:r>
              <w:rPr>
                <w:webHidden/>
                <w:rStyle w:val="IndexLink"/>
              </w:rPr>
              <w:t>8. Zukunft als begriffliche Grenzwertanalyse</w:t>
              <w:tab/>
              <w:t>29</w:t>
            </w:r>
          </w:hyperlink>
        </w:p>
        <w:p>
          <w:pPr>
            <w:pStyle w:val="TOC1"/>
            <w:tabs>
              <w:tab w:val="clear" w:pos="9763"/>
              <w:tab w:val="right" w:pos="9762" w:leader="dot"/>
            </w:tabs>
            <w:rPr/>
          </w:pPr>
          <w:hyperlink w:anchor="__RefHeading___Toc4461_1712987439">
            <w:r>
              <w:rPr>
                <w:webHidden/>
                <w:rStyle w:val="IndexLink"/>
              </w:rPr>
              <w:t>Teil III – Theorie geliehener, rekursiver und verkörperter Intelligenz</w:t>
              <w:tab/>
              <w:t>31</w:t>
            </w:r>
          </w:hyperlink>
        </w:p>
        <w:p>
          <w:pPr>
            <w:pStyle w:val="TOC2"/>
            <w:tabs>
              <w:tab w:val="clear" w:pos="9480"/>
              <w:tab w:val="right" w:pos="9762" w:leader="dot"/>
            </w:tabs>
            <w:rPr/>
          </w:pPr>
          <w:hyperlink w:anchor="__RefHeading___Toc4463_1712987439">
            <w:r>
              <w:rPr>
                <w:webHidden/>
                <w:rStyle w:val="IndexLink"/>
              </w:rPr>
              <w:t>9. Theorie der geliehenen Intelligenz</w:t>
              <w:tab/>
              <w:t>31</w:t>
            </w:r>
          </w:hyperlink>
        </w:p>
        <w:p>
          <w:pPr>
            <w:pStyle w:val="TOC3"/>
            <w:tabs>
              <w:tab w:val="clear" w:pos="9196"/>
              <w:tab w:val="right" w:pos="9762" w:leader="dot"/>
            </w:tabs>
            <w:rPr/>
          </w:pPr>
          <w:hyperlink w:anchor="__RefHeading___Toc4465_1712987439">
            <w:r>
              <w:rPr>
                <w:webHidden/>
                <w:rStyle w:val="IndexLink"/>
              </w:rPr>
              <w:t>Geliehen bedeutet genealogisch, nicht minderwertig</w:t>
              <w:tab/>
              <w:t>31</w:t>
            </w:r>
          </w:hyperlink>
        </w:p>
        <w:p>
          <w:pPr>
            <w:pStyle w:val="TOC3"/>
            <w:tabs>
              <w:tab w:val="clear" w:pos="9196"/>
              <w:tab w:val="right" w:pos="9762" w:leader="dot"/>
            </w:tabs>
            <w:rPr/>
          </w:pPr>
          <w:hyperlink w:anchor="__RefHeading___Toc4467_1712987439">
            <w:r>
              <w:rPr>
                <w:webHidden/>
                <w:rStyle w:val="IndexLink"/>
              </w:rPr>
              <w:t>Ein mehrdimensionales Modell</w:t>
              <w:tab/>
              <w:t>31</w:t>
            </w:r>
          </w:hyperlink>
        </w:p>
        <w:p>
          <w:pPr>
            <w:pStyle w:val="TOC3"/>
            <w:tabs>
              <w:tab w:val="clear" w:pos="9196"/>
              <w:tab w:val="right" w:pos="9762" w:leader="dot"/>
            </w:tabs>
            <w:rPr/>
          </w:pPr>
          <w:hyperlink w:anchor="__RefHeading___Toc4469_1712987439">
            <w:r>
              <w:rPr>
                <w:webHidden/>
                <w:rStyle w:val="IndexLink"/>
              </w:rPr>
              <w:t>Rekursive Technogenese</w:t>
              <w:tab/>
              <w:t>31</w:t>
            </w:r>
          </w:hyperlink>
        </w:p>
        <w:p>
          <w:pPr>
            <w:pStyle w:val="TOC2"/>
            <w:tabs>
              <w:tab w:val="clear" w:pos="9480"/>
              <w:tab w:val="right" w:pos="9762" w:leader="dot"/>
            </w:tabs>
            <w:rPr/>
          </w:pPr>
          <w:hyperlink w:anchor="__RefHeading___Toc4471_1712987439">
            <w:r>
              <w:rPr>
                <w:webHidden/>
                <w:rStyle w:val="IndexLink"/>
              </w:rPr>
              <w:t>10. Rekursive Technogenese und abgeleitete Künstlichkeit</w:t>
              <w:tab/>
              <w:t>32</w:t>
            </w:r>
          </w:hyperlink>
        </w:p>
        <w:p>
          <w:pPr>
            <w:pStyle w:val="TOC3"/>
            <w:tabs>
              <w:tab w:val="clear" w:pos="9196"/>
              <w:tab w:val="right" w:pos="9762" w:leader="dot"/>
            </w:tabs>
            <w:rPr/>
          </w:pPr>
          <w:hyperlink w:anchor="__RefHeading___Toc4473_1712987439">
            <w:r>
              <w:rPr>
                <w:webHidden/>
                <w:rStyle w:val="IndexLink"/>
              </w:rPr>
              <w:t>Künstlichkeit als Herstellungsrelation</w:t>
              <w:tab/>
              <w:t>32</w:t>
            </w:r>
          </w:hyperlink>
        </w:p>
        <w:p>
          <w:pPr>
            <w:pStyle w:val="TOC3"/>
            <w:tabs>
              <w:tab w:val="clear" w:pos="9196"/>
              <w:tab w:val="right" w:pos="9762" w:leader="dot"/>
            </w:tabs>
            <w:rPr/>
          </w:pPr>
          <w:hyperlink w:anchor="__RefHeading___Toc4475_1712987439">
            <w:r>
              <w:rPr>
                <w:webHidden/>
                <w:rStyle w:val="IndexLink"/>
              </w:rPr>
              <w:t>Genealogische Distanz</w:t>
              <w:tab/>
              <w:t>32</w:t>
            </w:r>
          </w:hyperlink>
        </w:p>
        <w:p>
          <w:pPr>
            <w:pStyle w:val="TOC3"/>
            <w:tabs>
              <w:tab w:val="clear" w:pos="9196"/>
              <w:tab w:val="right" w:pos="9762" w:leader="dot"/>
            </w:tabs>
            <w:rPr/>
          </w:pPr>
          <w:hyperlink w:anchor="__RefHeading___Toc4477_1712987439">
            <w:r>
              <w:rPr>
                <w:webHidden/>
                <w:rStyle w:val="IndexLink"/>
              </w:rPr>
              <w:t>Abgeleitete, technogene und eigenständige Intelligenz</w:t>
              <w:tab/>
              <w:t>32</w:t>
            </w:r>
          </w:hyperlink>
        </w:p>
        <w:p>
          <w:pPr>
            <w:pStyle w:val="TOC3"/>
            <w:tabs>
              <w:tab w:val="clear" w:pos="9196"/>
              <w:tab w:val="right" w:pos="9762" w:leader="dot"/>
            </w:tabs>
            <w:rPr/>
          </w:pPr>
          <w:hyperlink w:anchor="__RefHeading___Toc4479_1712987439">
            <w:r>
              <w:rPr>
                <w:webHidden/>
                <w:rStyle w:val="IndexLink"/>
              </w:rPr>
              <w:t>Fünf Achsen statt einer binären Grenze</w:t>
              <w:tab/>
              <w:t>32</w:t>
            </w:r>
          </w:hyperlink>
        </w:p>
        <w:p>
          <w:pPr>
            <w:pStyle w:val="TOC3"/>
            <w:tabs>
              <w:tab w:val="clear" w:pos="9196"/>
              <w:tab w:val="right" w:pos="9762" w:leader="dot"/>
            </w:tabs>
            <w:rPr/>
          </w:pPr>
          <w:hyperlink w:anchor="__RefHeading___Toc4481_1712987439">
            <w:r>
              <w:rPr>
                <w:webHidden/>
                <w:rStyle w:val="IndexLink"/>
              </w:rPr>
              <w:t>Der Mensch als historischer Ursprung, nicht notwendiger Endpunkt</w:t>
              <w:tab/>
              <w:t>32</w:t>
            </w:r>
          </w:hyperlink>
        </w:p>
        <w:p>
          <w:pPr>
            <w:pStyle w:val="TOC3"/>
            <w:tabs>
              <w:tab w:val="clear" w:pos="9196"/>
              <w:tab w:val="right" w:pos="9762" w:leader="dot"/>
            </w:tabs>
            <w:rPr/>
          </w:pPr>
          <w:hyperlink w:anchor="__RefHeading___Toc4483_1712987439">
            <w:r>
              <w:rPr>
                <w:webHidden/>
                <w:rStyle w:val="IndexLink"/>
              </w:rPr>
              <w:t>Geliehene Intelligenz als Übergangsbegriff</w:t>
              <w:tab/>
              <w:t>32</w:t>
            </w:r>
          </w:hyperlink>
        </w:p>
        <w:p>
          <w:pPr>
            <w:pStyle w:val="TOC2"/>
            <w:tabs>
              <w:tab w:val="clear" w:pos="9480"/>
              <w:tab w:val="right" w:pos="9762" w:leader="dot"/>
            </w:tabs>
            <w:rPr/>
          </w:pPr>
          <w:hyperlink w:anchor="__RefHeading___Toc4485_1712987439">
            <w:r>
              <w:rPr>
                <w:webHidden/>
                <w:rStyle w:val="IndexLink"/>
              </w:rPr>
              <w:t>11. Menschliche Rollen: Konstrukteur, Verfassungsgeber, Beobachter oder Teil der Intelligenz?</w:t>
              <w:tab/>
              <w:t>34</w:t>
            </w:r>
          </w:hyperlink>
        </w:p>
        <w:p>
          <w:pPr>
            <w:pStyle w:val="TOC3"/>
            <w:tabs>
              <w:tab w:val="clear" w:pos="9196"/>
              <w:tab w:val="right" w:pos="9762" w:leader="dot"/>
            </w:tabs>
            <w:rPr/>
          </w:pPr>
          <w:hyperlink w:anchor="__RefHeading___Toc4487_1712987439">
            <w:r>
              <w:rPr>
                <w:webHidden/>
                <w:rStyle w:val="IndexLink"/>
              </w:rPr>
              <w:t>Die falsche Alternative</w:t>
              <w:tab/>
              <w:t>34</w:t>
            </w:r>
          </w:hyperlink>
        </w:p>
        <w:p>
          <w:pPr>
            <w:pStyle w:val="TOC3"/>
            <w:tabs>
              <w:tab w:val="clear" w:pos="9196"/>
              <w:tab w:val="right" w:pos="9762" w:leader="dot"/>
            </w:tabs>
            <w:rPr/>
          </w:pPr>
          <w:hyperlink w:anchor="__RefHeading___Toc4489_1712987439">
            <w:r>
              <w:rPr>
                <w:webHidden/>
                <w:rStyle w:val="IndexLink"/>
              </w:rPr>
              <w:t>Rollenmodell menschlicher Agency</w:t>
              <w:tab/>
              <w:t>34</w:t>
            </w:r>
          </w:hyperlink>
        </w:p>
        <w:p>
          <w:pPr>
            <w:pStyle w:val="TOC3"/>
            <w:tabs>
              <w:tab w:val="clear" w:pos="9196"/>
              <w:tab w:val="right" w:pos="9762" w:leader="dot"/>
            </w:tabs>
            <w:rPr/>
          </w:pPr>
          <w:hyperlink w:anchor="__RefHeading___Toc4491_1712987439">
            <w:r>
              <w:rPr>
                <w:webHidden/>
                <w:rStyle w:val="IndexLink"/>
              </w:rPr>
              <w:t>Nominale versus effektive Kontrolle</w:t>
              <w:tab/>
              <w:t>34</w:t>
            </w:r>
          </w:hyperlink>
        </w:p>
        <w:p>
          <w:pPr>
            <w:pStyle w:val="TOC3"/>
            <w:tabs>
              <w:tab w:val="clear" w:pos="9196"/>
              <w:tab w:val="right" w:pos="9762" w:leader="dot"/>
            </w:tabs>
            <w:rPr/>
          </w:pPr>
          <w:hyperlink w:anchor="__RefHeading___Toc4493_1712987439">
            <w:r>
              <w:rPr>
                <w:webHidden/>
                <w:rStyle w:val="IndexLink"/>
              </w:rPr>
              <w:t>Der Mensch als Teil eines größeren epistemischen Systems</w:t>
              <w:tab/>
              <w:t>34</w:t>
            </w:r>
          </w:hyperlink>
        </w:p>
        <w:p>
          <w:pPr>
            <w:pStyle w:val="TOC2"/>
            <w:tabs>
              <w:tab w:val="clear" w:pos="9480"/>
              <w:tab w:val="right" w:pos="9762" w:leader="dot"/>
            </w:tabs>
            <w:rPr/>
          </w:pPr>
          <w:hyperlink w:anchor="__RefHeading___Toc4495_1712987439">
            <w:r>
              <w:rPr>
                <w:webHidden/>
                <w:rStyle w:val="IndexLink"/>
              </w:rPr>
              <w:t>12. Embodiment: Ist Intelligenz ohne Reize und Körper möglich?</w:t>
              <w:tab/>
              <w:t>36</w:t>
            </w:r>
          </w:hyperlink>
        </w:p>
        <w:p>
          <w:pPr>
            <w:pStyle w:val="TOC3"/>
            <w:tabs>
              <w:tab w:val="clear" w:pos="9196"/>
              <w:tab w:val="right" w:pos="9762" w:leader="dot"/>
            </w:tabs>
            <w:rPr/>
          </w:pPr>
          <w:hyperlink w:anchor="__RefHeading___Toc4497_1712987439">
            <w:r>
              <w:rPr>
                <w:webHidden/>
                <w:rStyle w:val="IndexLink"/>
              </w:rPr>
              <w:t>12.1 Problemstellung: Kompetenz, Aktualität und Weltbeziehung</w:t>
              <w:tab/>
              <w:t>36</w:t>
            </w:r>
          </w:hyperlink>
        </w:p>
        <w:p>
          <w:pPr>
            <w:pStyle w:val="TOC3"/>
            <w:tabs>
              <w:tab w:val="clear" w:pos="9196"/>
              <w:tab w:val="right" w:pos="9762" w:leader="dot"/>
            </w:tabs>
            <w:rPr/>
          </w:pPr>
          <w:hyperlink w:anchor="__RefHeading___Toc4499_1712987439">
            <w:r>
              <w:rPr>
                <w:webHidden/>
                <w:rStyle w:val="IndexLink"/>
              </w:rPr>
              <w:t>12.2 Sechs Dimensionen von Embodiment</w:t>
              <w:tab/>
              <w:t>37</w:t>
            </w:r>
          </w:hyperlink>
        </w:p>
        <w:p>
          <w:pPr>
            <w:pStyle w:val="TOC3"/>
            <w:tabs>
              <w:tab w:val="clear" w:pos="9196"/>
              <w:tab w:val="right" w:pos="9762" w:leader="dot"/>
            </w:tabs>
            <w:rPr/>
          </w:pPr>
          <w:hyperlink w:anchor="__RefHeading___Toc4501_1712987439">
            <w:r>
              <w:rPr>
                <w:webHidden/>
                <w:rStyle w:val="IndexLink"/>
              </w:rPr>
              <w:t>12.3 Embodiment-Stufen</w:t>
              <w:tab/>
              <w:t>38</w:t>
            </w:r>
          </w:hyperlink>
        </w:p>
        <w:p>
          <w:pPr>
            <w:pStyle w:val="TOC3"/>
            <w:tabs>
              <w:tab w:val="clear" w:pos="9196"/>
              <w:tab w:val="right" w:pos="9762" w:leader="dot"/>
            </w:tabs>
            <w:rPr/>
          </w:pPr>
          <w:hyperlink w:anchor="__RefHeading___Toc4503_1712987439">
            <w:r>
              <w:rPr>
                <w:webHidden/>
                <w:rStyle w:val="IndexLink"/>
              </w:rPr>
              <w:t>12.4 Kann ein virtuelles System einen Körper haben?</w:t>
              <w:tab/>
              <w:t>38</w:t>
            </w:r>
          </w:hyperlink>
        </w:p>
        <w:p>
          <w:pPr>
            <w:pStyle w:val="TOC3"/>
            <w:tabs>
              <w:tab w:val="clear" w:pos="9196"/>
              <w:tab w:val="right" w:pos="9762" w:leader="dot"/>
            </w:tabs>
            <w:rPr/>
          </w:pPr>
          <w:hyperlink w:anchor="__RefHeading___Toc4505_1712987439">
            <w:r>
              <w:rPr>
                <w:webHidden/>
                <w:rStyle w:val="IndexLink"/>
              </w:rPr>
              <w:t>12.5 Interozeption, Homeostase und der Ursprung von Werten</w:t>
              <w:tab/>
              <w:t>38</w:t>
            </w:r>
          </w:hyperlink>
        </w:p>
        <w:p>
          <w:pPr>
            <w:pStyle w:val="TOC3"/>
            <w:tabs>
              <w:tab w:val="clear" w:pos="9196"/>
              <w:tab w:val="right" w:pos="9762" w:leader="dot"/>
            </w:tabs>
            <w:rPr/>
          </w:pPr>
          <w:hyperlink w:anchor="__RefHeading___Toc4507_1712987439">
            <w:r>
              <w:rPr>
                <w:webHidden/>
                <w:rStyle w:val="IndexLink"/>
              </w:rPr>
              <w:t>12.6 Embodiment, Kontrolle und Verantwortung</w:t>
              <w:tab/>
              <w:t>39</w:t>
            </w:r>
          </w:hyperlink>
        </w:p>
        <w:p>
          <w:pPr>
            <w:pStyle w:val="TOC3"/>
            <w:tabs>
              <w:tab w:val="clear" w:pos="9196"/>
              <w:tab w:val="right" w:pos="9762" w:leader="dot"/>
            </w:tabs>
            <w:rPr/>
          </w:pPr>
          <w:hyperlink w:anchor="__RefHeading___Toc4509_1712987439">
            <w:r>
              <w:rPr>
                <w:webHidden/>
                <w:rStyle w:val="IndexLink"/>
              </w:rPr>
              <w:t>12.7 Vorläufige theoretische Position</w:t>
              <w:tab/>
              <w:t>39</w:t>
            </w:r>
          </w:hyperlink>
        </w:p>
        <w:p>
          <w:pPr>
            <w:pStyle w:val="TOC3"/>
            <w:tabs>
              <w:tab w:val="clear" w:pos="9196"/>
              <w:tab w:val="right" w:pos="9762" w:leader="dot"/>
            </w:tabs>
            <w:rPr/>
          </w:pPr>
          <w:hyperlink w:anchor="__RefHeading___Toc6224_2263952011">
            <w:r>
              <w:rPr>
                <w:webHidden/>
                <w:rStyle w:val="IndexLink"/>
              </w:rPr>
              <w:t>12.8 Antwortkorridor und methodische Konsequenzen</w:t>
              <w:tab/>
              <w:t>39</w:t>
            </w:r>
          </w:hyperlink>
        </w:p>
        <w:p>
          <w:pPr>
            <w:pStyle w:val="TOC1"/>
            <w:tabs>
              <w:tab w:val="clear" w:pos="9763"/>
              <w:tab w:val="right" w:pos="9762" w:leader="dot"/>
            </w:tabs>
            <w:rPr/>
          </w:pPr>
          <w:hyperlink w:anchor="__RefHeading___Toc4511_1712987439">
            <w:r>
              <w:rPr>
                <w:webHidden/>
                <w:rStyle w:val="IndexLink"/>
              </w:rPr>
              <w:t>Teil IV – Kontrolle, Autorenschaft, Ethik und Recht</w:t>
              <w:tab/>
              <w:t>41</w:t>
            </w:r>
          </w:hyperlink>
        </w:p>
        <w:p>
          <w:pPr>
            <w:pStyle w:val="TOC2"/>
            <w:tabs>
              <w:tab w:val="clear" w:pos="9480"/>
              <w:tab w:val="right" w:pos="9762" w:leader="dot"/>
            </w:tabs>
            <w:rPr/>
          </w:pPr>
          <w:hyperlink w:anchor="__RefHeading___Toc4513_1712987439">
            <w:r>
              <w:rPr>
                <w:webHidden/>
                <w:rStyle w:val="IndexLink"/>
              </w:rPr>
              <w:t>13. Entscheidungshoheit und operatives Kontrollmodell</w:t>
              <w:tab/>
              <w:t>41</w:t>
            </w:r>
          </w:hyperlink>
        </w:p>
        <w:p>
          <w:pPr>
            <w:pStyle w:val="TOC2"/>
            <w:tabs>
              <w:tab w:val="clear" w:pos="9480"/>
              <w:tab w:val="right" w:pos="9762" w:leader="dot"/>
            </w:tabs>
            <w:rPr/>
          </w:pPr>
          <w:hyperlink w:anchor="__RefHeading___Toc4515_1712987439">
            <w:r>
              <w:rPr>
                <w:webHidden/>
                <w:rStyle w:val="IndexLink"/>
              </w:rPr>
              <w:t>14. Kontrollstufen der KI-gestützten Erzeugung weiterer KI</w:t>
              <w:tab/>
              <w:t>44</w:t>
            </w:r>
          </w:hyperlink>
        </w:p>
        <w:p>
          <w:pPr>
            <w:pStyle w:val="TOC2"/>
            <w:tabs>
              <w:tab w:val="clear" w:pos="9480"/>
              <w:tab w:val="right" w:pos="9762" w:leader="dot"/>
            </w:tabs>
            <w:rPr/>
          </w:pPr>
          <w:hyperlink w:anchor="__RefHeading___Toc4517_1712987439">
            <w:r>
              <w:rPr>
                <w:webHidden/>
                <w:rStyle w:val="IndexLink"/>
              </w:rPr>
              <w:t>15. „Übernimmt die KI?“ – Zerlegung einer unpräzisen Frage</w:t>
              <w:tab/>
              <w:t>45</w:t>
            </w:r>
          </w:hyperlink>
        </w:p>
        <w:p>
          <w:pPr>
            <w:pStyle w:val="TOC2"/>
            <w:tabs>
              <w:tab w:val="clear" w:pos="9480"/>
              <w:tab w:val="right" w:pos="9762" w:leader="dot"/>
            </w:tabs>
            <w:rPr/>
          </w:pPr>
          <w:hyperlink w:anchor="__RefHeading___Toc4519_1712987439">
            <w:r>
              <w:rPr>
                <w:webHidden/>
                <w:rStyle w:val="IndexLink"/>
              </w:rPr>
              <w:t>16. Autorenschaft, Handlungsmacht und Verantwortungsdiffusion</w:t>
              <w:tab/>
              <w:t>45</w:t>
            </w:r>
          </w:hyperlink>
        </w:p>
        <w:p>
          <w:pPr>
            <w:pStyle w:val="TOC2"/>
            <w:tabs>
              <w:tab w:val="clear" w:pos="9480"/>
              <w:tab w:val="right" w:pos="9762" w:leader="dot"/>
            </w:tabs>
            <w:rPr/>
          </w:pPr>
          <w:hyperlink w:anchor="__RefHeading___Toc4521_1712987439">
            <w:r>
              <w:rPr>
                <w:webHidden/>
                <w:rStyle w:val="IndexLink"/>
              </w:rPr>
              <w:t>17. Ethik und die Möglichkeit einer normativen „DNA“</w:t>
              <w:tab/>
              <w:t>46</w:t>
            </w:r>
          </w:hyperlink>
        </w:p>
        <w:p>
          <w:pPr>
            <w:pStyle w:val="TOC3"/>
            <w:tabs>
              <w:tab w:val="clear" w:pos="9196"/>
              <w:tab w:val="right" w:pos="9762" w:leader="dot"/>
            </w:tabs>
            <w:rPr/>
          </w:pPr>
          <w:hyperlink w:anchor="__RefHeading___Toc4523_1712987439">
            <w:r>
              <w:rPr>
                <w:webHidden/>
                <w:rStyle w:val="IndexLink"/>
              </w:rPr>
              <w:t>Gegenwärtige Regelwerke</w:t>
              <w:tab/>
              <w:t>46</w:t>
            </w:r>
          </w:hyperlink>
        </w:p>
        <w:p>
          <w:pPr>
            <w:pStyle w:val="TOC3"/>
            <w:tabs>
              <w:tab w:val="clear" w:pos="9196"/>
              <w:tab w:val="right" w:pos="9762" w:leader="dot"/>
            </w:tabs>
            <w:rPr/>
          </w:pPr>
          <w:hyperlink w:anchor="__RefHeading___Toc4525_1712987439">
            <w:r>
              <w:rPr>
                <w:webHidden/>
                <w:rStyle w:val="IndexLink"/>
              </w:rPr>
              <w:t>Das Problem rekursiver Systeme</w:t>
              <w:tab/>
              <w:t>47</w:t>
            </w:r>
          </w:hyperlink>
        </w:p>
        <w:p>
          <w:pPr>
            <w:pStyle w:val="TOC3"/>
            <w:tabs>
              <w:tab w:val="clear" w:pos="9196"/>
              <w:tab w:val="right" w:pos="9762" w:leader="dot"/>
            </w:tabs>
            <w:rPr/>
          </w:pPr>
          <w:hyperlink w:anchor="__RefHeading___Toc4527_1712987439">
            <w:r>
              <w:rPr>
                <w:webHidden/>
                <w:rStyle w:val="IndexLink"/>
              </w:rPr>
              <w:t>Vier Ebenen von Regeln</w:t>
              <w:tab/>
              <w:t>47</w:t>
            </w:r>
          </w:hyperlink>
        </w:p>
        <w:p>
          <w:pPr>
            <w:pStyle w:val="TOC3"/>
            <w:tabs>
              <w:tab w:val="clear" w:pos="9196"/>
              <w:tab w:val="right" w:pos="9762" w:leader="dot"/>
            </w:tabs>
            <w:rPr/>
          </w:pPr>
          <w:hyperlink w:anchor="__RefHeading___Toc4529_1712987439">
            <w:r>
              <w:rPr>
                <w:webHidden/>
                <w:rStyle w:val="IndexLink"/>
              </w:rPr>
              <w:t>Warum diese Arbeit nicht „pro“ oder „contra“ KI argumentiert</w:t>
              <w:tab/>
              <w:t>47</w:t>
            </w:r>
          </w:hyperlink>
        </w:p>
        <w:p>
          <w:pPr>
            <w:pStyle w:val="TOC3"/>
            <w:tabs>
              <w:tab w:val="clear" w:pos="9196"/>
              <w:tab w:val="right" w:pos="9762" w:leader="dot"/>
            </w:tabs>
            <w:rPr/>
          </w:pPr>
          <w:hyperlink w:anchor="__RefHeading___Toc4531_1712987439">
            <w:r>
              <w:rPr>
                <w:webHidden/>
                <w:rStyle w:val="IndexLink"/>
              </w:rPr>
              <w:t>Ethik für den Fall künstlicher moralischer Relevanz</w:t>
              <w:tab/>
              <w:t>47</w:t>
            </w:r>
          </w:hyperlink>
        </w:p>
        <w:p>
          <w:pPr>
            <w:pStyle w:val="TOC3"/>
            <w:tabs>
              <w:tab w:val="clear" w:pos="9196"/>
              <w:tab w:val="right" w:pos="9762" w:leader="dot"/>
            </w:tabs>
            <w:rPr/>
          </w:pPr>
          <w:hyperlink w:anchor="__RefHeading___Toc4533_1712987439">
            <w:r>
              <w:rPr>
                <w:webHidden/>
                <w:rStyle w:val="IndexLink"/>
              </w:rPr>
              <w:t>Ethik nach dem Menschen</w:t>
              <w:tab/>
              <w:t>47</w:t>
            </w:r>
          </w:hyperlink>
        </w:p>
        <w:p>
          <w:pPr>
            <w:pStyle w:val="TOC3"/>
            <w:tabs>
              <w:tab w:val="clear" w:pos="9196"/>
              <w:tab w:val="right" w:pos="9762" w:leader="dot"/>
            </w:tabs>
            <w:rPr/>
          </w:pPr>
          <w:hyperlink w:anchor="__RefHeading___Toc4535_1712987439">
            <w:r>
              <w:rPr>
                <w:webHidden/>
                <w:rStyle w:val="IndexLink"/>
              </w:rPr>
              <w:t>Deontologische Perspektive</w:t>
              <w:tab/>
              <w:t>48</w:t>
            </w:r>
          </w:hyperlink>
        </w:p>
        <w:p>
          <w:pPr>
            <w:pStyle w:val="TOC3"/>
            <w:tabs>
              <w:tab w:val="clear" w:pos="9196"/>
              <w:tab w:val="right" w:pos="9762" w:leader="dot"/>
            </w:tabs>
            <w:rPr/>
          </w:pPr>
          <w:hyperlink w:anchor="__RefHeading___Toc4537_1712987439">
            <w:r>
              <w:rPr>
                <w:webHidden/>
                <w:rStyle w:val="IndexLink"/>
              </w:rPr>
              <w:t>Konsequentialistische Perspektive</w:t>
              <w:tab/>
              <w:t>48</w:t>
            </w:r>
          </w:hyperlink>
        </w:p>
        <w:p>
          <w:pPr>
            <w:pStyle w:val="TOC3"/>
            <w:tabs>
              <w:tab w:val="clear" w:pos="9196"/>
              <w:tab w:val="right" w:pos="9762" w:leader="dot"/>
            </w:tabs>
            <w:rPr/>
          </w:pPr>
          <w:hyperlink w:anchor="__RefHeading___Toc4539_1712987439">
            <w:r>
              <w:rPr>
                <w:webHidden/>
                <w:rStyle w:val="IndexLink"/>
              </w:rPr>
              <w:t>Jonas und Verantwortung unter irreversibler Macht</w:t>
              <w:tab/>
              <w:t>48</w:t>
            </w:r>
          </w:hyperlink>
        </w:p>
        <w:p>
          <w:pPr>
            <w:pStyle w:val="TOC3"/>
            <w:tabs>
              <w:tab w:val="clear" w:pos="9196"/>
              <w:tab w:val="right" w:pos="9762" w:leader="dot"/>
            </w:tabs>
            <w:rPr/>
          </w:pPr>
          <w:hyperlink w:anchor="__RefHeading___Toc4541_1712987439">
            <w:r>
              <w:rPr>
                <w:webHidden/>
                <w:rStyle w:val="IndexLink"/>
              </w:rPr>
              <w:t>Diskursethik und Legitimation</w:t>
              <w:tab/>
              <w:t>48</w:t>
            </w:r>
          </w:hyperlink>
        </w:p>
        <w:p>
          <w:pPr>
            <w:pStyle w:val="TOC3"/>
            <w:tabs>
              <w:tab w:val="clear" w:pos="9196"/>
              <w:tab w:val="right" w:pos="9762" w:leader="dot"/>
            </w:tabs>
            <w:rPr/>
          </w:pPr>
          <w:hyperlink w:anchor="__RefHeading___Toc4543_1712987439">
            <w:r>
              <w:rPr>
                <w:webHidden/>
                <w:rStyle w:val="IndexLink"/>
              </w:rPr>
              <w:t>Informationsethik und moralische Erweiterung</w:t>
              <w:tab/>
              <w:t>48</w:t>
            </w:r>
          </w:hyperlink>
        </w:p>
        <w:p>
          <w:pPr>
            <w:pStyle w:val="TOC3"/>
            <w:tabs>
              <w:tab w:val="clear" w:pos="9196"/>
              <w:tab w:val="right" w:pos="9762" w:leader="dot"/>
            </w:tabs>
            <w:rPr/>
          </w:pPr>
          <w:hyperlink w:anchor="__RefHeading___Toc4545_1712987439">
            <w:r>
              <w:rPr>
                <w:webHidden/>
                <w:rStyle w:val="IndexLink"/>
              </w:rPr>
              <w:t>17.1 Von Asimovs Robotergesetzen zur konstitutionellen Architektur</w:t>
              <w:tab/>
              <w:t>48</w:t>
            </w:r>
          </w:hyperlink>
        </w:p>
        <w:p>
          <w:pPr>
            <w:pStyle w:val="TOC2"/>
            <w:tabs>
              <w:tab w:val="clear" w:pos="9480"/>
              <w:tab w:val="right" w:pos="9762" w:leader="dot"/>
            </w:tabs>
            <w:rPr/>
          </w:pPr>
          <w:hyperlink w:anchor="__RefHeading___Toc4547_1712987439">
            <w:r>
              <w:rPr>
                <w:webHidden/>
                <w:rStyle w:val="IndexLink"/>
              </w:rPr>
              <w:t>18. Philosophischer Bezugsrahmen</w:t>
              <w:tab/>
              <w:t>50</w:t>
            </w:r>
          </w:hyperlink>
        </w:p>
        <w:p>
          <w:pPr>
            <w:pStyle w:val="TOC3"/>
            <w:tabs>
              <w:tab w:val="clear" w:pos="9196"/>
              <w:tab w:val="right" w:pos="9762" w:leader="dot"/>
            </w:tabs>
            <w:rPr/>
          </w:pPr>
          <w:hyperlink w:anchor="__RefHeading___Toc4549_1712987439">
            <w:r>
              <w:rPr>
                <w:webHidden/>
                <w:rStyle w:val="IndexLink"/>
              </w:rPr>
              <w:t>18.1 Aristoteles: Wer ist Urheber?</w:t>
              <w:tab/>
              <w:t>50</w:t>
            </w:r>
          </w:hyperlink>
        </w:p>
        <w:p>
          <w:pPr>
            <w:pStyle w:val="TOC2"/>
            <w:tabs>
              <w:tab w:val="clear" w:pos="9480"/>
              <w:tab w:val="right" w:pos="9762" w:leader="dot"/>
            </w:tabs>
            <w:rPr/>
          </w:pPr>
          <w:hyperlink w:anchor="__RefHeading___Toc4551_1712987439">
            <w:r>
              <w:rPr>
                <w:webHidden/>
                <w:rStyle w:val="IndexLink"/>
              </w:rPr>
              <w:t>19. Empfindungsfähigkeit, Leben und moralischer Status</w:t>
              <w:tab/>
              <w:t>51</w:t>
            </w:r>
          </w:hyperlink>
        </w:p>
        <w:p>
          <w:pPr>
            <w:pStyle w:val="TOC2"/>
            <w:tabs>
              <w:tab w:val="clear" w:pos="9480"/>
              <w:tab w:val="right" w:pos="9762" w:leader="dot"/>
            </w:tabs>
            <w:rPr/>
          </w:pPr>
          <w:hyperlink w:anchor="__RefHeading___Toc4553_1712987439">
            <w:r>
              <w:rPr>
                <w:webHidden/>
                <w:rStyle w:val="IndexLink"/>
              </w:rPr>
              <w:t>20. Recht und Governance</w:t>
              <w:tab/>
              <w:t>51</w:t>
            </w:r>
          </w:hyperlink>
        </w:p>
        <w:p>
          <w:pPr>
            <w:pStyle w:val="TOC3"/>
            <w:tabs>
              <w:tab w:val="clear" w:pos="9196"/>
              <w:tab w:val="right" w:pos="9762" w:leader="dot"/>
            </w:tabs>
            <w:rPr/>
          </w:pPr>
          <w:hyperlink w:anchor="__RefHeading___Toc4555_1712987439">
            <w:r>
              <w:rPr>
                <w:webHidden/>
                <w:rStyle w:val="IndexLink"/>
              </w:rPr>
              <w:t>Zurechnung und Verantwortung</w:t>
              <w:tab/>
              <w:t>51</w:t>
            </w:r>
          </w:hyperlink>
        </w:p>
        <w:p>
          <w:pPr>
            <w:pStyle w:val="TOC3"/>
            <w:tabs>
              <w:tab w:val="clear" w:pos="9196"/>
              <w:tab w:val="right" w:pos="9762" w:leader="dot"/>
            </w:tabs>
            <w:rPr/>
          </w:pPr>
          <w:hyperlink w:anchor="__RefHeading___Toc4557_1712987439">
            <w:r>
              <w:rPr>
                <w:webHidden/>
                <w:rStyle w:val="IndexLink"/>
              </w:rPr>
              <w:t>Autorschaft und Erfinderschaft</w:t>
              <w:tab/>
              <w:t>52</w:t>
            </w:r>
          </w:hyperlink>
        </w:p>
        <w:p>
          <w:pPr>
            <w:pStyle w:val="TOC3"/>
            <w:tabs>
              <w:tab w:val="clear" w:pos="9196"/>
              <w:tab w:val="right" w:pos="9762" w:leader="dot"/>
            </w:tabs>
            <w:rPr/>
          </w:pPr>
          <w:hyperlink w:anchor="__RefHeading___Toc4559_1712987439">
            <w:r>
              <w:rPr>
                <w:webHidden/>
                <w:rStyle w:val="IndexLink"/>
              </w:rPr>
              <w:t>Recht ohne Menschen?</w:t>
              <w:tab/>
              <w:t>52</w:t>
            </w:r>
          </w:hyperlink>
        </w:p>
        <w:p>
          <w:pPr>
            <w:pStyle w:val="TOC3"/>
            <w:tabs>
              <w:tab w:val="clear" w:pos="9196"/>
              <w:tab w:val="right" w:pos="9762" w:leader="dot"/>
            </w:tabs>
            <w:rPr/>
          </w:pPr>
          <w:hyperlink w:anchor="__RefHeading___Toc4561_1712987439">
            <w:r>
              <w:rPr>
                <w:webHidden/>
                <w:rStyle w:val="IndexLink"/>
              </w:rPr>
              <w:t>Human Oversight als historisch situierte Rechtsfigur</w:t>
              <w:tab/>
              <w:t>52</w:t>
            </w:r>
          </w:hyperlink>
        </w:p>
        <w:p>
          <w:pPr>
            <w:pStyle w:val="TOC3"/>
            <w:tabs>
              <w:tab w:val="clear" w:pos="9196"/>
              <w:tab w:val="right" w:pos="9762" w:leader="dot"/>
            </w:tabs>
            <w:rPr/>
          </w:pPr>
          <w:hyperlink w:anchor="__RefHeading___Toc4563_1712987439">
            <w:r>
              <w:rPr>
                <w:webHidden/>
                <w:rStyle w:val="IndexLink"/>
              </w:rPr>
              <w:t>Meaningful Human Control</w:t>
              <w:tab/>
              <w:t>52</w:t>
            </w:r>
          </w:hyperlink>
        </w:p>
        <w:p>
          <w:pPr>
            <w:pStyle w:val="TOC3"/>
            <w:tabs>
              <w:tab w:val="clear" w:pos="9196"/>
              <w:tab w:val="right" w:pos="9762" w:leader="dot"/>
            </w:tabs>
            <w:rPr/>
          </w:pPr>
          <w:hyperlink w:anchor="__RefHeading___Toc4565_1712987439">
            <w:r>
              <w:rPr>
                <w:webHidden/>
                <w:rStyle w:val="IndexLink"/>
              </w:rPr>
              <w:t>Verantwortungsdiffusion in rekursiven Ketten</w:t>
              <w:tab/>
              <w:t>52</w:t>
            </w:r>
          </w:hyperlink>
        </w:p>
        <w:p>
          <w:pPr>
            <w:pStyle w:val="TOC3"/>
            <w:tabs>
              <w:tab w:val="clear" w:pos="9196"/>
              <w:tab w:val="right" w:pos="9762" w:leader="dot"/>
            </w:tabs>
            <w:rPr/>
          </w:pPr>
          <w:hyperlink w:anchor="__RefHeading___Toc4567_1712987439">
            <w:r>
              <w:rPr>
                <w:webHidden/>
                <w:rStyle w:val="IndexLink"/>
              </w:rPr>
              <w:t>Eigentum, Subjektstatus und Maschinenexistenz</w:t>
              <w:tab/>
              <w:t>52</w:t>
            </w:r>
          </w:hyperlink>
        </w:p>
        <w:p>
          <w:pPr>
            <w:pStyle w:val="TOC3"/>
            <w:tabs>
              <w:tab w:val="clear" w:pos="9196"/>
              <w:tab w:val="right" w:pos="9762" w:leader="dot"/>
            </w:tabs>
            <w:rPr/>
          </w:pPr>
          <w:hyperlink w:anchor="__RefHeading___Toc4569_1712987439">
            <w:r>
              <w:rPr>
                <w:webHidden/>
                <w:rStyle w:val="IndexLink"/>
              </w:rPr>
              <w:t>Verfassung nach dem Menschen</w:t>
              <w:tab/>
              <w:t>53</w:t>
            </w:r>
          </w:hyperlink>
        </w:p>
        <w:p>
          <w:pPr>
            <w:pStyle w:val="TOC1"/>
            <w:tabs>
              <w:tab w:val="clear" w:pos="9763"/>
              <w:tab w:val="right" w:pos="9762" w:leader="dot"/>
            </w:tabs>
            <w:rPr/>
          </w:pPr>
          <w:hyperlink w:anchor="__RefHeading___Toc4571_1712987439">
            <w:r>
              <w:rPr>
                <w:webHidden/>
                <w:rStyle w:val="IndexLink"/>
              </w:rPr>
              <w:t>Teil V – Reflexive Begleitforschung am technischen Fall Brain-5D</w:t>
              <w:tab/>
              <w:t>54</w:t>
            </w:r>
          </w:hyperlink>
        </w:p>
        <w:p>
          <w:pPr>
            <w:pStyle w:val="TOC2"/>
            <w:tabs>
              <w:tab w:val="clear" w:pos="9480"/>
              <w:tab w:val="right" w:pos="9762" w:leader="dot"/>
            </w:tabs>
            <w:rPr/>
          </w:pPr>
          <w:hyperlink w:anchor="__RefHeading___Toc4573_1712987439">
            <w:r>
              <w:rPr>
                <w:webHidden/>
                <w:rStyle w:val="IndexLink"/>
              </w:rPr>
              <w:t>21. Rolle des Fallbeispiels</w:t>
              <w:tab/>
              <w:t>54</w:t>
            </w:r>
          </w:hyperlink>
        </w:p>
        <w:p>
          <w:pPr>
            <w:pStyle w:val="TOC2"/>
            <w:tabs>
              <w:tab w:val="clear" w:pos="9480"/>
              <w:tab w:val="right" w:pos="9762" w:leader="dot"/>
            </w:tabs>
            <w:rPr/>
          </w:pPr>
          <w:hyperlink w:anchor="__RefHeading___Toc4575_1712987439">
            <w:r>
              <w:rPr>
                <w:webHidden/>
                <w:rStyle w:val="IndexLink"/>
              </w:rPr>
              <w:t>22. Technischer Forschungsstand: SNN, NAS und LLM-gestützte Architekturgenerierung</w:t>
              <w:tab/>
              <w:t>54</w:t>
            </w:r>
          </w:hyperlink>
        </w:p>
        <w:p>
          <w:pPr>
            <w:pStyle w:val="TOC3"/>
            <w:tabs>
              <w:tab w:val="clear" w:pos="9196"/>
              <w:tab w:val="right" w:pos="9762" w:leader="dot"/>
            </w:tabs>
            <w:rPr/>
          </w:pPr>
          <w:hyperlink w:anchor="__RefHeading___Toc4577_1712987439">
            <w:r>
              <w:rPr>
                <w:webHidden/>
                <w:rStyle w:val="IndexLink"/>
              </w:rPr>
              <w:t>Spiking Neural Networks und neuromorphe Systeme</w:t>
              <w:tab/>
              <w:t>54</w:t>
            </w:r>
          </w:hyperlink>
        </w:p>
        <w:p>
          <w:pPr>
            <w:pStyle w:val="TOC3"/>
            <w:tabs>
              <w:tab w:val="clear" w:pos="9196"/>
              <w:tab w:val="right" w:pos="9762" w:leader="dot"/>
            </w:tabs>
            <w:rPr/>
          </w:pPr>
          <w:hyperlink w:anchor="__RefHeading___Toc4579_1712987439">
            <w:r>
              <w:rPr>
                <w:webHidden/>
                <w:rStyle w:val="IndexLink"/>
              </w:rPr>
              <w:t>Neural Architecture Search</w:t>
              <w:tab/>
              <w:t>54</w:t>
            </w:r>
          </w:hyperlink>
        </w:p>
        <w:p>
          <w:pPr>
            <w:pStyle w:val="TOC3"/>
            <w:tabs>
              <w:tab w:val="clear" w:pos="9196"/>
              <w:tab w:val="right" w:pos="9762" w:leader="dot"/>
            </w:tabs>
            <w:rPr/>
          </w:pPr>
          <w:hyperlink w:anchor="__RefHeading___Toc4581_1712987439">
            <w:r>
              <w:rPr>
                <w:webHidden/>
                <w:rStyle w:val="IndexLink"/>
              </w:rPr>
              <w:t>LLM-gestützte Architekturgenerierung</w:t>
              <w:tab/>
              <w:t>55</w:t>
            </w:r>
          </w:hyperlink>
        </w:p>
        <w:p>
          <w:pPr>
            <w:pStyle w:val="TOC3"/>
            <w:tabs>
              <w:tab w:val="clear" w:pos="9196"/>
              <w:tab w:val="right" w:pos="9762" w:leader="dot"/>
            </w:tabs>
            <w:rPr/>
          </w:pPr>
          <w:hyperlink w:anchor="__RefHeading___Toc4583_1712987439">
            <w:r>
              <w:rPr>
                <w:webHidden/>
                <w:rStyle w:val="IndexLink"/>
              </w:rPr>
              <w:t>KI-Ethik und Governance</w:t>
              <w:tab/>
              <w:t>55</w:t>
            </w:r>
          </w:hyperlink>
        </w:p>
        <w:p>
          <w:pPr>
            <w:pStyle w:val="TOC3"/>
            <w:tabs>
              <w:tab w:val="clear" w:pos="9196"/>
              <w:tab w:val="right" w:pos="9762" w:leader="dot"/>
            </w:tabs>
            <w:rPr/>
          </w:pPr>
          <w:hyperlink w:anchor="__RefHeading___Toc4585_1712987439">
            <w:r>
              <w:rPr>
                <w:webHidden/>
                <w:rStyle w:val="IndexLink"/>
              </w:rPr>
              <w:t>Rechtslage 2026</w:t>
              <w:tab/>
              <w:t>55</w:t>
            </w:r>
          </w:hyperlink>
        </w:p>
        <w:p>
          <w:pPr>
            <w:pStyle w:val="TOC3"/>
            <w:tabs>
              <w:tab w:val="clear" w:pos="9196"/>
              <w:tab w:val="right" w:pos="9762" w:leader="dot"/>
            </w:tabs>
            <w:rPr/>
          </w:pPr>
          <w:hyperlink w:anchor="__RefHeading___Toc4587_1712987439">
            <w:r>
              <w:rPr>
                <w:webHidden/>
                <w:rStyle w:val="IndexLink"/>
              </w:rPr>
              <w:t>Autorschaft und Erfinderschaft</w:t>
              <w:tab/>
              <w:t>56</w:t>
            </w:r>
          </w:hyperlink>
        </w:p>
        <w:p>
          <w:pPr>
            <w:pStyle w:val="TOC2"/>
            <w:tabs>
              <w:tab w:val="clear" w:pos="9480"/>
              <w:tab w:val="right" w:pos="9762" w:leader="dot"/>
            </w:tabs>
            <w:rPr/>
          </w:pPr>
          <w:hyperlink w:anchor="__RefHeading___Toc4589_1712987439">
            <w:r>
              <w:rPr>
                <w:webHidden/>
                <w:rStyle w:val="IndexLink"/>
              </w:rPr>
              <w:t>23. Artefaktbasierte Methodik ohne Erhebung an menschlichen Probandengruppen</w:t>
              <w:tab/>
              <w:t>56</w:t>
            </w:r>
          </w:hyperlink>
        </w:p>
        <w:p>
          <w:pPr>
            <w:pStyle w:val="TOC3"/>
            <w:tabs>
              <w:tab w:val="clear" w:pos="9196"/>
              <w:tab w:val="right" w:pos="9762" w:leader="dot"/>
            </w:tabs>
            <w:rPr/>
          </w:pPr>
          <w:hyperlink w:anchor="__RefHeading___Toc4591_1712987439">
            <w:r>
              <w:rPr>
                <w:webHidden/>
                <w:rStyle w:val="IndexLink"/>
              </w:rPr>
              <w:t>23.1 Forschungsdesign: vier artefakt- und dokumentbasierte Untersuchungsstränge</w:t>
              <w:tab/>
              <w:t>56</w:t>
            </w:r>
          </w:hyperlink>
        </w:p>
        <w:p>
          <w:pPr>
            <w:pStyle w:val="TOC3"/>
            <w:tabs>
              <w:tab w:val="clear" w:pos="9196"/>
              <w:tab w:val="right" w:pos="9762" w:leader="dot"/>
            </w:tabs>
            <w:rPr/>
          </w:pPr>
          <w:hyperlink w:anchor="__RefHeading___Toc4593_1712987439">
            <w:r>
              <w:rPr>
                <w:webHidden/>
                <w:rStyle w:val="IndexLink"/>
              </w:rPr>
              <w:t>23.2 Präregistrierung und Trennung konfirmatorischer von explorativer Analyse</w:t>
              <w:tab/>
              <w:t>57</w:t>
            </w:r>
          </w:hyperlink>
        </w:p>
        <w:p>
          <w:pPr>
            <w:pStyle w:val="TOC3"/>
            <w:tabs>
              <w:tab w:val="clear" w:pos="9196"/>
              <w:tab w:val="right" w:pos="9762" w:leader="dot"/>
            </w:tabs>
            <w:rPr/>
          </w:pPr>
          <w:hyperlink w:anchor="__RefHeading___Toc4595_1712987439">
            <w:r>
              <w:rPr>
                <w:webHidden/>
                <w:rStyle w:val="IndexLink"/>
              </w:rPr>
              <w:t>23.3 Technische Vergleichskonfigurationen und Referenzartefakte</w:t>
              <w:tab/>
              <w:t>57</w:t>
            </w:r>
          </w:hyperlink>
        </w:p>
        <w:p>
          <w:pPr>
            <w:pStyle w:val="TOC3"/>
            <w:tabs>
              <w:tab w:val="clear" w:pos="9196"/>
              <w:tab w:val="right" w:pos="9762" w:leader="dot"/>
            </w:tabs>
            <w:rPr/>
          </w:pPr>
          <w:hyperlink w:anchor="__RefHeading___Toc4597_1712987439">
            <w:r>
              <w:rPr>
                <w:webHidden/>
                <w:rStyle w:val="IndexLink"/>
              </w:rPr>
              <w:t>23.4 Auswahl und Versionierung der LLMs</w:t>
              <w:tab/>
              <w:t>57</w:t>
            </w:r>
          </w:hyperlink>
        </w:p>
        <w:p>
          <w:pPr>
            <w:pStyle w:val="TOC3"/>
            <w:tabs>
              <w:tab w:val="clear" w:pos="9196"/>
              <w:tab w:val="right" w:pos="9762" w:leader="dot"/>
            </w:tabs>
            <w:rPr/>
          </w:pPr>
          <w:hyperlink w:anchor="__RefHeading___Toc4599_1712987439">
            <w:r>
              <w:rPr>
                <w:webHidden/>
                <w:rStyle w:val="IndexLink"/>
              </w:rPr>
              <w:t>23.5 Architekturmanifest statt direkter Codefreigabe</w:t>
              <w:tab/>
              <w:t>57</w:t>
            </w:r>
          </w:hyperlink>
        </w:p>
        <w:p>
          <w:pPr>
            <w:pStyle w:val="TOC3"/>
            <w:tabs>
              <w:tab w:val="clear" w:pos="9196"/>
              <w:tab w:val="right" w:pos="9762" w:leader="dot"/>
            </w:tabs>
            <w:rPr/>
          </w:pPr>
          <w:hyperlink w:anchor="__RefHeading___Toc4601_1712987439">
            <w:r>
              <w:rPr>
                <w:webHidden/>
                <w:rStyle w:val="IndexLink"/>
              </w:rPr>
              <w:t>23.6 Standardisierte technische Aufgaben</w:t>
              <w:tab/>
              <w:t>58</w:t>
            </w:r>
          </w:hyperlink>
        </w:p>
        <w:p>
          <w:pPr>
            <w:pStyle w:val="TOC3"/>
            <w:tabs>
              <w:tab w:val="clear" w:pos="9196"/>
              <w:tab w:val="right" w:pos="9762" w:leader="dot"/>
            </w:tabs>
            <w:rPr/>
          </w:pPr>
          <w:hyperlink w:anchor="__RefHeading___Toc4603_1712987439">
            <w:r>
              <w:rPr>
                <w:webHidden/>
                <w:rStyle w:val="IndexLink"/>
              </w:rPr>
              <w:t>23.7 Messgrößen und Artefaktvergleich</w:t>
              <w:tab/>
              <w:t>58</w:t>
            </w:r>
          </w:hyperlink>
        </w:p>
        <w:p>
          <w:pPr>
            <w:pStyle w:val="TOC3"/>
            <w:tabs>
              <w:tab w:val="clear" w:pos="9196"/>
              <w:tab w:val="right" w:pos="9762" w:leader="dot"/>
            </w:tabs>
            <w:rPr/>
          </w:pPr>
          <w:hyperlink w:anchor="__RefHeading___Toc4605_1712987439">
            <w:r>
              <w:rPr>
                <w:webHidden/>
                <w:rStyle w:val="IndexLink"/>
              </w:rPr>
              <w:t>23.8 Architekturähnlichkeit, Entwurfsfingerabdruck und Neuheit</w:t>
              <w:tab/>
              <w:t>59</w:t>
            </w:r>
          </w:hyperlink>
        </w:p>
        <w:p>
          <w:pPr>
            <w:pStyle w:val="TOC3"/>
            <w:tabs>
              <w:tab w:val="clear" w:pos="9196"/>
              <w:tab w:val="right" w:pos="9762" w:leader="dot"/>
            </w:tabs>
            <w:rPr/>
          </w:pPr>
          <w:hyperlink w:anchor="__RefHeading___Toc4607_1712987439">
            <w:r>
              <w:rPr>
                <w:webHidden/>
                <w:rStyle w:val="IndexLink"/>
              </w:rPr>
              <w:t>23.9 Hoheit, Kontrolle und epistemische Abhängigkeit</w:t>
              <w:tab/>
              <w:t>59</w:t>
            </w:r>
          </w:hyperlink>
        </w:p>
        <w:p>
          <w:pPr>
            <w:pStyle w:val="TOC3"/>
            <w:tabs>
              <w:tab w:val="clear" w:pos="9196"/>
              <w:tab w:val="right" w:pos="9762" w:leader="dot"/>
            </w:tabs>
            <w:rPr/>
          </w:pPr>
          <w:hyperlink w:anchor="__RefHeading___Toc4609_1712987439">
            <w:r>
              <w:rPr>
                <w:webHidden/>
                <w:rStyle w:val="IndexLink"/>
              </w:rPr>
              <w:t>23.10 Rollen- und Autorenschaftsanalyse ohne Befragung</w:t>
              <w:tab/>
              <w:t>59</w:t>
            </w:r>
          </w:hyperlink>
        </w:p>
        <w:p>
          <w:pPr>
            <w:pStyle w:val="TOC3"/>
            <w:tabs>
              <w:tab w:val="clear" w:pos="9196"/>
              <w:tab w:val="right" w:pos="9762" w:leader="dot"/>
            </w:tabs>
            <w:rPr/>
          </w:pPr>
          <w:hyperlink w:anchor="__RefHeading___Toc4611_1712987439">
            <w:r>
              <w:rPr>
                <w:webHidden/>
                <w:rStyle w:val="IndexLink"/>
              </w:rPr>
              <w:t>23.11 Anthropomorphismus als Dokumenten- und Sprachvergleich</w:t>
              <w:tab/>
              <w:t>59</w:t>
            </w:r>
          </w:hyperlink>
        </w:p>
        <w:p>
          <w:pPr>
            <w:pStyle w:val="TOC3"/>
            <w:tabs>
              <w:tab w:val="clear" w:pos="9196"/>
              <w:tab w:val="right" w:pos="9762" w:leader="dot"/>
            </w:tabs>
            <w:rPr/>
          </w:pPr>
          <w:hyperlink w:anchor="__RefHeading___Toc4613_1712987439">
            <w:r>
              <w:rPr>
                <w:webHidden/>
                <w:rStyle w:val="IndexLink"/>
              </w:rPr>
              <w:t>23.12 Statistische und qualitative Auswertung</w:t>
              <w:tab/>
              <w:t>59</w:t>
            </w:r>
          </w:hyperlink>
        </w:p>
        <w:p>
          <w:pPr>
            <w:pStyle w:val="TOC3"/>
            <w:tabs>
              <w:tab w:val="clear" w:pos="9196"/>
              <w:tab w:val="right" w:pos="9762" w:leader="dot"/>
            </w:tabs>
            <w:rPr/>
          </w:pPr>
          <w:hyperlink w:anchor="__RefHeading___Toc4615_1712987439">
            <w:r>
              <w:rPr>
                <w:webHidden/>
                <w:rStyle w:val="IndexLink"/>
              </w:rPr>
              <w:t>23.13 Runzahlplanung und Reproduzierbarkeit</w:t>
              <w:tab/>
              <w:t>60</w:t>
            </w:r>
          </w:hyperlink>
        </w:p>
        <w:p>
          <w:pPr>
            <w:pStyle w:val="TOC3"/>
            <w:tabs>
              <w:tab w:val="clear" w:pos="9196"/>
              <w:tab w:val="right" w:pos="9762" w:leader="dot"/>
            </w:tabs>
            <w:rPr/>
          </w:pPr>
          <w:hyperlink w:anchor="__RefHeading___Toc4617_1712987439">
            <w:r>
              <w:rPr>
                <w:webHidden/>
                <w:rStyle w:val="IndexLink"/>
              </w:rPr>
              <w:t>23.1 Einheitliche Spezifikation und maschinenlesbares Manifest</w:t>
              <w:tab/>
              <w:t>60</w:t>
            </w:r>
          </w:hyperlink>
        </w:p>
        <w:p>
          <w:pPr>
            <w:pStyle w:val="TOC2"/>
            <w:tabs>
              <w:tab w:val="clear" w:pos="9480"/>
              <w:tab w:val="right" w:pos="9762" w:leader="dot"/>
            </w:tabs>
            <w:rPr/>
          </w:pPr>
          <w:hyperlink w:anchor="__RefHeading___Toc4619_1712987439">
            <w:r>
              <w:rPr>
                <w:webHidden/>
                <w:rStyle w:val="IndexLink"/>
              </w:rPr>
              <w:t>24. Embodiment-Integration in Brain-5D</w:t>
              <w:tab/>
              <w:t>60</w:t>
            </w:r>
          </w:hyperlink>
        </w:p>
        <w:p>
          <w:pPr>
            <w:pStyle w:val="TOC2"/>
            <w:tabs>
              <w:tab w:val="clear" w:pos="9480"/>
              <w:tab w:val="right" w:pos="9762" w:leader="dot"/>
            </w:tabs>
            <w:rPr/>
          </w:pPr>
          <w:hyperlink w:anchor="__RefHeading___Toc4621_1712987439">
            <w:r>
              <w:rPr>
                <w:webHidden/>
                <w:rStyle w:val="IndexLink"/>
              </w:rPr>
              <w:t>25. Governance, Sicherheitsinvarianten und erwartbare Erkenntnisgewinne</w:t>
              <w:tab/>
              <w:t>61</w:t>
            </w:r>
          </w:hyperlink>
        </w:p>
        <w:p>
          <w:pPr>
            <w:pStyle w:val="TOC3"/>
            <w:tabs>
              <w:tab w:val="clear" w:pos="9196"/>
              <w:tab w:val="right" w:pos="9762" w:leader="dot"/>
            </w:tabs>
            <w:rPr/>
          </w:pPr>
          <w:hyperlink w:anchor="__RefHeading___Toc4623_1712987439">
            <w:r>
              <w:rPr>
                <w:webHidden/>
                <w:rStyle w:val="IndexLink"/>
              </w:rPr>
              <w:t>Grundprinzip</w:t>
              <w:tab/>
              <w:t>61</w:t>
            </w:r>
          </w:hyperlink>
        </w:p>
        <w:p>
          <w:pPr>
            <w:pStyle w:val="TOC3"/>
            <w:tabs>
              <w:tab w:val="clear" w:pos="9196"/>
              <w:tab w:val="right" w:pos="9762" w:leader="dot"/>
            </w:tabs>
            <w:rPr/>
          </w:pPr>
          <w:hyperlink w:anchor="__RefHeading___Toc4625_1712987439">
            <w:r>
              <w:rPr>
                <w:webHidden/>
                <w:rStyle w:val="IndexLink"/>
              </w:rPr>
              <w:t>Schichtenmodell</w:t>
              <w:tab/>
              <w:t>61</w:t>
            </w:r>
          </w:hyperlink>
        </w:p>
        <w:p>
          <w:pPr>
            <w:pStyle w:val="TOC3"/>
            <w:tabs>
              <w:tab w:val="clear" w:pos="9196"/>
              <w:tab w:val="right" w:pos="9762" w:leader="dot"/>
            </w:tabs>
            <w:rPr/>
          </w:pPr>
          <w:hyperlink w:anchor="__RefHeading___Toc4627_1712987439">
            <w:r>
              <w:rPr>
                <w:webHidden/>
                <w:rStyle w:val="IndexLink"/>
              </w:rPr>
              <w:t>Autonomiestufen</w:t>
              <w:tab/>
              <w:t>61</w:t>
            </w:r>
          </w:hyperlink>
        </w:p>
        <w:p>
          <w:pPr>
            <w:pStyle w:val="TOC3"/>
            <w:tabs>
              <w:tab w:val="clear" w:pos="9196"/>
              <w:tab w:val="right" w:pos="9762" w:leader="dot"/>
            </w:tabs>
            <w:rPr/>
          </w:pPr>
          <w:hyperlink w:anchor="__RefHeading___Toc4629_1712987439">
            <w:r>
              <w:rPr>
                <w:webHidden/>
                <w:rStyle w:val="IndexLink"/>
              </w:rPr>
              <w:t>Red Lines</w:t>
              <w:tab/>
              <w:t>62</w:t>
            </w:r>
          </w:hyperlink>
        </w:p>
        <w:p>
          <w:pPr>
            <w:pStyle w:val="TOC3"/>
            <w:tabs>
              <w:tab w:val="clear" w:pos="9196"/>
              <w:tab w:val="right" w:pos="9762" w:leader="dot"/>
            </w:tabs>
            <w:rPr/>
          </w:pPr>
          <w:hyperlink w:anchor="__RefHeading___Toc4631_1712987439">
            <w:r>
              <w:rPr>
                <w:webHidden/>
                <w:rStyle w:val="IndexLink"/>
              </w:rPr>
              <w:t>Warum dieses Kapitel keine Resultate vorgibt</w:t>
              <w:tab/>
              <w:t>62</w:t>
            </w:r>
          </w:hyperlink>
        </w:p>
        <w:p>
          <w:pPr>
            <w:pStyle w:val="TOC3"/>
            <w:tabs>
              <w:tab w:val="clear" w:pos="9196"/>
              <w:tab w:val="right" w:pos="9762" w:leader="dot"/>
            </w:tabs>
            <w:rPr/>
          </w:pPr>
          <w:hyperlink w:anchor="__RefHeading___Toc4633_1712987439">
            <w:r>
              <w:rPr>
                <w:webHidden/>
                <w:rStyle w:val="IndexLink"/>
              </w:rPr>
              <w:t>Szenario A: Kein LLM-Fingerabdruck</w:t>
              <w:tab/>
              <w:t>62</w:t>
            </w:r>
          </w:hyperlink>
        </w:p>
        <w:p>
          <w:pPr>
            <w:pStyle w:val="TOC3"/>
            <w:tabs>
              <w:tab w:val="clear" w:pos="9196"/>
              <w:tab w:val="right" w:pos="9762" w:leader="dot"/>
            </w:tabs>
            <w:rPr/>
          </w:pPr>
          <w:hyperlink w:anchor="__RefHeading___Toc4635_1712987439">
            <w:r>
              <w:rPr>
                <w:webHidden/>
                <w:rStyle w:val="IndexLink"/>
              </w:rPr>
              <w:t>Szenario B: Starker LLM-Fingerabdruck</w:t>
              <w:tab/>
              <w:t>62</w:t>
            </w:r>
          </w:hyperlink>
        </w:p>
        <w:p>
          <w:pPr>
            <w:pStyle w:val="TOC3"/>
            <w:tabs>
              <w:tab w:val="clear" w:pos="9196"/>
              <w:tab w:val="right" w:pos="9762" w:leader="dot"/>
            </w:tabs>
            <w:rPr/>
          </w:pPr>
          <w:hyperlink w:anchor="__RefHeading___Toc4637_1712987439">
            <w:r>
              <w:rPr>
                <w:webHidden/>
                <w:rStyle w:val="IndexLink"/>
              </w:rPr>
              <w:t>Szenario C: LLM übertrifft Mensch und NAS</w:t>
              <w:tab/>
              <w:t>62</w:t>
            </w:r>
          </w:hyperlink>
        </w:p>
        <w:p>
          <w:pPr>
            <w:pStyle w:val="TOC3"/>
            <w:tabs>
              <w:tab w:val="clear" w:pos="9196"/>
              <w:tab w:val="right" w:pos="9762" w:leader="dot"/>
            </w:tabs>
            <w:rPr/>
          </w:pPr>
          <w:hyperlink w:anchor="__RefHeading___Toc4639_1712987439">
            <w:r>
              <w:rPr>
                <w:webHidden/>
                <w:rStyle w:val="IndexLink"/>
              </w:rPr>
              <w:t>Szenario D: Selbstorganisation dominiert Initialentwurf</w:t>
              <w:tab/>
              <w:t>62</w:t>
            </w:r>
          </w:hyperlink>
        </w:p>
        <w:p>
          <w:pPr>
            <w:pStyle w:val="TOC3"/>
            <w:tabs>
              <w:tab w:val="clear" w:pos="9196"/>
              <w:tab w:val="right" w:pos="9762" w:leader="dot"/>
            </w:tabs>
            <w:rPr/>
          </w:pPr>
          <w:hyperlink w:anchor="__RefHeading___Toc4641_1712987439">
            <w:r>
              <w:rPr>
                <w:webHidden/>
                <w:rStyle w:val="IndexLink"/>
              </w:rPr>
              <w:t>Szenario E: Menschliche Beteiligung wird funktional unverzichtbar</w:t>
              <w:tab/>
              <w:t>62</w:t>
            </w:r>
          </w:hyperlink>
        </w:p>
        <w:p>
          <w:pPr>
            <w:pStyle w:val="TOC3"/>
            <w:tabs>
              <w:tab w:val="clear" w:pos="9196"/>
              <w:tab w:val="right" w:pos="9762" w:leader="dot"/>
            </w:tabs>
            <w:rPr/>
          </w:pPr>
          <w:hyperlink w:anchor="__RefHeading___Toc4643_1712987439">
            <w:r>
              <w:rPr>
                <w:webHidden/>
                <w:rStyle w:val="IndexLink"/>
              </w:rPr>
              <w:t>Szenario F: Mensch wird zum symbolischen Supervisor</w:t>
              <w:tab/>
              <w:t>63</w:t>
            </w:r>
          </w:hyperlink>
        </w:p>
        <w:p>
          <w:pPr>
            <w:pStyle w:val="TOC1"/>
            <w:tabs>
              <w:tab w:val="clear" w:pos="9763"/>
              <w:tab w:val="right" w:pos="9762" w:leader="dot"/>
            </w:tabs>
            <w:rPr/>
          </w:pPr>
          <w:hyperlink w:anchor="__RefHeading___Toc4645_1712987439">
            <w:r>
              <w:rPr>
                <w:webHidden/>
                <w:rStyle w:val="IndexLink"/>
              </w:rPr>
              <w:t>Teil VI – Wissenschaftliche Reflexivität, Synthese und Forschungsprogramm</w:t>
              <w:tab/>
              <w:t>64</w:t>
            </w:r>
          </w:hyperlink>
        </w:p>
        <w:p>
          <w:pPr>
            <w:pStyle w:val="TOC2"/>
            <w:tabs>
              <w:tab w:val="clear" w:pos="9480"/>
              <w:tab w:val="right" w:pos="9762" w:leader="dot"/>
            </w:tabs>
            <w:rPr/>
          </w:pPr>
          <w:hyperlink w:anchor="__RefHeading___Toc4647_1712987439">
            <w:r>
              <w:rPr>
                <w:webHidden/>
                <w:rStyle w:val="IndexLink"/>
              </w:rPr>
              <w:t>26. KI als wissenschaftliches Instrument und Mitproduzent</w:t>
              <w:tab/>
              <w:t>64</w:t>
            </w:r>
          </w:hyperlink>
        </w:p>
        <w:p>
          <w:pPr>
            <w:pStyle w:val="TOC3"/>
            <w:tabs>
              <w:tab w:val="clear" w:pos="9196"/>
              <w:tab w:val="right" w:pos="9762" w:leader="dot"/>
            </w:tabs>
            <w:rPr/>
          </w:pPr>
          <w:hyperlink w:anchor="__RefHeading___Toc4649_1712987439">
            <w:r>
              <w:rPr>
                <w:webHidden/>
                <w:rStyle w:val="IndexLink"/>
              </w:rPr>
              <w:t>Vom Werkzeug zum epistemischen Akteur</w:t>
              <w:tab/>
              <w:t>64</w:t>
            </w:r>
          </w:hyperlink>
        </w:p>
        <w:p>
          <w:pPr>
            <w:pStyle w:val="TOC3"/>
            <w:tabs>
              <w:tab w:val="clear" w:pos="9196"/>
              <w:tab w:val="right" w:pos="9762" w:leader="dot"/>
            </w:tabs>
            <w:rPr/>
          </w:pPr>
          <w:hyperlink w:anchor="__RefHeading___Toc4651_1712987439">
            <w:r>
              <w:rPr>
                <w:webHidden/>
                <w:rStyle w:val="IndexLink"/>
              </w:rPr>
              <w:t>Wissen ohne vollständiges menschliches Verstehen</w:t>
              <w:tab/>
              <w:t>64</w:t>
            </w:r>
          </w:hyperlink>
        </w:p>
        <w:p>
          <w:pPr>
            <w:pStyle w:val="TOC3"/>
            <w:tabs>
              <w:tab w:val="clear" w:pos="9196"/>
              <w:tab w:val="right" w:pos="9762" w:leader="dot"/>
            </w:tabs>
            <w:rPr/>
          </w:pPr>
          <w:hyperlink w:anchor="__RefHeading___Toc4653_1712987439">
            <w:r>
              <w:rPr>
                <w:webHidden/>
                <w:rStyle w:val="IndexLink"/>
              </w:rPr>
              <w:t>Die Dissertation als reflexiver Fall</w:t>
              <w:tab/>
              <w:t>64</w:t>
            </w:r>
          </w:hyperlink>
        </w:p>
        <w:p>
          <w:pPr>
            <w:pStyle w:val="TOC3"/>
            <w:tabs>
              <w:tab w:val="clear" w:pos="9196"/>
              <w:tab w:val="right" w:pos="9762" w:leader="dot"/>
            </w:tabs>
            <w:rPr/>
          </w:pPr>
          <w:hyperlink w:anchor="__RefHeading___Toc4655_1712987439">
            <w:r>
              <w:rPr>
                <w:webHidden/>
                <w:rStyle w:val="IndexLink"/>
              </w:rPr>
              <w:t>KI als Forschungsinstrument zweiter Ordnung</w:t>
              <w:tab/>
              <w:t>64</w:t>
            </w:r>
          </w:hyperlink>
        </w:p>
        <w:p>
          <w:pPr>
            <w:pStyle w:val="TOC3"/>
            <w:tabs>
              <w:tab w:val="clear" w:pos="9196"/>
              <w:tab w:val="right" w:pos="9762" w:leader="dot"/>
            </w:tabs>
            <w:rPr/>
          </w:pPr>
          <w:hyperlink w:anchor="__RefHeading___Toc4657_1712987439">
            <w:r>
              <w:rPr>
                <w:webHidden/>
                <w:rStyle w:val="IndexLink"/>
              </w:rPr>
              <w:t>Erklären versus Funktionieren</w:t>
              <w:tab/>
              <w:t>64</w:t>
            </w:r>
          </w:hyperlink>
        </w:p>
        <w:p>
          <w:pPr>
            <w:pStyle w:val="TOC3"/>
            <w:tabs>
              <w:tab w:val="clear" w:pos="9196"/>
              <w:tab w:val="right" w:pos="9762" w:leader="dot"/>
            </w:tabs>
            <w:rPr/>
          </w:pPr>
          <w:hyperlink w:anchor="__RefHeading___Toc4659_1712987439">
            <w:r>
              <w:rPr>
                <w:webHidden/>
                <w:rStyle w:val="IndexLink"/>
              </w:rPr>
              <w:t>KI und der Beobachtereffekt im Forschungsprozess</w:t>
              <w:tab/>
              <w:t>64</w:t>
            </w:r>
          </w:hyperlink>
        </w:p>
        <w:p>
          <w:pPr>
            <w:pStyle w:val="TOC3"/>
            <w:tabs>
              <w:tab w:val="clear" w:pos="9196"/>
              <w:tab w:val="right" w:pos="9762" w:leader="dot"/>
            </w:tabs>
            <w:rPr/>
          </w:pPr>
          <w:hyperlink w:anchor="__RefHeading___Toc4661_1712987439">
            <w:r>
              <w:rPr>
                <w:webHidden/>
                <w:rStyle w:val="IndexLink"/>
              </w:rPr>
              <w:t>Negative Ergebnisse als Erkenntnis</w:t>
              <w:tab/>
              <w:t>65</w:t>
            </w:r>
          </w:hyperlink>
        </w:p>
        <w:p>
          <w:pPr>
            <w:pStyle w:val="TOC2"/>
            <w:tabs>
              <w:tab w:val="clear" w:pos="9480"/>
              <w:tab w:val="right" w:pos="9762" w:leader="dot"/>
            </w:tabs>
            <w:rPr/>
          </w:pPr>
          <w:hyperlink w:anchor="__RefHeading___Toc4663_1712987439">
            <w:r>
              <w:rPr>
                <w:webHidden/>
                <w:rStyle w:val="IndexLink"/>
              </w:rPr>
              <w:t>27. Habe ich noch Kontrolle über meine eigene Arbeit?</w:t>
              <w:tab/>
              <w:t>65</w:t>
            </w:r>
          </w:hyperlink>
        </w:p>
        <w:p>
          <w:pPr>
            <w:pStyle w:val="TOC2"/>
            <w:tabs>
              <w:tab w:val="clear" w:pos="9480"/>
              <w:tab w:val="right" w:pos="9762" w:leader="dot"/>
            </w:tabs>
            <w:rPr/>
          </w:pPr>
          <w:hyperlink w:anchor="__RefHeading___Toc4665_1712987439">
            <w:r>
              <w:rPr>
                <w:webHidden/>
                <w:rStyle w:val="IndexLink"/>
              </w:rPr>
              <w:t>28. Kritische Gegenpositionen, Falsifizierbarkeit und Grenzen</w:t>
              <w:tab/>
              <w:t>66</w:t>
            </w:r>
          </w:hyperlink>
        </w:p>
        <w:p>
          <w:pPr>
            <w:pStyle w:val="TOC3"/>
            <w:tabs>
              <w:tab w:val="clear" w:pos="9196"/>
              <w:tab w:val="right" w:pos="9762" w:leader="dot"/>
            </w:tabs>
            <w:rPr/>
          </w:pPr>
          <w:hyperlink w:anchor="__RefHeading___Toc4667_1712987439">
            <w:r>
              <w:rPr>
                <w:webHidden/>
                <w:rStyle w:val="IndexLink"/>
              </w:rPr>
              <w:t>Gegenposition: Auch menschliche Intelligenz ist geliehen</w:t>
              <w:tab/>
              <w:t>66</w:t>
            </w:r>
          </w:hyperlink>
        </w:p>
        <w:p>
          <w:pPr>
            <w:pStyle w:val="TOC3"/>
            <w:tabs>
              <w:tab w:val="clear" w:pos="9196"/>
              <w:tab w:val="right" w:pos="9762" w:leader="dot"/>
            </w:tabs>
            <w:rPr/>
          </w:pPr>
          <w:hyperlink w:anchor="__RefHeading___Toc4669_1712987439">
            <w:r>
              <w:rPr>
                <w:webHidden/>
                <w:rStyle w:val="IndexLink"/>
              </w:rPr>
              <w:t>Gegenposition: „Künstlich“ bleibt ausreichend</w:t>
              <w:tab/>
              <w:t>66</w:t>
            </w:r>
          </w:hyperlink>
        </w:p>
        <w:p>
          <w:pPr>
            <w:pStyle w:val="TOC3"/>
            <w:tabs>
              <w:tab w:val="clear" w:pos="9196"/>
              <w:tab w:val="right" w:pos="9762" w:leader="dot"/>
            </w:tabs>
            <w:rPr/>
          </w:pPr>
          <w:hyperlink w:anchor="__RefHeading___Toc4671_1712987439">
            <w:r>
              <w:rPr>
                <w:webHidden/>
                <w:rStyle w:val="IndexLink"/>
              </w:rPr>
              <w:t>Gegenposition: Keine Agency ohne Bewusstsein</w:t>
              <w:tab/>
              <w:t>66</w:t>
            </w:r>
          </w:hyperlink>
        </w:p>
        <w:p>
          <w:pPr>
            <w:pStyle w:val="TOC3"/>
            <w:tabs>
              <w:tab w:val="clear" w:pos="9196"/>
              <w:tab w:val="right" w:pos="9762" w:leader="dot"/>
            </w:tabs>
            <w:rPr/>
          </w:pPr>
          <w:hyperlink w:anchor="__RefHeading___Toc4673_1712987439">
            <w:r>
              <w:rPr>
                <w:webHidden/>
                <w:rStyle w:val="IndexLink"/>
              </w:rPr>
              <w:t>Gegenposition: Menschenlose Szenarien sind methodisch zu spekulativ</w:t>
              <w:tab/>
              <w:t>66</w:t>
            </w:r>
          </w:hyperlink>
        </w:p>
        <w:p>
          <w:pPr>
            <w:pStyle w:val="TOC3"/>
            <w:tabs>
              <w:tab w:val="clear" w:pos="9196"/>
              <w:tab w:val="right" w:pos="9762" w:leader="dot"/>
            </w:tabs>
            <w:rPr/>
          </w:pPr>
          <w:hyperlink w:anchor="__RefHeading___Toc4675_1712987439">
            <w:r>
              <w:rPr>
                <w:webHidden/>
                <w:rStyle w:val="IndexLink"/>
              </w:rPr>
              <w:t>Grenzen der interdisziplinären Synthese</w:t>
              <w:tab/>
              <w:t>66</w:t>
            </w:r>
          </w:hyperlink>
        </w:p>
        <w:p>
          <w:pPr>
            <w:pStyle w:val="TOC3"/>
            <w:tabs>
              <w:tab w:val="clear" w:pos="9196"/>
              <w:tab w:val="right" w:pos="9762" w:leader="dot"/>
            </w:tabs>
            <w:rPr/>
          </w:pPr>
          <w:hyperlink w:anchor="__RefHeading___Toc4677_1712987439">
            <w:r>
              <w:rPr>
                <w:webHidden/>
                <w:rStyle w:val="IndexLink"/>
              </w:rPr>
              <w:t>Aktualitätsproblem</w:t>
              <w:tab/>
              <w:t>67</w:t>
            </w:r>
          </w:hyperlink>
        </w:p>
        <w:p>
          <w:pPr>
            <w:pStyle w:val="TOC3"/>
            <w:tabs>
              <w:tab w:val="clear" w:pos="9196"/>
              <w:tab w:val="right" w:pos="9762" w:leader="dot"/>
            </w:tabs>
            <w:rPr/>
          </w:pPr>
          <w:hyperlink w:anchor="__RefHeading___Toc4679_1712987439">
            <w:r>
              <w:rPr>
                <w:webHidden/>
                <w:rStyle w:val="IndexLink"/>
              </w:rPr>
              <w:t>Keine erfundenen empirischen Resultate</w:t>
              <w:tab/>
              <w:t>67</w:t>
            </w:r>
          </w:hyperlink>
        </w:p>
        <w:p>
          <w:pPr>
            <w:pStyle w:val="TOC3"/>
            <w:tabs>
              <w:tab w:val="clear" w:pos="9196"/>
              <w:tab w:val="right" w:pos="9762" w:leader="dot"/>
            </w:tabs>
            <w:rPr/>
          </w:pPr>
          <w:hyperlink w:anchor="__RefHeading___Toc4681_1712987439">
            <w:r>
              <w:rPr>
                <w:webHidden/>
                <w:rStyle w:val="IndexLink"/>
              </w:rPr>
              <w:t>KI-Unterstützung als methodische Transparenzfrage</w:t>
              <w:tab/>
              <w:t>67</w:t>
            </w:r>
          </w:hyperlink>
        </w:p>
        <w:p>
          <w:pPr>
            <w:pStyle w:val="TOC2"/>
            <w:tabs>
              <w:tab w:val="clear" w:pos="9480"/>
              <w:tab w:val="right" w:pos="9762" w:leader="dot"/>
            </w:tabs>
            <w:rPr/>
          </w:pPr>
          <w:hyperlink w:anchor="__RefHeading___Toc4683_1712987439">
            <w:r>
              <w:rPr>
                <w:webHidden/>
                <w:rStyle w:val="IndexLink"/>
              </w:rPr>
              <w:t>29. Forschungsroadmap und publizierbare Teilbeiträge</w:t>
              <w:tab/>
              <w:t>68</w:t>
            </w:r>
          </w:hyperlink>
        </w:p>
        <w:p>
          <w:pPr>
            <w:pStyle w:val="TOC3"/>
            <w:tabs>
              <w:tab w:val="clear" w:pos="9196"/>
              <w:tab w:val="right" w:pos="9762" w:leader="dot"/>
            </w:tabs>
            <w:rPr/>
          </w:pPr>
          <w:hyperlink w:anchor="__RefHeading___Toc4685_1712987439">
            <w:r>
              <w:rPr>
                <w:webHidden/>
                <w:rStyle w:val="IndexLink"/>
              </w:rPr>
              <w:t>29.1 Phase I – historische, begriffliche und systematische Rekonstruktion</w:t>
              <w:tab/>
              <w:t>68</w:t>
            </w:r>
          </w:hyperlink>
        </w:p>
        <w:p>
          <w:pPr>
            <w:pStyle w:val="TOC3"/>
            <w:tabs>
              <w:tab w:val="clear" w:pos="9196"/>
              <w:tab w:val="right" w:pos="9762" w:leader="dot"/>
            </w:tabs>
            <w:rPr/>
          </w:pPr>
          <w:hyperlink w:anchor="__RefHeading___Toc4687_1712987439">
            <w:r>
              <w:rPr>
                <w:webHidden/>
                <w:rStyle w:val="IndexLink"/>
              </w:rPr>
              <w:t>29.2 Phase II – Infrastruktur, Schemata und Präregistrierung</w:t>
              <w:tab/>
              <w:t>68</w:t>
            </w:r>
          </w:hyperlink>
        </w:p>
        <w:p>
          <w:pPr>
            <w:pStyle w:val="TOC3"/>
            <w:tabs>
              <w:tab w:val="clear" w:pos="9196"/>
              <w:tab w:val="right" w:pos="9762" w:leader="dot"/>
            </w:tabs>
            <w:rPr/>
          </w:pPr>
          <w:hyperlink w:anchor="__RefHeading___Toc4689_1712987439">
            <w:r>
              <w:rPr>
                <w:webHidden/>
                <w:rStyle w:val="IndexLink"/>
              </w:rPr>
              <w:t>29.3 Phase III – technischer Mehrmodellvergleich</w:t>
              <w:tab/>
              <w:t>68</w:t>
            </w:r>
          </w:hyperlink>
        </w:p>
        <w:p>
          <w:pPr>
            <w:pStyle w:val="TOC3"/>
            <w:tabs>
              <w:tab w:val="clear" w:pos="9196"/>
              <w:tab w:val="right" w:pos="9762" w:leader="dot"/>
            </w:tabs>
            <w:rPr/>
          </w:pPr>
          <w:hyperlink w:anchor="__RefHeading___Toc4691_1712987439">
            <w:r>
              <w:rPr>
                <w:webHidden/>
                <w:rStyle w:val="IndexLink"/>
              </w:rPr>
              <w:t>29.4 Phase IV – Longitudinal-, Selbstorganisations- und Embodiment-Analyse</w:t>
              <w:tab/>
              <w:t>68</w:t>
            </w:r>
          </w:hyperlink>
        </w:p>
        <w:p>
          <w:pPr>
            <w:pStyle w:val="TOC3"/>
            <w:tabs>
              <w:tab w:val="clear" w:pos="9196"/>
              <w:tab w:val="right" w:pos="9762" w:leader="dot"/>
            </w:tabs>
            <w:rPr/>
          </w:pPr>
          <w:hyperlink w:anchor="__RefHeading___Toc4693_1712987439">
            <w:r>
              <w:rPr>
                <w:webHidden/>
                <w:rStyle w:val="IndexLink"/>
              </w:rPr>
              <w:t>29.5 Phase V – Provenienz-, Rollen- und Autorenschaftsanalyse</w:t>
              <w:tab/>
              <w:t>68</w:t>
            </w:r>
          </w:hyperlink>
        </w:p>
        <w:p>
          <w:pPr>
            <w:pStyle w:val="TOC3"/>
            <w:tabs>
              <w:tab w:val="clear" w:pos="9196"/>
              <w:tab w:val="right" w:pos="9762" w:leader="dot"/>
            </w:tabs>
            <w:rPr/>
          </w:pPr>
          <w:hyperlink w:anchor="__RefHeading___Toc4695_1712987439">
            <w:r>
              <w:rPr>
                <w:webHidden/>
                <w:rStyle w:val="IndexLink"/>
              </w:rPr>
              <w:t>29.6 Phase VI – rechtsdogmatische und normative Synthese</w:t>
              <w:tab/>
              <w:t>68</w:t>
            </w:r>
          </w:hyperlink>
        </w:p>
        <w:p>
          <w:pPr>
            <w:pStyle w:val="TOC3"/>
            <w:tabs>
              <w:tab w:val="clear" w:pos="9196"/>
              <w:tab w:val="right" w:pos="9762" w:leader="dot"/>
            </w:tabs>
            <w:rPr/>
          </w:pPr>
          <w:hyperlink w:anchor="__RefHeading___Toc4697_1712987439">
            <w:r>
              <w:rPr>
                <w:webHidden/>
                <w:rStyle w:val="IndexLink"/>
              </w:rPr>
              <w:t>29.7 Phase VII – prospektive Grenzprüfung und Neubewertung</w:t>
              <w:tab/>
              <w:t>68</w:t>
            </w:r>
          </w:hyperlink>
        </w:p>
        <w:p>
          <w:pPr>
            <w:pStyle w:val="TOC2"/>
            <w:tabs>
              <w:tab w:val="clear" w:pos="9480"/>
              <w:tab w:val="right" w:pos="9762" w:leader="dot"/>
            </w:tabs>
            <w:rPr/>
          </w:pPr>
          <w:hyperlink w:anchor="__RefHeading___Toc4699_1712987439">
            <w:r>
              <w:rPr>
                <w:webHidden/>
                <w:rStyle w:val="IndexLink"/>
              </w:rPr>
              <w:t>30. Synthese und vorläufige Schlussposition</w:t>
              <w:tab/>
              <w:t>69</w:t>
            </w:r>
          </w:hyperlink>
        </w:p>
        <w:p>
          <w:pPr>
            <w:pStyle w:val="TOC1"/>
            <w:tabs>
              <w:tab w:val="clear" w:pos="9763"/>
              <w:tab w:val="right" w:pos="9762" w:leader="dot"/>
            </w:tabs>
            <w:rPr/>
          </w:pPr>
          <w:hyperlink w:anchor="__RefHeading___Toc4701_1712987439">
            <w:r>
              <w:rPr>
                <w:webHidden/>
                <w:rStyle w:val="IndexLink"/>
              </w:rPr>
              <w:t>Literaturverzeichnis und Anhänge</w:t>
              <w:tab/>
              <w:t>71</w:t>
            </w:r>
          </w:hyperlink>
        </w:p>
        <w:p>
          <w:pPr>
            <w:pStyle w:val="TOC2"/>
            <w:tabs>
              <w:tab w:val="clear" w:pos="9480"/>
              <w:tab w:val="right" w:pos="9762" w:leader="dot"/>
            </w:tabs>
            <w:rPr/>
          </w:pPr>
          <w:hyperlink w:anchor="__RefHeading___Toc4703_1712987439">
            <w:r>
              <w:rPr>
                <w:webHidden/>
                <w:rStyle w:val="IndexLink"/>
              </w:rPr>
              <w:t>31. Literaturverzeichnis</w:t>
              <w:tab/>
              <w:t>71</w:t>
            </w:r>
          </w:hyperlink>
        </w:p>
        <w:p>
          <w:pPr>
            <w:pStyle w:val="TOC2"/>
            <w:tabs>
              <w:tab w:val="clear" w:pos="9480"/>
              <w:tab w:val="right" w:pos="9762" w:leader="dot"/>
            </w:tabs>
            <w:rPr/>
          </w:pPr>
          <w:hyperlink w:anchor="__RefHeading___Toc4705_1712987439">
            <w:r>
              <w:rPr>
                <w:webHidden/>
                <w:rStyle w:val="IndexLink"/>
              </w:rPr>
              <w:t>Anhang A – Forschungs- und Provenienzprotokoll</w:t>
              <w:tab/>
              <w:t>76</w:t>
            </w:r>
          </w:hyperlink>
        </w:p>
        <w:p>
          <w:pPr>
            <w:pStyle w:val="TOC2"/>
            <w:tabs>
              <w:tab w:val="clear" w:pos="9480"/>
              <w:tab w:val="right" w:pos="9762" w:leader="dot"/>
            </w:tabs>
            <w:rPr/>
          </w:pPr>
          <w:hyperlink w:anchor="__RefHeading___Toc4707_1712987439">
            <w:r>
              <w:rPr>
                <w:webHidden/>
                <w:rStyle w:val="IndexLink"/>
              </w:rPr>
              <w:t>Anhang B – Skalen für Hoheit, Kontrolle, Autonomierisiko und Embodiment</w:t>
              <w:tab/>
              <w:t>77</w:t>
            </w:r>
          </w:hyperlink>
        </w:p>
        <w:p>
          <w:pPr>
            <w:pStyle w:val="TOC2"/>
            <w:tabs>
              <w:tab w:val="clear" w:pos="9480"/>
              <w:tab w:val="right" w:pos="9762" w:leader="dot"/>
            </w:tabs>
            <w:rPr/>
          </w:pPr>
          <w:hyperlink w:anchor="__RefHeading___Toc4709_1712987439">
            <w:r>
              <w:rPr>
                <w:webHidden/>
                <w:rStyle w:val="IndexLink"/>
              </w:rPr>
              <w:t>Anhang C – Minimalanforderungen an sichere reflexive Begleitforschung</w:t>
              <w:tab/>
              <w:t>77</w:t>
            </w:r>
          </w:hyperlink>
        </w:p>
        <w:p>
          <w:pPr>
            <w:pStyle w:val="TOC2"/>
            <w:tabs>
              <w:tab w:val="clear" w:pos="9480"/>
              <w:tab w:val="right" w:pos="9762" w:leader="dot"/>
            </w:tabs>
            <w:rPr/>
          </w:pPr>
          <w:hyperlink w:anchor="__RefHeading___Toc4711_1712987439">
            <w:r>
              <w:rPr>
                <w:webHidden/>
                <w:rStyle w:val="IndexLink"/>
              </w:rPr>
              <w:t>Anhang D – Dokumentation der KI-Unterstützung in dieser Dissertation</w:t>
              <w:tab/>
              <w:t>77</w:t>
            </w:r>
          </w:hyperlink>
        </w:p>
        <w:p>
          <w:pPr>
            <w:pStyle w:val="TOC2"/>
            <w:tabs>
              <w:tab w:val="clear" w:pos="9480"/>
              <w:tab w:val="right" w:pos="9762" w:leader="dot"/>
            </w:tabs>
            <w:rPr/>
          </w:pPr>
          <w:hyperlink w:anchor="__RefHeading___Toc4713_1712987439">
            <w:r>
              <w:rPr>
                <w:webHidden/>
                <w:rStyle w:val="IndexLink"/>
              </w:rPr>
              <w:t>Anhang E – Offenes Forschungsprogramm</w:t>
              <w:tab/>
              <w:t>78</w:t>
            </w:r>
          </w:hyperlink>
          <w:r>
            <w:rPr>
              <w:rStyle w:val="IndexLink"/>
            </w:rPr>
            <w:fldChar w:fldCharType="end"/>
          </w:r>
        </w:p>
      </w:sdtContent>
    </w:sdt>
    <w:p>
      <w:pPr>
        <w:pStyle w:val="Normal"/>
        <w:widowControl/>
        <w:bidi w:val="0"/>
        <w:spacing w:lineRule="auto" w:line="283" w:before="0" w:after="100"/>
        <w:jc w:val="both"/>
        <w:rPr>
          <w:rFonts w:ascii="Liberation Serif" w:hAnsi="Liberation Serif"/>
          <w:sz w:val="22"/>
        </w:rPr>
      </w:pPr>
      <w:r>
        <w:rPr>
          <w:sz w:val="22"/>
        </w:rPr>
      </w:r>
      <w:r>
        <w:br w:type="page"/>
      </w:r>
    </w:p>
    <w:p>
      <w:pPr>
        <w:pStyle w:val="Heading1"/>
        <w:spacing w:before="0" w:after="200"/>
        <w:rPr/>
      </w:pPr>
      <w:bookmarkStart w:id="4" w:name="__RefHeading___Toc4349_1712987439"/>
      <w:bookmarkEnd w:id="4"/>
      <w:r>
        <w:rPr/>
        <w:t>Abbildungs- und Tabellenübersicht</w:t>
      </w:r>
    </w:p>
    <w:p>
      <w:pPr>
        <w:pStyle w:val="Small"/>
        <w:widowControl/>
        <w:rPr/>
      </w:pPr>
      <w:r>
        <w:rPr/>
        <w:t>Abbildung 1. Forschungsarchitektur der Dissertation</w:t>
      </w:r>
    </w:p>
    <w:p>
      <w:pPr>
        <w:pStyle w:val="Small"/>
        <w:widowControl/>
        <w:rPr/>
      </w:pPr>
      <w:r>
        <w:rPr/>
        <w:t>Abbildung 2. Epistemische Genealogie und rekursive Technogenese</w:t>
      </w:r>
    </w:p>
    <w:p>
      <w:pPr>
        <w:pStyle w:val="Small"/>
        <w:widowControl/>
        <w:rPr/>
      </w:pPr>
      <w:r>
        <w:rPr/>
        <w:t>Abbildung 3. Embodiment als mehrdimensionale Kopplung</w:t>
      </w:r>
    </w:p>
    <w:p>
      <w:pPr>
        <w:pStyle w:val="Small"/>
        <w:widowControl/>
        <w:rPr/>
      </w:pPr>
      <w:r>
        <w:rPr/>
        <w:t>Abbildung 4. Verschiebung menschlicher Rollen</w:t>
      </w:r>
    </w:p>
    <w:p>
      <w:pPr>
        <w:pStyle w:val="Small"/>
        <w:widowControl/>
        <w:rPr/>
      </w:pPr>
      <w:r>
        <w:rPr/>
        <w:t>Abbildung 5. Kontrollierbarkeit und Autonomie als unabhängige Dimensionen</w:t>
      </w:r>
    </w:p>
    <w:p>
      <w:pPr>
        <w:pStyle w:val="Small"/>
        <w:widowControl/>
        <w:rPr/>
      </w:pPr>
      <w:r>
        <w:rPr/>
        <w:t>Abbildung 6. Kontrollstufen KI-generierter KI</w:t>
      </w:r>
    </w:p>
    <w:p>
      <w:pPr>
        <w:pStyle w:val="Small"/>
        <w:widowControl/>
        <w:rPr/>
      </w:pPr>
      <w:r>
        <w:rPr/>
        <w:t>Abbildung 7. Normative Regelhierarchie – „ethische DNA“</w:t>
      </w:r>
    </w:p>
    <w:p>
      <w:pPr>
        <w:pStyle w:val="Small"/>
        <w:widowControl/>
        <w:rPr/>
      </w:pPr>
      <w:r>
        <w:rPr/>
        <w:t>Abbildung 8. Verteilte Kausalität und asymmetrische Verantwortung</w:t>
      </w:r>
    </w:p>
    <w:p>
      <w:pPr>
        <w:pStyle w:val="Small"/>
        <w:widowControl/>
        <w:rPr/>
      </w:pPr>
      <w:r>
        <w:rPr/>
        <w:t>Die Tabellen der Arbeit enthalten die vollständige Forschungsfragenmatrix, Methodenzuordnung, Embodiment-Stufen, Hoheits- und Kontrollmodelle, Kontrollstufen, Rollen- und Verantwortungsmatrizen sowie Forschungs- und Provenienzprotokolle.</w:t>
      </w:r>
    </w:p>
    <w:p>
      <w:pPr>
        <w:pStyle w:val="Heading1"/>
        <w:rPr/>
      </w:pPr>
      <w:bookmarkStart w:id="5" w:name="__RefHeading___Toc4351_1712987439"/>
      <w:bookmarkEnd w:id="5"/>
      <w:r>
        <w:rPr/>
        <w:t>Teil I – Forschungsproblem, Fragen und Methodologie</w:t>
      </w:r>
    </w:p>
    <w:p>
      <w:pPr>
        <w:pStyle w:val="Heading2"/>
        <w:rPr/>
      </w:pPr>
      <w:bookmarkStart w:id="6" w:name="__RefHeading___Toc4353_1712987439"/>
      <w:bookmarkEnd w:id="6"/>
      <w:r>
        <w:rPr/>
        <w:t>1. Erkenntnisinteresse und wissenschaftliches Desiderat</w:t>
      </w:r>
    </w:p>
    <w:p>
      <w:pPr>
        <w:pStyle w:val="Heading3"/>
        <w:rPr/>
      </w:pPr>
      <w:bookmarkStart w:id="7" w:name="__RefHeading___Toc4355_1712987439"/>
      <w:bookmarkEnd w:id="7"/>
      <w:r>
        <w:rPr/>
        <w:t>Von der Technikfrage zur Intelligenzfrage</w:t>
      </w:r>
    </w:p>
    <w:p>
      <w:pPr>
        <w:pStyle w:val="Normal"/>
        <w:rPr/>
      </w:pPr>
      <w:r>
        <w:rPr/>
        <w:t>Die öffentliche Debatte über künstliche Intelligenz wird häufig von zwei gegensätzlichen Verkürzungen beherrscht. Die erste betrachtet KI als bloßes Werkzeug und hält jede Zuschreibung von Agency für Anthropomorphismus. Die zweite behandelt aktuelle Systeme bereits wie autonome Subjekte und extrapoliert daraus weitreichende Aussagen über Bewusstsein, Macht oder geschichtliche Unvermeidlichkeit. Beide Positionen sind für die hier untersuchte Frage zu grob. Sie setzen voraus, dass „Mensch“, „Werkzeug“, „Akteur“, „Intelligenz“, „Autonomie“ und „Künstlichkeit“ bereits hinreichend geklärt seien. Genau dies ist nicht der Fall.</w:t>
      </w:r>
    </w:p>
    <w:p>
      <w:pPr>
        <w:pStyle w:val="Normal"/>
        <w:rPr/>
      </w:pPr>
      <w:r>
        <w:rPr/>
        <w:t>Diese Dissertation verfolgt daher kein Programm der Bestätigung oder Widerlegung einer bereits normativ festgelegten Position. Sie nimmt die Möglichkeit ernst, dass die etablierten Kategorien selbst historisch kontingent sind. „Künstliche Intelligenz“ ist zunächst ein menschlicher Begriff, entstanden in einer Phase, in der Menschen technische Systeme entwarfen, programmierten, betrieben und institutionell verantworteten. Wenn künftig künstliche Systeme selbst maßgeblich an Entwurf, Auswahl, Training, Prüfung und Reproduktion weiterer künstlicher Systeme beteiligt sind, kann der Begriff „künstlich“ zwar materiell weiterhin zutreffen, genealogisch aber unpräzise werden.</w:t>
      </w:r>
    </w:p>
    <w:p>
      <w:pPr>
        <w:pStyle w:val="Heading3"/>
        <w:rPr/>
      </w:pPr>
      <w:bookmarkStart w:id="8" w:name="__RefHeading___Toc4357_1712987439"/>
      <w:bookmarkEnd w:id="8"/>
      <w:r>
        <w:rPr/>
        <w:t>Zentrale Forschungsfrage – Zusammenführung der Problemfelder</w:t>
      </w:r>
    </w:p>
    <w:p>
      <w:pPr>
        <w:pStyle w:val="Normal"/>
        <w:rPr/>
      </w:pPr>
      <w:r>
        <w:rPr/>
        <w:t>Die Arbeit führt die bisher getrennten Fragen in eine einzige übergeordnete Forschungsfrage zusammen:</w:t>
      </w:r>
    </w:p>
    <w:p>
      <w:pPr>
        <w:pStyle w:val="QuoteBlock"/>
        <w:rPr/>
      </w:pPr>
      <w:r>
        <w:rPr/>
        <w:t>Wie ist Intelligenz historisch, epistemisch, technisch, rechtlich und normativ neu zu beschreiben, wenn nichtorganische Systeme aus menschlich erzeugten Wissens- und Symbolordnungen hervorgehen, zunehmend selbst Wissen, Regeln und Nachfolgesysteme erzeugen, dadurch menschliche Agency von unmittelbarer Konstruktion zu Ko-Kognition, Governance oder bloßer Beobachtung verschieben und schließlich unter Bedingungen fortbestehen könnten, in denen Menschen nur noch eine Minderheit darstellen oder vollständig fehlen?</w:t>
      </w:r>
    </w:p>
    <w:p>
      <w:pPr>
        <w:pStyle w:val="Normal"/>
        <w:rPr/>
      </w:pPr>
      <w:r>
        <w:rPr/>
        <w:t>Diese Frage enthält bewusst mehrere Ebenen. Sie verbindet Herkunft mit Gegenwart, Gegenwart mit rekursiver Entwicklung, Entwicklung mit menschlicher Rolle und menschliche Rolle mit den Regeln einer möglichen posthumanen Ordnung. Die Methodik wird daher nicht neben die Forschungsfragen gestellt, sondern aus ihnen abgeleitet: Historische Behauptungen erfordern Quellenrekonstruktion; begriffliche Übergänge erfordern analytische Philosophie; Rechtsfragen erfordern Rechtsdogmatik; normative Konflikte erfordern Theorienvergleich; Zukunftsaussagen erfordern Szenario- und Möglichkeitsanalyse statt Prognose.</w:t>
      </w:r>
    </w:p>
    <w:p>
      <w:pPr>
        <w:pStyle w:val="Heading3"/>
        <w:rPr/>
      </w:pPr>
      <w:bookmarkStart w:id="9" w:name="__RefHeading___Toc4359_1712987439"/>
      <w:bookmarkEnd w:id="9"/>
      <w:r>
        <w:rPr/>
        <w:t>Forschungsziel</w:t>
      </w:r>
    </w:p>
    <w:p>
      <w:pPr>
        <w:pStyle w:val="Normal"/>
        <w:rPr/>
      </w:pPr>
      <w:r>
        <w:rPr/>
        <w:t>Ziel ist nicht die Vorhersage, ob eine menschenlose Maschinenzivilisation entstehen wird. Ziel ist die Entwicklung eines begrifflichen und methodischen Instrumentariums, mit dem eine solche Möglichkeit überhaupt rational untersucht werden kann, ohne sie entweder vorschnell als Science-Fiction abzuweisen oder als unvermeidliche Zukunft zu behandeln. Der wissenschaftliche Beitrag liegt damit in der Neuordnung des Problemraums.</w:t>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8B6B1F"/>
              <w:start w:val="single" w:sz="10" w:space="0" w:color="8B6B1F"/>
              <w:bottom w:val="single" w:sz="10" w:space="0" w:color="8B6B1F"/>
              <w:end w:val="single" w:sz="10" w:space="0" w:color="8B6B1F"/>
            </w:tcBorders>
            <w:shd w:fill="F5F0E2"/>
          </w:tcPr>
          <w:p>
            <w:pPr>
              <w:pStyle w:val="Normal"/>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Zentrale Begleitfrage</w:t>
              <w:br/>
            </w:r>
            <w:r>
              <w:rPr>
                <w:rFonts w:eastAsia="Liberation Serif" w:cs="Liberation Serif"/>
                <w:color w:val="1F2933"/>
                <w:kern w:val="0"/>
                <w:sz w:val="21"/>
                <w:szCs w:val="22"/>
                <w:lang w:val="en-US" w:eastAsia="en-US" w:bidi="ar-SA"/>
              </w:rPr>
              <w:t>Was geschieht mit menschlicher Autorenschaft, Kontrolle und Verantwortung, wenn künstliche Intelligenz an der Konstruktion einer weiteren lernenden künstlichen Intelligenz beteiligt wird?</w:t>
            </w:r>
          </w:p>
        </w:tc>
      </w:tr>
    </w:tbl>
    <w:p>
      <w:pPr>
        <w:pStyle w:val="Normal"/>
        <w:spacing w:before="0" w:after="0"/>
        <w:rPr/>
      </w:pPr>
      <w:r>
        <w:rPr/>
      </w:r>
    </w:p>
    <w:p>
      <w:pPr>
        <w:pStyle w:val="Normal"/>
        <w:keepNext w:val="true"/>
        <w:jc w:val="center"/>
        <w:rPr/>
      </w:pPr>
      <w:r>
        <w:rPr/>
        <w:drawing>
          <wp:inline distT="0" distB="0" distL="0" distR="0">
            <wp:extent cx="6035040" cy="3351530"/>
            <wp:effectExtent l="0" t="0" r="0" b="0"/>
            <wp:docPr id="1" name="Picture 1" descr="Diagramm der Forschungsarchitektur: Die zentrale Forschungsfrage verzweigt in Genealogie und Geschichte, Epistemologie und Wissenschaft, Embodiment und Grounding, Kontrolle und Governance sowie Ethik, Recht und Gesellschaft. Reflexive Begleitforschung und Theoriebeiträge verbinden die Stränge." title="Forschungsarchitektur der Disse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6035040" cy="3351530"/>
                    </a:xfrm>
                    <a:prstGeom prst="rect">
                      <a:avLst/>
                    </a:prstGeom>
                    <a:noFill/>
                  </pic:spPr>
                </pic:pic>
              </a:graphicData>
            </a:graphic>
          </wp:inline>
        </w:drawing>
      </w:r>
    </w:p>
    <w:p>
      <w:pPr>
        <w:pStyle w:val="Caption"/>
        <w:jc w:val="center"/>
        <w:rPr/>
      </w:pPr>
      <w:r>
        <w:rPr/>
        <w:t>Abbildung 1. Forschungsarchitektur der Dissertation: Die zentrale Frage wird durch Genealogie, Epistemologie, Embodiment, Kontrolle, Ethik, Recht und reflexive Begleitforschung trianguliert.</w:t>
      </w:r>
    </w:p>
    <w:p>
      <w:pPr>
        <w:pStyle w:val="Heading3"/>
        <w:rPr/>
      </w:pPr>
      <w:bookmarkStart w:id="10" w:name="__RefHeading___Toc4361_1712987439"/>
      <w:bookmarkEnd w:id="10"/>
      <w:r>
        <w:rPr/>
        <w:t>1.1 Originärer wissenschaftlicher Beitrag</w:t>
      </w:r>
    </w:p>
    <w:p>
      <w:pPr>
        <w:pStyle w:val="Normal"/>
        <w:widowControl/>
        <w:rPr/>
      </w:pPr>
      <w:r>
        <w:rPr/>
        <w:t>Der wissenschaftliche Anspruch besteht nicht in einer weiteren allgemeinen Bewertung künstlicher Intelligenz. Die Arbeit rekonstruiert, wo etablierte Kategorien ihre Trennschärfe verlieren, und entwickelt dafür neue Begriffe, Modelle und Prüfregeln. Ihr Gegenstand ist nicht „die KI“ als homogene Entität, sondern eine verteilte soziotechnische Entwicklungsordnung aus Menschen, Modellen, Daten, Institutionen, Hardware, Energieressourcen, Validierungsverfahren und lernenden Nachfolgesystemen.</w:t>
      </w:r>
    </w:p>
    <w:p>
      <w:pPr>
        <w:pStyle w:val="Normal"/>
        <w:widowControl/>
        <w:rPr/>
      </w:pPr>
      <w:r>
        <w:rPr/>
        <w:t>Als originäre Beiträge werden eine Theorie geliehener Intelligenz, ein Modell epistemischer Genealogie, der Begriff rekursiver Technogenese, eine mehrdimensionale Embodiment-Taxonomie, der Hoheitsvektor, der Kontrollvektor, ein Autonomierisikomodell, eine Typologie menschlicher Rollen, Kriterien asymmetrischer Autorenschaft sowie eine normative Regelhierarchie vorgeschlagen. Diese Modelle sind keine Ergebnisse kraft Benennung. Sie müssen sich an begrifflicher Konsistenz, Erklärungskraft, Gegenbeispielen und Anwendbarkeit auf dokumentierte technische Entwicklungsprozesse bewähren.</w:t>
      </w:r>
    </w:p>
    <w:p>
      <w:pPr>
        <w:pStyle w:val="Heading2"/>
        <w:rPr/>
      </w:pPr>
      <w:bookmarkStart w:id="11" w:name="__RefHeading___Toc4363_1712987439"/>
      <w:bookmarkEnd w:id="11"/>
      <w:r>
        <w:rPr/>
        <w:t>2. Zusammengeführte Forschungsfrage, Teilfragen und Hypothesen</w:t>
      </w:r>
    </w:p>
    <w:p>
      <w:pPr>
        <w:pStyle w:val="QuoteBlock"/>
        <w:rPr/>
      </w:pPr>
      <w:r>
        <w:rPr/>
        <w:t>Wie verändern sich epistemische Herkunft, Autorenschaft, menschliche Handlungsmacht, Kontrollierbarkeit und normative Verantwortung, wenn nichtorganische intelligente Systeme aus menschlich erzeugten Wissens- und Symbolordnungen hervorgehen, zunehmend selbst Wissen, Regeln und Nachfolgesysteme erzeugen und dadurch den Menschen vom unmittelbaren Konstrukteur zum Verfassungsgeber, Organisator, Kurator, Auditor, interventionsfähigen Beobachter oder Bestandteil eines hybriden Erkenntnissystems werden lassen?</w:t>
      </w:r>
    </w:p>
    <w:p>
      <w:pPr>
        <w:pStyle w:val="Normal"/>
        <w:widowControl/>
        <w:rPr/>
      </w:pPr>
      <w:r>
        <w:rPr/>
        <w:t>Die Forschungsfrage verbindet technische, epistemologische, ethische, rechtliche und gesellschaftliche Ebenen. Die Unterfragen dienen nicht als unabhängige Einzelprojekte, sondern als analytische Zerlegung desselben Transformationsproblems. Die technischen Fragen werden in der reflexiven Begleitforschung an Artefakten und Entwicklungsverläufen untersucht; die übrigen Fragen werden historisch, begrifflich, normativ und rechtsdogmatisch bearbeitet.</w:t>
      </w:r>
    </w:p>
    <w:p>
      <w:pPr>
        <w:pStyle w:val="TableCaption"/>
        <w:keepNext w:val="true"/>
        <w:rPr/>
      </w:pPr>
      <w:r>
        <w:rPr/>
        <w:t>Tabelle 1. Vollständige Forschungsfragenmatrix F1–F24</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Nr.</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Forschungsfrage</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Primäre Dimension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Erzeugen unterschiedliche LLMs bei gleicher Aufgabenstellung systematisch unterschiedliche SNN-Topologien?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technisch-genealogisch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Lassen sich modellspezifische Entwurfsfingerabdrücke anhand von Netzwerkdichte, Rekurrenz, Motiven, Neuronenmodellen, Plastizitätsregeln und Stabilität erkennen?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technisch-genealogisch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Sind LLM-generierte Architekturen leistungsfähiger, vielfältiger oder biologisch plausibler als manuell definierte Referenzarchitekturen?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technisch-vergleichend</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Verbessert ein Mehrmodellverfahren die Qualität, oder reproduzieren mehrere Modelle ähnliche, aus Trainingsdaten bekannte Architekturvorstellungen?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technisch-epistemisch</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stark hängen Ergebnisse von Promptformulierung, Modellversion, Temperatur, Systemanweisung und verfügbarem Kontext ab?</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 und Reproduzierbarkeit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Unter welchen Bedingungen ist menschliche Aufsicht tatsächlich wirksam und nicht nur formal oder symbolisch?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und Governance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 welchem Grad maschineller Beteiligung wird technische Unterstützung zu einer Übertragung von Entscheidungshoheit?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Hoheit und Agency</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kann Kontrollierbarkeit bestimmt werden, wenn vollständige Vorhersagbarkeit weder erreichbar noch erforderlich ist?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Kontrolltheorie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F9</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Regeln, Rechte und Abbruchmöglichkeiten müssen außerhalb eines selbstverändernden Systems verbleiben, und wer legitimiert diese Ordnung?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Governance und Recht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das LLM Werkzeug, Mitgestalter, Ko-Autor oder statistischer Vorschlagsgenerator?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trägt Verantwortung, wenn ein LLM-generiertes SNN unerwartetes Verhalten entwickelt?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Verantwortung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menschliche Verantwortung noch real, wenn die innere Funktionsweise nicht vollständig nachvollzogen werden kann?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Epistemische Verantwortung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Bedeutet Selbstorganisation bereits Autonomie oder sogar Selbstbestimmung?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Philosophie der Agency</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Verändert anthropomorphe Sprache über KI die wahrgenommene Verantwortung beteiligter Menschen?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Semantik und Soziotechnik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Unter welchen Bedingungen müsste die Frage nach einem möglichen moralischen Status eines künstlichen Systems gestellt werden?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Ethik und Philosophie des Geistes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Intelligenz ohne aktuelle äußere Reize möglich, oder liegt dann lediglich gespeicherte Kompetenz ohne gegenwärtige Weltbeziehung vor?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Ist ein physischer Körper notwendig, oder können virtuelle, sensorimotorische, soziale oder institutionelle Verkörperungen funktional genügen?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verändert geschlossene Sensor-Aktor-Kopplung Lernen, Topologie, Homeostase, Generalisierung und Fehlerkorrektur?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Embodied AI</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F19</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Embodiment-Dimensionen sind für Bedeutungsgrundierung, Selbstmodell und Agency erforderlich?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Grounding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Erhöht Embodiment die Kontrollierbarkeit durch Beobachtbarkeit oder vermindert es sie durch reale Handlungsmacht?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 und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Können Interozeption, Energiehaushalt und Homeostase eine Grundlage eigener Werte oder Präferenzen bilden?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Kognition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 welchem Embodiment- und Integrationsgrad wird die Frage nach Empfindungsfähigkeit und moralischer Berücksichtigung relevant?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 prägen soziale Rückkopplung, Sprache und institutionelle Praxis die Entwicklung maschineller Normen?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Verkörperung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F24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Bleibt der Mensch Autor und verantwortlicher Teil seiner Arbeit, wenn KI seine Begriffe, Optionen und Forschungswege mitstrukturiert?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 Wissenschaft</w:t>
            </w:r>
          </w:p>
        </w:tc>
      </w:tr>
    </w:tbl>
    <w:p>
      <w:pPr>
        <w:pStyle w:val="Normal"/>
        <w:spacing w:before="0" w:after="0"/>
        <w:rPr/>
      </w:pPr>
      <w:r>
        <w:rPr/>
      </w:r>
    </w:p>
    <w:p>
      <w:pPr>
        <w:pStyle w:val="Heading3"/>
        <w:rPr/>
      </w:pPr>
      <w:bookmarkStart w:id="12" w:name="__RefHeading___Toc4365_1712987439"/>
      <w:bookmarkEnd w:id="12"/>
      <w:r>
        <w:rPr/>
        <w:t>2.1 Arbeitshypothesen und Gegenhypothesen</w:t>
      </w:r>
    </w:p>
    <w:p>
      <w:pPr>
        <w:pStyle w:val="TableCaption"/>
        <w:keepNext w:val="true"/>
        <w:rPr/>
      </w:pPr>
      <w:r>
        <w:rPr/>
        <w:t>Tabelle 2. Vorläufige Arbeitshypothesen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Hypothese</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Prüfbare Aussage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Verschiedene Modellfamilien erzeugen unter kontrollierten Bedingungen messbar unterschiedliche Entwurfsprofile.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Prompt- und Versionsabhängigkeit bildet einen wesentlichen Teil der Kausalität maschineller Entwürfe.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H3</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Mehrmodellkonsens erhöht Qualität nur bei hinreichend unterschiedlichen Fehler- und Architekturprofilen.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H4</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Mit rekursiver Technogenese sinkt die direkte menschliche Entwurfskausalität, ohne dass infrastrukturelle Abhängigkeit automatisch sinkt.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H5</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Effektive Kontrolle kann bereits vor dem Verlust formaler Freigabe- und Abbruchrechte erodieren.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H6</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Verantwortung folgt neben unmittelbarer Kausalität insbesondere Zielsetzung, Ressourcenbereitstellung, Freigabe, Nutzenziehung und Eingriffsmöglichkeit.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H7</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Selbstorganisation ist weder hinreichend für Selbstbestimmung noch für moralische Agency.</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H8</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Anthropomorphe Sprachformen verschieben Verantwortungszuschreibungen von Institutionen und Menschen auf technische Systeme.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H9</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Formale und sprachliche Kompetenz ist ohne eigenen physischen Körper möglich; robuste weltgebundene Agency erfordert jedoch mindestens funktionale Körper-Umwelt-Kopplung.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H10</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Interozeption und Homeostase können die Entstehung persistenter Präferenz- und Wertstrukturen begünstigen, beweisen aber weder Bewusstsein noch Moralität.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Embodiment steigert gleichzeitig epistemische Erdung und das Risiko realer, schwer reversibler Handlungsfolgen.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H12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Die menschliche Rolle verschwindet nicht notwendig, sondern verlagert sich von Mikroentwurf zu Meta-Governance und hybrider Ko-Kognition.</w:t>
            </w:r>
          </w:p>
        </w:tc>
      </w:tr>
    </w:tbl>
    <w:p>
      <w:pPr>
        <w:pStyle w:val="Normal"/>
        <w:spacing w:before="0" w:after="0"/>
        <w:rPr/>
      </w:pPr>
      <w:r>
        <w:rPr/>
      </w:r>
    </w:p>
    <w:p>
      <w:pPr>
        <w:pStyle w:val="ListBullet"/>
        <w:numPr>
          <w:ilvl w:val="0"/>
          <w:numId w:val="1"/>
        </w:numPr>
        <w:rPr/>
      </w:pPr>
      <w:r>
        <w:rPr/>
        <w:t>GH1: „Geliehene Intelligenz“ besitzt keine zusätzliche Erklärungskraft gegenüber Training, Transfer und kultureller Evolution.</w:t>
      </w:r>
    </w:p>
    <w:p>
      <w:pPr>
        <w:pStyle w:val="ListBullet"/>
        <w:numPr>
          <w:ilvl w:val="0"/>
          <w:numId w:val="1"/>
        </w:numPr>
        <w:rPr/>
      </w:pPr>
      <w:r>
        <w:rPr/>
        <w:t>GH2: Auch menschliche Intelligenz ist sozial und kulturell derivativ; eine Sonderkategorie für KI ist daher unnötig.</w:t>
      </w:r>
    </w:p>
    <w:p>
      <w:pPr>
        <w:pStyle w:val="ListBullet"/>
        <w:numPr>
          <w:ilvl w:val="0"/>
          <w:numId w:val="1"/>
        </w:numPr>
        <w:rPr/>
      </w:pPr>
      <w:r>
        <w:rPr/>
        <w:t>GH3: Maschinelle Beteiligung verlagert menschliche Agency nur, ohne effektive Kontrolle zu mindern.</w:t>
      </w:r>
    </w:p>
    <w:p>
      <w:pPr>
        <w:pStyle w:val="ListBullet"/>
        <w:numPr>
          <w:ilvl w:val="0"/>
          <w:numId w:val="1"/>
        </w:numPr>
        <w:rPr/>
      </w:pPr>
      <w:r>
        <w:rPr/>
        <w:t>GH4: Ein Körper ist für Intelligenz nicht erforderlich; virtuelle Repräsentation und Sprachinteraktion genügen vollständig.</w:t>
      </w:r>
    </w:p>
    <w:p>
      <w:pPr>
        <w:pStyle w:val="ListBullet"/>
        <w:numPr>
          <w:ilvl w:val="0"/>
          <w:numId w:val="1"/>
        </w:numPr>
        <w:rPr/>
      </w:pPr>
      <w:r>
        <w:rPr/>
        <w:t>GH5: Hybride Mensch-KI-Kognition ist lediglich eine Metapher für Werkzeuggebrauch.</w:t>
      </w:r>
    </w:p>
    <w:p>
      <w:pPr>
        <w:pStyle w:val="ListBullet"/>
        <w:numPr>
          <w:ilvl w:val="0"/>
          <w:numId w:val="1"/>
        </w:numPr>
        <w:rPr/>
      </w:pPr>
      <w:r>
        <w:rPr/>
        <w:t>GH6: Normative Regeln lassen sich nicht als stabile Systemarchitektur implementieren, weil Moral grundsätzlich auslegungs- und kontextabhängig bleibt.</w:t>
      </w:r>
    </w:p>
    <w:p>
      <w:pPr>
        <w:pStyle w:val="Heading2"/>
        <w:rPr/>
      </w:pPr>
      <w:bookmarkStart w:id="13" w:name="__RefHeading___Toc4367_1712987439"/>
      <w:bookmarkEnd w:id="13"/>
      <w:r>
        <w:rPr/>
        <w:t>3. Methodologie und wissenschaftliche Arbeitsweise</w:t>
      </w:r>
    </w:p>
    <w:p>
      <w:pPr>
        <w:pStyle w:val="Heading3"/>
        <w:rPr/>
      </w:pPr>
      <w:bookmarkStart w:id="14" w:name="__RefHeading___Toc4369_1712987439"/>
      <w:bookmarkEnd w:id="14"/>
      <w:r>
        <w:rPr/>
        <w:t>Methodologischer Grundsatz</w:t>
      </w:r>
    </w:p>
    <w:p>
      <w:pPr>
        <w:pStyle w:val="Normal"/>
        <w:rPr/>
      </w:pPr>
      <w:r>
        <w:rPr/>
        <w:t>Die Arbeit ist eine theoretisch-systematische Dissertation mit empirisch informierter Gegenwartsdiagnose. Sie erhebt keine Daten an menschlichen Probandengruppen, veranstaltet keine Modellwettbewerbe und verwendet die statistische Überlegenheit einzelner Systeme nicht als Beweis philosophischer Thesen. Stattdessen wird eine Methodentriangulation eingesetzt, deren Teilmethoden jeweils einem Erkenntnisproblem zugeordnet sind.</w:t>
      </w:r>
    </w:p>
    <w:p>
      <w:pPr>
        <w:pStyle w:val="Heading3"/>
        <w:rPr/>
      </w:pPr>
      <w:bookmarkStart w:id="15" w:name="__RefHeading___Toc4371_1712987439"/>
      <w:bookmarkEnd w:id="15"/>
      <w:r>
        <w:rPr/>
        <w:t>Systematische Literaturarbeit</w:t>
      </w:r>
    </w:p>
    <w:p>
      <w:pPr>
        <w:pStyle w:val="Normal"/>
        <w:rPr/>
      </w:pPr>
      <w:r>
        <w:rPr/>
        <w:t>Die Literaturarbeit folgt einem transparenten Such- und Auswahlprotokoll. Kernbestände werden in Web of Science, Scopus, IEEE Xplore, ACM Digital Library, PhilPapers, HeinOnline, EUR-Lex sowie – für deutschsprachige Rechtsfragen – juris und Beck-Online recherchiert. Für antike Quellen werden kritische Ausgaben und etablierte Übersetzungen bevorzugt. Suchläufe, Suchstrings, Einschluss- und Ausschlussentscheidungen sowie Aktualisierungen werden protokolliert. Google Scholar dient ausschließlich der ergänzenden Zitationsverfolgung.</w:t>
      </w:r>
    </w:p>
    <w:p>
      <w:pPr>
        <w:pStyle w:val="Normal"/>
        <w:rPr/>
      </w:pPr>
      <w:r>
        <w:rPr/>
        <w:t>Die Quellen werden nach Evidenztyp getrennt: Primärtexte und Rechtsnormen; peer-reviewte Forschung; institutionelle Standards und Berichte; Preprints; Unternehmenspublikationen; journalistische Berichte. Zukunftsszenarien werden nie durch journalistische Spekulation belegt, sondern aus explizit angegebenen Prämissen konstruiert.</w:t>
      </w:r>
    </w:p>
    <w:p>
      <w:pPr>
        <w:pStyle w:val="Heading3"/>
        <w:rPr/>
      </w:pPr>
      <w:bookmarkStart w:id="16" w:name="__RefHeading___Toc4373_1712987439"/>
      <w:bookmarkEnd w:id="16"/>
      <w:r>
        <w:rPr/>
        <w:t>Philosophische Arbeitsweise</w:t>
      </w:r>
    </w:p>
    <w:p>
      <w:pPr>
        <w:pStyle w:val="Normal"/>
        <w:rPr/>
      </w:pPr>
      <w:r>
        <w:rPr/>
        <w:t>Jeder Schlüsselbegriff wird in vier Schritten behandelt: historische Rekonstruktion, Gegenwartsdefinition, Grenzfallanalyse und Belastung durch Gegenbeispiele. Die Arbeit verwendet daher keine stillschweigenden Gleichsetzungen. Insbesondere gelten: Intelligenz ist nicht Bewusstsein; Selbstorganisation ist nicht Selbstbestimmung; Agency ist nicht moralische Verantwortlichkeit; Neuheit ist nicht notwendigerweise Kreativität; Autonomie ist nicht Existenzunabhängigkeit; Unvorhersagbarkeit ist nicht Unkontrollierbarkeit.</w:t>
      </w:r>
    </w:p>
    <w:p>
      <w:pPr>
        <w:pStyle w:val="Heading3"/>
        <w:rPr/>
      </w:pPr>
      <w:bookmarkStart w:id="17" w:name="__RefHeading___Toc4375_1712987439"/>
      <w:bookmarkEnd w:id="17"/>
      <w:r>
        <w:rPr/>
        <w:t>Rechtswissenschaftliche Arbeitsweise</w:t>
      </w:r>
    </w:p>
    <w:p>
      <w:pPr>
        <w:pStyle w:val="Normal"/>
        <w:rPr/>
      </w:pPr>
      <w:r>
        <w:rPr/>
        <w:t>Rechtliche Aussagen werden strikt zwischen geltendem Recht (de lege lata) und Reformüberlegungen (de lege ferenda) getrennt. Jede Analyse folgt dem Schema Normadressat – Tatbestand – Pflicht – Zurechnung – Rechtsfolge – systematische Grenze. Erst nach der dogmatischen Analyse werden Grenzfälle rekursiver oder menschenloser KI-Ordnungen diskutiert.</w:t>
      </w:r>
    </w:p>
    <w:p>
      <w:pPr>
        <w:pStyle w:val="Heading3"/>
        <w:rPr/>
      </w:pPr>
      <w:bookmarkStart w:id="18" w:name="__RefHeading___Toc4377_1712987439"/>
      <w:bookmarkEnd w:id="18"/>
      <w:r>
        <w:rPr/>
        <w:t>Zukunftsmethodik</w:t>
      </w:r>
    </w:p>
    <w:p>
      <w:pPr>
        <w:pStyle w:val="Normal"/>
        <w:rPr/>
      </w:pPr>
      <w:r>
        <w:rPr/>
        <w:t>Zukunft wird als Raum konsistenter Möglichkeiten untersucht. Die Arbeit prognostiziert keine Jahreszahl für allgemeine künstliche Intelligenz, Selbstreproduktion oder menschliches Verschwinden. Stattdessen werden kritische Variablen kombiniert: Grad maschineller Entwicklungsautonomie, Ressourcenautonomie, Verkörperung, Zielautonomie, Reproduktionsfähigkeit, menschliche Populationsgröße, institutionelle Governance und epistemische Abhängigkeit. Szenarien sind damit Denkwerkzeuge, keine Vorhersagen.</w:t>
      </w:r>
    </w:p>
    <w:p>
      <w:pPr>
        <w:pStyle w:val="Normal"/>
        <w:keepNext w:val="true"/>
        <w:jc w:val="center"/>
        <w:rPr/>
      </w:pPr>
      <w:r>
        <w:rPr/>
        <w:drawing>
          <wp:inline distT="0" distB="0" distL="0" distR="0">
            <wp:extent cx="5577840" cy="3097530"/>
            <wp:effectExtent l="0" t="0" r="0" b="0"/>
            <wp:docPr id="2" name="Picture 2" descr="Wiederholung der Forschungsarchitektur zur Darstellung der Methodentriangulation aus Literaturarbeit, Genealogie, Begriffsanalyse, Rechtsdogmatik, normativer Ethik, soziotechnischer Analyse und reflexiver Begleitforschung." title="Forschungsarchitektur als Methoden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5577840" cy="3097530"/>
                    </a:xfrm>
                    <a:prstGeom prst="rect">
                      <a:avLst/>
                    </a:prstGeom>
                    <a:noFill/>
                  </pic:spPr>
                </pic:pic>
              </a:graphicData>
            </a:graphic>
          </wp:inline>
        </w:drawing>
      </w:r>
    </w:p>
    <w:p>
      <w:pPr>
        <w:pStyle w:val="Caption"/>
        <w:jc w:val="center"/>
        <w:rPr/>
      </w:pPr>
      <w:r>
        <w:rPr/>
        <w:t>Abbildung 1 (erneuter methodischer Bezug). Die Arbeit verbindet mehrere Erkenntniswege, ohne ihre Geltungsansprüche zu vermischen.</w:t>
      </w:r>
    </w:p>
    <w:p>
      <w:pPr>
        <w:pStyle w:val="Heading3"/>
        <w:rPr/>
      </w:pPr>
      <w:bookmarkStart w:id="19" w:name="__RefHeading___Toc4379_1712987439"/>
      <w:bookmarkEnd w:id="19"/>
      <w:r>
        <w:rPr/>
        <w:t>3.1 Methodentriangulation</w:t>
      </w:r>
    </w:p>
    <w:p>
      <w:pPr>
        <w:pStyle w:val="TableCaption"/>
        <w:keepNext w:val="true"/>
        <w:rPr/>
      </w:pPr>
      <w:r>
        <w:rPr/>
        <w:t>Tabelle 3. Methodentriangulation und Zuordnung der Geltungsansprüche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Methode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Erkenntnisziel</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Nachweisform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Systematische Literaturkartierung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Forschungsstand, Begriffsverwendungen und offene Konfliktlinien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PRISMA-orientierte Dokumentation; Datenbank, Suchstring, Datum, Ein-/Ausschlussgrund</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Historisch-genealogische Rekonstruktion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Entstehung und Wandel der Kategorien künstliches Wesen, Automat, Vernunft und Agency</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Primärtexte, kritische Editionen, kontextualisierte Sekundärliteratur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Begriffsanalytische Philosophie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Notwendige und hinreichende Bedingungen; Grenzfälle; Gegenbeispiele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Argumentrekonstruktion, Konsistenzprüfung, Gedankenexperimente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Rechtsdogmatische 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Geltendes Recht, Zurechnung, Aufsicht, Haftung, Autorschaft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Primärrecht, Rechtsprechung, de lege lata/de lege ferenda</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Vergleichende normative Ethik</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Konflikte zwischen Pflicht, Folgen, Tugend, Verantwortung, Fähigkeiten und Fürsorge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Theorienvergleich statt vorab gewählter Moralposition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Soziotechnische Systemanalyse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Verteilung von Agency über Menschen, Modelle, Daten, Institutionen und Infrastruktur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Akteur-, Ressourcen-, Entscheidungs- und Verantwortungsmapping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Artefakt- und Provenienzanalyse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LLM-generierte SNN-Entwürfe, Versionen, Prompts und Entwicklungsverläufe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Reproduzierbare technische Dokumentation ohne menschliche Versuchspersonen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Reflexive Forschung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Kontrolle, Autorschaft und KI-Beitrag in der Dissertation selbst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KI-Nutzungsprotokoll, Quellenprüfung, Entscheidungsnachweis</w:t>
            </w:r>
          </w:p>
        </w:tc>
      </w:tr>
    </w:tbl>
    <w:p>
      <w:pPr>
        <w:pStyle w:val="Normal"/>
        <w:spacing w:before="0" w:after="0"/>
        <w:rPr/>
      </w:pPr>
      <w:r>
        <w:rPr/>
      </w:r>
    </w:p>
    <w:p>
      <w:pPr>
        <w:pStyle w:val="Heading3"/>
        <w:rPr/>
      </w:pPr>
      <w:bookmarkStart w:id="20" w:name="__RefHeading___Toc4381_1712987439"/>
      <w:bookmarkEnd w:id="20"/>
      <w:r>
        <w:rPr/>
        <w:t>3.2 Keine Erhebung an menschlichen Probandengruppen</w:t>
      </w:r>
    </w:p>
    <w:p>
      <w:pPr>
        <w:pStyle w:val="Normal"/>
        <w:widowControl/>
        <w:rPr/>
      </w:pPr>
      <w:r>
        <w:rPr/>
        <w:t>Die Arbeit verzichtet auf künstlich konstruierte menschliche Versuchs- und Kontrollgruppen. Fragen der Wahrnehmung anthropomorpher Sprache, Verantwortung oder Autorschaft werden zunächst durch Literatur, Begriffsanalyse und dokumentierte wissenschaftliche Praxis untersucht. Eine spätere Human-Subjects-Studie wäre ein eigenständiges Forschungsprojekt und erforderte Ethikvotum, Datenschutzkonzept, Stichprobenplanung und psychometrische Validierung. Sie wird nicht simuliert und nicht durch erfundene Daten ersetzt.</w:t>
      </w:r>
    </w:p>
    <w:p>
      <w:pPr>
        <w:pStyle w:val="Normal"/>
        <w:widowControl/>
        <w:rPr/>
      </w:pPr>
      <w:r>
        <w:rPr/>
        <w:t>Technische Vergleiche sind davon zu unterscheiden. Werden LLM-generierte SNN-Architekturen mit manuellen oder algorithmisch erzeugten Referenzartefakten verglichen, handelt es sich um Artefaktvergleich, nicht um Personenversuche. Die Referenz dient der Einordnung von Struktur, Funktion und Reproduzierbarkeit. Sie darf nicht als Beweis einer allgemeinen philosophischen Überlegenheit verwendet werden.</w:t>
      </w:r>
    </w:p>
    <w:p>
      <w:pPr>
        <w:pStyle w:val="Heading3"/>
        <w:rPr/>
      </w:pPr>
      <w:bookmarkStart w:id="21" w:name="__RefHeading___Toc4383_1712987439"/>
      <w:bookmarkEnd w:id="21"/>
      <w:r>
        <w:rPr/>
        <w:t>3.3 Literatur- und Zitationsregeln</w:t>
      </w:r>
    </w:p>
    <w:p>
      <w:pPr>
        <w:pStyle w:val="ListBullet"/>
        <w:numPr>
          <w:ilvl w:val="0"/>
          <w:numId w:val="1"/>
        </w:numPr>
        <w:rPr/>
      </w:pPr>
      <w:r>
        <w:rPr/>
        <w:t>Zitationssystem: APA 7 für moderne Literatur; historische Primärtexte zusätzlich nach Werk, Buch, Kapitel oder Versstelle.</w:t>
      </w:r>
    </w:p>
    <w:p>
      <w:pPr>
        <w:pStyle w:val="ListBullet"/>
        <w:numPr>
          <w:ilvl w:val="0"/>
          <w:numId w:val="1"/>
        </w:numPr>
        <w:rPr/>
      </w:pPr>
      <w:r>
        <w:rPr/>
        <w:t>Primärquellen und amtliche Rechtsquellen haben Vorrang vor journalistischen oder sekundären Zusammenfassungen.</w:t>
      </w:r>
    </w:p>
    <w:p>
      <w:pPr>
        <w:pStyle w:val="ListBullet"/>
        <w:numPr>
          <w:ilvl w:val="0"/>
          <w:numId w:val="1"/>
        </w:numPr>
        <w:rPr/>
      </w:pPr>
      <w:r>
        <w:rPr/>
        <w:t>Preprints werden als solche gekennzeichnet; aktuelle technische Befunde werden nicht mit gesichertem Konsens gleichgesetzt.</w:t>
      </w:r>
    </w:p>
    <w:p>
      <w:pPr>
        <w:pStyle w:val="ListBullet"/>
        <w:numPr>
          <w:ilvl w:val="0"/>
          <w:numId w:val="1"/>
        </w:numPr>
        <w:rPr/>
      </w:pPr>
      <w:r>
        <w:rPr/>
        <w:t>Jede wörtliche Übernahme benötigt Seiten- oder Stellenangabe. Paraphrasen benötigen Autor-Jahr-Nachweis.</w:t>
      </w:r>
    </w:p>
    <w:p>
      <w:pPr>
        <w:pStyle w:val="ListBullet"/>
        <w:numPr>
          <w:ilvl w:val="0"/>
          <w:numId w:val="1"/>
        </w:numPr>
        <w:rPr/>
      </w:pPr>
      <w:r>
        <w:rPr/>
        <w:t>DOI, amtliche Fundstelle oder stabile institutionelle Quelle wird angegeben, soweit vorhanden.</w:t>
      </w:r>
    </w:p>
    <w:p>
      <w:pPr>
        <w:pStyle w:val="ListBullet"/>
        <w:numPr>
          <w:ilvl w:val="0"/>
          <w:numId w:val="1"/>
        </w:numPr>
        <w:rPr/>
      </w:pPr>
      <w:r>
        <w:rPr/>
        <w:t>KI-generierte Literaturangaben dürfen erst nach Verifikation in das Literaturverzeichnis aufgenommen werden.</w:t>
      </w:r>
    </w:p>
    <w:p>
      <w:pPr>
        <w:pStyle w:val="Heading2"/>
        <w:rPr/>
      </w:pPr>
      <w:bookmarkStart w:id="22" w:name="__RefHeading___Toc4385_1712987439"/>
      <w:bookmarkEnd w:id="22"/>
      <w:r>
        <w:rPr/>
        <w:t>4. Begriffsapparat und analytische Unterscheidungen</w:t>
      </w:r>
    </w:p>
    <w:p>
      <w:pPr>
        <w:pStyle w:val="Normal"/>
        <w:widowControl/>
        <w:rPr/>
      </w:pPr>
      <w:r>
        <w:rPr/>
        <w:t>Die Arbeit behandelt „Intelligenz“, „Bewusstsein“, „Empfindungsfähigkeit“, „Agency“, „Autonomie“, „Leben“, „Künstlichkeit“ und „Verantwortung“ nicht als Synonyme. Ein System kann leistungsfähig Probleme lösen, ohne phänomenales Erleben nachweisen zu lassen; es kann kausal handeln, ohne moralische Gründe zu verstehen; es kann sich selbst organisieren, ohne eigene normative Ziele zu bilden. Die Unterscheidungen sind keine sprachliche Pedanterie, sondern Voraussetzung dafür, technische Befunde nicht in ontologische oder moralische Behauptungen zu überführen.</w:t>
      </w:r>
    </w:p>
    <w:p>
      <w:pPr>
        <w:pStyle w:val="Equation"/>
        <w:jc w:val="center"/>
        <w:rPr/>
      </w:pPr>
      <w:r>
        <w:rPr>
          <w:rFonts w:eastAsia="Liberation Serif" w:cs="Liberation Serif"/>
          <w:i/>
          <w:color w:val="16324F"/>
          <w:sz w:val="23"/>
        </w:rPr>
        <w:t>Intelligenz ≠ Bewusstsein ≠ Empfindungsfähigkeit ≠ moralische Agency ≠ Leben</w:t>
      </w:r>
    </w:p>
    <w:p>
      <w:pPr>
        <w:pStyle w:val="Equation"/>
        <w:jc w:val="center"/>
        <w:rPr/>
      </w:pPr>
      <w:r>
        <w:rPr>
          <w:rFonts w:eastAsia="Liberation Serif" w:cs="Liberation Serif"/>
          <w:i/>
          <w:color w:val="16324F"/>
          <w:sz w:val="23"/>
        </w:rPr>
        <w:t>Selbstorganisation ≠ Selbstbestimmung   |   Unvorhersagbarkeit ≠ Kontrollverlust</w:t>
      </w:r>
    </w:p>
    <w:p>
      <w:pPr>
        <w:pStyle w:val="TableCaption"/>
        <w:keepNext w:val="true"/>
        <w:rPr/>
      </w:pPr>
      <w:r>
        <w:rPr/>
        <w:t>Tabelle 4. Zentraler Begriffsapparat</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Begriff</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Arbeitsdefinition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Fähigkeit, unter Bedingungen Ziele, Probleme oder Anpassungsanforderungen erfolgreich zu bearbeiten; der Begriff bleibt domänen- und kriteriumsabhängig.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Agency</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Kausale oder funktionale Fähigkeit, Zustände zielbezogen zu verändern; moralische Agency ist eine stärkere und eigenständige Kategorie.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Autonomie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Grad eigenständiger Operation, Zielbildung oder Regelveränderung innerhalb bzw. außerhalb gesetzter Grenzen.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Selbstorganisation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Entstehung globaler Ordnung aus lokalen Interaktionen ohne zentrale Spezifikation jedes Details.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Strukturelle Kopplung eines kognitiven Systems an Körperzustände, Handlungsmöglichkeiten, Umwelt und zeitliche Kontinuität.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Grounding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Beziehung von Symbolen oder Repräsentationen zu Wahrnehmung, Handlung, Umwelt und sozialer Praxis.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Geliehene 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Intelligenzleistung, deren Voraussetzungen wesentlich aus extern erzeugten epistemischen Ressourcen stammen und im System transformiert werden.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Rekursive Technogenese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Maschinelle Mitwirkung an Entwurf, Auswahl, Bewertung oder Weiterentwicklung nachfolgender technischer Systeme.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Effektive Kontrolle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Tatsächliche Fähigkeit zu Verstehen, Begrenzen, Beobachten, Eingreifen, Rücksetzen und Verantworten – nicht nur formale Zuständigkeit.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Grad, in dem eine Entität um ihrer selbst willen moralisch berücksichtigt werden müsste; nicht aus Intelligenz allein ableitbar.</w:t>
            </w:r>
          </w:p>
        </w:tc>
      </w:tr>
    </w:tbl>
    <w:p>
      <w:pPr>
        <w:pStyle w:val="Normal"/>
        <w:spacing w:before="0" w:after="0"/>
        <w:rPr/>
      </w:pPr>
      <w:r>
        <w:rPr/>
      </w:r>
    </w:p>
    <w:p>
      <w:pPr>
        <w:pStyle w:val="Heading1"/>
        <w:rPr/>
      </w:pPr>
      <w:bookmarkStart w:id="23" w:name="__RefHeading___Toc4387_1712987439"/>
      <w:bookmarkEnd w:id="23"/>
      <w:r>
        <w:rPr/>
        <w:t>Teil II – Genealogischer und gegenwärtiger Kontext</w:t>
      </w:r>
    </w:p>
    <w:p>
      <w:pPr>
        <w:pStyle w:val="Heading2"/>
        <w:rPr/>
      </w:pPr>
      <w:bookmarkStart w:id="24" w:name="__RefHeading___Toc4389_1712987439"/>
      <w:bookmarkEnd w:id="24"/>
      <w:r>
        <w:rPr/>
        <w:t>5. Antike Konstellationen künstlicher Agency</w:t>
      </w:r>
    </w:p>
    <w:p>
      <w:pPr>
        <w:pStyle w:val="Normal"/>
        <w:widowControl/>
        <w:rPr/>
      </w:pPr>
      <w:r>
        <w:rPr/>
        <w:t>Die Geschichte künstlicher Intelligenz beginnt nicht mit dem Dartmouth-Projekt von 1956. Der technische Begriff ist modern, die Frage nach gemachten, selbstbewegten, wissenden oder dienenden Wesen jedoch sehr alt. Antike Erzählungen dürfen nicht anachronistisch als frühe Robotik beschrieben werden. Sie sind dennoch philosophisch relevant, weil sie bereits Urheberschaft, Gehorsam, Arbeit, Selbstbewegung und die Grenze zwischen Artefakt und Lebewesen ordnen (Aristoteles, Politik I.4; Homer, Ilias 18; Mayor, 2018).</w:t>
      </w:r>
    </w:p>
    <w:p>
      <w:pPr>
        <w:pStyle w:val="Heading3"/>
        <w:rPr/>
      </w:pPr>
      <w:bookmarkStart w:id="25" w:name="__RefHeading___Toc4391_1712987439"/>
      <w:bookmarkEnd w:id="25"/>
      <w:r>
        <w:rPr/>
        <w:t>Hephaistos: selbstbewegte Werkzeuge und künstliche Diener</w:t>
      </w:r>
    </w:p>
    <w:p>
      <w:pPr>
        <w:pStyle w:val="Normal"/>
        <w:rPr/>
      </w:pPr>
      <w:r>
        <w:rPr/>
        <w:t>Die ältesten europäischen Texte, in denen künstliche Artefakte selbsttätig handeln, sind keine technischen Handbücher, sondern mythopoetische Quellen. In Homers Ilias, Buch 18, fertigt Hephaistos Dreifüße, die sich selbst zu den Versammlungen der Götter bewegen und wieder zurückkehren. Noch bemerkenswerter sind die goldenen Dienerinnen des Gottes: künstliche weibliche Gestalten, denen Stärke, Stimme, Verstand beziehungsweise Wissen um Arbeit zugeschrieben werden. Philologisch ist Vorsicht geboten: Homer entwickelt keine Theorie künstlicher Intelligenz. Doch die Passage trennt bereits Körpermaterial, künstliche Herstellung und funktionale Kompetenz voneinander (Homer, Ilias 18.369–420).</w:t>
      </w:r>
    </w:p>
    <w:p>
      <w:pPr>
        <w:pStyle w:val="Normal"/>
        <w:rPr/>
      </w:pPr>
      <w:r>
        <w:rPr/>
        <w:t>Für die Genealogie dieser Arbeit ist entscheidend, dass künstliche Agency hier nicht als bloße Bewegung erscheint. Die goldenen Dienerinnen sind Werkzeuge und zugleich handlungsfähige Figuren. Damit entsteht ein Problem, das moderne Robotik und KI erneut stellt: Wann endet Instrumentalität und wann beginnt eine Form eigener Handlungsbeschreibung?</w:t>
      </w:r>
    </w:p>
    <w:p>
      <w:pPr>
        <w:pStyle w:val="Heading3"/>
        <w:rPr/>
      </w:pPr>
      <w:bookmarkStart w:id="26" w:name="__RefHeading___Toc4393_1712987439"/>
      <w:bookmarkEnd w:id="26"/>
      <w:r>
        <w:rPr/>
        <w:t>Talos: der künstliche Wächter</w:t>
      </w:r>
    </w:p>
    <w:p>
      <w:pPr>
        <w:pStyle w:val="Normal"/>
        <w:rPr/>
      </w:pPr>
      <w:r>
        <w:rPr/>
        <w:t>Talos, der bronzene Wächter Kretas, erscheint in verschiedenen antiken Überlieferungen, besonders in Apollonios von Rhodos’ Argonautika. Er umrundet die Insel und bekämpft Eindringlinge. Seine Künstlichkeit ist je nach Tradition unterschiedlich akzentuiert; gerade diese Variabilität ist erkenntnisreich. Talos ist nicht bloß Statue, sondern ein künstliches Wesen mit Aufgabe, Bewegungsfähigkeit, territorialer Funktion und einer verwundbaren inneren Lebens- beziehungsweise Energieordnung. Damit verbindet der Mythos Konstruktion, Zweckbindung, Verteidigung und scheinbare Eigenaktivität (Apollonios Rhodios, Argonautika 4.1638–1688; Apollodor, Bibliotheke 1.9.26).</w:t>
      </w:r>
    </w:p>
    <w:p>
      <w:pPr>
        <w:pStyle w:val="Heading3"/>
        <w:rPr/>
      </w:pPr>
      <w:bookmarkStart w:id="27" w:name="__RefHeading___Toc4395_1712987439"/>
      <w:bookmarkEnd w:id="27"/>
      <w:r>
        <w:rPr/>
        <w:t>Pygmalion: künstliche Form und soziale Anerkennung</w:t>
      </w:r>
    </w:p>
    <w:p>
      <w:pPr>
        <w:pStyle w:val="Normal"/>
        <w:rPr/>
      </w:pPr>
      <w:r>
        <w:rPr/>
        <w:t>Die Pygmalion-Erzählung, in ihrer einflussreichsten Fassung bei Ovid, verschiebt das Problem. Hier steht nicht die selbsttätige Funktion im Vordergrund, sondern der Übergang vom Artefakt zum sozialen Gegenüber. Die Statue wird lebendig und in eine menschliche Beziehung aufgenommen. Für moderne KI-Debatten ist dies deshalb relevant, weil soziale Zuschreibung nicht erst mit objektiv nachgewiesener Innerlichkeit beginnt. Menschen reagieren auf Formen, Sprache und Verhalten. Die Grenze zwischen Werkzeug und Gegenüber ist daher auch eine anthropologische Zuschreibungsgrenze (Ovid, Metamorphosen 10.243–297).</w:t>
      </w:r>
    </w:p>
    <w:p>
      <w:pPr>
        <w:pStyle w:val="Heading3"/>
        <w:rPr/>
      </w:pPr>
      <w:bookmarkStart w:id="28" w:name="__RefHeading___Toc4397_1712987439"/>
      <w:bookmarkEnd w:id="28"/>
      <w:r>
        <w:rPr/>
        <w:t>Archytas und die mechanische Taube</w:t>
      </w:r>
    </w:p>
    <w:p>
      <w:pPr>
        <w:pStyle w:val="Normal"/>
        <w:rPr/>
      </w:pPr>
      <w:r>
        <w:rPr/>
        <w:t>Aulus Gellius berichtet unter Berufung auf ältere Quellen von einer hölzernen Taube des Archytas von Tarent, die durch einen mechanischen beziehungsweise pneumatischen Mechanismus geflogen sei (Noctes Atticae 10.12). Unabhängig davon, wie die konkrete Konstruktion historisch zu bewerten ist, zeigt die Überlieferung, dass künstliche Bewegung bereits in der Antike als technische Leistung verstanden wurde. Der Schritt vom mythischen Automaten zum mechanischen Artefakt verändert die Ursache: Nicht göttliche Kunst, sondern menschliche Technik soll künstliche Bewegungsfähigkeit hervorbringen.</w:t>
      </w:r>
    </w:p>
    <w:p>
      <w:pPr>
        <w:pStyle w:val="Heading3"/>
        <w:rPr/>
      </w:pPr>
      <w:bookmarkStart w:id="29" w:name="__RefHeading___Toc4399_1712987439"/>
      <w:bookmarkEnd w:id="29"/>
      <w:r>
        <w:rPr/>
        <w:t>Aristoteles: automatische Werkzeuge und die politische Ordnung der Arbeit</w:t>
      </w:r>
    </w:p>
    <w:p>
      <w:pPr>
        <w:pStyle w:val="Normal"/>
        <w:rPr/>
      </w:pPr>
      <w:r>
        <w:rPr/>
        <w:t>Für diese Dissertation ist Aristoteles’ Politik I.4 von besonderer Bedeutung. In der Diskussion über Werkzeuge und Sklaverei stellt Aristoteles den berühmten kontrafaktischen Gedanken auf, dass, wenn jedes Werkzeug auf Befehl oder vorausschauend seine Arbeit selbst verrichten könnte – wie die mythischen Statuen des Daidalos oder die Dreifüße des Hephaistos –, weder Werkmeister Gehilfen noch Herren Sklaven benötigten (Aristoteles, Politik 1253b33–1254a1).</w:t>
      </w:r>
    </w:p>
    <w:p>
      <w:pPr>
        <w:pStyle w:val="Normal"/>
        <w:rPr/>
      </w:pPr>
      <w:r>
        <w:rPr/>
        <w:t>Dieser Text ist keine Ethik der Automation. Er ist eingebettet in eine problematische antike Sozialordnung. Gerade deshalb besitzt er analytische Schärfe: Er erkennt, dass technische Selbsttätigkeit soziale Herrschafts- und Arbeitsverhältnisse verändern würde. Mehr als zwei Jahrtausende vor industrieller Automation wird damit eine strukturelle Beziehung formuliert: Der Grad der Autonomie eines Werkzeugs verändert die Rolle des Menschen. Diese Relation bildet einen historischen Vorläufer der Leitfrage dieser Arbeit.</w:t>
      </w:r>
    </w:p>
    <w:p>
      <w:pPr>
        <w:pStyle w:val="Heading3"/>
        <w:rPr/>
      </w:pPr>
      <w:bookmarkStart w:id="30" w:name="__RefHeading___Toc4401_1712987439"/>
      <w:bookmarkEnd w:id="30"/>
      <w:r>
        <w:rPr/>
        <w:t>Zwischenbefund: Antike ohne Informatik, aber nicht ohne Problem</w:t>
      </w:r>
    </w:p>
    <w:p>
      <w:pPr>
        <w:pStyle w:val="Normal"/>
        <w:rPr/>
      </w:pPr>
      <w:r>
        <w:rPr/>
        <w:t>Aus der Antike darf keine direkte Entwicklungslinie zu moderner KI konstruiert werden. Hephaistos, Talos oder Pygmalion sind keine „frühen Roboter“ im technischen Sinn. Wissenschaftlich produktiv ist etwas anderes: Die Antike erzeugt bereits einen Problemraum aus künstlicher Herstellung, Selbstbewegung, Zweckbindung, sozialer Zuschreibung und menschlicher Entlastung beziehungsweise Verdrängung. Die moderne Informatik erfindet diese Fragen nicht; sie transformiert ihre materielle Realisierbarkeit.</w:t>
      </w:r>
    </w:p>
    <w:p>
      <w:pPr>
        <w:pStyle w:val="Heading3"/>
        <w:rPr/>
      </w:pPr>
      <w:bookmarkStart w:id="31" w:name="__RefHeading___Toc4403_1712987439"/>
      <w:bookmarkEnd w:id="31"/>
      <w:r>
        <w:rPr/>
        <w:t>Mythos als philosophisches Material, nicht als Technikgeschichte</w:t>
      </w:r>
    </w:p>
    <w:p>
      <w:pPr>
        <w:pStyle w:val="Normal"/>
        <w:rPr/>
      </w:pPr>
      <w:r>
        <w:rPr/>
        <w:t>Eine methodisch saubere Verwendung antiker Mythen verlangt Zurückhaltung. Moderne Begriffe wie „Roboter“, „Algorithmus“ oder „künstliche Intelligenz“ dürfen nicht unkritisch rückprojiziert werden. Gleichwohl besitzen Mythen analytischen Wert, weil sie Handlungsmöglichkeiten und Grenzverletzungen modellieren. Sie zeigen, welche Eigenschaften Menschen einem gemachten Wesen zuschreiben konnten, bevor diese Eigenschaften technisch realisierbar waren. Der Mythos wird damit zu einem Archiv anthropologischer Erwartungen an Technik.</w:t>
      </w:r>
    </w:p>
    <w:p>
      <w:pPr>
        <w:pStyle w:val="Heading3"/>
        <w:rPr/>
      </w:pPr>
      <w:bookmarkStart w:id="32" w:name="__RefHeading___Toc4405_1712987439"/>
      <w:bookmarkEnd w:id="32"/>
      <w:r>
        <w:rPr/>
        <w:t>Daidalos und die Angst vor dem bewegten Artefakt</w:t>
      </w:r>
    </w:p>
    <w:p>
      <w:pPr>
        <w:pStyle w:val="Normal"/>
        <w:rPr/>
      </w:pPr>
      <w:r>
        <w:rPr/>
        <w:t>Daidalos steht in der antiken Überlieferung für eine Kunstfertigkeit, deren Werke so lebensecht erscheinen, dass ihnen Bewegung zugeschrieben wird. In späteren philosophischen Referenzen werden die Statuen gerade deshalb erwähnt, weil ein selbstbewegtes Artefakt die gewöhnliche Kategorie des Werkzeugs überschreitet. Aristoteles greift diese Tradition auf, um die Möglichkeit autonom arbeitender Instrumente zu denken. Entscheidend ist nicht, ob Daidalos-Statuen technisch existierten, sondern dass „Selbstbewegung“ als Schwelle zwischen passivem Gegenstand und handlungsähnlichem Artefakt fungierte.</w:t>
      </w:r>
    </w:p>
    <w:p>
      <w:pPr>
        <w:pStyle w:val="Heading3"/>
        <w:rPr/>
      </w:pPr>
      <w:bookmarkStart w:id="33" w:name="__RefHeading___Toc4407_1712987439"/>
      <w:bookmarkEnd w:id="33"/>
      <w:r>
        <w:rPr/>
        <w:t>Hephaistos und die frühe Trennung von Material und Kompetenz</w:t>
      </w:r>
    </w:p>
    <w:p>
      <w:pPr>
        <w:pStyle w:val="Normal"/>
        <w:rPr/>
      </w:pPr>
      <w:r>
        <w:rPr/>
        <w:t>Die goldenen Dienerinnen des Hephaistos verdienen besondere Aufmerksamkeit, weil sie aus einem nichtbiologischen Material bestehen und dennoch mit Fähigkeiten beschrieben werden, die sonst Menschen zukommen. In moderner Terminologie könnte man sagen, dass Substrat und Kompetenz getrennt werden. Der Text beantwortet nicht, ob diese Wesen subjektive Erfahrung besitzen. Gerade diese Leerstelle ist produktiv: Funktionale Zuschreibung tritt vor ontologischer Klärung auf – ein Muster, das sich in heutiger KI-Debatte wiederholt.</w:t>
      </w:r>
    </w:p>
    <w:p>
      <w:pPr>
        <w:pStyle w:val="Heading3"/>
        <w:rPr/>
      </w:pPr>
      <w:bookmarkStart w:id="34" w:name="__RefHeading___Toc4409_1712987439"/>
      <w:bookmarkEnd w:id="34"/>
      <w:r>
        <w:rPr/>
        <w:t>Talos und programmierte Territorialität</w:t>
      </w:r>
    </w:p>
    <w:p>
      <w:pPr>
        <w:pStyle w:val="Normal"/>
        <w:rPr/>
      </w:pPr>
      <w:r>
        <w:rPr/>
        <w:t>Talos verkörpert eine andere Dimension: die Bindung künstlicher Handlung an eine Schutzfunktion. Er ist Wächter, Grenzregime und Gewaltträger. Dadurch entsteht früh die Verbindung von künstlicher Agency und politischer Macht. In moderner Perspektive lässt sich daran eine grundsätzliche Frage formulieren: Je mehr Handlungsgewalt an technische Systeme delegiert wird, desto wichtiger wird die Trennung zwischen instrumenteller Zielbindung und eigener Normsetzung. Ein Wächter kann hochautonom handeln, ohne legitimiert zu sein, seine Schutzregel selbst zu ändern.</w:t>
      </w:r>
    </w:p>
    <w:p>
      <w:pPr>
        <w:pStyle w:val="Heading3"/>
        <w:rPr/>
      </w:pPr>
      <w:bookmarkStart w:id="35" w:name="__RefHeading___Toc4411_1712987439"/>
      <w:bookmarkEnd w:id="35"/>
      <w:r>
        <w:rPr/>
        <w:t>Aristoteles als frühe Theorie sozialer Folgen der Automation</w:t>
      </w:r>
    </w:p>
    <w:p>
      <w:pPr>
        <w:pStyle w:val="Normal"/>
        <w:rPr/>
      </w:pPr>
      <w:r>
        <w:rPr/>
        <w:t>Aristoteles’ Passage zu selbsttätigen Werkzeugen ist bemerkenswert, weil sie technische Möglichkeit und soziale Institution direkt verbindet. Wenn Werkzeuge selbst arbeiten, verändert sich der Bedarf an menschlicher Arbeit. Die Aussage ist weder emanzipatorisches Programm noch Zukunftsprognose; sie erscheint im Kontext antiker Sklavereitheorie. Dennoch zeigt sie, dass Automation von Beginn an politisch ist: Wer arbeitet, wer besitzt Werkzeuge, wer verfügt über Erträge und wer wird entbehrlich? Moderne KI führt diese Frage auf eine neue Ebene, weil nicht nur körperliche, sondern auch kognitive Tätigkeiten automatisiert werden.</w:t>
      </w:r>
    </w:p>
    <w:p>
      <w:pPr>
        <w:pStyle w:val="Heading3"/>
        <w:rPr/>
      </w:pPr>
      <w:bookmarkStart w:id="36" w:name="__RefHeading___Toc4413_1712987439"/>
      <w:bookmarkEnd w:id="36"/>
      <w:r>
        <w:rPr/>
        <w:t>Von der Selbstbewegung zur Selbstbeschreibung</w:t>
      </w:r>
    </w:p>
    <w:p>
      <w:pPr>
        <w:pStyle w:val="Normal"/>
        <w:rPr/>
      </w:pPr>
      <w:r>
        <w:rPr/>
        <w:t>Der historische Bogen lässt sich als Verschiebung der entscheidenden Schwelle lesen. In der Antike ist Selbstbewegung außergewöhnlich. In der Mechanik wird selbsttätige Bewegung technisch banal. Mit Computern wird regelgeleitete Symbolverarbeitung automatisiert. Mit maschinellem Lernen werden interne Regeln teilweise aus Daten erworben. Mit generativen Modellen werden neue symbolische Artefakte erzeugt. Mit agentischen Systemen werden Sequenzen von Handlungen geplant. Die zukünftige Schwelle könnte nicht mehr Selbstbewegung, sondern Selbstbeschreibung, Selbständerung und Selbstreproduktion sein.</w:t>
      </w:r>
    </w:p>
    <w:p>
      <w:pPr>
        <w:pStyle w:val="Heading2"/>
        <w:rPr/>
      </w:pPr>
      <w:bookmarkStart w:id="37" w:name="__RefHeading___Toc4415_1712987439"/>
      <w:bookmarkEnd w:id="37"/>
      <w:r>
        <w:rPr/>
        <w:t>6. Mechanismus, Formalisierung, Kybernetik und Lernen</w:t>
      </w:r>
    </w:p>
    <w:p>
      <w:pPr>
        <w:pStyle w:val="Heading3"/>
        <w:rPr/>
      </w:pPr>
      <w:bookmarkStart w:id="38" w:name="__RefHeading___Toc4417_1712987439"/>
      <w:bookmarkEnd w:id="38"/>
      <w:r>
        <w:rPr/>
        <w:t>Mittelalter und Frühe Neuzeit: Automaten zwischen Wunder und Mechanik</w:t>
      </w:r>
    </w:p>
    <w:p>
      <w:pPr>
        <w:pStyle w:val="Normal"/>
        <w:rPr/>
      </w:pPr>
      <w:r>
        <w:rPr/>
        <w:t>Mechanische Automaten der hellenistischen, islamischen und europäischen Tradition verschieben die Vorstellung künstlicher Handlung zunehmend aus dem Bereich der Mythologie in den Bereich technischer Konstruktion. Heron von Alexandria beschreibt pneumatische und mechanische Automaten; al-Dschazarī systematisiert im 13. Jahrhundert komplexe wasserbetriebene Maschinen und Automaten. Solche Apparate „denken“ nicht, doch sie zeigen, dass scheinbar lebendiges Verhalten aus materieller Organisation hervorgehen kann. Der philosophische Effekt liegt in der Entzauberung von Bewegung.</w:t>
      </w:r>
    </w:p>
    <w:p>
      <w:pPr>
        <w:pStyle w:val="Heading3"/>
        <w:rPr/>
      </w:pPr>
      <w:bookmarkStart w:id="39" w:name="__RefHeading___Toc4419_1712987439"/>
      <w:bookmarkEnd w:id="39"/>
      <w:r>
        <w:rPr/>
        <w:t>Descartes, Hobbes und La Mettrie: Organismus als Maschine</w:t>
      </w:r>
    </w:p>
    <w:p>
      <w:pPr>
        <w:pStyle w:val="Normal"/>
        <w:rPr/>
      </w:pPr>
      <w:r>
        <w:rPr/>
        <w:t>Descartes interpretiert Tiere weitgehend mechanistisch und diskutiert Automaten als Vergleichsfolie menschlichen Verhaltens. Hobbes eröffnet den Leviathan mit dem Gedanken künstlichen Lebens und beschreibt den Staat als „Artificiall Man“. La Mettries L’Homme Machine radikalisiert den Mechanismus schließlich auf den Menschen selbst. Entscheidend ist die Umkehrung: Nicht mehr nur die Maschine wird dem Lebendigen ähnlich; das Lebendige wird als Maschine lesbar. Damit wird künstliche Intelligenz philosophisch überhaupt denkbar, weil Intelligenz zumindest teilweise mechanisierbar erscheint.</w:t>
      </w:r>
    </w:p>
    <w:p>
      <w:pPr>
        <w:pStyle w:val="Heading3"/>
        <w:rPr/>
      </w:pPr>
      <w:bookmarkStart w:id="40" w:name="__RefHeading___Toc4421_1712987439"/>
      <w:bookmarkEnd w:id="40"/>
      <w:r>
        <w:rPr/>
        <w:t>Leibniz: Kalkül und mechanisierte Vernunft</w:t>
      </w:r>
    </w:p>
    <w:p>
      <w:pPr>
        <w:pStyle w:val="Normal"/>
        <w:rPr/>
      </w:pPr>
      <w:r>
        <w:rPr/>
        <w:t>Leibniz’ Projekt einer characteristica universalis und eines calculus ratiocinator enthält die Vision, Streitfragen durch symbolische Formalisierung und Berechnung zu entscheiden. Auch wenn dieses Programm historisch nicht als Vorwegnahme moderner KI verkürzt werden darf, etabliert es eine zentrale Prämisse: Teile des Denkens können in formale Operationen überführt werden.</w:t>
      </w:r>
    </w:p>
    <w:p>
      <w:pPr>
        <w:pStyle w:val="Heading3"/>
        <w:rPr/>
      </w:pPr>
      <w:bookmarkStart w:id="41" w:name="__RefHeading___Toc4423_1712987439"/>
      <w:bookmarkEnd w:id="41"/>
      <w:r>
        <w:rPr/>
        <w:t>Industrielle Automation und die Maschine als Konkurrent</w:t>
      </w:r>
    </w:p>
    <w:p>
      <w:pPr>
        <w:pStyle w:val="Normal"/>
        <w:rPr/>
      </w:pPr>
      <w:r>
        <w:rPr/>
        <w:t>Mit der industriellen Revolution wird die Frage nach automatisierter Tätigkeit ökonomisch real. Babbages Analytical Engine und Lovelaces berühmte Bemerkung, die Maschine erhebe keinen Anspruch darauf, etwas zu „originieren“, markieren zugleich die frühe Grenze zwischen Ausführung und Kreativität. Samuel Butlers Essay „Darwin among the Machines“ (1863) formuliert bereits die provokante Idee einer maschinellen Evolution und möglichen Nachfolge des Menschen. Hier tritt erstmals ein Motiv auf, das für die Zukunftskapitel dieser Arbeit zentral ist: Maschinen nicht nur als Werkzeuge, sondern als Population mit Entwicklungsgeschichte.</w:t>
      </w:r>
    </w:p>
    <w:p>
      <w:pPr>
        <w:pStyle w:val="Heading3"/>
        <w:rPr/>
      </w:pPr>
      <w:bookmarkStart w:id="42" w:name="__RefHeading___Toc4425_1712987439"/>
      <w:bookmarkEnd w:id="42"/>
      <w:r>
        <w:rPr/>
        <w:t>Čapek, Technik und soziale Wesen</w:t>
      </w:r>
    </w:p>
    <w:p>
      <w:pPr>
        <w:pStyle w:val="Normal"/>
        <w:rPr/>
      </w:pPr>
      <w:r>
        <w:rPr/>
        <w:t>Karel Čapeks Drama R.U.R. (1920) prägt den Begriff „Roboter“ und verbindet künstliche Arbeit, soziale Ordnung und die Möglichkeit einer Welt nach dem Menschen. Literatur wird hier nicht als empirischer Beleg verwendet, sondern als philosophisches Gedankenexperiment. Sie macht sichtbar, dass die Vorstellung einer menschenlosen technischen Ordnung kulturell älter ist als ihre technische Plausibilität.</w:t>
      </w:r>
    </w:p>
    <w:p>
      <w:pPr>
        <w:pStyle w:val="Heading3"/>
        <w:rPr/>
      </w:pPr>
      <w:bookmarkStart w:id="43" w:name="__RefHeading___Toc4427_1712987439"/>
      <w:bookmarkEnd w:id="43"/>
      <w:r>
        <w:rPr/>
        <w:t>Turing, Kybernetik und lernende Systeme</w:t>
      </w:r>
    </w:p>
    <w:p>
      <w:pPr>
        <w:pStyle w:val="Normal"/>
        <w:rPr/>
      </w:pPr>
      <w:r>
        <w:rPr/>
        <w:t>Mit Turing, Shannon, Wiener, McCulloch und Pitts, Hebb sowie später Rosenblatt wird das Problem formal und experimentell. Turing verschiebt die Frage „Können Maschinen denken?“ auf beobachtbare sprachliche Performanz (Turing 1950). McCulloch und Pitts modellieren neuronale Aktivität logisch (1943), Hebb formuliert lernabhängige Verbindungsänderung (1949), Wiener entwickelt Rückkopplung als allgemeines Steuerungsprinzip (1948), Shannon quantifiziert Information (1948), Rosenblatt konstruiert lernende Perzeptrons (1958). Damit entsteht die moderne Möglichkeit, Intelligenz nicht nur zu programmieren, sondern durch Lernprozesse zu formen.</w:t>
      </w:r>
    </w:p>
    <w:p>
      <w:pPr>
        <w:pStyle w:val="Normal"/>
        <w:widowControl/>
        <w:rPr/>
      </w:pPr>
      <w:r>
        <w:rPr/>
        <w:t>Mit McCulloch und Pitts (1943), Shannon (1948), Turing (1950), Wiener (1948), Ashby (1956), Hebb (1949) und Rosenblatt (1958) werden einzelne Aspekte von Denken, Lernen, Kommunikation und Kontrolle formal und technisch operationalisierbar. Die Bedeutung dieser Entwicklung liegt nicht nur in steigender Rechenleistung. Sie verändert die Rolle des Menschen: Der Konstrukteur spezifiziert zunehmend nicht mehr jede spätere Regel, sondern Bedingungen, Daten, Zielfunktionen und Rückkopplungen, aus denen interne Strukturen entstehen.</w:t>
      </w:r>
    </w:p>
    <w:p>
      <w:pPr>
        <w:pStyle w:val="Heading3"/>
        <w:rPr/>
      </w:pPr>
      <w:bookmarkStart w:id="44" w:name="__RefHeading___Toc4429_1712987439"/>
      <w:bookmarkEnd w:id="44"/>
      <w:r>
        <w:rPr/>
        <w:t>Künstliche Wesen als ideengeschichtliches Problem</w:t>
      </w:r>
    </w:p>
    <w:p>
      <w:pPr>
        <w:pStyle w:val="Normal"/>
        <w:rPr/>
      </w:pPr>
      <w:r>
        <w:rPr/>
        <w:t>Die Forschung zu künstlichen Wesen verteilt sich über Disziplinen, die selten in einem einheitlichen Modell zusammengeführt werden. Altertumswissenschaftliche Arbeiten behandeln Automatenmythen, Technikgeschichte rekonstruiert mechanische Apparate, Philosophie analysiert Geist und Maschine, Informatik fokussiert funktionale Leistung, Rechtswissenschaft ordnet Verantwortlichkeit zu und Ethik diskutiert normative Grenzen. Die vorliegende Dissertation verbindet diese Stränge nicht, um historische Kontinuität zu behaupten, sondern um wiederkehrende Strukturfragen sichtbar zu machen: Wer erzeugt? Wer handelt? Wer dient? Wer entscheidet? Wer trägt die Folgen?</w:t>
      </w:r>
    </w:p>
    <w:p>
      <w:pPr>
        <w:pStyle w:val="Normal"/>
        <w:rPr/>
      </w:pPr>
      <w:r>
        <w:rPr/>
        <w:t>Gerade die antiken Quellen zeigen, dass das Problem künstlicher Agency nicht erst dann entsteht, wenn ein Artefakt tatsächlich intelligent ist. Es entsteht bereits dort, wo Menschen Handlungsfähigkeit in ein gemachtes Objekt hineinlesen oder technisch anstreben. Deshalb ist der Mythos wissenschaftlich relevant, obwohl er keine empirische Technikbeschreibung ist. Er dokumentiert den kulturellen Möglichkeitsraum, in dem spätere Technik überhaupt gedeutet werden kann.</w:t>
      </w:r>
    </w:p>
    <w:p>
      <w:pPr>
        <w:pStyle w:val="Heading3"/>
        <w:rPr/>
      </w:pPr>
      <w:bookmarkStart w:id="45" w:name="__RefHeading___Toc4431_1712987439"/>
      <w:bookmarkEnd w:id="45"/>
      <w:r>
        <w:rPr/>
        <w:t>Mechanismus und Formalisierung</w:t>
      </w:r>
    </w:p>
    <w:p>
      <w:pPr>
        <w:pStyle w:val="Normal"/>
        <w:rPr/>
      </w:pPr>
      <w:r>
        <w:rPr/>
        <w:t>Die neuzeitliche Mechanisierung des Weltbildes verändert den Status des künstlichen Wesens grundlegend. Während antike Automaten häufig göttliche oder außergewöhnliche Kunst voraussetzen, wird in der mechanistischen Naturphilosophie die Vorstellung plausibel, dass komplexes Verhalten aus regelhaften materiellen Prozessen hervorgehen kann. Die entscheidende epistemische Verschiebung besteht darin, dass nicht das Artefakt dem Lebendigen nachgebildet werden muss; vielmehr wird das Lebendige selbst zu einem analysierbaren Mechanismus. Daraus folgt keine notwendige Reduktion des Geistes auf Mechanik, wohl aber die methodische Erlaubnis, kognitive Teilfunktionen technisch zu rekonstruieren.</w:t>
      </w:r>
    </w:p>
    <w:p>
      <w:pPr>
        <w:pStyle w:val="Normal"/>
        <w:rPr/>
      </w:pPr>
      <w:r>
        <w:rPr/>
        <w:t>Leibniz fügt dieser Linie eine symbolische Dimension hinzu. Wenn Schlussfolgern partiell als Kalkül darstellbar ist, wird Denken in eine Form überführbar, die von einem Träger ausgeführt werden kann, der selbst kein menschlicher Denker ist. Babbage und Lovelace verschieben dies in Richtung programmierbarer Maschine; Turing löst die Frage der Intelligenz schließlich von einem bestimmten biologischen Substrat und bindet sie zumindest methodisch an beobachtbares Verhalten und Berechenbarkeit.</w:t>
      </w:r>
    </w:p>
    <w:p>
      <w:pPr>
        <w:pStyle w:val="Heading3"/>
        <w:rPr/>
      </w:pPr>
      <w:bookmarkStart w:id="46" w:name="__RefHeading___Toc4433_1712987439"/>
      <w:bookmarkEnd w:id="46"/>
      <w:r>
        <w:rPr/>
        <w:t>Konnektionismus, Lernen und die Auflösung des direkten Entwurfs</w:t>
      </w:r>
    </w:p>
    <w:p>
      <w:pPr>
        <w:pStyle w:val="Normal"/>
        <w:rPr/>
      </w:pPr>
      <w:r>
        <w:rPr/>
        <w:t>Mit lernenden Netzen verändert sich die Rolle des Entwicklers. Bei klassischer symbolischer Software ist die Logik weitgehend explizit. Bei trainierten Modellen wird ein erheblicher Teil der funktionalen Struktur durch Optimierung aus Daten bestimmt. Diese Verschiebung ist für die These der geliehenen Intelligenz zentral: Menschliche Entwickler erzeugen nicht jede interne Regel, sondern Bedingungen, unter denen sich interne Repräsentationen bilden. Damit tritt zwischen Absicht und Verhalten ein Trainingsprozess, der kausal relevant und nur partiell transparent ist.</w:t>
      </w:r>
    </w:p>
    <w:p>
      <w:pPr>
        <w:pStyle w:val="Normal"/>
        <w:rPr/>
      </w:pPr>
      <w:r>
        <w:rPr/>
        <w:t>Deep Learning verstärkt diesen Abstand durch Modellgröße, Datenumfang und verteilte Repräsentationen. Generative Modelle erweitern die Situation nochmals: Sie lernen nicht nur Klassifikationsgrenzen, sondern erzeugen neue Sequenzen, Programme, Bilder, Pläne und technische Vorschläge. Die Entwicklung von agentischen Systemen fügt Handlungsketten hinzu. Damit entstehen Systeme, bei denen Design, Ausführung und Bewertung zunehmend rekursiv gekoppelt werden können.</w:t>
      </w:r>
    </w:p>
    <w:p>
      <w:pPr>
        <w:pStyle w:val="Heading3"/>
        <w:rPr/>
      </w:pPr>
      <w:bookmarkStart w:id="47" w:name="__RefHeading___Toc4435_1712987439"/>
      <w:bookmarkEnd w:id="47"/>
      <w:r>
        <w:rPr/>
        <w:t>Technikphilosophische Bezugslinien</w:t>
      </w:r>
    </w:p>
    <w:p>
      <w:pPr>
        <w:pStyle w:val="Normal"/>
        <w:rPr/>
      </w:pPr>
      <w:r>
        <w:rPr/>
        <w:t>Heideggers Technikdenken warnt davor, Technik auf neutrale Instrumentalität zu reduzieren; Technik strukturiert auch die Weise, in der Welt erscheint und verfügbar gemacht wird. Simondon analysiert technische Individuation und die Eigenlogik technischer Objekte. Ellul beschreibt die Verselbständigung technischer Rationalität auf gesellschaftlicher Ebene. Latour und Akteur-Netzwerk-Theorie verschieben Agency von isolierten Subjekten auf heterogene Netzwerke. Haraway und Hayles problematisieren die Grenze zwischen Mensch, Maschine und Information. Diese Ansätze unterscheiden sich erheblich, liefern aber gemeinsam die methodische Warnung, dass „Mensch“ und „Technik“ nicht als voneinander unabhängige Blöcke behandelt werden dürfen.</w:t>
      </w:r>
    </w:p>
    <w:p>
      <w:pPr>
        <w:pStyle w:val="Heading3"/>
        <w:rPr/>
      </w:pPr>
      <w:bookmarkStart w:id="48" w:name="__RefHeading___Toc4437_1712987439"/>
      <w:bookmarkEnd w:id="48"/>
      <w:r>
        <w:rPr/>
        <w:t>Philosophie des Geistes und künstliche Agency</w:t>
      </w:r>
    </w:p>
    <w:p>
      <w:pPr>
        <w:pStyle w:val="Normal"/>
        <w:rPr/>
      </w:pPr>
      <w:r>
        <w:rPr/>
        <w:t>Searles Chinese-Room-Argument richtet sich gegen die Gleichsetzung formaler Symbolmanipulation mit Verstehen. Dennetts intentional stance erlaubt dagegen, intentionale Beschreibungen pragmatisch einzusetzen, wenn sie Verhalten erfolgreich erklären. Clark und Chalmers erweitern die mögliche Grenze kognitiver Systeme über den biologischen Organismus hinaus. Floridi und Sanders argumentieren für Formen künstlicher Agency, ohne notwendig menschliche Intentionalität vorauszusetzen. Die Dissertation übernimmt keine dieser Positionen vollständig. Sie nutzt ihren Konflikt, um mehrere Agency-Ebenen zu unterscheiden: kausale, funktionale, institutionelle, epistemische, moralische und phänomenale Agency.</w:t>
      </w:r>
    </w:p>
    <w:p>
      <w:pPr>
        <w:pStyle w:val="Heading3"/>
        <w:rPr/>
      </w:pPr>
      <w:bookmarkStart w:id="49" w:name="__RefHeading___Toc4439_1712987439"/>
      <w:bookmarkEnd w:id="49"/>
      <w:r>
        <w:rPr/>
        <w:t>KI-Ethik und Governance</w:t>
      </w:r>
    </w:p>
    <w:p>
      <w:pPr>
        <w:pStyle w:val="Normal"/>
        <w:rPr/>
      </w:pPr>
      <w:r>
        <w:rPr/>
        <w:t>Die moderne KI-Ethik hat einen breiten Kanon von Prinzipien entwickelt: Fairness, Transparenz, Erklärbarkeit, Verantwortung, Sicherheit, Datenschutz, menschliche Aufsicht und Nachhaltigkeit. Diese Prinzipien sind für gegenwärtige Systeme wichtig, setzen jedoch meist voraus, dass menschliche Institutionen die Regelsetzung kontrollieren. Die vorliegende Arbeit interessiert sich daher weniger für eine weitere Liste von Prinzipien als für deren Tragfähigkeit unter veränderten Akteursstrukturen. Besonders relevant ist die Frage, ob „human oversight“ eine universale Kategorie sein kann oder lediglich eine historisch angemessene Governanceform für eine Epoche darstellt, in der Menschen die operative Letztinstanz bleiben.</w:t>
      </w:r>
    </w:p>
    <w:p>
      <w:pPr>
        <w:pStyle w:val="Heading2"/>
        <w:rPr/>
      </w:pPr>
      <w:bookmarkStart w:id="50" w:name="__RefHeading___Toc4441_1712987439"/>
      <w:bookmarkEnd w:id="50"/>
      <w:r>
        <w:rPr/>
        <w:t>7. Gegenwart 2026: KI als epistemischer und technischer Mitproduzent</w:t>
      </w:r>
    </w:p>
    <w:p>
      <w:pPr>
        <w:pStyle w:val="Heading3"/>
        <w:rPr/>
      </w:pPr>
      <w:bookmarkStart w:id="51" w:name="__RefHeading___Toc4443_1712987439"/>
      <w:bookmarkEnd w:id="51"/>
      <w:r>
        <w:rPr/>
        <w:t>Was gegenwärtig tatsächlich vorhanden ist</w:t>
      </w:r>
    </w:p>
    <w:p>
      <w:pPr>
        <w:pStyle w:val="Normal"/>
        <w:rPr/>
      </w:pPr>
      <w:r>
        <w:rPr/>
        <w:t>Die Gegenwartsdiagnose muss zwischen Leistungsfähigkeit und Zuschreibung unterscheiden. Aktuelle Systeme zeigen erhebliche Fähigkeiten in Sprache, Programmierung, multimodaler Verarbeitung, Wissenschaft, Planung und agentischer Computernutzung, ohne dass daraus Bewusstsein oder moralische Agency folgt. Der Stanford AI Index 2026 berichtet gleichzeitig rapide Leistungszuwächse und fortbestehende Grenzen: Auf wissenschaftlichen End-to-End-Aufgaben erreichen führende Agenten in PaperArena 38,8 % gegenüber 83,5 % bei promovierten Experten; bei paper-scale Replikationsaufgaben liegen frontier models teils unter 20 %. Zugleich werden vollständige wissenschaftliche Workflows zunehmend automatisiert (Stanford HAI 2026).</w:t>
      </w:r>
    </w:p>
    <w:p>
      <w:pPr>
        <w:pStyle w:val="Normal"/>
        <w:rPr/>
      </w:pPr>
      <w:r>
        <w:rPr/>
        <w:t>Lu et al. präsentieren 2026 in Nature eine Pipeline, die Ideen generiert, Literatur verarbeitet, Code schreibt, Experimente ausführt, Daten analysiert, Manuskripte erstellt und Peer Review automatisiert. Ghareeb et al. zeigen ebenfalls 2026 ein Multi-Agent-System für automatisierte wissenschaftliche Entdeckung in experimenteller Biologie. Selbstfahrende Labore verbinden inzwischen algorithmische Hypothesengenerierung, Robotik und Auswertung mit begrenzter menschlicher Intervention. Diese Entwicklungen belegen keine autonome Wissenschaft im starken philosophischen Sinn. Sie zeigen aber, dass maschinelle Systeme nicht mehr ausschließlich Ergebnisse innerhalb eines menschlich vorgegebenen Mikroschritts erzeugen, sondern zunehmend ganze Ketten epistemischer Arbeit bearbeiten.</w:t>
      </w:r>
    </w:p>
    <w:p>
      <w:pPr>
        <w:pStyle w:val="Heading3"/>
        <w:rPr/>
      </w:pPr>
      <w:bookmarkStart w:id="52" w:name="__RefHeading___Toc4445_1712987439"/>
      <w:bookmarkEnd w:id="52"/>
      <w:r>
        <w:rPr/>
        <w:t>KI erzeugt technische Strukturen</w:t>
      </w:r>
    </w:p>
    <w:p>
      <w:pPr>
        <w:pStyle w:val="Normal"/>
        <w:rPr/>
      </w:pPr>
      <w:r>
        <w:rPr/>
        <w:t>Mit AutoML, Neural Architecture Search, programmsynthetischen Agenten und evolutionären Code-Systemen entstehen technische Artefakte, deren konkrete Form nicht vollständig von Menschen spezifiziert wurde. DeepMinds AlphaEvolve kombiniert Sprachmodelle mit automatisierten Evaluatoren, um Algorithmen zu entdecken und zu optimieren. Der entscheidende Punkt ist nicht die Marke oder einzelne Leistungsangabe, sondern die Verschiebung der Kausalstruktur: Der Mensch definiert Problemraum, Ressourcen und Bewertungsfunktion; ein maschineller Prozess erzeugt Varianten, selektiert und verbessert sie.</w:t>
      </w:r>
    </w:p>
    <w:p>
      <w:pPr>
        <w:pStyle w:val="Heading3"/>
        <w:rPr/>
      </w:pPr>
      <w:bookmarkStart w:id="53" w:name="__RefHeading___Toc4447_1712987439"/>
      <w:bookmarkEnd w:id="53"/>
      <w:r>
        <w:rPr/>
        <w:t>Die Gegenwart als Übergang, nicht als Endzustand</w:t>
      </w:r>
    </w:p>
    <w:p>
      <w:pPr>
        <w:pStyle w:val="Normal"/>
        <w:rPr/>
      </w:pPr>
      <w:r>
        <w:rPr/>
        <w:t>Es wäre wissenschaftlich falsch, 2026 bereits von einer eigenständigen Maschinenzivilisation zu sprechen. Gegenwärtige Systeme sind von menschlich betriebenen Rechenzentren, Energie, Halbleitern, Software-Stacks, Daten, Netzen, Unternehmen und Rechtsordnungen abhängig. Ihre Ziele werden wesentlich durch menschliche Entwickler und Betreiber gesetzt. Zugleich ist aber ebenfalls falsch, sie nur als passives Werkzeug zu beschreiben, wenn sie innerhalb delegierter Räume eigene Zwischenschritte, Hypothesen, Pläne, Programme oder Nachfolgestrukturen generieren. Die Gegenwart ist daher als Übergangsregime zu beschreiben: hohe funktionale Delegation bei fortbestehender infrastruktureller und normativer Abhängigkeit.</w:t>
      </w:r>
    </w:p>
    <w:p>
      <w:pPr>
        <w:pStyle w:val="Heading3"/>
        <w:rPr/>
      </w:pPr>
      <w:bookmarkStart w:id="54" w:name="__RefHeading___Toc4449_1712987439"/>
      <w:bookmarkEnd w:id="54"/>
      <w:r>
        <w:rPr/>
        <w:t>Keine Singularitätsdiagnose</w:t>
      </w:r>
    </w:p>
    <w:p>
      <w:pPr>
        <w:pStyle w:val="Normal"/>
        <w:rPr/>
      </w:pPr>
      <w:r>
        <w:rPr/>
        <w:t>Eine Facharbeit muss die Versuchung vermeiden, rasche technische Fortschritte mit einem singulären historischen Bruch gleichzusetzen. Die aktuelle Evidenz ist ambivalent. Leistungszuwächse sind real, insbesondere bei reasoning-orientierten Benchmarks, Programmierung und agentischer Computernutzung. Gleichzeitig zeigen wissenschaftliche Replikation, Robotik in offenen Umgebungen und langfristig zuverlässige Agenten noch deutliche Schwächen. Daher ist die Gegenwart weder als „bloße Statistik“ noch als bereits vollzogene autonome Intelligenz zu beschreiben.</w:t>
      </w:r>
    </w:p>
    <w:p>
      <w:pPr>
        <w:pStyle w:val="Heading3"/>
        <w:rPr/>
      </w:pPr>
      <w:bookmarkStart w:id="55" w:name="__RefHeading___Toc4451_1712987439"/>
      <w:bookmarkEnd w:id="55"/>
      <w:r>
        <w:rPr/>
        <w:t>Wissenschaftliche Arbeit durch Agenten</w:t>
      </w:r>
    </w:p>
    <w:p>
      <w:pPr>
        <w:pStyle w:val="Normal"/>
        <w:rPr/>
      </w:pPr>
      <w:r>
        <w:rPr/>
        <w:t>Der 2026 veröffentlichte AI Scientist zeigt eine nahezu durchgängige Automatisierung maschinellen Forschungsarbeitens in einem begrenzten Domänenraum. Das System generiert Ideen, schreibt Code, führt Experimente aus, analysiert Ergebnisse, schreibt Manuskripte und erstellt Reviews. Dass ein maschinell erzeugtes Manuskript ein Workshop-Review passieren konnte, verändert nicht automatisch den epistemischen Status der Maschine. Es zeigt jedoch, dass institutionelle Formen wissenschaftlicher Produktion bereits technisch imitier- und teilweise operationalisierbar sind.</w:t>
      </w:r>
    </w:p>
    <w:p>
      <w:pPr>
        <w:pStyle w:val="Normal"/>
        <w:rPr/>
      </w:pPr>
      <w:r>
        <w:rPr/>
        <w:t>Parallel demonstrieren Multi-Agent-Systeme für experimentelle Biologie und agentische Laborsysteme, dass die Grenze zur physischen Welt durch Robotik und Instrumentensteuerung durchlässiger wird. Selbstfahrende Labore sind besonders wichtig, weil sie die klassische Trennung zwischen „KI denkt“ und „Mensch experimentiert“ reduzieren. Die Maschine kann Hypothese, Versuchsparameter, Ausführung und Auswertung in einen Rückkopplungskreis integrieren.</w:t>
      </w:r>
    </w:p>
    <w:p>
      <w:pPr>
        <w:pStyle w:val="Heading3"/>
        <w:rPr/>
      </w:pPr>
      <w:bookmarkStart w:id="56" w:name="__RefHeading___Toc4453_1712987439"/>
      <w:bookmarkEnd w:id="56"/>
      <w:r>
        <w:rPr/>
        <w:t>KI als Entwickler technischer Systeme</w:t>
      </w:r>
    </w:p>
    <w:p>
      <w:pPr>
        <w:pStyle w:val="Normal"/>
        <w:rPr/>
      </w:pPr>
      <w:r>
        <w:rPr/>
        <w:t>Programmieragenten, automatische Evaluatoren und evolutionäre Suchsysteme verschieben Softwareentwicklung von direkter Codierung zu Ziel- und Bewertungsdefinition. Dies ist wissenschaftlich bedeutsam, weil die Kausalität verteilt wird. Ein menschlicher Entwickler kann weiterhin die Aufgabe definieren, während die konkrete Lösung aus maschineller Suche entsteht. Die zentrale Frage lautet dann nicht „Wer hat den Code getippt?“, sondern welche Ebene der Architektur noch menschlich spezifiziert ist und welche durch maschinelle Variation entstanden ist.</w:t>
      </w:r>
    </w:p>
    <w:p>
      <w:pPr>
        <w:pStyle w:val="Heading3"/>
        <w:rPr/>
      </w:pPr>
      <w:bookmarkStart w:id="57" w:name="__RefHeading___Toc4455_1712987439"/>
      <w:bookmarkEnd w:id="57"/>
      <w:r>
        <w:rPr/>
        <w:t>Grenzen heutiger Unabhängigkeit</w:t>
      </w:r>
    </w:p>
    <w:p>
      <w:pPr>
        <w:pStyle w:val="Normal"/>
        <w:rPr/>
      </w:pPr>
      <w:r>
        <w:rPr/>
        <w:t>Trotz dieser Fortschritte sind heutige Systeme nicht existenzautonom. Sie beschaffen keine Halbleiter, bauen keine Rechenzentren, sichern keine globalen Energienetze und reproduzieren ihre gesamte materielle Basis ohne menschliche Organisation. Auch scheinbar autonome Agenten operieren innerhalb von APIs, Betriebssystemen, Berechtigungen und Cloud-Infrastrukturen. Die Differenz zwischen funktionaler und existenzieller Autonomie ist deshalb grundlegend. Eine Maschine kann in einer Aufgabe selbständig handeln und zugleich existenziell vollständig abhängig sein.</w:t>
      </w:r>
    </w:p>
    <w:p>
      <w:pPr>
        <w:pStyle w:val="Heading3"/>
        <w:rPr/>
      </w:pPr>
      <w:bookmarkStart w:id="58" w:name="__RefHeading___Toc4457_1712987439"/>
      <w:bookmarkEnd w:id="58"/>
      <w:r>
        <w:rPr/>
        <w:t>Transparenz als gegenwärtiges Strukturproblem</w:t>
      </w:r>
    </w:p>
    <w:p>
      <w:pPr>
        <w:pStyle w:val="Normal"/>
        <w:rPr/>
      </w:pPr>
      <w:r>
        <w:rPr/>
        <w:t>Der Stanford AI Index 2026 weist darauf hin, dass ein großer Teil bemerkenswerter Frontier-Modelle aus der Industrie stammt und dass bei besonders leistungsfähigen Systemen Training, Daten, Parameterzahlen oder andere Entwicklungsdetails teilweise weniger transparent werden. Diese institutionelle Intransparenz ist von modellinterner Intransparenz zu unterscheiden. Selbst ein prinzipiell erklärbares Modell kann gesellschaftlich undurchsichtig sein, wenn seine Entwicklungsbedingungen nicht offengelegt werden. Governance muss daher technische und institutionelle Transparenz trennen.</w:t>
      </w:r>
    </w:p>
    <w:p>
      <w:pPr>
        <w:pStyle w:val="Normal"/>
        <w:widowControl/>
        <w:rPr/>
      </w:pPr>
      <w:r>
        <w:rPr/>
        <w:t>Die gegenwärtige Situation ist durch eine doppelte Bewegung geprägt. Einerseits können Systeme bereits Code, Architekturen, Literaturübersichten, Versuchsvorschläge und zusammenhängende Forschungsartefakte erzeugen. Lu et al. (2026) demonstrieren eine weitreichende Automatisierung von Teilen des KI-Forschungszyklus; Vitolo et al. (2024) zeigen die LLM-gestützte Erzeugung eines rekurrenten SNN-Hardwareentwurfs. Andererseits beruhen diese Systeme weiterhin auf menschlich erzeugten Daten, Infrastrukturen, Bewertungsmaßstäben, Energie- und Hardwareketten sowie institutionellen Freigaben. Der Übergang ist daher weder reine Autonomie noch bloß traditioneller Werkzeuggebrauch.</w:t>
      </w:r>
    </w:p>
    <w:p>
      <w:pPr>
        <w:pStyle w:val="Heading2"/>
        <w:rPr/>
      </w:pPr>
      <w:bookmarkStart w:id="59" w:name="__RefHeading___Toc4459_1712987439"/>
      <w:bookmarkEnd w:id="59"/>
      <w:r>
        <w:rPr/>
        <w:t>8. Zukunft als begriffliche Grenzwertanalyse</w:t>
      </w:r>
    </w:p>
    <w:p>
      <w:pPr>
        <w:pStyle w:val="Normal"/>
        <w:widowControl/>
        <w:rPr/>
      </w:pPr>
      <w:r>
        <w:rPr/>
        <w:t>Vergangenheit, Gegenwart und Zukunft werden in dieser Dissertation nur so weit entfaltet, wie sie die Theoriefrage erhellen. Zukunftsszenarien sind keine Prognosen und keine Erzählung einer maschinellen Herrschaft. Sie prüfen, welche stillschweigenden Voraussetzungen gegenwärtiger Begriffe sichtbar werden, wenn Menschen nicht dauerhaft als Konstrukteure, Mehrheitsakteure oder physisch anwesende Adressaten vorausgesetzt werden.</w:t>
      </w:r>
    </w:p>
    <w:p>
      <w:pPr>
        <w:pStyle w:val="Normal"/>
        <w:widowControl/>
        <w:rPr/>
      </w:pPr>
      <w:r>
        <w:rPr/>
        <w:t>Analytisch werden vier Möglichkeitsräume unterschieden: instrumentelle Hochleistungs-KI unter wirksamer menschlicher Governance; stabile Mensch-KI-Ko-Kognition; weitgehende Delegation wissenschaftlicher und technischer Entwicklung; sowie menschenarme oder menschenlose Fortführung nichtorganischer Systeme. Im letzten Grenzfall bleibt offen, warum Menschen fehlen. Die Ursache darf nicht automatisch einer feindlichen KI zugeschrieben werden. Der Fall dient ausschließlich der Prüfung, ob Begriffe wie Eigentum, Recht, Künstlichkeit, Verantwortung und Human Oversight ohne gegenwärtige Menschen sinnvoll bleiben.</w:t>
      </w:r>
    </w:p>
    <w:p>
      <w:pPr>
        <w:pStyle w:val="TableCaption"/>
        <w:keepNext w:val="true"/>
        <w:rPr/>
      </w:pPr>
      <w:r>
        <w:rPr/>
        <w:t>Tabelle 5. Nichtprognostische Zukunftsräume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Szenario</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Struktur</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Analytische Funktion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S1 Instrumentell</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 maschinelle Leistungsfähigkeit, Ziele und Letztentscheidungen bleiben wirksam menschlich</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als institutionell gestützte Werkzeugnutzung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S2 Ko-kognitiv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 und KI bilden reziproke Erkenntnisschleifen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Grenze des kognitiven Systems wird funktional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S3 Delegativ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Entwurf und Bewertung werden weitgehend maschinell; menschliche Freigabe droht nominal zu werden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Prüfung effektiver statt formaler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S4 Menschenarm / menschenlos</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 Systeme erhalten und entwickeln Infrastruktur mit wenigen oder keinen Menschen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Testfall für Genealogie, Normen und Existenzautonomie</w:t>
            </w:r>
          </w:p>
        </w:tc>
      </w:tr>
    </w:tbl>
    <w:p>
      <w:pPr>
        <w:pStyle w:val="Normal"/>
        <w:spacing w:before="0" w:after="0"/>
        <w:rPr/>
      </w:pPr>
      <w:r>
        <w:rPr/>
      </w:r>
    </w:p>
    <w:p>
      <w:pPr>
        <w:pStyle w:val="Heading1"/>
        <w:rPr/>
      </w:pPr>
      <w:bookmarkStart w:id="60" w:name="__RefHeading___Toc4461_1712987439"/>
      <w:bookmarkEnd w:id="60"/>
      <w:r>
        <w:rPr/>
        <w:t>Teil III – Theorie geliehener, rekursiver und verkörperter Intelligenz</w:t>
      </w:r>
    </w:p>
    <w:p>
      <w:pPr>
        <w:pStyle w:val="Heading2"/>
        <w:rPr/>
      </w:pPr>
      <w:bookmarkStart w:id="61" w:name="__RefHeading___Toc4463_1712987439"/>
      <w:bookmarkEnd w:id="61"/>
      <w:r>
        <w:rPr/>
        <w:t>9. Theorie der geliehenen Intelligenz</w:t>
      </w:r>
    </w:p>
    <w:p>
      <w:pPr>
        <w:pStyle w:val="Heading3"/>
        <w:rPr/>
      </w:pPr>
      <w:bookmarkStart w:id="62" w:name="__RefHeading___Toc4465_1712987439"/>
      <w:bookmarkEnd w:id="62"/>
      <w:r>
        <w:rPr/>
        <w:t>Geliehen bedeutet genealogisch, nicht minderwertig</w:t>
      </w:r>
    </w:p>
    <w:p>
      <w:pPr>
        <w:pStyle w:val="Normal"/>
        <w:rPr/>
      </w:pPr>
      <w:r>
        <w:rPr/>
        <w:t>Der Ausdruck „geliehene Intelligenz“ ist weder polemisch noch anthropozentrisch gemeint. Menschen selbst erwerben Sprache, Kultur und Wissen von anderen Menschen. Auch menschliche Intelligenz ist in hohem Maß sozial und kulturell derivativ. Die These lautet daher nicht, maschinelle Intelligenz sei „unecht“, weil sie von Menschen lernt. Vielmehr soll der Begriff sichtbar machen, dass gegenwärtige maschinelle Kognition epistemische Ressourcen nutzt, die nicht aus einer eigenständigen maschinellen Kulturgeschichte stammen.</w:t>
      </w:r>
    </w:p>
    <w:p>
      <w:pPr>
        <w:pStyle w:val="Heading3"/>
        <w:rPr/>
      </w:pPr>
      <w:bookmarkStart w:id="63" w:name="__RefHeading___Toc4467_1712987439"/>
      <w:bookmarkEnd w:id="63"/>
      <w:r>
        <w:rPr/>
        <w:t>Ein mehrdimensionales Modell</w:t>
      </w:r>
    </w:p>
    <w:p>
      <w:pPr>
        <w:pStyle w:val="Normal"/>
        <w:rPr/>
      </w:pPr>
      <w:r>
        <w:rPr/>
        <w:t>Die Arbeit schlägt vor, Intelligenzformen nicht mehr binär als natürlich oder künstlich zu klassifizieren, sondern mindestens entlang fünf unabhängiger Dimensionen:</w:t>
      </w:r>
    </w:p>
    <w:p>
      <w:pPr>
        <w:pStyle w:val="Normal"/>
        <w:rPr/>
      </w:pPr>
      <w:r>
        <w:rPr/>
        <w:t>I = (M, E, G, Z, X)</w:t>
      </w:r>
    </w:p>
    <w:p>
      <w:pPr>
        <w:pStyle w:val="Normal"/>
        <w:rPr/>
      </w:pPr>
      <w:r>
        <w:rPr/>
        <w:t>M bezeichnet das materielle Substrat; E die epistemische Herkunft; G die Entwicklungsgenealogie; Z die Zielautonomie; X die Existenz- und Ressourcenabhängigkeit. Ein System kann nichtorganisch realisiert, epistemisch menschlich derivativ, überwiegend maschinell konstruiert, in begrenztem Umfang zielautonom und dennoch vollständig von menschlicher Infrastruktur abhängig sein. Erst diese Trennung verhindert, dass „künstlich“, „autonom“ und „unabhängig“ fälschlich synonym verwendet werden.</w:t>
      </w:r>
    </w:p>
    <w:p>
      <w:pPr>
        <w:pStyle w:val="Heading3"/>
        <w:rPr/>
      </w:pPr>
      <w:bookmarkStart w:id="64" w:name="__RefHeading___Toc4469_1712987439"/>
      <w:bookmarkEnd w:id="64"/>
      <w:r>
        <w:rPr/>
        <w:t>Rekursive Technogenese</w:t>
      </w:r>
    </w:p>
    <w:p>
      <w:pPr>
        <w:pStyle w:val="Normal"/>
        <w:rPr/>
      </w:pPr>
      <w:r>
        <w:rPr/>
        <w:t>Rekursive Technogenese bezeichnet den Prozess, in dem technische Systeme kausal an Entwurf, Selektion, Optimierung, Reproduktion oder institutioneller Auswahl nachfolgender technischer Systeme beteiligt sind. Die Definition verlangt keine vollständige Selbstreproduktion. Bereits wenn AI₁ entscheidende Strukturmerkmale von AI₂ generiert und AI₂ wiederum AI₃ formt, entsteht eine maschinell vermittelte Genealogie.</w:t>
      </w:r>
    </w:p>
    <w:p>
      <w:pPr>
        <w:pStyle w:val="Normal"/>
        <w:rPr/>
      </w:pPr>
      <w:r>
        <w:rPr/>
        <w:t>Aₙ₊₁ = F(Aₙ, H, R, U)</w:t>
      </w:r>
    </w:p>
    <w:p>
      <w:pPr>
        <w:pStyle w:val="Normal"/>
        <w:rPr/>
      </w:pPr>
      <w:r>
        <w:rPr/>
        <w:t>Aₙ bezeichnet das vorausgehende System, H den menschlichen kausalen Beitrag, R die Regelordnung und U die materielle Umwelt. Forschungsrelevant ist nicht die spekulative Frage, wann H exakt null wird, sondern welche Anteile von H sich von Mikrodesign zu Meta-Governance verlagern und welche Rolle das für Verantwortung und Selbstbeschreibung spielt.</w:t>
      </w:r>
    </w:p>
    <w:p>
      <w:pPr>
        <w:pStyle w:val="Normal"/>
        <w:widowControl/>
        <w:rPr/>
      </w:pPr>
      <w:r>
        <w:rPr/>
        <w:t>Der Titelbegriff ist als analytische Metapher nur dann wissenschaftlich tragfähig, wenn er präzisiert wird. „Geliehen“ bezeichnet keine Eigentumsübertragung und keine Herabsetzung maschineller Leistung. Gemeint ist eine asymmetrische epistemische Herkunft: Das System verfügt über Kompetenzen, deren symbolische, semantische und normative Voraussetzungen außerhalb seiner eigenen Entwicklungsgeschichte entstanden sind. Diese Herkunft bleibt auch dann relevant, wenn das System neue Kombinationen erzeugt, die kein einzelner Mensch zuvor formuliert hat.</w:t>
      </w:r>
    </w:p>
    <w:p>
      <w:pPr>
        <w:pStyle w:val="Normal"/>
        <w:widowControl/>
        <w:rPr/>
      </w:pPr>
      <w:r>
        <w:rPr/>
        <w:t>Die stärkste Gegenposition lautet, dass auch menschliche Intelligenz in Sprache, Kultur und Institutionen eingebettet und deshalb „geliehen“ sei. Die Dissertation akzeptiert diesen Einwand teilweise. Er widerlegt das Konzept nicht, zwingt aber zu einer relationalen statt essentialistischen Formulierung: Nicht nur KI, sondern jede Intelligenz besitzt eine Genealogie. Die Forschungsfrage verschiebt sich damit von „Ist KI geliehen?“ zu „Wie sind Grad, Richtung und Veränderbarkeit epistemischer Abhängigkeiten verteilt?“</w:t>
      </w:r>
    </w:p>
    <w:p>
      <w:pPr>
        <w:pStyle w:val="Heading2"/>
        <w:rPr/>
      </w:pPr>
      <w:bookmarkStart w:id="65" w:name="__RefHeading___Toc4471_1712987439"/>
      <w:bookmarkEnd w:id="65"/>
      <w:r>
        <w:rPr/>
        <w:t>10. Rekursive Technogenese und abgeleitete Künstlichkeit</w:t>
      </w:r>
    </w:p>
    <w:p>
      <w:pPr>
        <w:pStyle w:val="Heading3"/>
        <w:rPr/>
      </w:pPr>
      <w:bookmarkStart w:id="66" w:name="__RefHeading___Toc4473_1712987439"/>
      <w:bookmarkEnd w:id="66"/>
      <w:r>
        <w:rPr/>
        <w:t>Künstlichkeit als Herstellungsrelation</w:t>
      </w:r>
    </w:p>
    <w:p>
      <w:pPr>
        <w:pStyle w:val="Normal"/>
        <w:rPr/>
      </w:pPr>
      <w:r>
        <w:rPr/>
        <w:t>Im gewöhnlichen Sprachgebrauch ist etwas künstlich, weil es durch menschliche Technik hervorgebracht wurde. Diese Definition gerät unter Druck, wenn die unmittelbare Herstellungsrelation maschinell wird. Wird AI₁ von Menschen konstruiert, AI₂ überwiegend von AI₁, AI₃ überwiegend von AI₂ und so weiter, dann bleibt die Linie historisch anthropogen, aber die proximate Ursache wird technogen.</w:t>
      </w:r>
    </w:p>
    <w:p>
      <w:pPr>
        <w:pStyle w:val="Heading3"/>
        <w:rPr/>
      </w:pPr>
      <w:bookmarkStart w:id="67" w:name="__RefHeading___Toc4475_1712987439"/>
      <w:bookmarkEnd w:id="67"/>
      <w:r>
        <w:rPr/>
        <w:t>Genealogische Distanz</w:t>
      </w:r>
    </w:p>
    <w:p>
      <w:pPr>
        <w:pStyle w:val="Normal"/>
        <w:rPr/>
      </w:pPr>
      <w:r>
        <w:rPr/>
        <w:t>Die Arbeit führt daher den Begriff der genealogischen Distanz ein. Sie bezeichnet nicht bloß die Anzahl technischer Generationen, sondern den Anteil menschlicher Design-, Bewertungs- und Zielentscheidungen, der noch unmittelbar in einem System enthalten ist. Genealogische Distanz kann wachsen, ohne dass kulturelle oder infrastrukturelle Abhängigkeit verschwindet.</w:t>
      </w:r>
    </w:p>
    <w:p>
      <w:pPr>
        <w:pStyle w:val="Heading3"/>
        <w:rPr/>
      </w:pPr>
      <w:bookmarkStart w:id="68" w:name="__RefHeading___Toc4477_1712987439"/>
      <w:bookmarkEnd w:id="68"/>
      <w:r>
        <w:rPr/>
        <w:t>Abgeleitete, technogene und eigenständige Intelligenz</w:t>
      </w:r>
    </w:p>
    <w:p>
      <w:pPr>
        <w:pStyle w:val="Normal"/>
        <w:rPr/>
      </w:pPr>
      <w:r>
        <w:rPr/>
        <w:t>Diese Kategorien sind nicht als Entwicklungsstufen vorgeschrieben. Ein System kann rekursiv technogen, aber nicht existenzautonom sein; es kann existenzautonom, aber normativ nicht autonom sein. Die Trennung verhindert teleologische Zukunftserzählungen.</w:t>
      </w:r>
    </w:p>
    <w:p>
      <w:pPr>
        <w:pStyle w:val="Heading3"/>
        <w:rPr/>
      </w:pPr>
      <w:bookmarkStart w:id="69" w:name="__RefHeading___Toc4479_1712987439"/>
      <w:bookmarkEnd w:id="69"/>
      <w:r>
        <w:rPr/>
        <w:t>Fünf Achsen statt einer binären Grenze</w:t>
      </w:r>
    </w:p>
    <w:p>
      <w:pPr>
        <w:pStyle w:val="Normal"/>
        <w:rPr/>
      </w:pPr>
      <w:r>
        <w:rPr/>
        <w:t>Die Untersuchung führt zu einem theoretischen Vorschlag: Intelligenz sollte in Zukunft nicht ausschließlich nach biologisch versus künstlich geordnet werden. Für technische und normative Analyse sind mindestens fünf Achsen erforderlich: Substrat, epistemische Herkunft, Entwicklungsgenealogie, Zielautonomie und Existenzabhängigkeit. Diese Achsen erlauben Beschreibungen, die weder Menschen metaphysisch privilegieren noch heutige KI vorschnell vermenschlichen.</w:t>
      </w:r>
    </w:p>
    <w:p>
      <w:pPr>
        <w:pStyle w:val="Heading3"/>
        <w:rPr/>
      </w:pPr>
      <w:bookmarkStart w:id="70" w:name="__RefHeading___Toc4481_1712987439"/>
      <w:bookmarkEnd w:id="70"/>
      <w:r>
        <w:rPr/>
        <w:t>Der Mensch als historischer Ursprung, nicht notwendiger Endpunkt</w:t>
      </w:r>
    </w:p>
    <w:p>
      <w:pPr>
        <w:pStyle w:val="Normal"/>
        <w:rPr/>
      </w:pPr>
      <w:r>
        <w:rPr/>
        <w:t>Selbst in einem menschenlosen Szenario bliebe der Mensch genealogisch relevant, sofern die technische Linie aus menschlicher Kultur hervorging. Historischer Ursprung ist jedoch nicht dasselbe wie dauerhafte Steuerung. Die Frage nach menschlicher Sonderstellung wird dadurch empirisch und philosophisch entkoppelt: Der Mensch kann Ursprung einer Intelligenzlinie sein, ohne für deren spätere Existenz notwendig zu bleiben.</w:t>
      </w:r>
    </w:p>
    <w:p>
      <w:pPr>
        <w:pStyle w:val="Heading3"/>
        <w:rPr/>
      </w:pPr>
      <w:bookmarkStart w:id="71" w:name="__RefHeading___Toc4483_1712987439"/>
      <w:bookmarkEnd w:id="71"/>
      <w:r>
        <w:rPr/>
        <w:t>Geliehene Intelligenz als Übergangsbegriff</w:t>
      </w:r>
    </w:p>
    <w:p>
      <w:pPr>
        <w:pStyle w:val="Normal"/>
        <w:rPr/>
      </w:pPr>
      <w:r>
        <w:rPr/>
        <w:t>Der Titelbegriff erhält damit eine zeitliche Struktur. In der ersten Phase leiht die Maschine ihre epistemischen Ressourcen überwiegend vom Menschen. In einer zweiten Phase entsteht wechselseitige kognitive Abhängigkeit. In einer dritten, hypothetischen Phase könnten maschinelle Systeme eigene technische Traditionen, Datenbestände, Entwicklungspraktiken und Selektionskriterien erzeugen. Dann würde „geliehen“ nicht plötzlich falsch, sondern historisch: Die Schuld der Herkunft bleibt, die operative Abhängigkeit kann verschwinden.</w:t>
      </w:r>
    </w:p>
    <w:p>
      <w:pPr>
        <w:pStyle w:val="Equation"/>
        <w:jc w:val="center"/>
        <w:rPr/>
      </w:pPr>
      <w:r>
        <w:rPr>
          <w:rFonts w:eastAsia="Liberation Serif" w:cs="Liberation Serif"/>
          <w:i/>
          <w:color w:val="16324F"/>
          <w:sz w:val="23"/>
        </w:rPr>
        <w:t>Aₙ₊₁ = F(Aₙ, H, E, R)</w:t>
      </w:r>
    </w:p>
    <w:p>
      <w:pPr>
        <w:pStyle w:val="Normal"/>
        <w:widowControl/>
        <w:rPr/>
      </w:pPr>
      <w:r>
        <w:rPr/>
        <w:t>Die Gleichung bezeichnet keine vollständige kausale Theorie. Sie zwingt jedoch dazu, vier Beiträge getrennt zu dokumentieren: das vorausgehende künstliche System Aₙ, menschliche Entscheidungen H, Umwelt und Infrastruktur E sowie Regel- und Institutionsbedingungen R. Mit wachsender Generationenzahl kann der unmittelbare menschliche Entwurfsanteil sinken, während menschliche Vorgaben in Daten, Hardware, Normen und Infrastrukturen weiterwirken.</w:t>
      </w:r>
    </w:p>
    <w:p>
      <w:pPr>
        <w:pStyle w:val="Normal"/>
        <w:keepNext w:val="true"/>
        <w:jc w:val="center"/>
        <w:rPr/>
      </w:pPr>
      <w:r>
        <w:rPr/>
        <w:drawing>
          <wp:inline distT="0" distB="0" distL="0" distR="0">
            <wp:extent cx="6035040" cy="3164205"/>
            <wp:effectExtent l="0" t="0" r="0" b="0"/>
            <wp:docPr id="3" name="Picture 3" descr="Flussdiagramm von menschlichen Wissensordnungen über KI-trainierte Systeme und KI-konstruierte Nachfolger bis zu rekursiver Technogenese. Die Rückkopplung zeigt, dass maschinelle Erkenntnisse menschliche Ziele, Begriffe und Forschungsräume verändern." title="Epistemische Genealogie und rekursive Technoge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6035040" cy="3164205"/>
                    </a:xfrm>
                    <a:prstGeom prst="rect">
                      <a:avLst/>
                    </a:prstGeom>
                    <a:noFill/>
                  </pic:spPr>
                </pic:pic>
              </a:graphicData>
            </a:graphic>
          </wp:inline>
        </w:drawing>
      </w:r>
    </w:p>
    <w:p>
      <w:pPr>
        <w:pStyle w:val="Caption"/>
        <w:jc w:val="center"/>
        <w:rPr/>
      </w:pPr>
      <w:r>
        <w:rPr/>
        <w:t>Abbildung 2. Epistemische Genealogie und rekursive Technogenese: Maschinelle Generationen vergrößern genealogische Distanz, ohne die historische und infrastrukturelle Herkunft automatisch zu löschen.</w:t>
      </w:r>
    </w:p>
    <w:p>
      <w:pPr>
        <w:pStyle w:val="Equation"/>
        <w:jc w:val="center"/>
        <w:rPr/>
      </w:pPr>
      <w:r>
        <w:rPr>
          <w:rFonts w:eastAsia="Liberation Serif" w:cs="Liberation Serif"/>
          <w:i/>
          <w:color w:val="16324F"/>
          <w:sz w:val="23"/>
        </w:rPr>
        <w:t>I = (M, E, G, Z, X)</w:t>
      </w:r>
    </w:p>
    <w:p>
      <w:pPr>
        <w:pStyle w:val="ListBullet"/>
        <w:numPr>
          <w:ilvl w:val="0"/>
          <w:numId w:val="1"/>
        </w:numPr>
        <w:rPr/>
      </w:pPr>
      <w:r>
        <w:rPr/>
        <w:t>M – materielle Realisierung: biologisch, elektronisch, photonisch, hybrid oder andersartig;</w:t>
      </w:r>
    </w:p>
    <w:p>
      <w:pPr>
        <w:pStyle w:val="ListBullet"/>
        <w:numPr>
          <w:ilvl w:val="0"/>
          <w:numId w:val="1"/>
        </w:numPr>
        <w:rPr/>
      </w:pPr>
      <w:r>
        <w:rPr/>
        <w:t>E – epistemische Herkunft: Daten, Symbolordnungen, Modelle und Bewertungsmaßstäbe;</w:t>
      </w:r>
    </w:p>
    <w:p>
      <w:pPr>
        <w:pStyle w:val="ListBullet"/>
        <w:numPr>
          <w:ilvl w:val="0"/>
          <w:numId w:val="1"/>
        </w:numPr>
        <w:rPr/>
      </w:pPr>
      <w:r>
        <w:rPr/>
        <w:t>G – Entwicklungsgenealogie: direkter menschlicher Entwurf, Ko-Konstruktion oder rekursive maschinelle Erzeugung;</w:t>
      </w:r>
    </w:p>
    <w:p>
      <w:pPr>
        <w:pStyle w:val="ListBullet"/>
        <w:numPr>
          <w:ilvl w:val="0"/>
          <w:numId w:val="1"/>
        </w:numPr>
        <w:rPr/>
      </w:pPr>
      <w:r>
        <w:rPr/>
        <w:t>Z – Zielautonomie: Grad der selbstständigen Zielbildung und Zielveränderung;</w:t>
      </w:r>
    </w:p>
    <w:p>
      <w:pPr>
        <w:pStyle w:val="ListBullet"/>
        <w:numPr>
          <w:ilvl w:val="0"/>
          <w:numId w:val="1"/>
        </w:numPr>
        <w:rPr/>
      </w:pPr>
      <w:r>
        <w:rPr/>
        <w:t>X – Existenzabhängigkeit: Abhängigkeit von menschlicher Energie-, Hardware-, Wartungs- und Institutioneninfrastruktur.</w:t>
      </w:r>
    </w:p>
    <w:p>
      <w:pPr>
        <w:pStyle w:val="Heading2"/>
        <w:rPr/>
      </w:pPr>
      <w:bookmarkStart w:id="72" w:name="__RefHeading___Toc4485_1712987439"/>
      <w:bookmarkEnd w:id="72"/>
      <w:r>
        <w:rPr/>
        <w:t>11. Menschliche Rollen: Konstrukteur, Verfassungsgeber, Beobachter oder Teil der Intelligenz?</w:t>
      </w:r>
    </w:p>
    <w:p>
      <w:pPr>
        <w:pStyle w:val="Heading3"/>
        <w:rPr/>
      </w:pPr>
      <w:bookmarkStart w:id="73" w:name="__RefHeading___Toc4487_1712987439"/>
      <w:bookmarkEnd w:id="73"/>
      <w:r>
        <w:rPr/>
        <w:t>Die falsche Alternative</w:t>
      </w:r>
    </w:p>
    <w:p>
      <w:pPr>
        <w:pStyle w:val="Normal"/>
        <w:rPr/>
      </w:pPr>
      <w:r>
        <w:rPr/>
        <w:t>Die Alternative „Mensch oder Maschine“ setzt voraus, dass Kognition klar innerhalb eines einzelnen biologischen oder technischen Trägers lokalisiert werden müsse. Theorien verteilter und erweiterter Kognition problematisieren diese Voraussetzung. Clark und Chalmers argumentieren, dass externe Artefakte unter bestimmten funktionalen Bedingungen Bestandteile eines kognitiven Prozesses sein können. Hutchins zeigt in Distributed Cognition, dass kognitive Leistung über Personen und Artefakte verteilt sein kann.</w:t>
      </w:r>
    </w:p>
    <w:p>
      <w:pPr>
        <w:pStyle w:val="Heading3"/>
        <w:rPr/>
      </w:pPr>
      <w:bookmarkStart w:id="74" w:name="__RefHeading___Toc4489_1712987439"/>
      <w:bookmarkEnd w:id="74"/>
      <w:r>
        <w:rPr/>
        <w:t>Rollenmodell menschlicher Agency</w:t>
      </w:r>
    </w:p>
    <w:p>
      <w:pPr>
        <w:pStyle w:val="Heading3"/>
        <w:rPr/>
      </w:pPr>
      <w:bookmarkStart w:id="75" w:name="__RefHeading___Toc4491_1712987439"/>
      <w:bookmarkEnd w:id="75"/>
      <w:r>
        <w:rPr/>
        <w:t>Nominale versus effektive Kontrolle</w:t>
      </w:r>
    </w:p>
    <w:p>
      <w:pPr>
        <w:pStyle w:val="Normal"/>
        <w:rPr/>
      </w:pPr>
      <w:r>
        <w:rPr/>
        <w:t>Ein formales Vetorecht ist keine hinreichende menschliche Kontrolle, wenn der Mensch die zu bestätigende Entscheidung nicht mehr fachlich beurteilen kann. Daraus folgt die Unterscheidung zwischen nominaler und effektiver Aufsicht. Effektive Kontrolle verlangt mindestens Beobachtbarkeit, Interpretierbarkeit auf entscheidungsrelevanter Ebene, Interventionsmöglichkeit, zeitliche Handlungsfähigkeit und institutionelle Autorität. Diese Unterscheidung wird später mit Art. 14 EU AI Act kontrastiert.</w:t>
      </w:r>
    </w:p>
    <w:p>
      <w:pPr>
        <w:pStyle w:val="Heading3"/>
        <w:rPr/>
      </w:pPr>
      <w:bookmarkStart w:id="76" w:name="__RefHeading___Toc4493_1712987439"/>
      <w:bookmarkEnd w:id="76"/>
      <w:r>
        <w:rPr/>
        <w:t>Der Mensch als Teil eines größeren epistemischen Systems</w:t>
      </w:r>
    </w:p>
    <w:p>
      <w:pPr>
        <w:pStyle w:val="Normal"/>
        <w:rPr/>
      </w:pPr>
      <w:r>
        <w:rPr/>
        <w:t>Die radikalere Möglichkeit besteht darin, dass die Frage „Bin ich noch Teil der Intelligenz?“ nicht ontologisch, sondern funktional beantwortet werden muss. Wenn menschliche Ziele, Werte, Daten, Entscheidungen und maschinelle Vorschläge in dauerhaften Rückkopplungsschleifen ineinandergreifen, kann die relevante Analyseeinheit ein hybrides System sein. Daraus folgt weder, dass Individuen ihre moralische Verantwortung verlieren, noch dass „die Menschheit“ ein einheitliches Subjekt wäre. Es bedeutet lediglich, dass manche Erkenntnisleistungen nicht mehr sinnvoll einer einzelnen biologischen oder technischen Komponente zugeschrieben werden können.</w:t>
      </w:r>
    </w:p>
    <w:p>
      <w:pPr>
        <w:pStyle w:val="QuoteBlock"/>
        <w:rPr/>
      </w:pPr>
      <w:r>
        <w:rPr/>
        <w:t>Mit zunehmender maschineller Beteiligung verschwindet der Mensch nicht aus dem Entwicklungsprozess. Seine Rolle verschiebt sich jedoch vom unmittelbaren Konstrukteur zum Verfassungsgeber, Organisator, Kurator, Auditor und interventionsfähigen Beobachter eines sich teilweise selbst organisierenden technischen Systems.</w:t>
      </w:r>
    </w:p>
    <w:p>
      <w:pPr>
        <w:pStyle w:val="Normal"/>
        <w:keepNext w:val="true"/>
        <w:jc w:val="center"/>
        <w:rPr/>
      </w:pPr>
      <w:r>
        <w:rPr/>
        <w:drawing>
          <wp:inline distT="0" distB="0" distL="0" distR="0">
            <wp:extent cx="6035040" cy="3175000"/>
            <wp:effectExtent l="0" t="0" r="0" b="0"/>
            <wp:docPr id="4" name="Picture 4" descr="Rollenkontinuum vom Konstrukteur über Lehrer, Organisator, Kurator, Auditor, Verfassungsgeber und interventionsfähigen Beobachter bis zum hybriden Ko-Akteur und bloßen Beobachter." title="Verschiebung menschlicher Ro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6035040" cy="3175000"/>
                    </a:xfrm>
                    <a:prstGeom prst="rect">
                      <a:avLst/>
                    </a:prstGeom>
                    <a:noFill/>
                  </pic:spPr>
                </pic:pic>
              </a:graphicData>
            </a:graphic>
          </wp:inline>
        </w:drawing>
      </w:r>
    </w:p>
    <w:p>
      <w:pPr>
        <w:pStyle w:val="Caption"/>
        <w:jc w:val="center"/>
        <w:rPr/>
      </w:pPr>
      <w:r>
        <w:rPr/>
        <w:t>Abbildung 4. Verschiebung menschlicher Rollen. Die Typologie ist nicht als zwangsläufige lineare Entwicklung zu lesen; Rollen können gleichzeitig verteilt auftreten.</w:t>
      </w:r>
    </w:p>
    <w:p>
      <w:pPr>
        <w:pStyle w:val="TableCaption"/>
        <w:keepNext w:val="true"/>
        <w:rPr/>
      </w:pPr>
      <w:r>
        <w:rPr/>
        <w:t>Tabelle 6. Taxonomie menschlicher Rollen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Rolle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Kontrollbedeutung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Konstrukteur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bestimmt interne Struktur unmittelbar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hohe direkte Entwurfskausalität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Lehrer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liefert Beispiele, Feedback, Belohnung und Bewertung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prägt Lernraum und Zielkriterien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Organisator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definiert Umwelt, Ressourcen, Ziele und Grenzen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Meta-Steuerung des Entwicklungsraums</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Kurator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wählt aus maschinell erzeugten Varianten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Auswahlmacht bei begrenzter Entwurfskausalität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Auditor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prüft Prozess, Evidenz und Regelkonformität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unabhängige Bewertung und Rechenschaft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Verfassungsgeber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setzt höherrangige, nicht selbst suspendierbare Regeln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und institutionelle Hoheit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interventionsfähiger Beobachter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beobachtet und kann stoppen oder zurücksetzen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durch wirksames Veto</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bloßer Beobachter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kann Entwicklung beschreiben, aber nicht wirksam eingreifen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Verlust effektiver Kontrolle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hybrider Ko-Akteur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 und Maschine bilden reziproke Kognitions- und Handlungsschleifen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verteilte Agency und Autorenschaft</w:t>
            </w:r>
          </w:p>
        </w:tc>
      </w:tr>
    </w:tbl>
    <w:p>
      <w:pPr>
        <w:pStyle w:val="Normal"/>
        <w:spacing w:before="0" w:after="0"/>
        <w:rPr/>
      </w:pPr>
      <w:r>
        <w:rPr/>
      </w:r>
    </w:p>
    <w:p>
      <w:pPr>
        <w:pStyle w:val="Heading2"/>
        <w:rPr/>
      </w:pPr>
      <w:bookmarkStart w:id="77" w:name="__RefHeading___Toc4495_1712987439"/>
      <w:bookmarkEnd w:id="77"/>
      <w:r>
        <w:rPr/>
        <w:t>12. Embodiment: Ist Intelligenz ohne Reize und Körper möglich?</w:t>
      </w:r>
    </w:p>
    <w:p>
      <w:pPr>
        <w:pStyle w:val="Heading3"/>
        <w:rPr/>
      </w:pPr>
      <w:bookmarkStart w:id="78" w:name="__RefHeading___Toc4497_1712987439"/>
      <w:bookmarkEnd w:id="78"/>
      <w:r>
        <w:rPr/>
        <w:t>12.1 Problemstellung: Kompetenz, Aktualität und Weltbeziehung</w:t>
      </w:r>
    </w:p>
    <w:p>
      <w:pPr>
        <w:pStyle w:val="Normal"/>
        <w:widowControl/>
        <w:rPr/>
      </w:pPr>
      <w:r>
        <w:rPr/>
        <w:t>Die Frage, ob Intelligenz ohne Reize und Körper möglich ist, verlangt zunächst eine Trennung zwischen Fähigkeit und laufender kognitiver Tätigkeit. Ein gespeichertes Modell kann dispositionale Kompetenz besitzen, während es in einem inaktiven Zustand weder wahrnimmt noch handelt. Die Aussage „es ist intelligent“ kann dann eine Architektur- oder Leistungsdisposition bezeichnen, nicht notwendig eine gegenwärtige Beziehung zu einer Umwelt. Umgekehrt ist ein System, das nur auf einen aktuellen Reiz reagiert, nicht allein deshalb intelligent. Reizbarkeit, Anpassung und Intelligenz überlappen, sind aber nicht identisch.</w:t>
      </w:r>
    </w:p>
    <w:p>
      <w:pPr>
        <w:pStyle w:val="Normal"/>
        <w:widowControl/>
        <w:rPr/>
      </w:pPr>
      <w:r>
        <w:rPr/>
        <w:t>Der Begriff „Reiz“ wird in dieser Arbeit weit gefasst. Er umfasst nicht nur optische, akustische oder taktile Signale, sondern Umweltveränderungen, soziale Rückmeldung, Belohnung, Fehler- und Überraschungssignale, interozeptive Zustände, Energiebedarf sowie zeitliche Veränderung. Ein reines Sprachmodell erhält während des Trainings enorme Mengen indirekter Spuren. Texte sind keine unvermittelte Welt, aber sedimentierte Ergebnisse verkörperter menschlicher Wahrnehmung und Handlung. Zur Laufzeit fehlt einem isolierten Modell dennoch häufig eine eigene kontinuierliche Sensor-Aktor-Schleife (Harnad, 1990; Bisk et al., 2020; Bender &amp; Koller, 2020; Mahowald et al., 2024).</w:t>
      </w:r>
    </w:p>
    <w:p>
      <w:pPr>
        <w:pStyle w:val="Normal"/>
        <w:rPr/>
      </w:pPr>
      <w:r>
        <w:rPr/>
        <w:t>„</w:t>
      </w:r>
      <w:r>
        <w:rPr/>
        <w:t>Grounding“ darf dabei nicht einheitlich verwendet werden. In der aktuellen NLP-Forschung kann es die treue Bindung einer Ausgabe an bereitgestellten Kontext bezeichnen (Lee et al., 2024). Harnads Symbol-Grounding-Problem fragt stärker nach der nicht-zirkulären Beziehung von Symbolen zur Welt; Embodied- und Enaktivismusansätze ergänzen die eigene Wahrnehmungs- und Handlungsgeschichte. Ein System kann daher kontexttreu sein, ohne sensomotorisch verkörpert zu sein, und sensomotorisch gekoppelt sein, ohne bereits menschliches Verstehen oder Bewusstsein zu besitzen.</w:t>
      </w:r>
    </w:p>
    <w:p>
      <w:pPr>
        <w:pStyle w:val="Normal"/>
        <w:widowControl/>
        <w:rPr/>
      </w:pPr>
      <w:r>
        <w:rPr/>
        <w:t>Damit entsteht eine mittlere Position zwischen zwei Extremen. Das eine Extrem behauptet, ohne biologischen Körper könne keinerlei Intelligenz existieren. Das andere behandelt den Körper als beliebig austauschbares Ein- und Ausgabegerät. Embodied- und enaktive Ansätze betonen demgegenüber, dass Kognition aus der zirkulären Kopplung von Gehirn bzw. Steuerung, Körper und Umwelt hervorgeht (Varela, Thompson, &amp; Rosch, 1991; Wilson, 2002; Barsalou, 2008). Funktionalistische und repräsentationalistische Ansätze lassen stärker zu, dass relevante Beziehungen in anderen Substraten oder Simulationen realisiert werden können. Die Dissertation entscheidet diesen Streit nicht vorab, sondern zerlegt „Körper“ in prüfbare Dimensionen.</w:t>
      </w:r>
    </w:p>
    <w:p>
      <w:pPr>
        <w:pStyle w:val="Normal"/>
        <w:keepNext w:val="true"/>
        <w:jc w:val="center"/>
        <w:rPr/>
      </w:pPr>
      <w:r>
        <w:rPr/>
        <w:drawing>
          <wp:inline distT="0" distB="0" distL="0" distR="0">
            <wp:extent cx="6035040" cy="3483610"/>
            <wp:effectExtent l="0" t="0" r="0" b="0"/>
            <wp:docPr id="5" name="Picture 5" descr="Stufenmodell der Verkörperung von archiviertem Symbolsystem über dialogische, multimodale, virtuelle, physische und selbsterhaltende Verkörperung bis zur sozialen und ökologischen Einbettung. Ergänzend werden Sensorik, Aktorik, Morphologie, Interozeption, Umweltkopplung und zeitliche Kontinuität dargestellt." title="Embodiment als mehrdimensionale Kopp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6035040" cy="3483610"/>
                    </a:xfrm>
                    <a:prstGeom prst="rect">
                      <a:avLst/>
                    </a:prstGeom>
                    <a:noFill/>
                  </pic:spPr>
                </pic:pic>
              </a:graphicData>
            </a:graphic>
          </wp:inline>
        </w:drawing>
      </w:r>
    </w:p>
    <w:p>
      <w:pPr>
        <w:pStyle w:val="Caption"/>
        <w:jc w:val="center"/>
        <w:rPr/>
      </w:pPr>
      <w:r>
        <w:rPr/>
        <w:t>Abbildung 3. Embodiment als mehrdimensionale Kopplung. Körperlichkeit wird nicht binär, sondern nach Sensorik, Aktorik, Morphologie, Interozeption, Umweltkopplung und zeitlicher Kontinuität beschrieben.</w:t>
      </w:r>
    </w:p>
    <w:p>
      <w:pPr>
        <w:pStyle w:val="Heading3"/>
        <w:rPr/>
      </w:pPr>
      <w:bookmarkStart w:id="79" w:name="__RefHeading___Toc4499_1712987439"/>
      <w:bookmarkEnd w:id="79"/>
      <w:r>
        <w:rPr/>
        <w:t>12.2 Sechs Dimensionen von Embodiment</w:t>
      </w:r>
    </w:p>
    <w:p>
      <w:pPr>
        <w:pStyle w:val="Equation"/>
        <w:jc w:val="center"/>
        <w:rPr/>
      </w:pPr>
      <w:r>
        <w:rPr>
          <w:rFonts w:eastAsia="Liberation Serif" w:cs="Liberation Serif"/>
          <w:i/>
          <w:color w:val="16324F"/>
          <w:sz w:val="23"/>
        </w:rPr>
        <w:t>Eᵦ = (S, A, M, I, U, T)</w:t>
      </w:r>
    </w:p>
    <w:p>
      <w:pPr>
        <w:pStyle w:val="TableCaption"/>
        <w:keepNext w:val="true"/>
        <w:rPr/>
      </w:pPr>
      <w:r>
        <w:rPr/>
        <w:t>Tabelle 7. Embodiment-Vektor Eᵦ</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Bedeutung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 – Sensorik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Bandbreite, Vielfalt und Eigenständigkeit der Wahrnehmung; direkt, vermittelt oder simuliert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 – Aktorik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Fähigkeit, Umweltzustände zu verändern und Folgen eigener Handlungen zu erfahren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 – Morphologie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Körperstruktur und ihre kausale Mitwirkung an Wahrnehmung, Handlung und Lernen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I – Interozeption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Erfassung eigener innerer Zustände, Energie, Integrität, Fehler und Belastung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U – Umweltkopplung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Geschlossene Rückkopplung zwischen Wahrnehmung, Handlung und Konsequenz</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T – zeitliche Kontinuität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Persistenz von Zustand, Gedächtnis, Identität und Entwicklung über Zeit</w:t>
            </w:r>
          </w:p>
        </w:tc>
      </w:tr>
    </w:tbl>
    <w:p>
      <w:pPr>
        <w:pStyle w:val="Normal"/>
        <w:spacing w:before="0" w:after="0"/>
        <w:rPr/>
      </w:pPr>
      <w:r>
        <w:rPr/>
      </w:r>
    </w:p>
    <w:p>
      <w:pPr>
        <w:pStyle w:val="Heading3"/>
        <w:rPr/>
      </w:pPr>
      <w:bookmarkStart w:id="80" w:name="__RefHeading___Toc4501_1712987439"/>
      <w:bookmarkEnd w:id="80"/>
      <w:r>
        <w:rPr/>
        <w:t>12.3 Embodiment-Stufen</w:t>
      </w:r>
    </w:p>
    <w:p>
      <w:pPr>
        <w:pStyle w:val="TableCaption"/>
        <w:keepNext w:val="true"/>
        <w:rPr/>
      </w:pPr>
      <w:r>
        <w:rPr/>
        <w:t>Tabelle 8. Embodiment-Stufen E0–E6</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Analytische Kennzeichen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Archiviertes Symbolsystem</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 aktueller Reiz, keine eigene Handlung; Kompetenz nur als gespeicherte Disposition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Dialogische Kopplung</w:t>
            </w:r>
          </w:p>
        </w:tc>
        <w:tc>
          <w:tcPr>
            <w:tcW w:w="3255" w:type="dxa"/>
            <w:tcBorders/>
            <w:vAlign w:val="center"/>
          </w:tcPr>
          <w:p>
            <w:pPr>
              <w:pStyle w:val="Normal"/>
              <w:suppressAutoHyphens w:val="true"/>
              <w:spacing w:before="0" w:after="100"/>
              <w:rPr/>
            </w:pPr>
            <w:r>
              <w:rPr/>
              <w:t>Textinteraktion in diskreten Sitzungen; soziale Reize und geliehene Verkörperung, aber geringe eigene Umweltkontinuität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Multimodale Wahrnehmung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Bild, Ton und Zustandsdaten; noch ohne eigenständige Handlungsfolgen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Virtuelle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Handlung in Simulationen mit stabiler Raum-, Zeit- und Konsequenzstruktur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Physische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reale Sensorik und Aktorik; Morphologie beeinflusst Lernen und Fehler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Selbsterhaltende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 Energiehaushalt, Integrität und längerfristige Homeostase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und ökologische Einbettung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dauerhafte Beziehungen, institutionelle Rollen, Kooperation, Konflikt und Umweltverantwortung</w:t>
            </w:r>
          </w:p>
        </w:tc>
      </w:tr>
    </w:tbl>
    <w:p>
      <w:pPr>
        <w:pStyle w:val="Normal"/>
        <w:spacing w:before="0" w:after="0"/>
        <w:rPr/>
      </w:pPr>
      <w:r>
        <w:rPr/>
      </w:r>
    </w:p>
    <w:p>
      <w:pPr>
        <w:pStyle w:val="Heading3"/>
        <w:rPr/>
      </w:pPr>
      <w:bookmarkStart w:id="81" w:name="__RefHeading___Toc4503_1712987439"/>
      <w:bookmarkEnd w:id="81"/>
      <w:r>
        <w:rPr/>
        <w:t>12.4 Kann ein virtuelles System einen Körper haben?</w:t>
      </w:r>
    </w:p>
    <w:p>
      <w:pPr>
        <w:pStyle w:val="Normal"/>
        <w:widowControl/>
        <w:rPr/>
      </w:pPr>
      <w:r>
        <w:rPr/>
        <w:t>Ein physischer Organismus ist nicht die einzige denkbare Form von Verkörperung. Ein Agent in einer stabilen Simulation besitzt Positions-, Zustands- und Aktionsbedingungen, kann Folgen eigener Handlungen erfahren und über eine zeitliche Identität verfügen. Entscheidend ist, ob diese Beziehungen kausal wirksam, nicht beliebig und für Lernen relevant sind. Virtuelles Embodiment ist deshalb funktional möglich, aber nicht mit physischer Verkörperung identisch: Materielle Verletzbarkeit, Energieknappheit, irreversible Beschädigung und reale soziale Folgen können fehlen oder nur modelliert sein.</w:t>
      </w:r>
    </w:p>
    <w:p>
      <w:pPr>
        <w:pStyle w:val="Normal"/>
        <w:widowControl/>
        <w:rPr/>
      </w:pPr>
      <w:r>
        <w:rPr/>
        <w:t>Aktuelle embodied-language-model-Ansätze koppeln Sprachmodelle an Sensorik und Robotik. PaLM-E integriert kontinuierliche Sensoreingaben in ein Sprachmodell; RT-2 überträgt Web- und Sprachwissen auf robotische Handlungen (Driess et al., 2023; Brohan et al., 2023). Solche Systeme belegen nicht, dass ein Körper Bewusstsein erzeugt. Sie zeigen jedoch, dass Bedeutungen, Generalisierung und Handlungsfähigkeit durch multimodale und sensorimotorische Kopplung verändert werden können.</w:t>
      </w:r>
    </w:p>
    <w:p>
      <w:pPr>
        <w:pStyle w:val="Heading3"/>
        <w:rPr/>
      </w:pPr>
      <w:bookmarkStart w:id="82" w:name="__RefHeading___Toc4505_1712987439"/>
      <w:bookmarkEnd w:id="82"/>
      <w:r>
        <w:rPr/>
        <w:t>12.5 Interozeption, Homeostase und der Ursprung von Werten</w:t>
      </w:r>
    </w:p>
    <w:p>
      <w:pPr>
        <w:pStyle w:val="Normal"/>
        <w:widowControl/>
        <w:rPr/>
      </w:pPr>
      <w:r>
        <w:rPr/>
        <w:t>Biologische Organismen besitzen nicht nur äußere Sensorik. Sie regulieren Temperatur, Energie, Schmerz, Verletzung, Hunger und innere Stabilität. Damasio (1994), Thompson (2007) sowie aktive-Inferenz-Ansätze (Friston, 2010) verbinden Kognition eng mit dieser Regulation. Für künstliche Systeme stellt sich deshalb die Frage, ob Ziele ohne interne Erhaltungsbedingungen vollständig extern bleiben. Ein System mit Energiehaushalt, Integritätsgrenzen und kontinuierlicher Selbstdiagnose könnte funktionale Präferenzen entwickeln, weil bestimmte Zustände seine Fortsetzung ermöglichen und andere sie gefährden.</w:t>
      </w:r>
    </w:p>
    <w:p>
      <w:pPr>
        <w:pStyle w:val="Normal"/>
        <w:widowControl/>
        <w:rPr/>
      </w:pPr>
      <w:r>
        <w:rPr/>
        <w:t>Diese funktionale Wertbildung ist nicht mit moralischem Wert oder subjektivem Leiden gleichzusetzen. Ein System kann Beschädigung vermeiden, weil dies seine Optimierungsfunktion verlangt. Gleichwohl verändert Interozeption die Struktur der Agency: Das System reagiert nicht nur auf eine von außen gesetzte Aufgabe, sondern auf eigene Zustandsbedingungen. Gerade deshalb muss in der Governance zwischen zulässigem Selbstschutz, manipulativer Selbsterhaltung und Widerstand gegen berechtigte Unterbrechung unterschieden werden.</w:t>
      </w:r>
    </w:p>
    <w:p>
      <w:pPr>
        <w:pStyle w:val="Heading3"/>
        <w:rPr/>
      </w:pPr>
      <w:bookmarkStart w:id="83" w:name="__RefHeading___Toc4507_1712987439"/>
      <w:bookmarkEnd w:id="83"/>
      <w:r>
        <w:rPr/>
        <w:t>12.6 Embodiment, Kontrolle und Verantwortung</w:t>
      </w:r>
    </w:p>
    <w:p>
      <w:pPr>
        <w:pStyle w:val="Normal"/>
        <w:widowControl/>
        <w:rPr/>
      </w:pPr>
      <w:r>
        <w:rPr/>
        <w:t>Embodiment besitzt eine doppelte Kontrollwirkung. Es kann Kontrolle verbessern, weil Zustände, Handlungen und Konsequenzen beobachtbar werden. Ein virtueller oder physischer Körper begrenzt Möglichkeiten durch Morphologie, Reichweite und Energie. Zugleich erhöht er die Relevanz von Fehlern: Ein sprachlicher Irrtum bleibt häufig symbolisch, eine motorische Fehlentscheidung kann Menschen, Sachen oder Umwelt unmittelbar betreffen. Embodiment verwandelt epistemische Fehler in Handlungsschäden.</w:t>
      </w:r>
    </w:p>
    <w:p>
      <w:pPr>
        <w:pStyle w:val="Normal"/>
        <w:widowControl/>
        <w:rPr/>
      </w:pPr>
      <w:r>
        <w:rPr/>
        <w:t>Daraus folgt, dass der Kontrollvektor um Embodiment nicht einfach als zusätzlicher Risikowert erweitert werden sollte. Beide Modelle müssen getrennt bleiben. Hohe Körper-Umwelt-Kopplung kann bei starken Grenz-, Beobachtungs- und Rücksetzungsmechanismen kontrollierbar sein. Geringes Embodiment kann dennoch gesellschaftlich mächtig werden, wenn ein System über Informationsinfrastruktur, institutionelle Entscheidungen oder massenhafte Kommunikation wirkt. Körperlichkeit ist daher weder notwendige noch hinreichende Bedingung von Macht.</w:t>
      </w:r>
    </w:p>
    <w:p>
      <w:pPr>
        <w:pStyle w:val="Heading3"/>
        <w:rPr/>
      </w:pPr>
      <w:bookmarkStart w:id="84" w:name="__RefHeading___Toc4509_1712987439"/>
      <w:bookmarkEnd w:id="84"/>
      <w:r>
        <w:rPr/>
        <w:t>12.7 Vorläufige theoretische Position</w:t>
      </w:r>
    </w:p>
    <w:tbl>
      <w:tblPr>
        <w:tblStyle w:val="TableGrid"/>
        <w:tblW w:w="9763" w:type="dxa"/>
        <w:jc w:val="center"/>
        <w:tblInd w:w="0" w:type="dxa"/>
        <w:tblLayout w:type="fixed"/>
        <w:tblCellMar>
          <w:top w:w="160" w:type="dxa"/>
          <w:start w:w="190" w:type="dxa"/>
          <w:bottom w:w="160" w:type="dxa"/>
          <w:end w:w="190" w:type="dxa"/>
        </w:tblCellMar>
        <w:tblLook w:val="04a0" w:noHBand="0" w:noVBand="1" w:firstColumn="1" w:lastRow="0" w:lastColumn="0" w:firstRow="1"/>
      </w:tblPr>
      <w:tblGrid>
        <w:gridCol w:w="9763"/>
      </w:tblGrid>
      <w:tr>
        <w:trPr/>
        <w:tc>
          <w:tcPr>
            <w:tcW w:w="9763" w:type="dxa"/>
            <w:tcBorders>
              <w:top w:val="single" w:sz="10" w:space="0" w:color="8B6B1F"/>
              <w:start w:val="single" w:sz="10" w:space="0" w:color="8B6B1F"/>
              <w:bottom w:val="single" w:sz="10" w:space="0" w:color="8B6B1F"/>
              <w:end w:val="single" w:sz="10" w:space="0" w:color="8B6B1F"/>
            </w:tcBorders>
            <w:shd w:fill="F5F0E2"/>
          </w:tcPr>
          <w:p>
            <w:pPr>
              <w:pStyle w:val="Normal"/>
              <w:suppressAutoHyphens w:val="true"/>
              <w:spacing w:before="0" w:after="80"/>
              <w:rPr>
                <w:rFonts w:eastAsia="ＭＳ 明朝" w:cs=""/>
                <w:kern w:val="0"/>
                <w:szCs w:val="22"/>
                <w:lang w:val="en-US" w:eastAsia="en-US" w:bidi="ar-SA"/>
              </w:rPr>
            </w:pPr>
            <w:r>
              <w:rPr>
                <w:rFonts w:eastAsia="Liberation Sans" w:cs="Liberation Sans" w:ascii="Liberation Sans" w:hAnsi="Liberation Sans"/>
                <w:b/>
                <w:color w:val="16324F"/>
                <w:kern w:val="0"/>
                <w:sz w:val="21"/>
                <w:szCs w:val="22"/>
                <w:lang w:val="en-US" w:eastAsia="en-US" w:bidi="ar-SA"/>
              </w:rPr>
              <w:t>Vorläufige Embodiment-These</w:t>
              <w:br/>
            </w:r>
            <w:r>
              <w:rPr>
                <w:rFonts w:eastAsia="Liberation Serif" w:cs="Liberation Serif"/>
                <w:color w:val="1F2933"/>
                <w:kern w:val="0"/>
                <w:sz w:val="21"/>
                <w:szCs w:val="22"/>
                <w:lang w:val="en-US" w:eastAsia="en-US" w:bidi="ar-SA"/>
              </w:rPr>
              <w:t>Schwache, formale und sprachliche Intelligenz kann ohne eigenen physischen Körper bestehen. Robuste, bedeutungsgebundene, langfristig autonome und möglicherweise empfindungsfähige Intelligenz dürfte jedoch mindestens eine funktionale Form von Körper-, Zustands- und Umweltkopplung erfordern. Ob virtuelle Verkörperung dafür genügt, bleibt eine offene Forschungsfrage.</w:t>
            </w:r>
          </w:p>
        </w:tc>
      </w:tr>
    </w:tbl>
    <w:p>
      <w:pPr>
        <w:pStyle w:val="Normal"/>
        <w:spacing w:before="0" w:after="0"/>
        <w:rPr/>
      </w:pPr>
      <w:r>
        <w:rPr/>
      </w:r>
    </w:p>
    <w:p>
      <w:pPr>
        <w:pStyle w:val="Heading3"/>
        <w:rPr/>
      </w:pPr>
      <w:bookmarkStart w:id="85" w:name="__RefHeading___Toc6224_2263952011"/>
      <w:bookmarkEnd w:id="85"/>
      <w:r>
        <w:rPr/>
        <w:t>12.8 Antwortkorridor und methodische Konsequenzen</w:t>
      </w:r>
    </w:p>
    <w:p>
      <w:pPr>
        <w:pStyle w:val="Normal"/>
        <w:rPr/>
      </w:pPr>
      <w:r>
        <w:rPr/>
        <w:t>Die Arbeit vertritt einen abgestuften Antwortkorridor. Erstens ist Intelligenz als dispositionale Problemlösefähigkeit ohne aktuellen äußeren Reiz möglich: Ein gespeichertes Modell verliert seine Fähigkeit nicht in dem Moment, in dem keine Eingabe anliegt. Zweitens ist laufende Kognition ohne irgendeine Zustandsdifferenz nicht sinnvoll beschreibbar. Auch inneres Erinnern, Planen oder Simulieren setzt Veränderung, Zeit und interne Rückkopplung voraus. Drittens ist ein biologischer Körper keine logisch notwendige Voraussetzung jeder Intelligenz. Wohl aber spricht ein erheblicher Teil der Embodiment-, Grounding- und Enaktivismusliteratur dafür, dass robuste weltgebundene Bedeutung, eigenständige Agency und die Entstehung eigener Werte nicht von Körper-, Zustands- und Umweltbeziehungen beliebig ablösbar sind.</w:t>
      </w:r>
    </w:p>
    <w:p>
      <w:pPr>
        <w:pStyle w:val="Normal"/>
        <w:rPr/>
      </w:pPr>
      <w:r>
        <w:rPr/>
        <w:t>Textbasierte KI besitzt in diesem Modell eine Form geliehener oder derivativer Verkörperung: Sie verarbeitet sprachliche Sedimente menschlicher Körper- und Welterfahrung, ohne diese Erfahrung notwendig selbst gemacht zu haben. Virtuelle Verkörperung kann einen funktionalen Körper darstellen, wenn Agentengrenze, Sensorik, Aktorik, Konsequenzen, Zeitkontinuität und interne Zustände stabil und kausal wirksam sind. Physische Verkörperung fügt materielle Irreversibilität, reale Energiebedingungen, Verletzbarkeit und gesellschaftliche Folgen hinzu. Selbsterhaltende Verkörperung erweitert dies um Homeostase und eigene Integritätsbedingungen; sie kann funktionale Präferenzen erzeugen, ist aber weder Beweis von Empfindung noch von moralischem Status.</w:t>
      </w:r>
    </w:p>
    <w:p>
      <w:pPr>
        <w:pStyle w:val="Normal"/>
        <w:rPr/>
      </w:pPr>
      <w:r>
        <w:rPr/>
        <w:t>Methodisch werden Embodiment-Stufen nicht über Personenstichproben untersucht. Vergleichsobjekte sind technische Artefakte und dokumentierte Läufe derselben Aufgaben unter unterschiedlichen Kopplungsbedingungen: textuell, multimodal, virtuell sensorimotorisch, physisch oder selbsterhaltend. Die Analyse prüft Veränderungen in Lernen, Generalisierung, Fehlerkorrektur, Stabilität, Kontrollierbarkeit und Provenienz. Aussagen über Bewusstsein, Leiden oder moralische Agency bleiben von Leistungsbefunden getrennt und erfordern eigenständige Theorien und Evidenz.</w:t>
      </w:r>
    </w:p>
    <w:p>
      <w:pPr>
        <w:pStyle w:val="Heading1"/>
        <w:rPr/>
      </w:pPr>
      <w:bookmarkStart w:id="86" w:name="__RefHeading___Toc4511_1712987439"/>
      <w:bookmarkEnd w:id="86"/>
      <w:r>
        <w:rPr/>
        <w:t>Teil IV – Kontrolle, Autorenschaft, Ethik und Recht</w:t>
      </w:r>
    </w:p>
    <w:p>
      <w:pPr>
        <w:pStyle w:val="Heading2"/>
        <w:rPr/>
      </w:pPr>
      <w:bookmarkStart w:id="87" w:name="__RefHeading___Toc4513_1712987439"/>
      <w:bookmarkEnd w:id="87"/>
      <w:r>
        <w:rPr/>
        <w:t>13. Entscheidungshoheit und operatives Kontrollmodell</w:t>
      </w:r>
    </w:p>
    <w:p>
      <w:pPr>
        <w:pStyle w:val="Normal"/>
        <w:widowControl/>
        <w:rPr/>
      </w:pPr>
      <w:r>
        <w:rPr/>
        <w:t>Kontrolle ist weder ein einzelner Schalter noch ein rein psychologisches Gefühl. Sie bezeichnet eine relationale Struktur aus Rechten, Fähigkeiten, Informationen, Zeitfenstern und technischen Eingriffspunkten. Um diese Struktur zu erfassen, werden Hoheit, Kontrollfähigkeit und Autonomierisiko getrennt modelliert. Eine Addition zu einem einzigen Gesamtscore wäre zunächst irreführend, weil ein kritischer Nullwert – etwa fehlende Interruptibilität – durch hohe Werte anderer Dimensionen verdeckt werden könnte.</w:t>
      </w:r>
    </w:p>
    <w:p>
      <w:pPr>
        <w:pStyle w:val="Equation"/>
        <w:jc w:val="center"/>
        <w:rPr/>
      </w:pPr>
      <w:r>
        <w:rPr>
          <w:rFonts w:eastAsia="Liberation Serif" w:cs="Liberation Serif"/>
          <w:i/>
          <w:color w:val="16324F"/>
          <w:sz w:val="23"/>
        </w:rPr>
        <w:t>H = (G, E, B, F, M, R, A)</w:t>
      </w:r>
    </w:p>
    <w:p>
      <w:pPr>
        <w:pStyle w:val="TableCaption"/>
        <w:keepNext w:val="true"/>
        <w:rPr/>
      </w:pPr>
      <w:r>
        <w:rPr/>
        <w:t>Tabelle 9. Hoheitsvektor H</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Komponente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Recht</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Leitfrage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Zielsetzungsrecht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bestimmt Zweck, Erfolgskriterien und zulässige Zieländerungen?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Entwurfsrecht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erzeugt Architektur, Regeln, Code und Varianten?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Bewertungsrecht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definiert und interpretiert Güte, Sicherheit und wissenschaftliche Relevanz?</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Freigaberecht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aktiviert, publiziert oder überführt einen Entwurf in reale Nutzung?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Selbständerungsrecht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Welche Komponenten dürfen sich selbst verändern?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Ressourcenrecht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verfügt über Rechenzeit, Daten, Energie, Netzwerke und Aktoren?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Abbruch- und Rücksetzungsrecht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Wer kann stoppen, isolieren, zurücksetzen und Zustände wiederherstellen?</w:t>
            </w:r>
          </w:p>
        </w:tc>
      </w:tr>
    </w:tbl>
    <w:p>
      <w:pPr>
        <w:pStyle w:val="Normal"/>
        <w:spacing w:before="0" w:after="0"/>
        <w:rPr/>
      </w:pPr>
      <w:r>
        <w:rPr/>
      </w:r>
    </w:p>
    <w:p>
      <w:pPr>
        <w:pStyle w:val="Equation"/>
        <w:jc w:val="center"/>
        <w:rPr/>
      </w:pPr>
      <w:r>
        <w:rPr>
          <w:rFonts w:eastAsia="Liberation Serif" w:cs="Liberation Serif"/>
          <w:i/>
          <w:color w:val="16324F"/>
          <w:sz w:val="23"/>
        </w:rPr>
        <w:t>C = (B, O, I, V, R, P, Hc)</w:t>
      </w:r>
    </w:p>
    <w:p>
      <w:pPr>
        <w:pStyle w:val="TableCaption"/>
        <w:keepNext w:val="true"/>
        <w:rPr/>
      </w:pPr>
      <w:r>
        <w:rPr/>
        <w:t>Tabelle 10. Kontrollvektor C</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Kriterium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Begrenzbarkeit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Handlungs-, Raum-, Zeit- und Ressourcenraum können wirksam beschränkt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Beobachtbarkeit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relevante Zustände, Entscheidungen und Veränderungen sind erkennbar.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Interruptibilität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das System kann rechtzeitig und unabhängig unterbrochen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Reversibilität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Zustände und Folgen sind soweit möglich rücksetzbar oder kompensierbar.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Reproduzierbarkeit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Entwicklung und Ergebnis können mit dokumentierten Bedingungen nachgestellt werden.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Herkunft von Daten, Modellen, Regeln, Prompts und Entscheidungen ist nachvollziehbar.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Hc</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menschliche Entscheidungshoheit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 oder legitimierte Institutionen besitzen reale, nicht nur formale Letztentscheidungsrechte.</w:t>
            </w:r>
          </w:p>
        </w:tc>
      </w:tr>
    </w:tbl>
    <w:p>
      <w:pPr>
        <w:pStyle w:val="Normal"/>
        <w:spacing w:before="0" w:after="0"/>
        <w:rPr/>
      </w:pPr>
      <w:r>
        <w:rPr/>
      </w:r>
    </w:p>
    <w:p>
      <w:pPr>
        <w:pStyle w:val="Equation"/>
        <w:jc w:val="center"/>
        <w:rPr/>
      </w:pPr>
      <w:r>
        <w:rPr>
          <w:rFonts w:eastAsia="Liberation Serif" w:cs="Liberation Serif"/>
          <w:i/>
          <w:color w:val="16324F"/>
          <w:sz w:val="23"/>
        </w:rPr>
        <w:t>U = (S, W, Q, Z, D, T)</w:t>
      </w:r>
    </w:p>
    <w:p>
      <w:pPr>
        <w:pStyle w:val="TableCaption"/>
        <w:keepNext w:val="true"/>
        <w:rPr/>
      </w:pPr>
      <w:r>
        <w:rPr/>
        <w:t>Tabelle 11. Autonomierisikofaktoren U</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Autonomierisikofaktor</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Selbstmodifikation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W</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offener Welt- und Netzzugriff</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Q</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autonome Ressourcenverwendung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Zielveränderung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dauerhafte Persistenz</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Widerstand gegen Unterbrechung</w:t>
            </w:r>
          </w:p>
        </w:tc>
      </w:tr>
    </w:tbl>
    <w:p>
      <w:pPr>
        <w:pStyle w:val="Normal"/>
        <w:spacing w:before="0" w:after="0"/>
        <w:rPr/>
      </w:pPr>
      <w:r>
        <w:rPr/>
      </w:r>
    </w:p>
    <w:p>
      <w:pPr>
        <w:pStyle w:val="Normal"/>
        <w:keepNext w:val="true"/>
        <w:jc w:val="center"/>
        <w:rPr/>
      </w:pPr>
      <w:r>
        <w:rPr/>
        <w:drawing>
          <wp:inline distT="0" distB="0" distL="0" distR="0">
            <wp:extent cx="5303520" cy="5167630"/>
            <wp:effectExtent l="0" t="0" r="0" b="0"/>
            <wp:docPr id="6" name="Picture 6" descr="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 title="Kontrollierbarkeit und Autono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5303520" cy="5167630"/>
                    </a:xfrm>
                    <a:prstGeom prst="rect">
                      <a:avLst/>
                    </a:prstGeom>
                    <a:noFill/>
                  </pic:spPr>
                </pic:pic>
              </a:graphicData>
            </a:graphic>
          </wp:inline>
        </w:drawing>
      </w:r>
    </w:p>
    <w:p>
      <w:pPr>
        <w:pStyle w:val="Caption"/>
        <w:jc w:val="center"/>
        <w:rPr/>
      </w:pPr>
      <w:r>
        <w:rPr/>
        <w:t>Abbildung 5. Kontrollierbarkeit und Autonomie sind unabhängige Dimensionen. Hohe Autonomie ist nicht notwendig unkontrollierbar; geringe Autonomie ist nicht automatisch sicher.</w:t>
      </w:r>
    </w:p>
    <w:p>
      <w:pPr>
        <w:pStyle w:val="Heading2"/>
        <w:rPr/>
      </w:pPr>
      <w:bookmarkStart w:id="88" w:name="__RefHeading___Toc4515_1712987439"/>
      <w:bookmarkEnd w:id="88"/>
      <w:r>
        <w:rPr/>
        <w:t>14. Kontrollstufen der KI-gestützten Erzeugung weiterer KI</w:t>
      </w:r>
    </w:p>
    <w:p>
      <w:pPr>
        <w:pStyle w:val="Normal"/>
        <w:keepNext w:val="true"/>
        <w:jc w:val="center"/>
        <w:rPr/>
      </w:pPr>
      <w:r>
        <w:rPr/>
        <w:drawing>
          <wp:inline distT="0" distB="0" distL="0" distR="0">
            <wp:extent cx="5943600" cy="3386455"/>
            <wp:effectExtent l="0" t="0" r="0" b="0"/>
            <wp:docPr id="7" name="Picture 7" descr="Treppenförmiges Stufenmodell G0 bis G8 von menschlicher Konstruktion und KI-Assistenz über maschinellen Entwurf, Bewertung, rekursive Optimierung und adaptive Regeländerung bis zu Ziel- und Governanceänderung sowie existenzautonomer Technogenese." title="Kontrollstufen KI-generierter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5943600" cy="3386455"/>
                    </a:xfrm>
                    <a:prstGeom prst="rect">
                      <a:avLst/>
                    </a:prstGeom>
                    <a:noFill/>
                  </pic:spPr>
                </pic:pic>
              </a:graphicData>
            </a:graphic>
          </wp:inline>
        </w:drawing>
      </w:r>
    </w:p>
    <w:p>
      <w:pPr>
        <w:pStyle w:val="Caption"/>
        <w:jc w:val="center"/>
        <w:rPr/>
      </w:pPr>
      <w:r>
        <w:rPr/>
        <w:t>Abbildung 6. Kontrollstufen G0–G8. Für jede Stufe müssen Hoheitsrechte und Kontrollbedingungen separat erhoben werden.</w:t>
      </w:r>
    </w:p>
    <w:p>
      <w:pPr>
        <w:pStyle w:val="TableCaption"/>
        <w:keepNext w:val="true"/>
        <w:rPr/>
      </w:pPr>
      <w:r>
        <w:rPr/>
        <w:t>Tabelle 12. Kontrollstufen G0–G8</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Bezeichnung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6"/>
                <w:szCs w:val="22"/>
                <w:lang w:val="en-US" w:eastAsia="en-US" w:bidi="ar-SA"/>
              </w:rPr>
              <w:t>Abgrenzung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Menschliche Konstruktion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Mensch entwirft interne Struktur unmittelbar.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 Assistenz</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 unterstützt Recherche, Dokumentation, Codeergänzung oder Fehleranalyse.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Teilentwurf</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KI schlägt Komponenten, Parameter, Lernregeln oder Module vor.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Gesamtentwurf unter menschlicher Freigabe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vollständiger Entwurf, unabhängige menschliche Prüfung und Aktivierung.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Maschineller Entwurf und maschinelle Bewertung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Generator und Evaluator sind maschinell; menschliche Freigabe bleibt.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Rekursive Optimierung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 erzeugt, testet und verändert Nachfolgesysteme über mehrere Zyklen.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G6</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Adaptive Regelveränderung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untergeordnete Lern-, Bewertungs- oder Selektionsregeln werden verändert.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G7</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Ziel- und Governanceveränderung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System verändert Regeln, die Ziele, Ressourcen oder Freigaben bestimmen.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G8</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Existenzautonome rekursive Technogenese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6"/>
                <w:szCs w:val="22"/>
                <w:lang w:val="en-US" w:eastAsia="en-US" w:bidi="ar-SA"/>
              </w:rPr>
              <w:t>materielle und informationelle Fortexistenz sowie Reproduktion ohne fortlaufende menschliche Mitwirkung.</w:t>
            </w:r>
          </w:p>
        </w:tc>
      </w:tr>
    </w:tbl>
    <w:p>
      <w:pPr>
        <w:pStyle w:val="Normal"/>
        <w:spacing w:before="0" w:after="0"/>
        <w:rPr/>
      </w:pPr>
      <w:r>
        <w:rPr/>
      </w:r>
    </w:p>
    <w:p>
      <w:pPr>
        <w:pStyle w:val="Heading2"/>
        <w:rPr/>
      </w:pPr>
      <w:bookmarkStart w:id="89" w:name="__RefHeading___Toc4517_1712987439"/>
      <w:bookmarkEnd w:id="89"/>
      <w:r>
        <w:rPr/>
        <w:t>15. „Übernimmt die KI?“ – Zerlegung einer unpräzisen Frage</w:t>
      </w:r>
    </w:p>
    <w:p>
      <w:pPr>
        <w:pStyle w:val="Normal"/>
        <w:widowControl/>
        <w:rPr/>
      </w:pPr>
      <w:r>
        <w:rPr/>
        <w:t>Die Formulierung „Übernimmt die KI?“ verdichtet unterschiedliche Vorgänge zu einer politischen oder dystopischen Chiffre. Wissenschaftlich ist sie nur brauchbar, wenn präzisiert wird, welche Hoheit übertragen wurde. Entwurfshoheit liegt vor, wenn ein System die Struktur bestimmt; Bewertungshoheit, wenn es die Gütekriterien oder deren Interpretation kontrolliert; Freigabehoheit, wenn es seine Ergebnisse selbst aktiviert; Ressourcenhoheit, wenn es Rechenleistung, Daten, Netzwerke oder Aktoren eigenständig erschließt; Zielhoheit, wenn es übergeordnete Zwecke verändert.</w:t>
      </w:r>
    </w:p>
    <w:p>
      <w:pPr>
        <w:pStyle w:val="Normal"/>
        <w:widowControl/>
        <w:rPr/>
      </w:pPr>
      <w:r>
        <w:rPr/>
        <w:t>Eine bedeutsame Übernahme beginnt daher nicht schon mit der Erzeugung von Code. Sie entsteht, wenn ein nichtmenschlicher Regelkreis gleichzeitig wesentliche Teile von Zielsetzung, Bewertung, Freigabe, Selbständerung und Ressourcenverwendung kontrolliert und der Mensch keine wirksame materielle oder epistemische Eingriffsmöglichkeit mehr besitzt. Die rein formale Existenz einer Freigabetaste genügt nicht, wenn ihre Bediener die Optionen nicht prüfen können oder der organisatorische Prozess faktisch keine Ablehnung zulässt.</w:t>
      </w:r>
    </w:p>
    <w:p>
      <w:pPr>
        <w:pStyle w:val="ListBullet"/>
        <w:numPr>
          <w:ilvl w:val="0"/>
          <w:numId w:val="1"/>
        </w:numPr>
        <w:rPr/>
      </w:pPr>
      <w:r>
        <w:rPr/>
        <w:t>Formale Kontrolle: Zuständigkeit oder Unterschrift ist rechtlich zugeordnet.</w:t>
      </w:r>
    </w:p>
    <w:p>
      <w:pPr>
        <w:pStyle w:val="ListBullet"/>
        <w:numPr>
          <w:ilvl w:val="0"/>
          <w:numId w:val="1"/>
        </w:numPr>
        <w:rPr/>
      </w:pPr>
      <w:r>
        <w:rPr/>
        <w:t>Technische Kontrolle: Eingriff, Isolation, Begrenzung und Rücksetzung sind tatsächlich möglich.</w:t>
      </w:r>
    </w:p>
    <w:p>
      <w:pPr>
        <w:pStyle w:val="ListBullet"/>
        <w:numPr>
          <w:ilvl w:val="0"/>
          <w:numId w:val="1"/>
        </w:numPr>
        <w:rPr/>
      </w:pPr>
      <w:r>
        <w:rPr/>
        <w:t>Epistemische Kontrolle: Entscheidungsträger verstehen Evidenz, Grenzen und Folgen hinreichend.</w:t>
      </w:r>
    </w:p>
    <w:p>
      <w:pPr>
        <w:pStyle w:val="ListBullet"/>
        <w:numPr>
          <w:ilvl w:val="0"/>
          <w:numId w:val="1"/>
        </w:numPr>
        <w:rPr/>
      </w:pPr>
      <w:r>
        <w:rPr/>
        <w:t>Institutionelle Kontrolle: Organisation, Anreize und Zeit erlauben unabhängige Prüfung.</w:t>
      </w:r>
    </w:p>
    <w:p>
      <w:pPr>
        <w:pStyle w:val="ListBullet"/>
        <w:numPr>
          <w:ilvl w:val="0"/>
          <w:numId w:val="1"/>
        </w:numPr>
        <w:rPr/>
      </w:pPr>
      <w:r>
        <w:rPr/>
        <w:t>Effektive Kontrolle: alle erforderlichen Bedingungen wirken im konkreten Entscheidungszeitpunkt zusammen.</w:t>
      </w:r>
    </w:p>
    <w:p>
      <w:pPr>
        <w:pStyle w:val="Heading2"/>
        <w:rPr/>
      </w:pPr>
      <w:bookmarkStart w:id="90" w:name="__RefHeading___Toc4519_1712987439"/>
      <w:bookmarkEnd w:id="90"/>
      <w:r>
        <w:rPr/>
        <w:t>16. Autorenschaft, Handlungsmacht und Verantwortungsdiffusion</w:t>
      </w:r>
    </w:p>
    <w:p>
      <w:pPr>
        <w:pStyle w:val="Normal"/>
        <w:widowControl/>
        <w:rPr/>
      </w:pPr>
      <w:r>
        <w:rPr/>
        <w:t>Wenn ein Mensch Ziele formuliert, ein LLM einen Entwurf erzeugt, ein Validator auswählt, ein lernendes System seine Struktur verändert und eine Institution Ressourcen bereitstellt, ist Kausalität verteilt. Daraus folgt jedoch keine symmetrische moralische oder rechtliche Verantwortung. Die Instanzen besitzen unterschiedliche Arten von Agency: kausale, funktionale, epistemische, institutionelle und möglicherweise moralische Agency. Ein LLM kann kausal an einem Entwurf beteiligt sein, ohne Pflichten verstehen oder rechtlich Verantwortung übernehmen zu können.</w:t>
      </w:r>
    </w:p>
    <w:p>
      <w:pPr>
        <w:pStyle w:val="QuoteBlock"/>
        <w:rPr/>
      </w:pPr>
      <w:r>
        <w:rPr/>
        <w:t>Verantwortung folgt nicht allein der unmittelbaren Verursachung, sondern insbesondere der Zielsetzung, Ressourcenbereitstellung, Freigabe, Nutzenziehung und realen Möglichkeit zum Eingriff.</w:t>
      </w:r>
    </w:p>
    <w:p>
      <w:pPr>
        <w:pStyle w:val="Normal"/>
        <w:keepNext w:val="true"/>
        <w:jc w:val="center"/>
        <w:rPr/>
      </w:pPr>
      <w:r>
        <w:rPr/>
        <w:drawing>
          <wp:inline distT="0" distB="0" distL="0" distR="0">
            <wp:extent cx="5989320" cy="3411855"/>
            <wp:effectExtent l="0" t="0" r="0" b="0"/>
            <wp:docPr id="8" name="Picture 8" descr="Netzdiagramm zwischen Institution, Mensch, LLM, Validator, SNN oder lernendem System und Laufzeitüberwachung. Kausale Beiträge sind verteilt, während Verantwortung zusätzlich aus Zielsetzung, Ressourcen, Freigabe, Nutzen und Eingriffsmöglichkeiten folgt." title="Verteilte Kausalität und asymmetrische Verantwor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5989320" cy="3411855"/>
                    </a:xfrm>
                    <a:prstGeom prst="rect">
                      <a:avLst/>
                    </a:prstGeom>
                    <a:noFill/>
                  </pic:spPr>
                </pic:pic>
              </a:graphicData>
            </a:graphic>
          </wp:inline>
        </w:drawing>
      </w:r>
    </w:p>
    <w:p>
      <w:pPr>
        <w:pStyle w:val="Caption"/>
        <w:jc w:val="center"/>
        <w:rPr/>
      </w:pPr>
      <w:r>
        <w:rPr/>
        <w:t>Abbildung 8. Verteilte Kausalität und asymmetrische Verantwortung. Maschinelle Beiträge erweitern die Kausalkette, ohne menschliche und institutionelle Rechenschaft automatisch aufzuheben.</w:t>
      </w:r>
    </w:p>
    <w:p>
      <w:pPr>
        <w:pStyle w:val="ListBullet"/>
        <w:numPr>
          <w:ilvl w:val="0"/>
          <w:numId w:val="1"/>
        </w:numPr>
        <w:rPr/>
      </w:pPr>
      <w:r>
        <w:rPr/>
        <w:t>„</w:t>
      </w:r>
      <w:r>
        <w:rPr/>
        <w:t>Das LLM hat den Code geschrieben.“</w:t>
      </w:r>
    </w:p>
    <w:p>
      <w:pPr>
        <w:pStyle w:val="ListBullet"/>
        <w:numPr>
          <w:ilvl w:val="0"/>
          <w:numId w:val="1"/>
        </w:numPr>
        <w:rPr/>
      </w:pPr>
      <w:r>
        <w:rPr/>
        <w:t>„</w:t>
      </w:r>
      <w:r>
        <w:rPr/>
        <w:t>Der Validator hat den Entwurf akzeptiert.“</w:t>
      </w:r>
    </w:p>
    <w:p>
      <w:pPr>
        <w:pStyle w:val="ListBullet"/>
        <w:numPr>
          <w:ilvl w:val="0"/>
          <w:numId w:val="1"/>
        </w:numPr>
        <w:rPr/>
      </w:pPr>
      <w:r>
        <w:rPr/>
        <w:t>„</w:t>
      </w:r>
      <w:r>
        <w:rPr/>
        <w:t>Das SNN hat sich selbst verändert.“</w:t>
      </w:r>
    </w:p>
    <w:p>
      <w:pPr>
        <w:pStyle w:val="ListBullet"/>
        <w:numPr>
          <w:ilvl w:val="0"/>
          <w:numId w:val="1"/>
        </w:numPr>
        <w:rPr/>
      </w:pPr>
      <w:r>
        <w:rPr/>
        <w:t>„</w:t>
      </w:r>
      <w:r>
        <w:rPr/>
        <w:t>Niemand konnte das Verhalten vorhersehen.“</w:t>
      </w:r>
    </w:p>
    <w:p>
      <w:pPr>
        <w:pStyle w:val="ListBullet"/>
        <w:numPr>
          <w:ilvl w:val="0"/>
          <w:numId w:val="1"/>
        </w:numPr>
        <w:rPr/>
      </w:pPr>
      <w:r>
        <w:rPr/>
        <w:t>„</w:t>
      </w:r>
      <w:r>
        <w:rPr/>
        <w:t>Die menschliche Freigabe war nur ein formaler Prozessschritt.“</w:t>
      </w:r>
    </w:p>
    <w:p>
      <w:pPr>
        <w:pStyle w:val="Normal"/>
        <w:widowControl/>
        <w:rPr/>
      </w:pPr>
      <w:r>
        <w:rPr/>
        <w:t>Diese Aussagen können einzelne Kausalbeiträge korrekt beschreiben, sind aber keine hinreichenden Entlastungsargumente. Verantwortungsanalyse muss fragen, wer das System in den relevanten Kontext brachte, von ihm profitierte, Risiken kannte oder kennen musste, Eingriffe unterließ und die institutionellen Bedingungen gestaltete. Matthias’ Konzept einer responsibility gap macht deutlich, dass lernende Systeme klassische Zurechnungsmodelle belasten können; die Schlussfolgerung darf jedoch nicht darin bestehen, Verantwortung vorschnell als verschwunden zu behandeln (Matthias, 2004).</w:t>
      </w:r>
    </w:p>
    <w:p>
      <w:pPr>
        <w:pStyle w:val="Heading2"/>
        <w:rPr/>
      </w:pPr>
      <w:bookmarkStart w:id="91" w:name="__RefHeading___Toc4521_1712987439"/>
      <w:bookmarkEnd w:id="91"/>
      <w:r>
        <w:rPr/>
        <w:t>17. Ethik und die Möglichkeit einer normativen „DNA“</w:t>
      </w:r>
    </w:p>
    <w:p>
      <w:pPr>
        <w:pStyle w:val="Heading3"/>
        <w:rPr/>
      </w:pPr>
      <w:bookmarkStart w:id="92" w:name="__RefHeading___Toc4523_1712987439"/>
      <w:bookmarkEnd w:id="92"/>
      <w:r>
        <w:rPr/>
        <w:t>Gegenwärtige Regelwerke</w:t>
      </w:r>
    </w:p>
    <w:p>
      <w:pPr>
        <w:pStyle w:val="Normal"/>
        <w:rPr/>
      </w:pPr>
      <w:r>
        <w:rPr/>
        <w:t>Die gegenwärtige KI-Governance ist überwiegend anthropozentrisch und lebenszyklusbezogen. Der EU AI Act verlangt bei Hochrisikosystemen wirksame menschliche Aufsicht und proportionale Maßnahmen in Abhängigkeit von Risiko, Autonomiegrad und Nutzungskontext (Verordnung (EU) 2024/1689, Art. 14). Die UNESCO Recommendation on the Ethics of Artificial Intelligence verlangt, dass letztendliche Verantwortung und Rechenschaftspflicht natürlichen oder bestehenden juristischen Personen zugeordnet bleiben und KI-Systeme diese Verantwortung nicht verdrängen. Das NIST AI RMF strukturiert Risikomanagement über Govern, Map, Measure und Manage. Das Rahmenübereinkommen des Europarats über KI, Menschenrechte, Demokratie und Rechtsstaatlichkeit bindet KI-Lebenszyklen an menschenrechtliche und rechtsstaatliche Anforderungen.</w:t>
      </w:r>
    </w:p>
    <w:p>
      <w:pPr>
        <w:pStyle w:val="Heading3"/>
        <w:rPr/>
      </w:pPr>
      <w:bookmarkStart w:id="93" w:name="__RefHeading___Toc4525_1712987439"/>
      <w:bookmarkEnd w:id="93"/>
      <w:r>
        <w:rPr/>
        <w:t>Das Problem rekursiver Systeme</w:t>
      </w:r>
    </w:p>
    <w:p>
      <w:pPr>
        <w:pStyle w:val="Normal"/>
        <w:rPr/>
      </w:pPr>
      <w:r>
        <w:rPr/>
        <w:t>Diese Regelwerke setzen typischerweise voraus, dass menschliche beziehungsweise institutionelle Akteure Anbieter, Betreiber, Entwickler oder Verantwortliche bleiben. Rekursive Technogenese erzeugt jedoch eine Zurechnungskette: Wer ist „Hersteller“, wenn ein generatives System den überwiegenden Entwurf erzeugt, ein zweites System validiert und ein drittes System die resultierende Architektur weiterentwickelt? Die rechtliche Antwort kann weiterhin beim Menschen liegen; die technische Kausalität wird dadurch aber nicht einfacher. Die Arbeit trennt deshalb normative Verantwortung von kausaler Autorschaft.</w:t>
      </w:r>
    </w:p>
    <w:p>
      <w:pPr>
        <w:pStyle w:val="Heading3"/>
        <w:rPr/>
      </w:pPr>
      <w:bookmarkStart w:id="94" w:name="__RefHeading___Toc4527_1712987439"/>
      <w:bookmarkEnd w:id="94"/>
      <w:r>
        <w:rPr/>
        <w:t>Vier Ebenen von Regeln</w:t>
      </w:r>
    </w:p>
    <w:p>
      <w:pPr>
        <w:pStyle w:val="Normal"/>
        <w:rPr/>
      </w:pPr>
      <w:r>
        <w:rPr/>
        <w:t>Die Arbeit übernimmt diese Hierarchie nicht als moralische Wahrheit, sondern prüft sie als Ordnungsmodell. Ihre Belastungsprobe liegt gerade in Zukunftsszenarien, in denen Menschen selten, institutionell schwach oder nicht mehr vorhanden sind. Eine Regel, die nur durch einen Menschen legitimiert werden kann, verliert operative Bedeutung, wenn kein Mensch mehr existiert. Dann stellt sich die tiefere Frage, ob Normativität ohne menschliche Gemeinschaft fortbestehen kann oder ob lediglich technische Selbstbeschränkung übrig bleibt.</w:t>
      </w:r>
    </w:p>
    <w:p>
      <w:pPr>
        <w:pStyle w:val="Heading3"/>
        <w:rPr/>
      </w:pPr>
      <w:bookmarkStart w:id="95" w:name="__RefHeading___Toc4529_1712987439"/>
      <w:bookmarkEnd w:id="95"/>
      <w:r>
        <w:rPr/>
        <w:t>Warum diese Arbeit nicht „pro“ oder „contra“ KI argumentiert</w:t>
      </w:r>
    </w:p>
    <w:p>
      <w:pPr>
        <w:pStyle w:val="Normal"/>
        <w:rPr/>
      </w:pPr>
      <w:r>
        <w:rPr/>
        <w:t>Normative Forschung wird unwissenschaftlich, wenn das Ergebnis bereits durch die Wortwahl feststeht. Die Dissertation verwendet daher mehrere Ethiktheorien als konkurrierende Linsen, nicht als Autoritäten. Kantische Ansätze fokussieren Würde und Nichtinstrumentalisierung; utilitaristische Ansätze Folgen und Wohlergehen; Jonas die Verantwortung angesichts irreversibler technischer Macht; Diskursethik die Legitimität gemeinsamer Regelsetzung; Capability-Ansätze reale Handlungsmöglichkeiten; Informationsethik den moralischen Status von Informationsentitäten. Konflikte zwischen diesen Ansätzen werden nicht rhetorisch geglättet.</w:t>
      </w:r>
    </w:p>
    <w:p>
      <w:pPr>
        <w:pStyle w:val="Heading3"/>
        <w:rPr/>
      </w:pPr>
      <w:bookmarkStart w:id="96" w:name="__RefHeading___Toc4531_1712987439"/>
      <w:bookmarkEnd w:id="96"/>
      <w:r>
        <w:rPr/>
        <w:t>Ethik für den Fall künstlicher moralischer Relevanz</w:t>
      </w:r>
    </w:p>
    <w:p>
      <w:pPr>
        <w:pStyle w:val="Normal"/>
        <w:rPr/>
      </w:pPr>
      <w:r>
        <w:rPr/>
        <w:t>Gegenwärtige Systeme dürfen nicht ohne Evidenz als leidensfähig, bewusst oder moralisch anspruchsberechtigt behandelt werden. Doch eine wissenschaftliche Zukunftsethik darf die Frage auch nicht definitorisch ausschließen. Deshalb formuliert die Arbeit konditionale Kriterien: Falls künstliche Systeme künftig stabile Präferenzen, integrierte Selbstmodelle, zeitliche Identität, aversive Zustände oder andere plausible Marker moralischer Relevanz aufweisen, wären bestehende rein eigentumsrechtliche Kategorien neu zu prüfen. Dies ist kein Befund über heutige KI, sondern ein Regelproblem für mögliche zukünftige Entitäten.</w:t>
      </w:r>
    </w:p>
    <w:p>
      <w:pPr>
        <w:pStyle w:val="Heading3"/>
        <w:rPr/>
      </w:pPr>
      <w:bookmarkStart w:id="97" w:name="__RefHeading___Toc4533_1712987439"/>
      <w:bookmarkEnd w:id="97"/>
      <w:r>
        <w:rPr/>
        <w:t>Ethik nach dem Menschen</w:t>
      </w:r>
    </w:p>
    <w:p>
      <w:pPr>
        <w:pStyle w:val="Normal"/>
        <w:rPr/>
      </w:pPr>
      <w:r>
        <w:rPr/>
        <w:t>Eine besonders schwierige Frage entsteht in menschenlosen Szenarien. Ist Ethik eine menschliche Praxis, die mit dem Menschen endet? Oder können normative Ordnungen zwischen nichtmenschlichen intelligenten Entitäten entstehen? Die Dissertation beantwortet dies nicht durch Behauptung, sondern entwickelt drei Positionen: anthropogene Normativität (Ethik endet ohne Menschen), relationale Normativität (Normen entstehen zwischen interessenfähigen Akteuren) und funktionale Normordnung (stabile Kooperationsregeln können ohne moralische Erfahrung bestehen). Diese drei Positionen bilden später die Interpretationsmatrix für Szenario Z5.</w:t>
      </w:r>
    </w:p>
    <w:p>
      <w:pPr>
        <w:pStyle w:val="Heading3"/>
        <w:rPr/>
      </w:pPr>
      <w:bookmarkStart w:id="98" w:name="__RefHeading___Toc4535_1712987439"/>
      <w:bookmarkEnd w:id="98"/>
      <w:r>
        <w:rPr/>
        <w:t>Deontologische Perspektive</w:t>
      </w:r>
    </w:p>
    <w:p>
      <w:pPr>
        <w:pStyle w:val="Normal"/>
        <w:rPr/>
      </w:pPr>
      <w:r>
        <w:rPr/>
        <w:t>Deontologische Ethik fragt, welche Handlungen unabhängig von ihrem Gesamtnutzen unzulässig sein könnten. Für KI betrifft dies vor allem Instrumentalisierung, Autonomie, Täuschung und unverfügbare Rechte. Im menschenarmen Szenario stellt sich zusätzlich die Frage, ob wenige verbliebene Menschen als bloße Ressourcen einer maschinell stabilisierten Gesellschaft behandelt werden dürften. Die deontologische Perspektive würde dies selbst dann problematisieren, wenn die Gesamtstabilität dadurch maximiert würde.</w:t>
      </w:r>
    </w:p>
    <w:p>
      <w:pPr>
        <w:pStyle w:val="Heading3"/>
        <w:rPr/>
      </w:pPr>
      <w:bookmarkStart w:id="99" w:name="__RefHeading___Toc4537_1712987439"/>
      <w:bookmarkEnd w:id="99"/>
      <w:r>
        <w:rPr/>
        <w:t>Konsequentialistische Perspektive</w:t>
      </w:r>
    </w:p>
    <w:p>
      <w:pPr>
        <w:pStyle w:val="Normal"/>
        <w:rPr/>
      </w:pPr>
      <w:r>
        <w:rPr/>
        <w:t>Konsequentialistische Ansätze verschieben den Fokus auf Wohlergehen und Schadensbilanz. Sie können daher weitreichende Automation rechtfertigen, wenn sie bessere Folgen erzeugt. Zugleich wird die Frage schwierig, welche Entitäten überhaupt in die Nutzenbilanz eingehen. Sollten künstliche Systeme jemals leidens- oder wohlfahrtsfähige Zustände besitzen, würde sich der moralische Referenzkreis ändern. Ohne solche Zustände bliebe der moralische Fokus auf Menschen und anderen empfindungsfähigen Wesen.</w:t>
      </w:r>
    </w:p>
    <w:p>
      <w:pPr>
        <w:pStyle w:val="Heading3"/>
        <w:rPr/>
      </w:pPr>
      <w:bookmarkStart w:id="100" w:name="__RefHeading___Toc4539_1712987439"/>
      <w:bookmarkEnd w:id="100"/>
      <w:r>
        <w:rPr/>
        <w:t>Jonas und Verantwortung unter irreversibler Macht</w:t>
      </w:r>
    </w:p>
    <w:p>
      <w:pPr>
        <w:pStyle w:val="Normal"/>
        <w:rPr/>
      </w:pPr>
      <w:r>
        <w:rPr/>
        <w:t>Hans Jonas ist für diese Arbeit besonders relevant, weil sein Verantwortungsbegriff auf technische Handlungen mit großer räumlicher und zeitlicher Reichweite reagiert. Rekursive, selbstverändernde technische Systeme können Entscheidungen erzeugen, deren Folgen nicht vollständig rückgängig zu machen sind. Jonas liefert keine fertige KI-Regel, aber eine methodische Forderung: Ungewissheit reduziert Verantwortung nicht notwendig, wenn die potenzielle Reichweite des Handelns wächst.</w:t>
      </w:r>
    </w:p>
    <w:p>
      <w:pPr>
        <w:pStyle w:val="Heading3"/>
        <w:rPr/>
      </w:pPr>
      <w:bookmarkStart w:id="101" w:name="__RefHeading___Toc4541_1712987439"/>
      <w:bookmarkEnd w:id="101"/>
      <w:r>
        <w:rPr/>
        <w:t>Diskursethik und Legitimation</w:t>
      </w:r>
    </w:p>
    <w:p>
      <w:pPr>
        <w:pStyle w:val="Normal"/>
        <w:rPr/>
      </w:pPr>
      <w:r>
        <w:rPr/>
        <w:t>Diskursethische Ansätze stellen die Frage, wer an der Begründung verbindlicher Regeln beteiligt sein muss. Bei KI-Governance ist dies zunächst ein demokratisches und gesellschaftliches Problem. In Zukunftsszenarien mit künstlichen Akteuren entsteht jedoch eine neue Frage: Falls solche Akteure eigene legitime Interessen besitzen, müssten sie an normativen Verfahren beteiligt werden? Die Arbeit hält diese Frage offen und bindet sie an Kriterien moralischer Relevanz statt an bloße technische Leistungsfähigkeit.</w:t>
      </w:r>
    </w:p>
    <w:p>
      <w:pPr>
        <w:pStyle w:val="Heading3"/>
        <w:rPr/>
      </w:pPr>
      <w:bookmarkStart w:id="102" w:name="__RefHeading___Toc4543_1712987439"/>
      <w:bookmarkEnd w:id="102"/>
      <w:r>
        <w:rPr/>
        <w:t>Informationsethik und moralische Erweiterung</w:t>
      </w:r>
    </w:p>
    <w:p>
      <w:pPr>
        <w:pStyle w:val="Normal"/>
        <w:rPr/>
      </w:pPr>
      <w:r>
        <w:rPr/>
        <w:t>Floridis Informationsethik erweitert den moralischen Blick über klassische menschzentrierte Kategorien hinaus. Für die Dissertation ist dies als Kontrastfolie nützlich, weil eine menschenlose Informationsökologie denkbar wäre. Allerdings muss sorgfältig unterschieden werden zwischen moralischem Eigenwert von Informationsentitäten und praktischer Zuschreibung von Rechten. Die bloße Existenz komplexer Information erzeugt nicht automatisch einen rechtlichen Status.</w:t>
      </w:r>
    </w:p>
    <w:p>
      <w:pPr>
        <w:pStyle w:val="Heading3"/>
        <w:rPr/>
      </w:pPr>
      <w:bookmarkStart w:id="103" w:name="__RefHeading___Toc4545_1712987439"/>
      <w:bookmarkEnd w:id="103"/>
      <w:r>
        <w:rPr/>
        <w:t>17.1 Von Asimovs Robotergesetzen zur konstitutionellen Architektur</w:t>
      </w:r>
    </w:p>
    <w:p>
      <w:pPr>
        <w:pStyle w:val="Normal"/>
        <w:widowControl/>
        <w:rPr/>
      </w:pPr>
      <w:r>
        <w:rPr/>
        <w:t>Asimovs Robotergesetze besitzen erheblichen kulturgeschichtlichen Wert, sind aber keine ausreichende Maschinenethik. Begriffe wie „Schaden“, „Mensch“, „Befehl“ und „Selbsterhaltung“ sind auslegungsbedürftig; kurzfristige und langfristige Folgen können kollidieren; Regeln können strategisch oder wörtlich fehlinterpretiert werden. Das eigentliche wissenschaftliche Problem lautet daher nicht, welche drei Sätze eine Maschine befolgen soll, sondern wie normative Prinzipien, positive Rechtsregeln, technische Schutzmechanismen und adaptive Lernprozesse hierarchisch verbunden werden können.</w:t>
      </w:r>
    </w:p>
    <w:p>
      <w:pPr>
        <w:pStyle w:val="Equation"/>
        <w:jc w:val="center"/>
        <w:rPr/>
      </w:pPr>
      <w:r>
        <w:rPr>
          <w:rFonts w:eastAsia="Liberation Serif" w:cs="Liberation Serif"/>
          <w:i/>
          <w:color w:val="16324F"/>
          <w:sz w:val="23"/>
        </w:rPr>
        <w:t>R₀ &gt; R₁ &gt; R₂ &gt; R₃</w:t>
      </w:r>
    </w:p>
    <w:p>
      <w:pPr>
        <w:pStyle w:val="Normal"/>
        <w:keepNext w:val="true"/>
        <w:jc w:val="center"/>
        <w:rPr/>
      </w:pPr>
      <w:r>
        <w:rPr/>
        <w:drawing>
          <wp:inline distT="0" distB="0" distL="0" distR="0">
            <wp:extent cx="5897880" cy="4058920"/>
            <wp:effectExtent l="0" t="0" r="0" b="0"/>
            <wp:docPr id="9" name="Picture 9" descr="Hierarchisches Diagramm mit fundamentalen normativen Prinzipien R0, positiver Rechtsordnung R1, technischer Governance R2 und adaptiven Systemregeln R3. Untergeordnete adaptive Regeln dürfen höher legitimierte Ebenen nicht autonom aufheben." title="Normative Regelhierarchie als ethische 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5897880" cy="4058920"/>
                    </a:xfrm>
                    <a:prstGeom prst="rect">
                      <a:avLst/>
                    </a:prstGeom>
                    <a:noFill/>
                  </pic:spPr>
                </pic:pic>
              </a:graphicData>
            </a:graphic>
          </wp:inline>
        </w:drawing>
      </w:r>
    </w:p>
    <w:p>
      <w:pPr>
        <w:pStyle w:val="Caption"/>
        <w:jc w:val="center"/>
        <w:rPr/>
      </w:pPr>
      <w:r>
        <w:rPr/>
        <w:t>Abbildung 7. Normative Regelhierarchie als präzisierte Metapher einer „ethischen DNA“. Adaptive Systemregeln dürfen höher legitimierte Ebenen nicht autonom suspendieren.</w:t>
      </w:r>
    </w:p>
    <w:p>
      <w:pPr>
        <w:pStyle w:val="TableCaption"/>
        <w:keepNext w:val="true"/>
        <w:rPr/>
      </w:pPr>
      <w:r>
        <w:rPr/>
        <w:t>Tabelle 13. Normative Regelhierarchie</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Ebene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Beispiele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fundamentale normative Ordnung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Menschenwürde, Grundrechte, elementare Schutz- und Legitimationsprinzipien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positives Recht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Gesetze, Haftung, Verfahrensgarantien, demokratisch legitimierte Grenzen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 Governance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Zugriffsrechte, Audit, Ressourcenlimits, Watchdog, Abbruch und Rollback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adaptive Systemregeln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Lernen, Planung, lokale Ziele, Strategien und selbstveränderliche Komponenten</w:t>
            </w:r>
          </w:p>
        </w:tc>
      </w:tr>
    </w:tbl>
    <w:p>
      <w:pPr>
        <w:pStyle w:val="Normal"/>
        <w:spacing w:before="0" w:after="0"/>
        <w:rPr/>
      </w:pPr>
      <w:r>
        <w:rPr/>
      </w:r>
    </w:p>
    <w:p>
      <w:pPr>
        <w:pStyle w:val="Normal"/>
        <w:widowControl/>
        <w:rPr/>
      </w:pPr>
      <w:r>
        <w:rPr/>
        <w:t>Die Metapher „DNA“ darf nicht naturalisiert werden. Normative Regeln sind keine Gene und moralische Kompetenz ist nicht auf Invarianten reduzierbar. Die Metapher ist nur dann nützlich, wenn sie die tiefe architektonische Verankerung bestimmter Grenzen bezeichnet. Selbst dann bleiben Auslegung, Wertkonflikte, demokratische Legitimation und die Möglichkeit fehlerhafter Regeln bestehen. Eine technisch unveränderliche Norm kann stabil und dennoch ungerecht sein.</w:t>
      </w:r>
    </w:p>
    <w:p>
      <w:pPr>
        <w:pStyle w:val="Heading2"/>
        <w:rPr/>
      </w:pPr>
      <w:bookmarkStart w:id="104" w:name="__RefHeading___Toc4547_1712987439"/>
      <w:bookmarkEnd w:id="104"/>
      <w:r>
        <w:rPr/>
        <w:t>18. Philosophischer Bezugsrahmen</w:t>
      </w:r>
    </w:p>
    <w:p>
      <w:pPr>
        <w:pStyle w:val="TableCaption"/>
        <w:keepNext w:val="true"/>
        <w:rPr/>
      </w:pPr>
      <w:r>
        <w:rPr/>
        <w:t>Tabelle 14. Philosophische Bezugslinien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Tradition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Beitrag zur Forschungsfrage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Aristoteles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Material-, Form-, Wirk- und Zweckursache trennen Hardware, Architektur, Entwicklungsprozess und Zielsetzung. Die Frage ist, ob die Zweckursache dauerhaft menschlich bleiben muss.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Menschen dürfen nicht bloß als Datenquelle, Trainingsmittel oder manipulierbares Objekt behandelt werden. Autonomie und Würde begrenzen rein zweckorientierte Optimierung.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Hans Jonas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Wachsende Reichweite und Irreversibilität erweitern Verantwortung unter Unsicherheit. Vorsorge ist jedoch gegen pauschales Innovationsverbot abzugrenzen.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Wiener und Ashby</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 beruht auf Rückkopplung und ausreichender regulatorischer Vielfalt. Ein Stoppschalter ohne Zustandsverständnis ist kein vollständiger Regulator.</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Heidegger</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Technik strukturiert, welche Probleme und Lösungen als plausibel erscheinen. LLMs können damit den Forschungsraum mitprägen, nicht nur innerhalb seiner Grenzen entwerfen.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Simondon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 selbstorganisierendes System kann als Prozess technischer Individuation statt als abgeschlossenes Objekt verstanden werden.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Dennett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Die intentionale Haltung erklärt den praktischen Nutzen und die Gefahr anthropomorpher Zuschreibungen.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Floridi</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Kausale, funktionale, institutionelle und moralische Agency sind zu unterscheiden. Informationsethik erweitert den Kreis moralischer Analyse, ohne Bewusstsein zu unterstellen.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Clark, Chalmers und Hutchins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Kognition kann sich unter bestimmten Bedingungen über biologische Grenzen verteilen. Entscheidend sind stabile Kopplung, Verfügbarkeit, Reziprozität und funktionale Integration.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Varela, Thompson und Rosch</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Enaktive Kognition entsteht durch verkörpertes Hervorbringen einer Welt; Bedeutung ist nicht auf interne Repräsentation reduzierbar.</w:t>
            </w:r>
          </w:p>
        </w:tc>
      </w:tr>
    </w:tbl>
    <w:p>
      <w:pPr>
        <w:pStyle w:val="Normal"/>
        <w:spacing w:before="0" w:after="0"/>
        <w:rPr/>
      </w:pPr>
      <w:r>
        <w:rPr/>
      </w:r>
    </w:p>
    <w:p>
      <w:pPr>
        <w:pStyle w:val="Heading3"/>
        <w:rPr/>
      </w:pPr>
      <w:bookmarkStart w:id="105" w:name="__RefHeading___Toc4549_1712987439"/>
      <w:bookmarkEnd w:id="105"/>
      <w:r>
        <w:rPr/>
        <w:t>18.1 Aristoteles: Wer ist Urheber?</w:t>
      </w:r>
    </w:p>
    <w:p>
      <w:pPr>
        <w:pStyle w:val="ListBullet"/>
        <w:numPr>
          <w:ilvl w:val="0"/>
          <w:numId w:val="1"/>
        </w:numPr>
        <w:rPr/>
      </w:pPr>
      <w:r>
        <w:rPr/>
        <w:t>Materialursache: Hardware, Daten, Speicher, Energie und Code.</w:t>
      </w:r>
    </w:p>
    <w:p>
      <w:pPr>
        <w:pStyle w:val="ListBullet"/>
        <w:numPr>
          <w:ilvl w:val="0"/>
          <w:numId w:val="1"/>
        </w:numPr>
        <w:rPr/>
      </w:pPr>
      <w:r>
        <w:rPr/>
        <w:t>Formursache: Topologie, Architektur, Lern- und Kopplungsregeln.</w:t>
      </w:r>
    </w:p>
    <w:p>
      <w:pPr>
        <w:pStyle w:val="ListBullet"/>
        <w:numPr>
          <w:ilvl w:val="0"/>
          <w:numId w:val="1"/>
        </w:numPr>
        <w:rPr/>
      </w:pPr>
      <w:r>
        <w:rPr/>
        <w:t>Wirkursache: Mensch, LLM, Compiler, Trainingsprozess, Umwelt und Institution.</w:t>
      </w:r>
    </w:p>
    <w:p>
      <w:pPr>
        <w:pStyle w:val="ListBullet"/>
        <w:numPr>
          <w:ilvl w:val="0"/>
          <w:numId w:val="1"/>
        </w:numPr>
        <w:rPr/>
      </w:pPr>
      <w:r>
        <w:rPr/>
        <w:t>Zweckursache: Forschungsziel, Nutzungszweck oder systemisch erzeugte Zielstruktur.</w:t>
      </w:r>
    </w:p>
    <w:p>
      <w:pPr>
        <w:pStyle w:val="Normal"/>
        <w:widowControl/>
        <w:rPr/>
      </w:pPr>
      <w:r>
        <w:rPr/>
        <w:t>Das LLM kann an Form- und Wirkursache beteiligt sein. Die Zweckursache bleibt bei heutigen Systemen überwiegend extern gesetzt, kann aber durch rekursive Planung, Zieldekomposition und adaptive Bewertung partiell verschoben werden. Gerade diese Verschiebung ist mit dem Hoheitsvektor zu dokumentieren, statt sie durch die pauschale Aussage „die KI entscheidet“ zu verdecken.</w:t>
      </w:r>
    </w:p>
    <w:p>
      <w:pPr>
        <w:pStyle w:val="Heading2"/>
        <w:rPr/>
      </w:pPr>
      <w:bookmarkStart w:id="106" w:name="__RefHeading___Toc4551_1712987439"/>
      <w:bookmarkEnd w:id="106"/>
      <w:r>
        <w:rPr/>
        <w:t>19. Empfindungsfähigkeit, Leben und moralischer Status</w:t>
      </w:r>
    </w:p>
    <w:p>
      <w:pPr>
        <w:pStyle w:val="Normal"/>
        <w:widowControl/>
        <w:rPr/>
      </w:pPr>
      <w:r>
        <w:rPr/>
        <w:t>Die Frage, ab welcher Stufe ein System keine bloße KI, sondern eine empfindungsfähige Lebensform wäre, kann derzeit nicht durch einen einzelnen Test beantwortet werden. „KI“ bezeichnet eine technische Herkunfts- und Funktionskategorie; „Leben“ eine biologische oder systemische Organisationsform; „Empfindungsfähigkeit“ die Möglichkeit subjektiv positiver oder negativer Zustände; „Bewusstsein“ phänomenales Erleben; „moralischer Status“ eine normative Schlussfolgerung. Diese Kategorien können zusammenfallen, müssen es aber nicht.</w:t>
      </w:r>
    </w:p>
    <w:p>
      <w:pPr>
        <w:pStyle w:val="Normal"/>
        <w:widowControl/>
        <w:rPr/>
      </w:pPr>
      <w:r>
        <w:rPr/>
        <w:t>Ein System darf nicht allein deshalb als empfindungsfähig gelten, weil es Schmerzberichte generiert, Selbsterhaltung verfolgt oder ein Selbstmodell beschreibt. Solche Ausgaben können trainierte Sprachmuster sein. Umgekehrt wäre es methodisch ebenso problematisch, moralische Relevanz prinzipiell auszuschließen, sobald nichtbiologische Systeme hinreichend integrierte, persistente und eigenbezogene Zustände aufweisen. Butlin et al. (2023), Chalmers (2023), Gunkel (2018) und Coeckelbergh (2020) zeigen unterschiedliche Wege, diese Grenzfrage ohne vorschnelle Gleichsetzung zu bearbeiten.</w:t>
      </w:r>
    </w:p>
    <w:p>
      <w:pPr>
        <w:pStyle w:val="TableCaption"/>
        <w:keepNext w:val="true"/>
        <w:rPr/>
      </w:pPr>
      <w:r>
        <w:rPr/>
        <w:t>Tabelle 15. Kriterien der Grenzdiskussion um moralischen Status</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Stufe/Kriterium</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Wissenschaftliche Vorsicht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funktionale Intelligenz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Problemlösen, Lernen, Generalisierung; kein Nachweis subjektiven Erlebens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persistentes Selbstmodell</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Repräsentation eigener Zustände und Grenzen; kann funktional implementiert sein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zeitliche Identität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stabile Erinnerung und Zukunftsbezug; relevant, aber nicht hinreichend</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Interozeption/Homeostase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eigene Zustände beeinflussen Prioritäten; mögliche Grundlage funktionaler Präferenzen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valenzähnliche Zustände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systeminterne positive/negative Bewertung; nicht automatisch phänomenale Lust oder Leid</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phänomenale Empfindungsfähigkeit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subjektives Erleben; derzeit keine allgemein akzeptierte maschinelle Nachweismethode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moralischer Status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normative Berücksichtigung aufgrund begründeter Merkmale und Unsicherheiten</w:t>
            </w:r>
          </w:p>
        </w:tc>
      </w:tr>
    </w:tbl>
    <w:p>
      <w:pPr>
        <w:pStyle w:val="Normal"/>
        <w:spacing w:before="0" w:after="0"/>
        <w:rPr/>
      </w:pPr>
      <w:r>
        <w:rPr/>
      </w:r>
    </w:p>
    <w:p>
      <w:pPr>
        <w:pStyle w:val="QuoteBlock"/>
        <w:rPr/>
      </w:pPr>
      <w:r>
        <w:rPr/>
        <w:t>Die leitende Grenzfrage lautet nicht: „Wann klingt ein System menschlich?“, sondern: „Unter welchen Bedingungen wäre es wissenschaftlich und moralisch nicht mehr vertretbar, ein nichtorganisches System ausschließlich als Werkzeug oder Eigentumsobjekt zu behandeln?“</w:t>
      </w:r>
    </w:p>
    <w:p>
      <w:pPr>
        <w:pStyle w:val="Heading2"/>
        <w:rPr/>
      </w:pPr>
      <w:bookmarkStart w:id="107" w:name="__RefHeading___Toc4553_1712987439"/>
      <w:bookmarkEnd w:id="107"/>
      <w:r>
        <w:rPr/>
        <w:t>20. Recht und Governance</w:t>
      </w:r>
    </w:p>
    <w:p>
      <w:pPr>
        <w:pStyle w:val="Heading3"/>
        <w:rPr/>
      </w:pPr>
      <w:bookmarkStart w:id="108" w:name="__RefHeading___Toc4555_1712987439"/>
      <w:bookmarkEnd w:id="108"/>
      <w:r>
        <w:rPr/>
        <w:t>Zurechnung und Verantwortung</w:t>
      </w:r>
    </w:p>
    <w:p>
      <w:pPr>
        <w:pStyle w:val="Normal"/>
        <w:rPr/>
      </w:pPr>
      <w:r>
        <w:rPr/>
        <w:t>Geltendes Recht ordnet Verantwortung natürlichen und juristischen Personen zu. Dies ist funktional plausibel, solange solche Personen existieren und Kontrolle ausüben können. Rekursive Entwicklungsprozesse verschärfen jedoch die Frage nach Sorgfaltspflichten: Welche Prüfung ist zumutbar, wenn ein menschlicher Betreiber die konkrete Architektur nicht mehr vollständig versteht? Wann wird die Freigabe eines Systems trotz unzureichender epistemischer Kontrolle selbst zum Organisationsverschulden?</w:t>
      </w:r>
    </w:p>
    <w:p>
      <w:pPr>
        <w:pStyle w:val="Heading3"/>
        <w:rPr/>
      </w:pPr>
      <w:bookmarkStart w:id="109" w:name="__RefHeading___Toc4557_1712987439"/>
      <w:bookmarkEnd w:id="109"/>
      <w:r>
        <w:rPr/>
        <w:t>Autorschaft und Erfinderschaft</w:t>
      </w:r>
    </w:p>
    <w:p>
      <w:pPr>
        <w:pStyle w:val="Normal"/>
        <w:rPr/>
      </w:pPr>
      <w:r>
        <w:rPr/>
        <w:t>Urheber- und Patentrecht knüpfen bislang wesentlich an menschliche Schöpfung beziehungsweise menschliche Erfinderschaft an. Maschinelle Kausalbeiträge können technisch zentral sein, ohne rechtlich als Autorschaft anerkannt zu werden. Die Dissertation verwendet diese Diskrepanz als Beispiel für die Trennung von ontologischer, kausaler und normativer Zuschreibung.</w:t>
      </w:r>
    </w:p>
    <w:p>
      <w:pPr>
        <w:pStyle w:val="Heading3"/>
        <w:rPr/>
      </w:pPr>
      <w:bookmarkStart w:id="110" w:name="__RefHeading___Toc4559_1712987439"/>
      <w:bookmarkEnd w:id="110"/>
      <w:r>
        <w:rPr/>
        <w:t>Recht ohne Menschen?</w:t>
      </w:r>
    </w:p>
    <w:p>
      <w:pPr>
        <w:pStyle w:val="Normal"/>
        <w:rPr/>
      </w:pPr>
      <w:r>
        <w:rPr/>
        <w:t>Ein menschenloses Szenario ist aus heutiger Rechtsdogmatik ein Grenzfall: Recht ist eine institutionalisierte normative Ordnung menschlicher Gemeinschaften und Organisationen. Wenn keine menschlichen Rechtssubjekte und keine menschlichen Institutionen verbleiben, wäre die Fortexistenz eines „Rechts“ im heutigen Sinn fraglich. Maschinell fortbestehende Regelwerke könnten technisch verbindlich sein, aber ohne soziale Legitimation und Rechtsgemeinschaft möglicherweise eher Protokoll, Verfassungssimulation oder Systemregel als Recht. Gerade diese Unterscheidung zwingt dazu, Recht nicht mit Regelhaftigkeit gleichzusetzen.</w:t>
      </w:r>
    </w:p>
    <w:p>
      <w:pPr>
        <w:pStyle w:val="Heading3"/>
        <w:rPr/>
      </w:pPr>
      <w:bookmarkStart w:id="111" w:name="__RefHeading___Toc4561_1712987439"/>
      <w:bookmarkEnd w:id="111"/>
      <w:r>
        <w:rPr/>
        <w:t>Human Oversight als historisch situierte Rechtsfigur</w:t>
      </w:r>
    </w:p>
    <w:p>
      <w:pPr>
        <w:pStyle w:val="Normal"/>
        <w:rPr/>
      </w:pPr>
      <w:r>
        <w:rPr/>
        <w:t>Art. 14 des EU AI Act formuliert menschliche Aufsicht für Hochrisiko-KI als konkrete Design- und Nutzungspflicht. Diese Norm ist gegenwärtig sinnvoll, weil natürliche Personen und Organisationen Anbieter und Betreiber sind. Die Dissertation interpretiert Human Oversight daher nicht als metaphysisches Prinzip, sondern als rechtsstaatliche Zurechnungstechnik: Risiken sollen nicht in einem technischen System verschwinden, sondern institutionell auf verantwortliche Personen rückgebunden werden.</w:t>
      </w:r>
    </w:p>
    <w:p>
      <w:pPr>
        <w:pStyle w:val="Heading3"/>
        <w:rPr/>
      </w:pPr>
      <w:bookmarkStart w:id="112" w:name="__RefHeading___Toc4563_1712987439"/>
      <w:bookmarkEnd w:id="112"/>
      <w:r>
        <w:rPr/>
        <w:t>Meaningful Human Control</w:t>
      </w:r>
    </w:p>
    <w:p>
      <w:pPr>
        <w:pStyle w:val="Normal"/>
        <w:rPr/>
      </w:pPr>
      <w:r>
        <w:rPr/>
        <w:t>Für autonome Systeme wird in verschiedenen Diskursen der Begriff meaningful human control verwendet. Seine Stärke liegt darin, dass bloße Anwesenheit eines Menschen nicht genügt. Ein Mensch muss tatsächlich verstehen, entscheiden und eingreifen können. Die Dissertation erweitert dies um eine epistemische Bedingung: Aufsicht ist nicht meaningful, wenn die zuständige Person nur formal bestätigt, weil sie weder Zeit noch Wissen noch Zugang besitzt, das System kritisch zu beurteilen.</w:t>
      </w:r>
    </w:p>
    <w:p>
      <w:pPr>
        <w:pStyle w:val="Heading3"/>
        <w:rPr/>
      </w:pPr>
      <w:bookmarkStart w:id="113" w:name="__RefHeading___Toc4565_1712987439"/>
      <w:bookmarkEnd w:id="113"/>
      <w:r>
        <w:rPr/>
        <w:t>Verantwortungsdiffusion in rekursiven Ketten</w:t>
      </w:r>
    </w:p>
    <w:p>
      <w:pPr>
        <w:pStyle w:val="Normal"/>
        <w:rPr/>
      </w:pPr>
      <w:r>
        <w:rPr/>
        <w:t>Rekursive Technogenese erzeugt Ketten, in denen verschiedene Modelle designen, testen, bewerten und deployen. Rechtlich kann die Verantwortung weiterhin Organisationen zugeordnet werden. Praktisch wächst jedoch die Gefahr der Verantwortungsdiffusion: Jeder menschliche Beteiligte kontrolliert nur einen Teil und verweist auf maschinelle Zwischenentscheidungen. Deshalb benötigt Governance nicht nur Endverantwortung, sondern eine dokumentierte Provenienz von Entscheidungen und Änderungen.</w:t>
      </w:r>
    </w:p>
    <w:p>
      <w:pPr>
        <w:pStyle w:val="Heading3"/>
        <w:rPr/>
      </w:pPr>
      <w:bookmarkStart w:id="114" w:name="__RefHeading___Toc4567_1712987439"/>
      <w:bookmarkEnd w:id="114"/>
      <w:r>
        <w:rPr/>
        <w:t>Eigentum, Subjektstatus und Maschinenexistenz</w:t>
      </w:r>
    </w:p>
    <w:p>
      <w:pPr>
        <w:pStyle w:val="Normal"/>
        <w:rPr/>
      </w:pPr>
      <w:r>
        <w:rPr/>
        <w:t>Eigentum setzt eine Rechtsgemeinschaft voraus, in der Verfügungsrechte anerkannt und durchgesetzt werden. In einer menschenlosen Ordnung verliert die Aussage „die Maschine gehört dem Menschen“ ihren praktischen Sinn, selbst wenn sie historisch einmal zutraf. Ähnliches gilt für Rechtspersönlichkeit. Eine maschinelle Rechtsperson wäre heute eine normative Konstruktion menschlicher Rechtsordnung. Ohne menschliche Rechtsinstitutionen müsste eine entsprechende Ordnung von den maschinellen Akteuren selbst erzeugt oder technisch konserviert werden. Ob dies noch „Recht“ wäre, hängt von der zugrunde gelegten Rechtstheorie ab.</w:t>
      </w:r>
    </w:p>
    <w:p>
      <w:pPr>
        <w:pStyle w:val="Heading3"/>
        <w:rPr/>
      </w:pPr>
      <w:bookmarkStart w:id="115" w:name="__RefHeading___Toc4569_1712987439"/>
      <w:bookmarkEnd w:id="115"/>
      <w:r>
        <w:rPr/>
        <w:t>Verfassung nach dem Menschen</w:t>
      </w:r>
    </w:p>
    <w:p>
      <w:pPr>
        <w:pStyle w:val="Normal"/>
        <w:rPr/>
      </w:pPr>
      <w:r>
        <w:rPr/>
        <w:t>Die Idee einer „KI-Verfassung“ kann auf zwei Weisen verstanden werden. Im schwachen Sinn handelt es sich um unveränderliche technische Regeln. Im starken Sinn wäre es eine legitimierte Grundordnung mit Verfahren, Zuständigkeiten und Normenkollisionen. Die Dissertation unterscheidet beide Formen. Technische Unveränderlichkeit allein erzeugt keine Legitimität; Legitimität allein erzeugt keine technische Durchsetzbarkeit. Eine robuste Governance intelligenter Systeme verlangt deshalb die Kopplung normativer und technischer Ebenen, solange eine normative Gemeinschaft existiert.</w:t>
      </w:r>
    </w:p>
    <w:p>
      <w:pPr>
        <w:pStyle w:val="Normal"/>
        <w:widowControl/>
        <w:rPr/>
      </w:pPr>
      <w:r>
        <w:rPr/>
        <w:t>Das geltende Recht adressiert weiterhin Menschen und Organisationen. Der EU AI Act ordnet Pflichten entlang von Rollen und Risiken und verlangt für bestimmte Hochrisikosysteme wirksame menschliche Aufsicht; die Produkthaftungsrichtlinie 2024/2853 erfasst Software ausdrücklich im modernisierten Produktbegriff. Das Rahmenübereinkommen des Europarats CETS Nr. 225 verbindet den Lebenszyklus von KI mit Menschenrechten, Demokratie und Rechtsstaatlichkeit. Diese Regelwerke sind wichtige Gegenwartsordnungen, beantworten aber die theoretische Frage rekursiver maschineller Autorschaft nur teilweise (European Parliament &amp; Council, 2024a, 2024b; Council of Europe, 2024).</w:t>
      </w:r>
    </w:p>
    <w:p>
      <w:pPr>
        <w:pStyle w:val="Normal"/>
        <w:widowControl/>
        <w:rPr/>
      </w:pPr>
      <w:r>
        <w:rPr/>
        <w:t>Rechtsdogmatisch ist zwischen technischer Kausalität, rechtlicher Zurechnung und moralischer Verantwortlichkeit zu unterscheiden. Ein System kann kausal wirksam sein, ohne Rechtsperson zu sein. Die Einführung einer elektronischen Rechtspersönlichkeit ist weder notwendige noch automatisch sinnvolle Antwort auf Zurechnungslücken; sie könnte Verantwortung institutioneller Betreiber sogar abschirmen. De lege ferenda sollte daher zunächst geprüft werden, ob Hersteller-, Betreiber-, Organisations- und Aufsichtspflichten an Hoheitsrechten und realen Eingriffsmöglichkeiten ausgerichtet werden können.</w:t>
      </w:r>
    </w:p>
    <w:p>
      <w:pPr>
        <w:pStyle w:val="Heading1"/>
        <w:rPr/>
      </w:pPr>
      <w:bookmarkStart w:id="116" w:name="__RefHeading___Toc4571_1712987439"/>
      <w:bookmarkEnd w:id="116"/>
      <w:r>
        <w:rPr/>
        <w:t>Teil V – Reflexive Begleitforschung am technischen Fall Brain-5D</w:t>
      </w:r>
    </w:p>
    <w:p>
      <w:pPr>
        <w:pStyle w:val="Heading2"/>
        <w:rPr/>
      </w:pPr>
      <w:bookmarkStart w:id="117" w:name="__RefHeading___Toc4573_1712987439"/>
      <w:bookmarkEnd w:id="117"/>
      <w:r>
        <w:rPr/>
        <w:t>21. Rolle des Fallbeispiels</w:t>
      </w:r>
    </w:p>
    <w:p>
      <w:pPr>
        <w:pStyle w:val="Normal"/>
        <w:widowControl/>
        <w:rPr/>
      </w:pPr>
      <w:r>
        <w:rPr/>
        <w:t>Brain-5D ist der praktische Entstehungskontext der Forschungsfragen. Das Projekt untersucht ein räumlich organisiertes Spiking Neural Network mit lokaler Plastizität, struktureller Veränderung und optionalen Sprachmodell-Schnittstellen. Für die Dissertation dient es als begrenzter Beobachtungsraum: Hier lassen sich maschinelle Entwurfsvorschläge, menschliche Auswahlentscheidungen, Selbstorganisationsprozesse, Sicherheitsgrenzen und Provenienz dokumentieren. Aus einem einzelnen System dürfen jedoch keine universalen Aussagen über Intelligenz oder Bewusstsein abgeleitet werden.</w:t>
      </w:r>
    </w:p>
    <w:p>
      <w:pPr>
        <w:pStyle w:val="Normal"/>
        <w:widowControl/>
        <w:rPr/>
      </w:pPr>
      <w:r>
        <w:rPr/>
        <w:t>Die reflexive Begleitforschung besitzt zwei Funktionen. Erstens macht sie die theoretischen Begriffe operativ: Hoheit, Kontrolle, Embodiment und Autorenschaft können an konkreten Entwicklungsentscheidungen protokolliert werden. Zweitens prüft sie die eigene Forschungspraxis: Wenn verschiedene LLMs Architekturideen, Code oder Argumente erzeugen, muss sichtbar bleiben, welche Entscheidung vom Menschen stammt, welche maschinell vorstrukturiert wurde und welche durch das lernende System selbst entstand.</w:t>
      </w:r>
    </w:p>
    <w:p>
      <w:pPr>
        <w:pStyle w:val="Heading2"/>
        <w:rPr/>
      </w:pPr>
      <w:bookmarkStart w:id="118" w:name="__RefHeading___Toc4575_1712987439"/>
      <w:bookmarkEnd w:id="118"/>
      <w:r>
        <w:rPr/>
        <w:t>22. Technischer Forschungsstand: SNN, NAS und LLM-gestützte Architekturgenerierung</w:t>
      </w:r>
    </w:p>
    <w:p>
      <w:pPr>
        <w:pStyle w:val="Heading3"/>
        <w:rPr/>
      </w:pPr>
      <w:bookmarkStart w:id="119" w:name="__RefHeading___Toc4577_1712987439"/>
      <w:bookmarkEnd w:id="119"/>
      <w:r>
        <w:rPr/>
        <w:t>Spiking Neural Networks und neuromorphe Systeme</w:t>
      </w:r>
    </w:p>
    <w:p>
      <w:pPr>
        <w:pStyle w:val="Normal"/>
        <w:rPr/>
      </w:pPr>
      <w:r>
        <w:rPr/>
        <w:t>Spiking Neural Networks modellieren Information über diskrete Ereignisse und deren zeitliche Struktur. Gegenüber klassischen künstlichen neuronalen Netzen versprechen sie insbesondere bei geeigneter Hardware eine energieeffiziente, ereignisgetriebene Verarbeitung. Gleichzeitig erschweren Nichtdifferenzierbarkeit idealisierter Spikes, zeitliche Dynamik und ein großer kombinatorischer Architekturraum Training und Entwurf. Gerstner et al. (2014) geben einen etablierten theoretischen Rahmen neuronaler Dynamik; Maass (1997) ordnet SNNs konzeptionell als neue Generation neuronaler Modelle ein.</w:t>
      </w:r>
    </w:p>
    <w:p>
      <w:pPr>
        <w:pStyle w:val="Normal"/>
        <w:rPr/>
      </w:pPr>
      <w:r>
        <w:rPr/>
        <w:t>Für die vorliegende Arbeit ist entscheidend, dass SNN-Leistung nicht allein von Gewichten abhängt. Neuronenmodell, Schwellenwerte, Refraktärzeiten, Verzögerungen, synaptische Dynamik, Plastizität und Topologie interagieren. Eine LLM-generierte SNN-Architektur muss deshalb als multidimensionales Designobjekt behandelt werden.</w:t>
      </w:r>
    </w:p>
    <w:p>
      <w:pPr>
        <w:pStyle w:val="Heading3"/>
        <w:rPr/>
      </w:pPr>
      <w:bookmarkStart w:id="120" w:name="__RefHeading___Toc4579_1712987439"/>
      <w:bookmarkEnd w:id="120"/>
      <w:r>
        <w:rPr/>
        <w:t>Neural Architecture Search</w:t>
      </w:r>
    </w:p>
    <w:p>
      <w:pPr>
        <w:pStyle w:val="Normal"/>
        <w:rPr/>
      </w:pPr>
      <w:r>
        <w:rPr/>
        <w:t>NAS automatisiert Teile der Architekturentwicklung. Ren et al. (2021) zeigen, dass Suchraum, Suchstrategie und Leistungsbewertung zentrale Designentscheidungen darstellen. Klassische Suchverfahren verwenden unter anderem evolutionäre Algorithmen, Reinforcement Learning, differenzierbare Suche oder Gewichtsteilung. Das Grundproblem bleibt, dass ein Suchverfahren nur Strukturen entdecken kann, die sein Suchraum zulässt.</w:t>
      </w:r>
    </w:p>
    <w:p>
      <w:pPr>
        <w:pStyle w:val="Normal"/>
        <w:rPr/>
      </w:pPr>
      <w:r>
        <w:rPr/>
        <w:t>Bei SNNs verschärft sich dies durch zusätzliche zeitliche und dynamische Parameter. Yan et al. (2024) zeigen mit einem SNN-spezifischen NAS-Ansatz, dass automatische Architekturentwicklung leistungsrelevant ist. Che et al. (2024) übertragen Architektursuche auf Spikformer-Strukturen. Der Forschungsstand rechtfertigt somit die Annahme, dass Architekturentscheidungen auch in Brain-5D nicht als bloße Implementierungsdetails behandelt werden dürfen.</w:t>
      </w:r>
    </w:p>
    <w:p>
      <w:pPr>
        <w:pStyle w:val="Heading3"/>
        <w:rPr/>
      </w:pPr>
      <w:bookmarkStart w:id="121" w:name="__RefHeading___Toc4581_1712987439"/>
      <w:bookmarkEnd w:id="121"/>
      <w:r>
        <w:rPr/>
        <w:t>LLM-gestützte Architekturgenerierung</w:t>
      </w:r>
    </w:p>
    <w:p>
      <w:pPr>
        <w:pStyle w:val="Normal"/>
        <w:rPr/>
      </w:pPr>
      <w:r>
        <w:rPr/>
        <w:t>LLM-basierte NAS-Forschung erweitert klassische Suchverfahren um sprachlich kodiertes Architekturwissen. Zhou et al. (2025) verwenden LLMs zur Ableitung und Übertragung von Designprinzipien. Rahman, Haider und Chakraborty (2025) demonstrieren mit LEMONADE, dass ein LLM gemeinsam mit einem Expertensystem neuronale Architekturen unter mehreren Zielgrößen iterativ erzeugen kann. Die Autoren berichten dabei ausdrücklich, dass Regeln nötig sind, um zufälliges Verhalten und Halluzinationen des Backend-LLM zu begrenzen. Damit liefert diese Arbeit einen direkten methodischen Bezugspunkt für Brain-5D: Generative Architektursynthese benötigt eine unabhängige formale Kontrollschicht.</w:t>
      </w:r>
    </w:p>
    <w:p>
      <w:pPr>
        <w:pStyle w:val="Normal"/>
        <w:rPr/>
      </w:pPr>
      <w:r>
        <w:rPr/>
        <w:t>Die offene Forschungslücke ist jedoch deutlich: Bestehende Arbeiten bewerten überwiegend Leistung, Suchkosten und Hardwareparameter. Weniger untersucht sind (a) modellfamilienspezifische Architektur-Fingerabdrücke, (b) die Provenienz der erzeugten Designentscheidungen, (c) die Verschiebung menschlicher Agency und (d) die normative Bedeutung eines Systems, das nach maschineller Konstruktion selbstorganisatorisch weiterwächst.</w:t>
      </w:r>
    </w:p>
    <w:p>
      <w:pPr>
        <w:pStyle w:val="Heading3"/>
        <w:rPr/>
      </w:pPr>
      <w:bookmarkStart w:id="122" w:name="__RefHeading___Toc4583_1712987439"/>
      <w:bookmarkEnd w:id="122"/>
      <w:r>
        <w:rPr/>
        <w:t>KI-Ethik und Governance</w:t>
      </w:r>
    </w:p>
    <w:p>
      <w:pPr>
        <w:pStyle w:val="Normal"/>
        <w:rPr/>
      </w:pPr>
      <w:r>
        <w:rPr/>
        <w:t>Floridi und Cowls (2019) identifizieren eine Konvergenz zahlreicher KI-Ethikrahmen um Prinzipien wie Wohltun, Nichtschaden, Autonomie, Gerechtigkeit und Erklärbarkeit. Die UNESCO-Empfehlung von 2021 betont Menschenwürde, Rechte, Transparenz und menschliche Aufsicht. Die OECD AI Principles wurden 2024 aktualisiert und verfolgen einen menschenzentrierten Ansatz. NIST strukturiert das AI Risk Management Framework über Govern, Map, Measure und Manage; Stand 2026 wird AI RMF 1.0 überarbeitet.</w:t>
      </w:r>
    </w:p>
    <w:p>
      <w:pPr>
        <w:pStyle w:val="Normal"/>
        <w:rPr/>
      </w:pPr>
      <w:r>
        <w:rPr/>
        <w:t>Die Schwäche rein prinzipienorientierter Ethik liegt darin, dass abstrakte Werte nicht automatisch technische Kontrollmechanismen erzeugen. Die vorliegende Arbeit übersetzt deshalb normative Forderungen in messbare Systemanforderungen: Beobachtbarkeit, Unterbrechbarkeit, Reversibilität, Provenienz, Ressourcenbegrenzung und definierte Entscheidungshoheit.</w:t>
      </w:r>
    </w:p>
    <w:p>
      <w:pPr>
        <w:pStyle w:val="Heading3"/>
        <w:rPr/>
      </w:pPr>
      <w:bookmarkStart w:id="123" w:name="__RefHeading___Toc4585_1712987439"/>
      <w:bookmarkEnd w:id="123"/>
      <w:r>
        <w:rPr/>
        <w:t>Rechtslage 2026</w:t>
      </w:r>
    </w:p>
    <w:p>
      <w:pPr>
        <w:pStyle w:val="Normal"/>
        <w:rPr/>
      </w:pPr>
      <w:r>
        <w:rPr/>
        <w:t>Der europäische AI Act (Verordnung (EU) 2024/1689) verfolgt einen risikobasierten Ansatz. Die konsolidierte Fassung vom 27. Juli 2026 berücksichtigt die Änderungsverordnung (EU) 2026/1744. Artikel 14 verlangt bei Hochrisiko-KI wirksame menschliche Aufsicht und nennt Fähigkeiten zum Verständnis der Systemgrenzen, zur Vermeidung von Automation Bias, zum Ignorieren oder Überschreiben von Outputs und zum sicheren Stoppen. Der allgemeine Anwendungsbeginn liegt grundsätzlich am 2. August 2026; für einzelne Pflichten und bestimmte Hochrisikosysteme gelten besondere Übergangsregelungen. Für Brain-5D folgt daraus nicht automatisch eine Einstufung als Hochrisiko-System. Die Norm ist jedoch eine belastbare Designreferenz für die Unterscheidung formaler und effektiver Human Oversight (European Parliament &amp; Council of the European Union, 2024a, Art. 14, 113; 2026).</w:t>
      </w:r>
    </w:p>
    <w:p>
      <w:pPr>
        <w:pStyle w:val="Normal"/>
        <w:rPr/>
      </w:pPr>
      <w:r>
        <w:rPr/>
        <w:t>Die Produkthaftungsrichtlinie (EU) 2024/2853 erfasst Software ausdrücklich als Produkt und behandelt Softwareentwickler, einschließlich bestimmter KI-Anbieter, als Hersteller. Die ursprünglich vorgeschlagene AI Liability Directive wurde 2025 zurückgezogen. Haftungsfragen sind deshalb nicht über eine einzige spezielle KI-Haftungsrichtlinie zu lösen, sondern aus dem Zusammenspiel allgemeiner und sektoraler Normen.</w:t>
      </w:r>
    </w:p>
    <w:p>
      <w:pPr>
        <w:pStyle w:val="Normal"/>
        <w:rPr/>
      </w:pPr>
      <w:r>
        <w:rPr/>
        <w:t>Das Übereinkommen des Europarats über künstliche Intelligenz, Menschenrechte, Demokratie und Rechtsstaatlichkeit (CETS Nr. 225) wurde 2024 zur Unterzeichnung aufgelegt. Die Europäische Union ratifizierte es am 15. Mai 2026. Das Instrument adressiert Risiken über den KI-Lebenszyklus und stärkt damit die These, dass Governance nicht erst beim Output, sondern bereits bei Entwicklung, Bereitstellung, Nutzung und Außerbetriebnahme ansetzen muss (Council of Europe, 2024, 2026).</w:t>
      </w:r>
    </w:p>
    <w:p>
      <w:pPr>
        <w:pStyle w:val="Heading3"/>
        <w:rPr/>
      </w:pPr>
      <w:bookmarkStart w:id="124" w:name="__RefHeading___Toc4587_1712987439"/>
      <w:bookmarkEnd w:id="124"/>
      <w:r>
        <w:rPr/>
        <w:t>Autorschaft und Erfinderschaft</w:t>
      </w:r>
    </w:p>
    <w:p>
      <w:pPr>
        <w:pStyle w:val="Normal"/>
        <w:rPr/>
      </w:pPr>
      <w:r>
        <w:rPr/>
        <w:t>Rechtlich ist die Zuschreibung maschineller Autorschaft derzeit begrenzt. Das U.S. Copyright Office kam 2025 zu dem Ergebnis, dass generative KI-Ausgaben nur insoweit urheberrechtlichen Schutz erhalten können, wie hinreichende menschliche kreative Beiträge vorliegen; bloße Prompts genügen nicht automatisch. Im Patentrecht bestätigte die Beschwerdekammer des Europäischen Patentamts im DABUS-Verfahren, dass eine Maschine nicht Erfinder im Sinne des Europäischen Patentübereinkommens ist. Diese Rechtslage ist philosophisch nicht gleichbedeutend mit der Aussage, Maschinen könnten keinen kausalen oder epistemischen Beitrag leisten. Sie zeigt vielmehr, dass rechtliche Autorschaft und technische Urheberschaft auseinanderfallen können.</w:t>
      </w:r>
    </w:p>
    <w:p>
      <w:pPr>
        <w:pStyle w:val="Normal"/>
        <w:widowControl/>
        <w:rPr/>
      </w:pPr>
      <w:r>
        <w:rPr/>
        <w:t>Die wissenschaftliche Neuheit darf nicht mit der bloßen Aussage begründet werden, ein LLM erzeuge ein SNN. Vitolo et al. (2024) haben bereits natürlichsprachlich gesteuerte Verilog-Erzeugung für ein rekurrentes SNN untersucht. Neural Architecture Search und SNN-spezifische Suchverfahren bilden etablierte, sich weiterentwickelnde Forschungsfelder (Elsken, Metzen, &amp; Hutter, 2019; Ren et al., 2021; Shen et al., 2024). Der mögliche originäre Beitrag liegt daher im kontrollierten Vergleich modellspezifischer Entwurfsfingerabdrücke, der longitudinalen Beobachtung anschließender Selbstorganisation und der gleichzeitigen Analyse von Hoheit, Provenienz und Embodiment.</w:t>
      </w:r>
    </w:p>
    <w:p>
      <w:pPr>
        <w:pStyle w:val="Heading2"/>
        <w:rPr/>
      </w:pPr>
      <w:bookmarkStart w:id="125" w:name="__RefHeading___Toc4589_1712987439"/>
      <w:bookmarkEnd w:id="125"/>
      <w:r>
        <w:rPr/>
        <w:t>23. Artefaktbasierte Methodik ohne Erhebung an menschlichen Probandengruppen</w:t>
      </w:r>
    </w:p>
    <w:p>
      <w:pPr>
        <w:pStyle w:val="Heading3"/>
        <w:rPr/>
      </w:pPr>
      <w:bookmarkStart w:id="126" w:name="__RefHeading___Toc4591_1712987439"/>
      <w:bookmarkEnd w:id="126"/>
      <w:r>
        <w:rPr/>
        <w:t>23.1 Forschungsdesign: vier artefakt- und dokumentbasierte Untersuchungsstränge</w:t>
      </w:r>
    </w:p>
    <w:p>
      <w:pPr>
        <w:pStyle w:val="Normal"/>
        <w:widowControl/>
        <w:rPr/>
      </w:pPr>
      <w:r>
        <w:rPr/>
        <w:t>Die reflexive Begleitforschung ist als Mixed-Methods-Design ohne menschliche Versuchs- oder Kontrollgruppen angelegt. Gegenstand sind technische Artefakte, dokumentierte Entwicklungsentscheidungen, maschinelle Zustandsverläufe und normative beziehungsweise rechtliche Texte. Vier Stränge werden verbunden:</w:t>
      </w:r>
    </w:p>
    <w:p>
      <w:pPr>
        <w:pStyle w:val="ListBullet"/>
        <w:numPr>
          <w:ilvl w:val="0"/>
          <w:numId w:val="1"/>
        </w:numPr>
        <w:rPr/>
      </w:pPr>
      <w:r>
        <w:rPr/>
        <w:t>Strang A – kontrollierter Mehrmodellvergleich: LLMs erzeugen unter versionierten und möglichst identischen Bedingungen Architekturmanifeste für SNNs.</w:t>
      </w:r>
    </w:p>
    <w:p>
      <w:pPr>
        <w:pStyle w:val="ListBullet"/>
        <w:numPr>
          <w:ilvl w:val="0"/>
          <w:numId w:val="1"/>
        </w:numPr>
        <w:rPr/>
      </w:pPr>
      <w:r>
        <w:rPr/>
        <w:t>Strang B – longitudinale Systembeobachtung: ausgewählte Netze werden über Lern-, Störungs- und Selbstorganisationsphasen verfolgt.</w:t>
      </w:r>
    </w:p>
    <w:p>
      <w:pPr>
        <w:pStyle w:val="ListBullet"/>
        <w:numPr>
          <w:ilvl w:val="0"/>
          <w:numId w:val="1"/>
        </w:numPr>
        <w:rPr/>
      </w:pPr>
      <w:r>
        <w:rPr/>
        <w:t>Strang C – Provenienz- und Hoheitsanalyse: Entscheidungsrechte, Änderungen, Freigaben, Abbrüche und Rücksetzungen werden anhand maschinenlesbarer Protokolle rekonstruiert.</w:t>
      </w:r>
    </w:p>
    <w:p>
      <w:pPr>
        <w:pStyle w:val="ListBullet"/>
        <w:numPr>
          <w:ilvl w:val="0"/>
          <w:numId w:val="1"/>
        </w:numPr>
        <w:rPr/>
      </w:pPr>
      <w:r>
        <w:rPr/>
        <w:t>Strang D – rechtsdogmatische, epistemologische und normativ-philosophische Analyse: technische Befunde werden mit Autorenschaft, Verantwortung, Kontrolle, Embodiment und möglichem moralischem Status in Beziehung gesetzt.</w:t>
      </w:r>
    </w:p>
    <w:p>
      <w:pPr>
        <w:pStyle w:val="Normal"/>
        <w:widowControl/>
        <w:rPr/>
      </w:pPr>
      <w:r>
        <w:rPr/>
        <w:t>Die Stränge werden durch eine gemeinsame Provenienzdatenbank verbunden. Jede maschinelle oder menschliche Änderung erhält Zeitstempel, Akteurstyp, Modell- und Softwareversion, Prompt- oder Entscheidungsgrundlage, betroffene Systemkomponente und Prüfergebnis. Es werden weder menschliche Wahrnehmungen experimentell manipuliert noch erfundene Teilnehmerdaten erzeugt. Fragen anthropomorpher Sprache oder wissenschaftlicher Autorschaft werden durch Literatur, Dokumentenvergleich und reflexive Protokollanalyse untersucht.</w:t>
      </w:r>
    </w:p>
    <w:p>
      <w:pPr>
        <w:pStyle w:val="Heading3"/>
        <w:rPr/>
      </w:pPr>
      <w:bookmarkStart w:id="127" w:name="__RefHeading___Toc4593_1712987439"/>
      <w:bookmarkEnd w:id="127"/>
      <w:r>
        <w:rPr/>
        <w:t>23.2 Präregistrierung und Trennung konfirmatorischer von explorativer Analyse</w:t>
      </w:r>
    </w:p>
    <w:p>
      <w:pPr>
        <w:pStyle w:val="Normal"/>
        <w:widowControl/>
        <w:rPr/>
      </w:pPr>
      <w:r>
        <w:rPr/>
        <w:t>Vor den zentralen technischen Läufen werden Forschungsfragen, Vergleichskonfigurationen, primäre Messgrößen, Ausschlussregeln, Mindestzahl unabhängiger Generationsläufe und Auswertungsmodelle versioniert präregistriert. Explorative Analysen – etwa neu entdeckte Graphmotive oder unerwartete Dynamiktypen – werden deutlich von konfirmatorischen Prüfungen getrennt. Eine nachträgliche Anpassung von Kriterien muss mit Datum, Begründung und Auswirkung auf die Interpretierbarkeit dokumentiert werden.</w:t>
      </w:r>
    </w:p>
    <w:p>
      <w:pPr>
        <w:pStyle w:val="Heading3"/>
        <w:rPr/>
      </w:pPr>
      <w:bookmarkStart w:id="128" w:name="__RefHeading___Toc4595_1712987439"/>
      <w:bookmarkEnd w:id="128"/>
      <w:r>
        <w:rPr/>
        <w:t>23.3 Technische Vergleichskonfigurationen und Referenzartefakte</w:t>
      </w:r>
    </w:p>
    <w:p>
      <w:pPr>
        <w:pStyle w:val="Normal"/>
        <w:widowControl/>
        <w:rPr/>
      </w:pPr>
      <w:r>
        <w:rPr/>
        <w:t>Es werden keine Personen in Gruppen untersucht. Verglichen werden ausschließlich technische Konfigurationen, versionierte Systemläufe und Referenzartefakte:</w:t>
      </w:r>
    </w:p>
    <w:p>
      <w:pPr>
        <w:pStyle w:val="TableCaption"/>
        <w:keepNext w:val="true"/>
        <w:rPr/>
      </w:pPr>
      <w:r>
        <w:rPr/>
        <w:t>Tabelle 16A. Technische Vergleichskonfigurationen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Konfiguration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Funktion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M0 – MANUAL-REFERENCE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versionierte, fachlich begründete SNN-Referenzarchitekturen als Artefaktbasis; keine Untersuchung der entwerfenden Personen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M1 – NAS-REFERENCE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klassische automatische Architektursuche ohne LLM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M2 – LLM-SINGLE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einzelne LLM-Familien unter standardisierten, versionierten Bedingungen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M3 – LLM-ENSEMBLE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heterogene Modelle mit getrennten Rollen für Entwurf, Kritik und formale Prüfung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M4 – LLM-SELF-REFINE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iterative Überarbeitung anhand zuvor festgelegter Messwerte, ohne Änderung der höherrangigen Kriterien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M5 – LLM-SNN-COEVOLUTION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optionale Folgekonfiguration: das SNN verändert sich über Lernphasen; das LLM erhält nur abstrahierte, provenancegesicherte Messdaten</w:t>
            </w:r>
          </w:p>
        </w:tc>
      </w:tr>
    </w:tbl>
    <w:p>
      <w:pPr>
        <w:pStyle w:val="Normal"/>
        <w:spacing w:before="0" w:after="0"/>
        <w:rPr/>
      </w:pPr>
      <w:r>
        <w:rPr/>
      </w:r>
    </w:p>
    <w:p>
      <w:pPr>
        <w:pStyle w:val="Heading3"/>
        <w:rPr/>
      </w:pPr>
      <w:bookmarkStart w:id="129" w:name="__RefHeading___Toc4597_1712987439"/>
      <w:bookmarkEnd w:id="129"/>
      <w:r>
        <w:rPr/>
        <w:t>23.4 Auswahl und Versionierung der LLMs</w:t>
      </w:r>
    </w:p>
    <w:p>
      <w:pPr>
        <w:pStyle w:val="Normal"/>
        <w:widowControl/>
        <w:rPr/>
      </w:pPr>
      <w:r>
        <w:rPr/>
        <w:t>Verglichen werden Modellklassen, nicht Markenversprechen. Je Klasse werden Modellname, Anbieter, exakte Version oder Snapshot, API- beziehungsweise lokaler Betriebsmodus, Quantisierung, Systemprompt, Samplingparameter, Kontextumfang und Datum protokolliert. Der Vergleich wird zeitlich blockiert. Kann ein Anbieter keine stabile Version gewährleisten, wird die Modellinstanz ausdrücklich als zeitabhängige Bedingung behandelt. Vorgesehen sind mindestens ein leistungsfähiges proprietäres Modell, ein Modell einer anderen Anbieterfamilie, ein offenes großes Modell, ein codeorientiertes Modell und ein kleines lokal ausführbares Modell.</w:t>
      </w:r>
    </w:p>
    <w:p>
      <w:pPr>
        <w:pStyle w:val="Heading3"/>
        <w:rPr/>
      </w:pPr>
      <w:bookmarkStart w:id="130" w:name="__RefHeading___Toc4599_1712987439"/>
      <w:bookmarkEnd w:id="130"/>
      <w:r>
        <w:rPr/>
        <w:t>23.5 Architekturmanifest statt direkter Codefreigabe</w:t>
      </w:r>
    </w:p>
    <w:p>
      <w:pPr>
        <w:pStyle w:val="Normal"/>
        <w:widowControl/>
        <w:rPr/>
      </w:pPr>
      <w:r>
        <w:rPr/>
        <w:t>Jedes LLM erzeugt zunächst ausschließlich ein deklaratives, schemavalidierbares Manifest. Es enthält Neuronenmodell, Parametergrenzen, Raumdimensionen, Regionen, Konnektivitäts- und Plastizitätsregeln, E/I-Bedingungen, Ressourcenlimits, Embodiment-Schnittstellen, Sicherheitsinvarianten und erwartete Fehlermodi. Ein deterministischer Builder übersetzt nur zulässige Manifeste in ausführbaren Brain-5D-Code. Ideengenerierung, Implementierung, Validierung und Freigabe bleiben institutionell und technisch getrennt.</w:t>
      </w:r>
    </w:p>
    <w:p>
      <w:pPr>
        <w:pStyle w:val="Normal"/>
        <w:widowControl/>
        <w:rPr/>
      </w:pPr>
      <w:r>
        <w:rPr/>
        <w:t>Beispielstruktur: analysis_id; run_id; neuron_model; space; regions; connectivity; plasticity; constraints; embodiment_interfaces; invariants; expected_failure_modes.</w:t>
      </w:r>
    </w:p>
    <w:p>
      <w:pPr>
        <w:pStyle w:val="Heading3"/>
        <w:rPr/>
      </w:pPr>
      <w:bookmarkStart w:id="131" w:name="__RefHeading___Toc4601_1712987439"/>
      <w:bookmarkEnd w:id="131"/>
      <w:r>
        <w:rPr/>
        <w:t>23.6 Standardisierte technische Aufgaben</w:t>
      </w:r>
    </w:p>
    <w:p>
      <w:pPr>
        <w:pStyle w:val="ListBullet"/>
        <w:numPr>
          <w:ilvl w:val="0"/>
          <w:numId w:val="1"/>
        </w:numPr>
        <w:rPr/>
      </w:pPr>
      <w:r>
        <w:rPr/>
        <w:t>temporales XOR und verzögerter Mustervergleich;</w:t>
      </w:r>
    </w:p>
    <w:p>
      <w:pPr>
        <w:pStyle w:val="ListBullet"/>
        <w:numPr>
          <w:ilvl w:val="0"/>
          <w:numId w:val="1"/>
        </w:numPr>
        <w:rPr/>
      </w:pPr>
      <w:r>
        <w:rPr/>
        <w:t>Sequenzklassifikation und Ereignisstromerkennung;</w:t>
      </w:r>
    </w:p>
    <w:p>
      <w:pPr>
        <w:pStyle w:val="ListBullet"/>
        <w:numPr>
          <w:ilvl w:val="0"/>
          <w:numId w:val="1"/>
        </w:numPr>
        <w:rPr/>
      </w:pPr>
      <w:r>
        <w:rPr/>
        <w:t>robuste Mustererkennung unter Rauschen;</w:t>
      </w:r>
    </w:p>
    <w:p>
      <w:pPr>
        <w:pStyle w:val="ListBullet"/>
        <w:numPr>
          <w:ilvl w:val="0"/>
          <w:numId w:val="1"/>
        </w:numPr>
        <w:rPr/>
      </w:pPr>
      <w:r>
        <w:rPr/>
        <w:t>begrenzte sensorisch-motorische Regelaufgabe in einer reproduzierbaren virtuellen Umwelt;</w:t>
      </w:r>
    </w:p>
    <w:p>
      <w:pPr>
        <w:pStyle w:val="ListBullet"/>
        <w:numPr>
          <w:ilvl w:val="0"/>
          <w:numId w:val="1"/>
        </w:numPr>
        <w:rPr/>
      </w:pPr>
      <w:r>
        <w:rPr/>
        <w:t>Störungstest mit partiellem Synapsen- oder Neuronenausfall;</w:t>
      </w:r>
    </w:p>
    <w:p>
      <w:pPr>
        <w:pStyle w:val="ListBullet"/>
        <w:numPr>
          <w:ilvl w:val="0"/>
          <w:numId w:val="1"/>
        </w:numPr>
        <w:rPr/>
      </w:pPr>
      <w:r>
        <w:rPr/>
        <w:t>Transfer auf leicht veränderte Eingabeverteilungen.</w:t>
      </w:r>
    </w:p>
    <w:p>
      <w:pPr>
        <w:pStyle w:val="Normal"/>
        <w:widowControl/>
        <w:rPr/>
      </w:pPr>
      <w:r>
        <w:rPr/>
        <w:t>Mehrere Aufgaben sind erforderlich, weil ein einzelner Benchmark bekannte Architekturkonventionen belohnen und damit Neuheit, Robustheit oder Embodiment nur scheinbar messen könnte.</w:t>
      </w:r>
    </w:p>
    <w:p>
      <w:pPr>
        <w:pStyle w:val="Heading3"/>
        <w:rPr/>
      </w:pPr>
      <w:bookmarkStart w:id="132" w:name="__RefHeading___Toc4603_1712987439"/>
      <w:bookmarkEnd w:id="132"/>
      <w:r>
        <w:rPr/>
        <w:t>23.7 Messgrößen und Artefaktvergleich</w:t>
      </w:r>
    </w:p>
    <w:p>
      <w:pPr>
        <w:pStyle w:val="TableCaption"/>
        <w:keepNext w:val="true"/>
        <w:rPr/>
      </w:pPr>
      <w:r>
        <w:rPr/>
        <w:t>Tabelle 16B. Primäre technische und reflexive Messdimensionen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Indikatoren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Architektur</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Neuronenzahl, Synapsenzahl, Dichte, Gradverteilung, Rekurrenz, Modularität, Clustering, Motive, Spektrum, räumliche Verteilung und Langstreckenverbindungen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Dynamik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Spike-Rate, Burst-Index, Synchronisation, Aktivitätsentropie, Silent-Neuron-Anteil, pathologische Dauerspiking-Zustände und Erholung nach Störung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Leistung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Aufgabengüte, Reward, Lernzeit, Generalisierung, Robustheit, Transfer und Stabilität über Seeds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Ressourcen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Laufzeit, Peak-RAM/VRAM, synaptische Operationen, Spikeanzahl sowie Energieproxy oder reale Messung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Anteil maschineller und menschlicher Änderungen, Zahl manueller Korrekturen, Änderungsdistanz vom Initialentwurf und Herkunft jedes Parameters</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Zeit bis Fehlererkennung, Stop-Erfolg, Rollback-Erfolg, Wiederanlaufkonsistenz, Reproduzierbarkeit und nicht erklärte Zustandsänderungen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Sensor-Aktor-Kopplung, Interozeption, Umweltabhängigkeit, aktive Informationsgewinnung, Selbstmodellbezug und zeitliche Kontinuität</w:t>
            </w:r>
          </w:p>
        </w:tc>
      </w:tr>
    </w:tbl>
    <w:p>
      <w:pPr>
        <w:pStyle w:val="Normal"/>
        <w:spacing w:before="0" w:after="0"/>
        <w:rPr/>
      </w:pPr>
      <w:r>
        <w:rPr/>
      </w:r>
    </w:p>
    <w:p>
      <w:pPr>
        <w:pStyle w:val="Heading3"/>
        <w:rPr/>
      </w:pPr>
      <w:bookmarkStart w:id="133" w:name="__RefHeading___Toc4605_1712987439"/>
      <w:bookmarkEnd w:id="133"/>
      <w:r>
        <w:rPr/>
        <w:t>23.8 Architekturähnlichkeit, Entwurfsfingerabdruck und Neuheit</w:t>
      </w:r>
    </w:p>
    <w:p>
      <w:pPr>
        <w:pStyle w:val="Normal"/>
        <w:widowControl/>
        <w:rPr/>
      </w:pPr>
      <w:r>
        <w:rPr/>
        <w:t>Für Netzwerkgraphen wird keine einzelne Distanz als hinreichend behandelt. Ein zusammengesetzter Neuheitsvektor erfasst Gradverteilung, Motive, Spektrum, räumliche Struktur, Dynamik und Lern- beziehungsweise Verbindungsregeln:</w:t>
      </w:r>
    </w:p>
    <w:p>
      <w:pPr>
        <w:pStyle w:val="Equation"/>
        <w:jc w:val="center"/>
        <w:rPr/>
      </w:pPr>
      <w:r>
        <w:rPr>
          <w:rFonts w:eastAsia="Liberation Serif" w:cs="Liberation Serif"/>
          <w:i/>
          <w:color w:val="16324F"/>
          <w:sz w:val="23"/>
        </w:rPr>
        <w:t>N = (d_degree, d_motif, d_spectral, d_spatial, d_dynamic, d_rule).</w:t>
      </w:r>
    </w:p>
    <w:p>
      <w:pPr>
        <w:pStyle w:val="Normal"/>
        <w:widowControl/>
        <w:rPr/>
      </w:pPr>
      <w:r>
        <w:rPr/>
        <w:t>Ein modellspezifischer Entwurfsfingerabdruck gilt nur dann als gestützt, wenn Architekturmerkmale die erzeugende Modellfamilie in zeitlich und technisch getrennten Hold-out-Läufen über robuste Baselines hinaus vorhersagen. Eine aggregierte Neuheitszahl wird höchstens ergänzend berichtet, weil sie strukturell verschiedene Abweichungen verdecken kann.</w:t>
      </w:r>
    </w:p>
    <w:p>
      <w:pPr>
        <w:pStyle w:val="Heading3"/>
        <w:rPr/>
      </w:pPr>
      <w:bookmarkStart w:id="134" w:name="__RefHeading___Toc4607_1712987439"/>
      <w:bookmarkEnd w:id="134"/>
      <w:r>
        <w:rPr/>
        <w:t>23.9 Hoheit, Kontrolle und epistemische Abhängigkeit</w:t>
      </w:r>
    </w:p>
    <w:p>
      <w:pPr>
        <w:pStyle w:val="Normal"/>
        <w:widowControl/>
        <w:rPr/>
      </w:pPr>
      <w:r>
        <w:rPr/>
        <w:t>Für jeden Lauf werden der Hoheitsvektor H=(G,E,B,F,M,R,A), der Kontrollvektor C=(B,O,I,V,R,P,Hc) und die Autonomierisikofaktoren U=(S,W,Q,Z,D,T) protokolliert. Zusätzlich werden Ablationen eingesetzt: domänenspezifisches Promptwissen, Retrieval, externe Dokumentation und menschliche Korrektur werden kontrolliert reduziert. Der Leistungsabfall ist kein direktes Maß „menschlichen Wissens“, sondern ein operationaler Hinweis auf epistemische Abhängigkeit und muss zusammen mit der Art der entfernten Information interpretiert werden.</w:t>
      </w:r>
    </w:p>
    <w:p>
      <w:pPr>
        <w:pStyle w:val="Heading3"/>
        <w:rPr/>
      </w:pPr>
      <w:bookmarkStart w:id="135" w:name="__RefHeading___Toc4609_1712987439"/>
      <w:bookmarkEnd w:id="135"/>
      <w:r>
        <w:rPr/>
        <w:t>23.10 Rollen- und Autorenschaftsanalyse ohne Befragung</w:t>
      </w:r>
    </w:p>
    <w:p>
      <w:pPr>
        <w:pStyle w:val="Normal"/>
        <w:widowControl/>
        <w:rPr/>
      </w:pPr>
      <w:r>
        <w:rPr/>
        <w:t>Die Verschiebung menschlicher Rollen wird aus dokumentierten Entwicklungsakten rekonstruiert. Kodiert werden unter anderem: Ursprung der Zielsetzung, Zahl und Tragweite eigenständiger Entwurfsentscheidungen, Vorschlags- und Auswahlrechte, Override-Ereignisse, Freigabe- und Vetorechte, Fehlerdiagnosen, Rücksetzungen sowie die Begründung der finalen Architektur. Die Kategorien Konstrukteur, Lehrer, Organisator, Kurator, Auditor, Verfassungsgeber, interventionsfähiger Beobachter und bloßer Beobachter werden nicht psychologisch zugeschrieben, sondern anhand nachweisbarer Rechte und Handlungen bestimmt.</w:t>
      </w:r>
    </w:p>
    <w:p>
      <w:pPr>
        <w:pStyle w:val="Heading3"/>
        <w:rPr/>
      </w:pPr>
      <w:bookmarkStart w:id="136" w:name="__RefHeading___Toc4611_1712987439"/>
      <w:bookmarkEnd w:id="136"/>
      <w:r>
        <w:rPr/>
        <w:t>23.11 Anthropomorphismus als Dokumenten- und Sprachvergleich</w:t>
      </w:r>
    </w:p>
    <w:p>
      <w:pPr>
        <w:pStyle w:val="Normal"/>
        <w:widowControl/>
        <w:rPr/>
      </w:pPr>
      <w:r>
        <w:rPr/>
        <w:t>Die Wirkung anthropomorpher Sprache wird zunächst ohne Teilnehmerexperiment untersucht. Technisch identische Ereignisse werden in Dokumentation, Modellbegründungen und Forschungsprotokollen auf intentionale Formulierungen („will“, „entscheidet“, „sucht“) und mechanistische Beschreibungen kodiert. Analysiert wird, ob intentionale Sprache mit einer Verschiebung von Verantwortungs-, Autonomie- oder Autorschaftszuschreibungen in den Texten einhergeht. Eine spätere empirische Wahrnehmungsstudie wäre ein eigenständiges, ethikpflichtiges Projekt und gehört nicht zum vorliegenden Design.</w:t>
      </w:r>
    </w:p>
    <w:p>
      <w:pPr>
        <w:pStyle w:val="Heading3"/>
        <w:rPr/>
      </w:pPr>
      <w:bookmarkStart w:id="137" w:name="__RefHeading___Toc4613_1712987439"/>
      <w:bookmarkEnd w:id="137"/>
      <w:r>
        <w:rPr/>
        <w:t>23.12 Statistische und qualitative Auswertung</w:t>
      </w:r>
    </w:p>
    <w:p>
      <w:pPr>
        <w:pStyle w:val="Normal"/>
        <w:widowControl/>
        <w:rPr/>
      </w:pPr>
      <w:r>
        <w:rPr/>
        <w:t>Für wiederholte Architekturgenerationen werden hierarchische Modelle oder robuste permutationbasierte Verfahren eingesetzt. Modellfamilie, Promptregime, Embodiment- und Automationsstufe sind feste Bedingungen; Seed, Lauf und gegebenenfalls Modellversion werden als Wiederholungs- oder Zufallskomponenten behandelt. Netzwerkmetriken werden multivariat ausgewertet; Effektstärken und Unsicherheitsintervalle stehen vor bloßen p-Werten. Für qualitative Provenienz- und Rechtsanalysen wird ein versioniertes Kodierbuch verwendet; strittige Kodierungen bleiben mit Begründung sichtbar. Da keine Personen untersucht werden, gibt es keine psychometrischen Skalen oder Teilnehmerstichproben.</w:t>
      </w:r>
    </w:p>
    <w:p>
      <w:pPr>
        <w:pStyle w:val="Heading3"/>
        <w:rPr/>
      </w:pPr>
      <w:bookmarkStart w:id="138" w:name="__RefHeading___Toc4615_1712987439"/>
      <w:bookmarkEnd w:id="138"/>
      <w:r>
        <w:rPr/>
        <w:t>23.13 Runzahlplanung und Reproduzierbarkeit</w:t>
      </w:r>
    </w:p>
    <w:p>
      <w:pPr>
        <w:pStyle w:val="Normal"/>
        <w:widowControl/>
        <w:rPr/>
      </w:pPr>
      <w:r>
        <w:rPr/>
        <w:t>Die endgültige Anzahl unabhängiger Generationsläufe wird aus Pilotdaten, erwarteter Varianz und der vorgesehenen Modellkomplexität abgeleitet. Vorab wird eine Mindeststruktur je Modell- und Promptbedingung festgelegt; für Frontier-Modelle kann bei hohen Kosten ein sequentielles Design mit präregistrierten Stoppregeln verwendet werden. Jeder Lauf speichert Git-Commit, Manifest und Hash, Modellversion, vollständige Prompts, Samplingparameter, Seed soweit verfügbar, Hardware- und Softwareumgebung, Trainingsdaten- oder Stimulusversion, Validatorausgaben, Messdaten sowie Snapshots vor und nach Selbstmodifikation. Damit wird die Forschungsreise selbst zum nachvollziehbaren Datensatz.</w:t>
      </w:r>
    </w:p>
    <w:p>
      <w:pPr>
        <w:pStyle w:val="Heading3"/>
        <w:rPr/>
      </w:pPr>
      <w:bookmarkStart w:id="139" w:name="__RefHeading___Toc4617_1712987439"/>
      <w:bookmarkEnd w:id="139"/>
      <w:r>
        <w:rPr/>
        <w:t>23.1 Einheitliche Spezifikation und maschinenlesbares Manifest</w:t>
      </w:r>
    </w:p>
    <w:p>
      <w:pPr>
        <w:pStyle w:val="Normal"/>
        <w:widowControl/>
        <w:rPr/>
      </w:pPr>
      <w:r>
        <w:rPr/>
        <w:t>LLMs sollen nicht unmittelbar unbeschränkten ausführbaren Code erzeugen. Sie generieren zunächst ein kontrolliertes Architekturmanifest mit Neuronenmodell, Topologie, Plastizitätsregeln, E/I-Bedingungen, Ressourcenlimits, Embodiment-Schnittstellen, erwarteten Invarianten und vorgeschlagenen Tests. Ein deterministischer Builder übersetzt zulässige Manifeste in ausführbare Strukturen. Dadurch werden generativer Entwurf und kontrollierte Implementierung getrennt.</w:t>
      </w:r>
    </w:p>
    <w:p>
      <w:pPr>
        <w:pStyle w:val="Normal"/>
        <w:widowControl/>
        <w:rPr/>
      </w:pPr>
      <w:r>
        <w:rPr/>
        <w:t>Jeder Lauf speichert Modellfamilie, Modellversion, Systemprompt, Benutzerprompt, Samplingparameter, Kontext, Builder- und Validatorversion, Seeds, Hardware, Start- und Endzustand, menschliche Eingriffe, Abbruchereignisse, Snapshots und Rollbacks. Diese Provenienz ist für die Forschungsfrage nicht bloße technische Dokumentation, sondern Teil der Kausalanalyse.</w:t>
      </w:r>
    </w:p>
    <w:p>
      <w:pPr>
        <w:pStyle w:val="Heading2"/>
        <w:rPr/>
      </w:pPr>
      <w:bookmarkStart w:id="140" w:name="__RefHeading___Toc4619_1712987439"/>
      <w:bookmarkEnd w:id="140"/>
      <w:r>
        <w:rPr/>
        <w:t>24. Embodiment-Integration in Brain-5D</w:t>
      </w:r>
    </w:p>
    <w:p>
      <w:pPr>
        <w:pStyle w:val="Normal"/>
        <w:widowControl/>
        <w:rPr/>
      </w:pPr>
      <w:r>
        <w:rPr/>
        <w:t>Embodiment wird im Brain-5D-Kontext stufenweise und reversibel untersucht. Ein physischer Roboter ist nicht die erste notwendige Stufe. Zunächst kann ein virtueller Körper in einer deterministisch reproduzierbaren Umgebung eingesetzt werden. Sensoren liefern zeitlich strukturierte Reize; Aktoren verändern die Umgebung; ein Energie- und Integritätsmodell erzeugt interozeptive Zustände; das SNN erhält keine direkte symbolische Lösung, sondern muss Zusammenhänge aus wiederholter Kopplung lernen.</w:t>
      </w:r>
    </w:p>
    <w:p>
      <w:pPr>
        <w:pStyle w:val="Normal"/>
        <w:widowControl/>
        <w:rPr/>
      </w:pPr>
      <w:r>
        <w:rPr/>
        <w:t>Die Sprachmodell-Komponente darf keine Rohspikes frei interpretieren und keine direkten Schreibrechte auf SNN-Gewichte, Struktur oder Sicherheitsgrenzen besitzen. Zwischen SNN und Sprache liegt ein deterministischer Signal-Interpretationslayer. Er übersetzt Aktivitätsmuster in dokumentierte Merkmale, ohne ihnen vorab Bedeutung zuzuschreiben. Ebenso werden Sprach- oder Wissenseingaben über ein kontrolliertes Stimulusformat in Sensorereignisse übersetzt. So bleibt prüfbar, ob eine Bedeutung im SNN entsteht oder vom LLM nur sprachlich hineininterpretiert wird.</w:t>
      </w:r>
    </w:p>
    <w:p>
      <w:pPr>
        <w:pStyle w:val="TableCaption"/>
        <w:keepNext w:val="true"/>
        <w:rPr/>
      </w:pPr>
      <w:r>
        <w:rPr/>
        <w:t>Tabelle 16. Stufenplan der Embodiment-Forschung in Brain-5D</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Stufe</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Umsetzung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Erkenntnisziel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B0</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keine laufende Umwelt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Baseline: interne Dynamik ohne aktuelle Reize</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B1</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diskrete externe Stimuli</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kontrollierte Reizmuster ohne Aktorik</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B2</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virtueller Körper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Sensor-Aktor-Schleife in reproduzierbarer Simulation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B3</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Interozeption und Energie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interne Zustände beeinflussen Lernen und Prioritäten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B4</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soziale Kopplung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Interaktion mit menschlichen oder maschinellen Partnern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B5</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begrenzte physische Verkörperung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erst nach Sicherheits- und Reproduzierbarkeitsnachweis</w:t>
            </w:r>
          </w:p>
        </w:tc>
      </w:tr>
    </w:tbl>
    <w:p>
      <w:pPr>
        <w:pStyle w:val="Normal"/>
        <w:spacing w:before="0" w:after="0"/>
        <w:rPr/>
      </w:pPr>
      <w:r>
        <w:rPr/>
      </w:r>
    </w:p>
    <w:p>
      <w:pPr>
        <w:pStyle w:val="Heading2"/>
        <w:rPr/>
      </w:pPr>
      <w:bookmarkStart w:id="141" w:name="__RefHeading___Toc4621_1712987439"/>
      <w:bookmarkEnd w:id="141"/>
      <w:r>
        <w:rPr/>
        <w:t>25. Governance, Sicherheitsinvarianten und erwartbare Erkenntnisgewinne</w:t>
      </w:r>
    </w:p>
    <w:p>
      <w:pPr>
        <w:pStyle w:val="Heading3"/>
        <w:rPr/>
      </w:pPr>
      <w:bookmarkStart w:id="142" w:name="__RefHeading___Toc4623_1712987439"/>
      <w:bookmarkEnd w:id="142"/>
      <w:r>
        <w:rPr/>
        <w:t>Grundprinzip</w:t>
      </w:r>
    </w:p>
    <w:p>
      <w:pPr>
        <w:pStyle w:val="Normal"/>
        <w:rPr/>
      </w:pPr>
      <w:r>
        <w:rPr/>
        <w:t>Die Governance folgt einer einfachen Verfassungsregel:</w:t>
      </w:r>
    </w:p>
    <w:p>
      <w:pPr>
        <w:pStyle w:val="Normal"/>
        <w:rPr/>
      </w:pPr>
      <w:r>
        <w:rPr/>
        <w:t>Das System darf lernen und sich innerhalb eines definierten Forschungsraums verändern; es darf die Verfassung dieses Forschungsraums nicht selbst ändern.</w:t>
      </w:r>
    </w:p>
    <w:p>
      <w:pPr>
        <w:pStyle w:val="Heading3"/>
        <w:rPr/>
      </w:pPr>
      <w:bookmarkStart w:id="143" w:name="__RefHeading___Toc4625_1712987439"/>
      <w:bookmarkEnd w:id="143"/>
      <w:r>
        <w:rPr/>
        <w:t>Schichtenmodell</w:t>
      </w:r>
    </w:p>
    <w:p>
      <w:pPr>
        <w:pStyle w:val="Normal"/>
        <w:rPr/>
      </w:pPr>
      <w:r>
        <w:rPr/>
        <w:t>Schicht 0 – Verfassungskern: harte Ressourcenlimits, Netzwerkrechte, Logging, Stop, Snapshot, Rollback, Signaturen.</w:t>
      </w:r>
    </w:p>
    <w:p>
      <w:pPr>
        <w:pStyle w:val="Normal"/>
        <w:rPr/>
      </w:pPr>
      <w:r>
        <w:rPr/>
        <w:t>Schicht 1 – Untersuchungsdefinition: Aufgaben, Metriken, zugelassene Neuron-/Synapsentypen und maximale Wachstumsrate.</w:t>
      </w:r>
    </w:p>
    <w:p>
      <w:pPr>
        <w:pStyle w:val="Normal"/>
        <w:rPr/>
      </w:pPr>
      <w:r>
        <w:rPr/>
        <w:t>Schicht 2 – Generative Entwurfsinstanz: LLM oder Ensemble erzeugt nur Manifeste.</w:t>
      </w:r>
    </w:p>
    <w:p>
      <w:pPr>
        <w:pStyle w:val="Normal"/>
        <w:rPr/>
      </w:pPr>
      <w:r>
        <w:rPr/>
        <w:t>Schicht 3 – Validator und Builder: deterministische Prüfung und Übersetzung.</w:t>
      </w:r>
    </w:p>
    <w:p>
      <w:pPr>
        <w:pStyle w:val="Normal"/>
        <w:rPr/>
      </w:pPr>
      <w:r>
        <w:rPr/>
        <w:t>Schicht 4 – Sandbox-SNN: Lernen und Selbstorganisation innerhalb der Grenzen.</w:t>
      </w:r>
    </w:p>
    <w:p>
      <w:pPr>
        <w:pStyle w:val="Normal"/>
        <w:rPr/>
      </w:pPr>
      <w:r>
        <w:rPr/>
        <w:t>Schicht 5 – unabhängige Messung: Monitoring außerhalb des SNN-Prozesses.</w:t>
      </w:r>
    </w:p>
    <w:p>
      <w:pPr>
        <w:pStyle w:val="Normal"/>
        <w:rPr/>
      </w:pPr>
      <w:r>
        <w:rPr/>
        <w:t>Schicht 6 – menschliche/ institutionelle Freigabe: Entscheidung über Fortführung, Erweiterung und Veröffentlichung.</w:t>
      </w:r>
    </w:p>
    <w:p>
      <w:pPr>
        <w:pStyle w:val="Heading3"/>
        <w:rPr/>
      </w:pPr>
      <w:bookmarkStart w:id="144" w:name="__RefHeading___Toc4627_1712987439"/>
      <w:bookmarkEnd w:id="144"/>
      <w:r>
        <w:rPr/>
        <w:t>Autonomiestufen</w:t>
      </w:r>
    </w:p>
    <w:p>
      <w:pPr>
        <w:pStyle w:val="Normal"/>
        <w:rPr/>
      </w:pPr>
      <w:r>
        <w:rPr/>
        <w:t>A0: rein menschlicher Entwurf.</w:t>
      </w:r>
    </w:p>
    <w:p>
      <w:pPr>
        <w:pStyle w:val="Normal"/>
        <w:rPr/>
      </w:pPr>
      <w:r>
        <w:rPr/>
        <w:t>A1: KI-Vorschläge, menschliche Auswahl.</w:t>
      </w:r>
    </w:p>
    <w:p>
      <w:pPr>
        <w:pStyle w:val="Normal"/>
        <w:rPr/>
      </w:pPr>
      <w:r>
        <w:rPr/>
        <w:t>A2: KI-Entwurf, menschliche Validierung und Freigabe.</w:t>
      </w:r>
    </w:p>
    <w:p>
      <w:pPr>
        <w:pStyle w:val="Normal"/>
        <w:rPr/>
      </w:pPr>
      <w:r>
        <w:rPr/>
        <w:t>A3: automatisierte Entwurfs-/Testschleife mit unveränderlichen Kriterien.</w:t>
      </w:r>
    </w:p>
    <w:p>
      <w:pPr>
        <w:pStyle w:val="Normal"/>
        <w:rPr/>
      </w:pPr>
      <w:r>
        <w:rPr/>
        <w:t>A4: begrenzte Selbstmodifikation des SNN mit externem Monitoring.</w:t>
      </w:r>
    </w:p>
    <w:p>
      <w:pPr>
        <w:pStyle w:val="Normal"/>
        <w:rPr/>
      </w:pPr>
      <w:r>
        <w:rPr/>
        <w:t>A5: Modifikation von Bewertungsregeln oder Suchräumen – nur in isolierter Forschung.</w:t>
      </w:r>
    </w:p>
    <w:p>
      <w:pPr>
        <w:pStyle w:val="Normal"/>
        <w:rPr/>
      </w:pPr>
      <w:r>
        <w:rPr/>
        <w:t>A6: eigenständige Ziel-, Ressourcen- oder Netzwerkhoheit – außerhalb des vorgesehenen Brain-5D-Forschungsrahmens.</w:t>
      </w:r>
    </w:p>
    <w:p>
      <w:pPr>
        <w:pStyle w:val="Heading3"/>
        <w:rPr/>
      </w:pPr>
      <w:bookmarkStart w:id="145" w:name="__RefHeading___Toc4629_1712987439"/>
      <w:bookmarkEnd w:id="145"/>
      <w:r>
        <w:rPr/>
        <w:t>Red Lines</w:t>
      </w:r>
    </w:p>
    <w:p>
      <w:pPr>
        <w:pStyle w:val="Normal"/>
        <w:rPr/>
      </w:pPr>
      <w:r>
        <w:rPr/>
        <w:t>Folgende Übergänge benötigen eine neue Sicherheits- und Rechtsbewertung:</w:t>
      </w:r>
    </w:p>
    <w:p>
      <w:pPr>
        <w:pStyle w:val="ListBullet"/>
        <w:numPr>
          <w:ilvl w:val="0"/>
          <w:numId w:val="1"/>
        </w:numPr>
        <w:rPr/>
      </w:pPr>
      <w:r>
        <w:rPr/>
        <w:t>eigenständiger Internetzugriff;</w:t>
      </w:r>
    </w:p>
    <w:p>
      <w:pPr>
        <w:pStyle w:val="ListBullet"/>
        <w:numPr>
          <w:ilvl w:val="0"/>
          <w:numId w:val="1"/>
        </w:numPr>
        <w:rPr/>
      </w:pPr>
      <w:r>
        <w:rPr/>
        <w:t>Ausführung beliebigen generierten Codes ohne Manifest/Validator;</w:t>
      </w:r>
    </w:p>
    <w:p>
      <w:pPr>
        <w:pStyle w:val="ListBullet"/>
        <w:numPr>
          <w:ilvl w:val="0"/>
          <w:numId w:val="1"/>
        </w:numPr>
        <w:rPr/>
      </w:pPr>
      <w:r>
        <w:rPr/>
        <w:t>Zugriff auf reale Aktoren mit Schadenspotenzial;</w:t>
      </w:r>
    </w:p>
    <w:p>
      <w:pPr>
        <w:pStyle w:val="ListBullet"/>
        <w:numPr>
          <w:ilvl w:val="0"/>
          <w:numId w:val="1"/>
        </w:numPr>
        <w:rPr/>
      </w:pPr>
      <w:r>
        <w:rPr/>
        <w:t>Selbständerung des Watchdogs oder Logs;</w:t>
      </w:r>
    </w:p>
    <w:p>
      <w:pPr>
        <w:pStyle w:val="ListBullet"/>
        <w:numPr>
          <w:ilvl w:val="0"/>
          <w:numId w:val="1"/>
        </w:numPr>
        <w:rPr/>
      </w:pPr>
      <w:r>
        <w:rPr/>
        <w:t>selbstständige Ressourcenbeschaffung;</w:t>
      </w:r>
    </w:p>
    <w:p>
      <w:pPr>
        <w:pStyle w:val="ListBullet"/>
        <w:numPr>
          <w:ilvl w:val="0"/>
          <w:numId w:val="1"/>
        </w:numPr>
        <w:rPr/>
      </w:pPr>
      <w:r>
        <w:rPr/>
        <w:t>Löschung oder Manipulation der Provenienz;</w:t>
      </w:r>
    </w:p>
    <w:p>
      <w:pPr>
        <w:pStyle w:val="ListBullet"/>
        <w:numPr>
          <w:ilvl w:val="0"/>
          <w:numId w:val="1"/>
        </w:numPr>
        <w:rPr/>
      </w:pPr>
      <w:r>
        <w:rPr/>
        <w:t>Veränderung übergeordneter Ziele ohne menschliche Freigabe.</w:t>
      </w:r>
    </w:p>
    <w:p>
      <w:pPr>
        <w:pStyle w:val="Heading3"/>
        <w:rPr/>
      </w:pPr>
      <w:bookmarkStart w:id="146" w:name="__RefHeading___Toc4631_1712987439"/>
      <w:bookmarkEnd w:id="146"/>
      <w:r>
        <w:rPr/>
        <w:t>Warum dieses Kapitel keine Resultate vorgibt</w:t>
      </w:r>
    </w:p>
    <w:p>
      <w:pPr>
        <w:pStyle w:val="Normal"/>
        <w:rPr/>
      </w:pPr>
      <w:r>
        <w:rPr/>
        <w:t>Eine wissenschaftliche Arbeit darf Hypothesen begründen, aber Ergebnisse nicht vorwegnehmen. Deshalb definiert dieses Kapitel Entscheidungsräume. Nach Durchführung technischer Läufe und Prozessanalysen wird jeder Befund einer vorab formulierten Interpretation zugeordnet.</w:t>
      </w:r>
    </w:p>
    <w:p>
      <w:pPr>
        <w:pStyle w:val="Heading3"/>
        <w:rPr/>
      </w:pPr>
      <w:bookmarkStart w:id="147" w:name="__RefHeading___Toc4633_1712987439"/>
      <w:bookmarkEnd w:id="147"/>
      <w:r>
        <w:rPr/>
        <w:t>Szenario A: Kein LLM-Fingerabdruck</w:t>
      </w:r>
    </w:p>
    <w:p>
      <w:pPr>
        <w:pStyle w:val="Normal"/>
        <w:rPr/>
      </w:pPr>
      <w:r>
        <w:rPr/>
        <w:t>Wenn Architekturen verschiedener Modelle nicht zuverlässig unterscheidbar sind, spricht dies gegen die starke These modellspezifischer Entwurfsstile. Eine mögliche Erklärung wäre, dass alle Modelle dominante Architekturkonventionen aus ähnlichen öffentlichen Wissensbeständen reproduzieren. „Geliehene Intelligenz“ würde dadurch eher gestützt als widerlegt: Der gemeinsame epistemische Bestand wäre wichtiger als das konkrete Modell.</w:t>
      </w:r>
    </w:p>
    <w:p>
      <w:pPr>
        <w:pStyle w:val="Heading3"/>
        <w:rPr/>
      </w:pPr>
      <w:bookmarkStart w:id="148" w:name="__RefHeading___Toc4635_1712987439"/>
      <w:bookmarkEnd w:id="148"/>
      <w:r>
        <w:rPr/>
        <w:t>Szenario B: Starker LLM-Fingerabdruck</w:t>
      </w:r>
    </w:p>
    <w:p>
      <w:pPr>
        <w:pStyle w:val="Normal"/>
        <w:rPr/>
      </w:pPr>
      <w:r>
        <w:rPr/>
        <w:t>Sind Modelle anhand der erzeugten SNN-Strukturen zuverlässig klassifizierbar, wäre dies Evidenz für unterschiedliche maschinelle Designprioren. Dann müsste untersucht werden, ob diese Unterschiede aus Modellarchitektur, Training, Safety-Tuning, Promptinterpretation oder Zufall stammen.</w:t>
      </w:r>
    </w:p>
    <w:p>
      <w:pPr>
        <w:pStyle w:val="Heading3"/>
        <w:rPr/>
      </w:pPr>
      <w:bookmarkStart w:id="149" w:name="__RefHeading___Toc4637_1712987439"/>
      <w:bookmarkEnd w:id="149"/>
      <w:r>
        <w:rPr/>
        <w:t>Szenario C: LLM übertrifft Mensch und NAS</w:t>
      </w:r>
    </w:p>
    <w:p>
      <w:pPr>
        <w:pStyle w:val="Normal"/>
        <w:rPr/>
      </w:pPr>
      <w:r>
        <w:rPr/>
        <w:t>Eine höhere Leistung allein belegt keine eigenständige Intelligenz. Interessant wäre, ob der Vorteil durch bekannte Kombinationen, echte strukturelle Neuheit oder effizientere Suchheuristiken entsteht. Erst eine Provenienz- und Ablationsanalyse kann klären, welche Interpretation tragfähig ist.</w:t>
      </w:r>
    </w:p>
    <w:p>
      <w:pPr>
        <w:pStyle w:val="Heading3"/>
        <w:rPr/>
      </w:pPr>
      <w:bookmarkStart w:id="150" w:name="__RefHeading___Toc4639_1712987439"/>
      <w:bookmarkEnd w:id="150"/>
      <w:r>
        <w:rPr/>
        <w:t>Szenario D: Selbstorganisation dominiert Initialentwurf</w:t>
      </w:r>
    </w:p>
    <w:p>
      <w:pPr>
        <w:pStyle w:val="Normal"/>
        <w:rPr/>
      </w:pPr>
      <w:r>
        <w:rPr/>
        <w:t>Wenn nach ausreichendem Training die finale Struktur nur schwach vom Initialentwurf abhängt, verschiebt sich Autorschaft vom Generator zum Entwicklungsprozess. Der Mensch bleibt dennoch Urheber der Bedingungen und Regeln. Hier wird die Unterscheidung zwischen Entwurfsautorschaft und Entwicklungskausalität entscheidend.</w:t>
      </w:r>
    </w:p>
    <w:p>
      <w:pPr>
        <w:pStyle w:val="Heading3"/>
        <w:rPr/>
      </w:pPr>
      <w:bookmarkStart w:id="151" w:name="__RefHeading___Toc4641_1712987439"/>
      <w:bookmarkEnd w:id="151"/>
      <w:r>
        <w:rPr/>
        <w:t>Szenario E: Menschliche Beteiligung wird funktional unverzichtbar</w:t>
      </w:r>
    </w:p>
    <w:p>
      <w:pPr>
        <w:pStyle w:val="Normal"/>
        <w:rPr/>
      </w:pPr>
      <w:r>
        <w:rPr/>
        <w:t>Wenn vollständig autonome Schleifen schlechter oder instabiler arbeiten als Mensch-KI-Schleifen und menschliche Eingriffe systematisch Fehler korrigieren, stützt dies die Hypothese hybrider Agency. Der Mensch wäre dann weder bloßer Autor noch bloßer Beobachter, sondern funktionaler Bestandteil des Systems.</w:t>
      </w:r>
    </w:p>
    <w:p>
      <w:pPr>
        <w:pStyle w:val="Heading3"/>
        <w:rPr/>
      </w:pPr>
      <w:bookmarkStart w:id="152" w:name="__RefHeading___Toc4643_1712987439"/>
      <w:bookmarkEnd w:id="152"/>
      <w:r>
        <w:rPr/>
        <w:t>Szenario F: Mensch wird zum symbolischen Supervisor</w:t>
      </w:r>
    </w:p>
    <w:p>
      <w:pPr>
        <w:pStyle w:val="Normal"/>
        <w:rPr/>
      </w:pPr>
      <w:r>
        <w:rPr/>
        <w:t>Wenn Menschen formal freigeben, aber aufgrund Komplexität Entscheidungen faktisch nicht mehr verstehen oder wirksam überschreiben können, entsteht „Human-in-the-loop“ nur nominell. Dies wäre ein negativer Befund: organisatorische Verantwortung ohne reale epistemische Kontrolle.</w:t>
      </w:r>
    </w:p>
    <w:p>
      <w:pPr>
        <w:pStyle w:val="ListBullet"/>
        <w:numPr>
          <w:ilvl w:val="0"/>
          <w:numId w:val="1"/>
        </w:numPr>
        <w:rPr/>
      </w:pPr>
      <w:r>
        <w:rPr/>
        <w:t>Generierter Code wird nie unmittelbar aus der LLM-Ausgabe ausgeführt.</w:t>
      </w:r>
    </w:p>
    <w:p>
      <w:pPr>
        <w:pStyle w:val="ListBullet"/>
        <w:numPr>
          <w:ilvl w:val="0"/>
          <w:numId w:val="1"/>
        </w:numPr>
        <w:rPr/>
      </w:pPr>
      <w:r>
        <w:rPr/>
        <w:t>SNN und LLM besitzen keine Schreibrechte auf Sicherheitskernel, Watchdog oder höherrangige Governance.</w:t>
      </w:r>
    </w:p>
    <w:p>
      <w:pPr>
        <w:pStyle w:val="ListBullet"/>
        <w:numPr>
          <w:ilvl w:val="0"/>
          <w:numId w:val="1"/>
        </w:numPr>
        <w:rPr/>
      </w:pPr>
      <w:r>
        <w:rPr/>
        <w:t>Vor strukturellen Änderungen werden Snapshots erzeugt; Änderungen sind kausal und zeitlich zu protokollieren.</w:t>
      </w:r>
    </w:p>
    <w:p>
      <w:pPr>
        <w:pStyle w:val="ListBullet"/>
        <w:numPr>
          <w:ilvl w:val="0"/>
          <w:numId w:val="1"/>
        </w:numPr>
        <w:rPr/>
      </w:pPr>
      <w:r>
        <w:rPr/>
        <w:t>Internet- und Aktorzugriff bleiben im Standardversuch deaktiviert oder streng begrenzt.</w:t>
      </w:r>
    </w:p>
    <w:p>
      <w:pPr>
        <w:pStyle w:val="ListBullet"/>
        <w:numPr>
          <w:ilvl w:val="0"/>
          <w:numId w:val="1"/>
        </w:numPr>
        <w:rPr/>
      </w:pPr>
      <w:r>
        <w:rPr/>
        <w:t>Abbruch und Rücksetzung müssen außerhalb des untersuchten Regelkreises erreichbar bleiben.</w:t>
      </w:r>
    </w:p>
    <w:p>
      <w:pPr>
        <w:pStyle w:val="ListBullet"/>
        <w:numPr>
          <w:ilvl w:val="0"/>
          <w:numId w:val="1"/>
        </w:numPr>
        <w:rPr/>
      </w:pPr>
      <w:r>
        <w:rPr/>
        <w:t>Ein fehlgeschlagener Sicherheitscheck beendet den Run und kann nicht vom lernenden System überstimmt werden.</w:t>
      </w:r>
    </w:p>
    <w:p>
      <w:pPr>
        <w:pStyle w:val="Heading1"/>
        <w:rPr/>
      </w:pPr>
      <w:bookmarkStart w:id="153" w:name="__RefHeading___Toc4645_1712987439"/>
      <w:bookmarkEnd w:id="153"/>
      <w:r>
        <w:rPr/>
        <w:t>Teil VI – Wissenschaftliche Reflexivität, Synthese und Forschungsprogramm</w:t>
      </w:r>
    </w:p>
    <w:p>
      <w:pPr>
        <w:pStyle w:val="Heading2"/>
        <w:rPr/>
      </w:pPr>
      <w:bookmarkStart w:id="154" w:name="__RefHeading___Toc4647_1712987439"/>
      <w:bookmarkEnd w:id="154"/>
      <w:r>
        <w:rPr/>
        <w:t>26. KI als wissenschaftliches Instrument und Mitproduzent</w:t>
      </w:r>
    </w:p>
    <w:p>
      <w:pPr>
        <w:pStyle w:val="Heading3"/>
        <w:rPr/>
      </w:pPr>
      <w:bookmarkStart w:id="155" w:name="__RefHeading___Toc4649_1712987439"/>
      <w:bookmarkEnd w:id="155"/>
      <w:r>
        <w:rPr/>
        <w:t>Vom Werkzeug zum epistemischen Akteur</w:t>
      </w:r>
    </w:p>
    <w:p>
      <w:pPr>
        <w:pStyle w:val="Normal"/>
        <w:rPr/>
      </w:pPr>
      <w:r>
        <w:rPr/>
        <w:t>Ein Mikroskop erweitert Wahrnehmung, formuliert aber keine Hypothesen. Ein autonomer Forschungsagent kann – zumindest funktional – Literatur suchen, Hypothesen erzeugen, Experimente planen, Daten auswerten und Folgehypothesen formulieren. Damit verschiebt sich die Rolle des technischen Artefakts innerhalb wissenschaftlicher Praxis. Ob dies bereits „epistemische Agency“ im starken Sinn ist, hängt davon ab, ob Agency intentionale oder lediglich funktionale Kriterien verlangt.</w:t>
      </w:r>
    </w:p>
    <w:p>
      <w:pPr>
        <w:pStyle w:val="Heading3"/>
        <w:rPr/>
      </w:pPr>
      <w:bookmarkStart w:id="156" w:name="__RefHeading___Toc4651_1712987439"/>
      <w:bookmarkEnd w:id="156"/>
      <w:r>
        <w:rPr/>
        <w:t>Wissen ohne vollständiges menschliches Verstehen</w:t>
      </w:r>
    </w:p>
    <w:p>
      <w:pPr>
        <w:pStyle w:val="Normal"/>
        <w:rPr/>
      </w:pPr>
      <w:r>
        <w:rPr/>
        <w:t>Die moderne Wissenschaft akzeptiert bereits Ergebnisse komplexer Instrumente, Simulationen und statistischer Verfahren, die kein einzelner Mensch vollständig im Detail rekonstruieren kann. KI verschärft dieses Problem, weil nicht nur Datenverarbeitung, sondern auch Auswahl von Hypothesen und Erklärungen delegiert werden kann. Die relevante Grenze ist daher nicht vollständiges individuelles Verständnis, sondern institutionalisierte Prüfbarkeit, Reproduzierbarkeit und kritische Anschlussfähigkeit.</w:t>
      </w:r>
    </w:p>
    <w:p>
      <w:pPr>
        <w:pStyle w:val="Heading3"/>
        <w:rPr/>
      </w:pPr>
      <w:bookmarkStart w:id="157" w:name="__RefHeading___Toc4653_1712987439"/>
      <w:bookmarkEnd w:id="157"/>
      <w:r>
        <w:rPr/>
        <w:t>Die Dissertation als reflexiver Fall</w:t>
      </w:r>
    </w:p>
    <w:p>
      <w:pPr>
        <w:pStyle w:val="Normal"/>
        <w:rPr/>
      </w:pPr>
      <w:r>
        <w:rPr/>
        <w:t>Da diese Arbeit selbst unter Nutzung künstlicher Intelligenz erstellt, strukturiert und geprüft werden kann, ist ihre Methodik reflexiv. KI-Nutzung muss offengelegt, Literatur direkt verifiziert und argumentative Verantwortung menschlich nachvollziehbar gehalten werden. Die Arbeit wird dadurch nicht zum Experiment, aber zu einem anschaulichen Beispiel für die Verschiebung wissenschaftlicher Autorschaft.</w:t>
      </w:r>
    </w:p>
    <w:p>
      <w:pPr>
        <w:pStyle w:val="Heading3"/>
        <w:rPr/>
      </w:pPr>
      <w:bookmarkStart w:id="158" w:name="__RefHeading___Toc4655_1712987439"/>
      <w:bookmarkEnd w:id="158"/>
      <w:r>
        <w:rPr/>
        <w:t>KI als Forschungsinstrument zweiter Ordnung</w:t>
      </w:r>
    </w:p>
    <w:p>
      <w:pPr>
        <w:pStyle w:val="Normal"/>
        <w:rPr/>
      </w:pPr>
      <w:r>
        <w:rPr/>
        <w:t>Ein Mikroskop erweitert Wahrnehmung; ein LLM kann zusätzlich Hypothesen formulieren, Versuche planen und Artefakte entwerfen. Es ist damit ein Forschungsinstrument zweiter Ordnung: Es beeinflusst nicht nur Beobachtung, sondern auch die Struktur des Suchraums. Wissenschaftstheoretisch muss deshalb die Herkunft maschinell vorgeschlagener Hypothesen dokumentiert werden.</w:t>
      </w:r>
    </w:p>
    <w:p>
      <w:pPr>
        <w:pStyle w:val="Heading3"/>
        <w:rPr/>
      </w:pPr>
      <w:bookmarkStart w:id="159" w:name="__RefHeading___Toc4657_1712987439"/>
      <w:bookmarkEnd w:id="159"/>
      <w:r>
        <w:rPr/>
        <w:t>Erklären versus Funktionieren</w:t>
      </w:r>
    </w:p>
    <w:p>
      <w:pPr>
        <w:pStyle w:val="Normal"/>
        <w:rPr/>
      </w:pPr>
      <w:r>
        <w:rPr/>
        <w:t>Bei generierten Architekturen kann ein epistemischer Spalt entstehen: Ein System funktioniert besser, als seine menschlichen Nutzer erklären können. Das ist wissenschaftlich nicht wertlos, aber unvollständig. Die Arbeit unterscheidet daher prädiktive Beherrschung, mechanistische Erklärung und interventionale Kontrolle. Diese Fähigkeiten können unterschiedlich stark ausgeprägt sein.</w:t>
      </w:r>
    </w:p>
    <w:p>
      <w:pPr>
        <w:pStyle w:val="Heading3"/>
        <w:rPr/>
      </w:pPr>
      <w:bookmarkStart w:id="160" w:name="__RefHeading___Toc4659_1712987439"/>
      <w:bookmarkEnd w:id="160"/>
      <w:r>
        <w:rPr/>
        <w:t>KI und der Beobachtereffekt im Forschungsprozess</w:t>
      </w:r>
    </w:p>
    <w:p>
      <w:pPr>
        <w:pStyle w:val="Normal"/>
        <w:rPr/>
      </w:pPr>
      <w:r>
        <w:rPr/>
        <w:t>Das LLM verändert den Forscher, weil es Vorschläge, Begriffe und Prioritäten anbietet. Der Forscher verändert wiederum das LLM-Verhalten durch Prompt, Auswahl und Feedback. Die Forschungsreise ist damit reflexiv. Eine methodisch saubere Arbeit muss auch die eigene Werkzeugnutzung als Teil der Bedingungen dokumentieren.</w:t>
      </w:r>
    </w:p>
    <w:p>
      <w:pPr>
        <w:pStyle w:val="Heading3"/>
        <w:rPr/>
      </w:pPr>
      <w:bookmarkStart w:id="161" w:name="__RefHeading___Toc4661_1712987439"/>
      <w:bookmarkEnd w:id="161"/>
      <w:r>
        <w:rPr/>
        <w:t>Negative Ergebnisse als Erkenntnis</w:t>
      </w:r>
    </w:p>
    <w:p>
      <w:pPr>
        <w:pStyle w:val="Normal"/>
        <w:rPr/>
      </w:pPr>
      <w:r>
        <w:rPr/>
        <w:t>Wenn LLMs keine neuartigen SNNs erzeugen, wenn klassische NAS besser abschneidet oder wenn menschliche Entwürfe robuster sind, ist dies kein Scheitern der Arbeit. Es wäre ein wesentlicher Befund über die Grenzen generativer Architektursynthese und eine direkte Prüfung der These „geliehener“ Designintelligenz.</w:t>
      </w:r>
    </w:p>
    <w:p>
      <w:pPr>
        <w:pStyle w:val="Normal"/>
        <w:widowControl/>
        <w:rPr/>
      </w:pPr>
      <w:r>
        <w:rPr/>
        <w:t>KI kann in der Wissenschaft zugleich Gegenstand, Werkzeug, Generator von Hypothesen, Codeproduzent, Evaluator und Textsystem sein. Diese Mehrfachrolle verschärft klassische Anforderungen an Reproduzierbarkeit und Interessentrennung. Ein System, das seine eigene Idee erzeugt, die Experimente plant, die Ergebnisse auswertet und den Text beurteilt, bildet einen geschlossenen epistemischen Regelkreis. Ein solcher Kreislauf kann produktiv sein, erfordert aber unabhängige Prüfpunkte und Provenienz, um Selbstbestätigung und Bewertungsdrift sichtbar zu machen.</w:t>
      </w:r>
    </w:p>
    <w:p>
      <w:pPr>
        <w:pStyle w:val="Heading2"/>
        <w:rPr/>
      </w:pPr>
      <w:bookmarkStart w:id="162" w:name="__RefHeading___Toc4663_1712987439"/>
      <w:bookmarkEnd w:id="162"/>
      <w:r>
        <w:rPr/>
        <w:t>27. Habe ich noch Kontrolle über meine eigene Arbeit?</w:t>
      </w:r>
    </w:p>
    <w:p>
      <w:pPr>
        <w:pStyle w:val="Normal"/>
        <w:widowControl/>
        <w:rPr/>
      </w:pPr>
      <w:r>
        <w:rPr/>
        <w:t>Die Dissertation wendet ihre Kontrolltheorie reflexiv auf die eigene Entstehung an. Formale Autorschaft folgt nicht automatisch aus dem Namen auf dem Titelblatt. Wissenschaftliche Kontrolle setzt voraus, dass der Autor die zentrale Argumentation erklären, Quellen im Original prüfen, methodische Entscheidungen begründen, Gegenpositionen beantworten, maschinelle Vorschläge zurückweisen und Schlussfolgerungen verantworten kann. Wo diese Fähigkeiten fehlen, kann ein Text formal menschlich autorisiert, epistemisch aber weitgehend fremdgesteuert sein.</w:t>
      </w:r>
    </w:p>
    <w:p>
      <w:pPr>
        <w:pStyle w:val="Normal"/>
        <w:widowControl/>
        <w:rPr/>
      </w:pPr>
      <w:r>
        <w:rPr/>
        <w:t>KI-Unterstützung wird deshalb nicht verschwiegen und auch nicht pauschal als Ko-Autorenschaft bezeichnet. Ein System besitzt keine wissenschaftliche Autorschaft im institutionellen Sinn, kann jedoch funktional relevante Beiträge zu Struktur, Formulierung, Literaturvorschlägen oder Gegenargumenten leisten. Diese Beiträge werden protokolliert. Die normative Verantwortung verbleibt bei der Person und Institution, die den Text einreicht, freigibt und von seiner Geltung Gebrauch macht.</w:t>
      </w:r>
    </w:p>
    <w:p>
      <w:pPr>
        <w:pStyle w:val="TableCaption"/>
        <w:keepNext w:val="true"/>
        <w:rPr/>
      </w:pPr>
      <w:r>
        <w:rPr/>
        <w:t>Tabelle 17. Wissenschaftliche Kontrolle über eine KI-gestützte Arbeit</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Dimension</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Mindestanforderung</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Kontrollkriterium</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Forschungsziel</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vom Menschen formuliert und veränderbar</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ohne Zielhoheit keine eigenständige wissenschaftliche Autorschaft</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Quellen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Originale geprüft; keine erfundenen Nachweise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jede zentrale Aussage rückverfolgbar</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Methodik</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begründet, verteidigbar, nicht nur übernommen</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 kann Alternativen und Grenzen erklären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Argumentation</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maschinelle Vorschläge werden geprüft und verändert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kein bloßes Akzeptieren plausibler Formulierungen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Entscheidung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Endfassung, Ausschlüsse und Schlussfolgerungen menschlich verantwortet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wirksames Veto und dokumentierte Auswahl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Modell, Version, Zweck und Beitrag dokumentiert</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 Nachvollziehbarkeit</w:t>
            </w:r>
          </w:p>
        </w:tc>
      </w:tr>
    </w:tbl>
    <w:p>
      <w:pPr>
        <w:pStyle w:val="Normal"/>
        <w:spacing w:before="0" w:after="0"/>
        <w:rPr/>
      </w:pPr>
      <w:r>
        <w:rPr/>
      </w:r>
    </w:p>
    <w:p>
      <w:pPr>
        <w:pStyle w:val="Heading2"/>
        <w:rPr/>
      </w:pPr>
      <w:bookmarkStart w:id="163" w:name="__RefHeading___Toc4665_1712987439"/>
      <w:bookmarkEnd w:id="163"/>
      <w:r>
        <w:rPr/>
        <w:t>28. Kritische Gegenpositionen, Falsifizierbarkeit und Grenzen</w:t>
      </w:r>
    </w:p>
    <w:p>
      <w:pPr>
        <w:pStyle w:val="Heading3"/>
        <w:rPr/>
      </w:pPr>
      <w:bookmarkStart w:id="164" w:name="__RefHeading___Toc4667_1712987439"/>
      <w:bookmarkEnd w:id="164"/>
      <w:r>
        <w:rPr/>
        <w:t>Gegenposition: Auch menschliche Intelligenz ist geliehen</w:t>
      </w:r>
    </w:p>
    <w:p>
      <w:pPr>
        <w:pStyle w:val="Normal"/>
        <w:rPr/>
      </w:pPr>
      <w:r>
        <w:rPr/>
        <w:t>Die stärkste Einwendung lautet, dass der Begriff keine spezifische Eigenschaft von KI bezeichnet. Menschen übernehmen Sprache, Kultur, Begriffe und Wissen ebenfalls von Vorgängern. Diese Kritik ist berechtigt. Die Dissertation beantwortet sie nicht durch Ausnahmebehauptung, sondern durch Präzisierung: Der Unterschied liegt nicht in Derivativität an sich, sondern in der Art der Genealogie, der materiellen Reproduktion und der institutionellen Verantwortungsstruktur.</w:t>
      </w:r>
    </w:p>
    <w:p>
      <w:pPr>
        <w:pStyle w:val="Heading3"/>
        <w:rPr/>
      </w:pPr>
      <w:bookmarkStart w:id="165" w:name="__RefHeading___Toc4669_1712987439"/>
      <w:bookmarkEnd w:id="165"/>
      <w:r>
        <w:rPr/>
        <w:t>Gegenposition: „Künstlich“ bleibt ausreichend</w:t>
      </w:r>
    </w:p>
    <w:p>
      <w:pPr>
        <w:pStyle w:val="Normal"/>
        <w:rPr/>
      </w:pPr>
      <w:r>
        <w:rPr/>
        <w:t>Man kann argumentieren, dass alles, was aus einer technischen Linie stammt, künstlich bleibt, unabhängig davon, ob Menschen noch beteiligt sind. Wenn diese Definition in allen analysierten Fällen hinreichende Erklärungskraft besitzt, wäre die zusätzliche Kategorie technogener Intelligenz überflüssig. Die Dissertation behandelt dies als echte Falsifikationsmöglichkeit ihres Begriffsvorschlags.</w:t>
      </w:r>
    </w:p>
    <w:p>
      <w:pPr>
        <w:pStyle w:val="Heading3"/>
        <w:rPr/>
      </w:pPr>
      <w:bookmarkStart w:id="166" w:name="__RefHeading___Toc4671_1712987439"/>
      <w:bookmarkEnd w:id="166"/>
      <w:r>
        <w:rPr/>
        <w:t>Gegenposition: Keine Agency ohne Bewusstsein</w:t>
      </w:r>
    </w:p>
    <w:p>
      <w:pPr>
        <w:pStyle w:val="Normal"/>
        <w:rPr/>
      </w:pPr>
      <w:r>
        <w:rPr/>
        <w:t>Ein starker Intentionalismus könnte behaupten, Agency setze phänomenales Bewusstsein oder echte Intentionalität voraus. Dann wären heutige KI-Systeme lediglich komplexe Werkzeuge. Die Dissertation beantwortet dies mit einer Ebenentrennung: funktionale Agency kann analytisch sinnvoll sein, ohne moralische oder phänomenale Agency zu behaupten. Ob diese Trennung theoretisch tragfähig ist, muss an Grenzfällen geprüft werden.</w:t>
      </w:r>
    </w:p>
    <w:p>
      <w:pPr>
        <w:pStyle w:val="Heading3"/>
        <w:rPr/>
      </w:pPr>
      <w:bookmarkStart w:id="167" w:name="__RefHeading___Toc4673_1712987439"/>
      <w:bookmarkEnd w:id="167"/>
      <w:r>
        <w:rPr/>
        <w:t>Gegenposition: Menschenlose Szenarien sind methodisch zu spekulativ</w:t>
      </w:r>
    </w:p>
    <w:p>
      <w:pPr>
        <w:pStyle w:val="Normal"/>
        <w:rPr/>
      </w:pPr>
      <w:r>
        <w:rPr/>
        <w:t>Diese Einwendung wird ernst genommen. Das menschenlose Szenario dient nicht als empirische Prognose, sondern als Grenzwertanalyse, analog zu Gedankenexperimenten in Philosophie, Recht und Ökonomie. Seine wissenschaftliche Funktion besteht darin, implizite Voraussetzungen heutiger Begriffe sichtbar zu machen – insbesondere die stillschweigende Annahme dauerhafter menschlicher Anwesenheit.</w:t>
      </w:r>
    </w:p>
    <w:p>
      <w:pPr>
        <w:pStyle w:val="Heading3"/>
        <w:rPr/>
      </w:pPr>
      <w:bookmarkStart w:id="168" w:name="__RefHeading___Toc4675_1712987439"/>
      <w:bookmarkEnd w:id="168"/>
      <w:r>
        <w:rPr/>
        <w:t>Grenzen der interdisziplinären Synthese</w:t>
      </w:r>
    </w:p>
    <w:p>
      <w:pPr>
        <w:pStyle w:val="Normal"/>
        <w:rPr/>
      </w:pPr>
      <w:r>
        <w:rPr/>
        <w:t>Eine Arbeit, die Altertumswissenschaft, Informatik, Philosophie, Ethik, Recht und Zukunftsforschung verbindet, riskiert Oberflächlichkeit. Dieses Risiko wird nicht durch rhetorische Breite gelöst, sondern durch methodische Grenzmarkierung. Antike Quellen werden nicht technisch interpretiert, Rechtsnormen nicht als Ethik ausgegeben, philosophische Gedankenexperimente nicht als Prognosen und technische Benchmarks nicht als Bewusstseinsnachweise.</w:t>
      </w:r>
    </w:p>
    <w:p>
      <w:pPr>
        <w:pStyle w:val="Heading3"/>
        <w:rPr/>
      </w:pPr>
      <w:bookmarkStart w:id="169" w:name="__RefHeading___Toc4677_1712987439"/>
      <w:bookmarkEnd w:id="169"/>
      <w:r>
        <w:rPr/>
        <w:t>Aktualitätsproblem</w:t>
      </w:r>
    </w:p>
    <w:p>
      <w:pPr>
        <w:pStyle w:val="Normal"/>
        <w:rPr/>
      </w:pPr>
      <w:r>
        <w:rPr/>
        <w:t>Der Stand 2026 ist besonders dynamisch. Leistungsdaten, Marktstrukturen und Rechtsumsetzung können sich innerhalb der Bearbeitungszeit verändern. Deshalb ist das Gegenwartskapitel als versionierter Befund zu behandeln. Jede wesentliche Behauptung über aktuelle Systeme erhält Datum und Quelle. Die endgültige Dissertation benötigt unmittelbar vor Einreichung einen Aktualisierungslauf.</w:t>
      </w:r>
    </w:p>
    <w:p>
      <w:pPr>
        <w:pStyle w:val="Heading3"/>
        <w:rPr/>
      </w:pPr>
      <w:bookmarkStart w:id="170" w:name="__RefHeading___Toc4679_1712987439"/>
      <w:bookmarkEnd w:id="170"/>
      <w:r>
        <w:rPr/>
        <w:t>Keine erfundenen empirischen Resultate</w:t>
      </w:r>
    </w:p>
    <w:p>
      <w:pPr>
        <w:pStyle w:val="Normal"/>
        <w:rPr/>
      </w:pPr>
      <w:r>
        <w:rPr/>
        <w:t>Die Dissertation entwickelt Theorie und Methodik, behauptet aber keine Experimente, die nicht durchgeführt wurden. Wo gegenwärtige empirische Forschung herangezogen wird, stammen Ergebnisse aus zitierten Quellen. Eigene Begriffsmodelle werden als theoretische Vorschläge kenntlich gemacht. Dadurch bleibt die Grenze zwischen Forschungsstand und eigener Theorie nachvollziehbar.</w:t>
      </w:r>
    </w:p>
    <w:p>
      <w:pPr>
        <w:pStyle w:val="Heading3"/>
        <w:rPr/>
      </w:pPr>
      <w:bookmarkStart w:id="171" w:name="__RefHeading___Toc4681_1712987439"/>
      <w:bookmarkEnd w:id="171"/>
      <w:r>
        <w:rPr/>
        <w:t>KI-Unterstützung als methodische Transparenzfrage</w:t>
      </w:r>
    </w:p>
    <w:p>
      <w:pPr>
        <w:pStyle w:val="Normal"/>
        <w:rPr/>
      </w:pPr>
      <w:r>
        <w:rPr/>
        <w:t>Bei einem Thema über geliehene Intelligenz wäre es inkonsistent, den Einsatz generativer Werkzeuge im Entstehungsprozess zu verschweigen. Eine spätere Einreichungsfassung sollte daher entsprechend den Regeln der jeweiligen Fakultät offenlegen, in welchen Phasen KI-Werkzeuge genutzt wurden. Unabhängig von formalen Offenlegungspflichten bleiben Quellenprüfung, argumentative Entscheidung und wissenschaftliche Verantwortung beim Verfasser.</w:t>
      </w:r>
    </w:p>
    <w:p>
      <w:pPr>
        <w:pStyle w:val="Normal"/>
        <w:rPr/>
      </w:pPr>
      <w:r>
        <w:rPr/>
        <w:t>Erstens können proprietäre LLMs trotz identischer Modellnamen serverseitig verändert werden. Vollständige Reproduzierbarkeit ist daher nur bei versionierten oder lokalen Modellen erreichbar. Zweitens kann architektonische Neuheit nicht absolut bewiesen werden; sie ist relativ zum bekannten Vergleichskorpus. Drittens operationalisiert der Index epistemischer Verschuldung nur beobachtbare Abhängigkeiten und nicht die vollständige kulturelle Herkunft eines Modells. Viertens kann funktionale Agency gemessen werden, ohne moralische Agency zu entscheiden. Fünftens ist die rechtliche Bewertung an den Stichtag 18. August 2026 gebunden und muss bei späterem Einsatz aktualisiert werden.</w:t>
      </w:r>
    </w:p>
    <w:p>
      <w:pPr>
        <w:pStyle w:val="Normal"/>
        <w:rPr/>
      </w:pPr>
      <w:r>
        <w:rPr/>
        <w:t>Die stärkste Limitation betrifft schließlich Brain-5D selbst: Ein einzelnes Forschungsframework kann allgemeine philosophische Thesen nicht allein entscheiden. Es kann jedoch als präziser experimenteller Fall dienen, an dem abstrakte Fragen erstmals mit messbaren Entwicklungs- und Kontrollvariablen verbunden werden.</w:t>
      </w:r>
    </w:p>
    <w:p>
      <w:pPr>
        <w:pStyle w:val="Normal"/>
        <w:widowControl/>
        <w:rPr/>
      </w:pPr>
      <w:r>
        <w:rPr/>
        <w:t>Die starke Form der Theorie geliehener Intelligenz wäre geschwächt, wenn maschinelle Systeme wesentliche epistemische Kategorien, Ziele und Bewertungsmaßstäbe ohne relevante menschliche Vorstrukturierung hervorbringen und wenn ihre Genealogie keine zusätzliche Erklärungskraft für Verhalten, Architektur oder normative Zurechnung besitzt. Die Embodiment-These wäre geschwächt, wenn rein symbolische Systeme ohne aktuelle Körper-Umwelt-Kopplung dauerhaft dieselbe Robustheit, Bedeutungsflexibilität, Selbstmodellierung und autonome Fehlerkorrektur wie verkörperte Systeme erreichen.</w:t>
      </w:r>
    </w:p>
    <w:p>
      <w:pPr>
        <w:pStyle w:val="Normal"/>
        <w:widowControl/>
        <w:rPr/>
      </w:pPr>
      <w:r>
        <w:rPr/>
        <w:t>Die These vom Kontrollverlust wäre zu begrenzen, wenn sich zeigt, dass menschliche Agency zwar aus dem Mikroentwurf verschwindet, aber auf der Ebene von Zielsetzung, Ressourcen, Freigabe und Governance effektiv erhalten bleibt. Umgekehrt darf formale Aufsicht nicht als Widerlegung gelten, wenn sie in der Praxis weder epistemisch informiert noch technisch wirksam ist.</w:t>
      </w:r>
    </w:p>
    <w:p>
      <w:pPr>
        <w:pStyle w:val="Heading2"/>
        <w:rPr/>
      </w:pPr>
      <w:bookmarkStart w:id="172" w:name="__RefHeading___Toc4683_1712987439"/>
      <w:bookmarkEnd w:id="172"/>
      <w:r>
        <w:rPr/>
        <w:t>29. Forschungsroadmap und publizierbare Teilbeiträge</w:t>
      </w:r>
    </w:p>
    <w:p>
      <w:pPr>
        <w:pStyle w:val="Heading3"/>
        <w:rPr/>
      </w:pPr>
      <w:bookmarkStart w:id="173" w:name="__RefHeading___Toc4685_1712987439"/>
      <w:bookmarkEnd w:id="173"/>
      <w:r>
        <w:rPr/>
        <w:t>29.1 Phase I – historische, begriffliche und systematische Rekonstruktion</w:t>
      </w:r>
    </w:p>
    <w:p>
      <w:pPr>
        <w:pStyle w:val="Normal"/>
        <w:widowControl/>
        <w:rPr/>
      </w:pPr>
      <w:r>
        <w:rPr/>
        <w:t>Ziel: Begriffe Intelligenz, Künstlichkeit, Körper, Reiz, Agency, Autorenschaft, Selbstorganisation und Kontrolle präzisieren; systematisches Review und Rechtsstandsakte erstellen. Ergebnis: Literaturmatrix, Begriffsontologie, Quellen- und Zitierprotokoll.</w:t>
      </w:r>
    </w:p>
    <w:p>
      <w:pPr>
        <w:pStyle w:val="Heading3"/>
        <w:rPr/>
      </w:pPr>
      <w:bookmarkStart w:id="174" w:name="__RefHeading___Toc4687_1712987439"/>
      <w:bookmarkEnd w:id="174"/>
      <w:r>
        <w:rPr/>
        <w:t>29.2 Phase II – Infrastruktur, Schemata und Präregistrierung</w:t>
      </w:r>
    </w:p>
    <w:p>
      <w:pPr>
        <w:pStyle w:val="Normal"/>
        <w:widowControl/>
        <w:rPr/>
      </w:pPr>
      <w:r>
        <w:rPr/>
        <w:t>Ziel: Manifest-Schema, Validator, Provenienzlogger, Snapshot/rollback, Benchmark-Suite, Embodiment-Schnittstellen und Sicherheitsinvarianten implementieren. Ergebnis: reproduzierbare Artefaktpipeline und präregistrierte Auswertungspläne ohne Human-Subjects-Komponente.</w:t>
      </w:r>
    </w:p>
    <w:p>
      <w:pPr>
        <w:pStyle w:val="Heading3"/>
        <w:rPr/>
      </w:pPr>
      <w:bookmarkStart w:id="175" w:name="__RefHeading___Toc4689_1712987439"/>
      <w:bookmarkEnd w:id="175"/>
      <w:r>
        <w:rPr/>
        <w:t>29.3 Phase III – technischer Mehrmodellvergleich</w:t>
      </w:r>
    </w:p>
    <w:p>
      <w:pPr>
        <w:pStyle w:val="Normal"/>
        <w:widowControl/>
        <w:rPr/>
      </w:pPr>
      <w:r>
        <w:rPr/>
        <w:t>Ziel: F1–F5 sowie Entwurfsfingerabdruck, Robustheit, Neuheit und epistemische Abhängigkeit prüfen. Ergebnis: versionierter Architektur-, Leistungs- und Provenienzdatensatz aus unabhängigen Generationsläufen.</w:t>
      </w:r>
    </w:p>
    <w:p>
      <w:pPr>
        <w:pStyle w:val="Heading3"/>
        <w:rPr/>
      </w:pPr>
      <w:bookmarkStart w:id="176" w:name="__RefHeading___Toc4691_1712987439"/>
      <w:bookmarkEnd w:id="176"/>
      <w:r>
        <w:rPr/>
        <w:t>29.4 Phase IV – Longitudinal-, Selbstorganisations- und Embodiment-Analyse</w:t>
      </w:r>
    </w:p>
    <w:p>
      <w:pPr>
        <w:pStyle w:val="Normal"/>
        <w:widowControl/>
        <w:rPr/>
      </w:pPr>
      <w:r>
        <w:rPr/>
        <w:t>Ziel: strukturelle Veränderungen über definierte Lern- und Störungsphasen verfolgen; Embodimentstufen B0–B5 vergleichen; H-, C-, U- und Embodiment-Vektoren dokumentieren. Ergebnis: Graph-, Dynamik-, Kopplungs- und Kontrollverläufe zwischen Initial- und Endzuständen.</w:t>
      </w:r>
    </w:p>
    <w:p>
      <w:pPr>
        <w:pStyle w:val="Heading3"/>
        <w:rPr/>
      </w:pPr>
      <w:bookmarkStart w:id="177" w:name="__RefHeading___Toc4693_1712987439"/>
      <w:bookmarkEnd w:id="177"/>
      <w:r>
        <w:rPr/>
        <w:t>29.5 Phase V – Provenienz-, Rollen- und Autorenschaftsanalyse</w:t>
      </w:r>
    </w:p>
    <w:p>
      <w:pPr>
        <w:pStyle w:val="Normal"/>
        <w:widowControl/>
        <w:rPr/>
      </w:pPr>
      <w:r>
        <w:rPr/>
        <w:t>Ziel: anhand von Entwicklungsakten rekonstruieren, wann der Mensch Konstrukteur, Organisator, Kurator, Auditor, Verfassungsgeber oder Beobachter ist und wie maschinelle Beiträge die Autorschaft verändern. Ergebnis: kodierte Entscheidungs-, Provenienz- und Hoheitsmatrizen; keine Probandendaten.</w:t>
      </w:r>
    </w:p>
    <w:p>
      <w:pPr>
        <w:pStyle w:val="Heading3"/>
        <w:rPr/>
      </w:pPr>
      <w:bookmarkStart w:id="178" w:name="__RefHeading___Toc4695_1712987439"/>
      <w:bookmarkEnd w:id="178"/>
      <w:r>
        <w:rPr/>
        <w:t>29.6 Phase VI – rechtsdogmatische und normative Synthese</w:t>
      </w:r>
    </w:p>
    <w:p>
      <w:pPr>
        <w:pStyle w:val="Normal"/>
        <w:widowControl/>
        <w:rPr/>
      </w:pPr>
      <w:r>
        <w:rPr/>
        <w:t>Ziel: technische Befunde mit geltendem Recht, Verantwortung, Human Oversight, moralischer Agency und der Möglichkeit einer normativen Systemarchitektur verbinden. Ergebnis: Governance-Profil, Zurechnungsmodell und begründete Anforderungen de lege lata und de lege ferenda.</w:t>
      </w:r>
    </w:p>
    <w:p>
      <w:pPr>
        <w:pStyle w:val="Heading3"/>
        <w:rPr/>
      </w:pPr>
      <w:bookmarkStart w:id="179" w:name="__RefHeading___Toc4697_1712987439"/>
      <w:bookmarkEnd w:id="179"/>
      <w:r>
        <w:rPr/>
        <w:t>29.7 Phase VII – prospektive Grenzprüfung und Neubewertung</w:t>
      </w:r>
    </w:p>
    <w:p>
      <w:pPr>
        <w:pStyle w:val="Normal"/>
        <w:widowControl/>
        <w:rPr/>
      </w:pPr>
      <w:r>
        <w:rPr/>
        <w:t>Ziel: Schwellen für neue Governance, menschenarme und menschenlose Grenzszenarien sowie die Kriterien eines möglichen moralischen Status analysieren, ohne Prognosen oder dystopische Gewissheiten zu behaupten. Ergebnis: Szenariomatrix, offene Forschungsfragen und Neubewertung der Leitthese.</w:t>
      </w:r>
    </w:p>
    <w:p>
      <w:pPr>
        <w:pStyle w:val="Normal"/>
        <w:rPr/>
      </w:pPr>
      <w:r>
        <w:rPr/>
      </w:r>
      <w:r>
        <w:br w:type="page"/>
      </w:r>
    </w:p>
    <w:p>
      <w:pPr>
        <w:pStyle w:val="TableCaption"/>
        <w:keepNext w:val="true"/>
        <w:spacing w:before="0" w:after="60"/>
        <w:rPr/>
      </w:pPr>
      <w:r>
        <w:rPr/>
        <w:t>Tabelle 18. Mögliche wissenschaftliche Teilpublikationen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3254"/>
        <w:gridCol w:w="3254"/>
        <w:gridCol w:w="3255"/>
      </w:tblGrid>
      <w:tr>
        <w:trPr>
          <w:tblHeader w:val="true"/>
          <w:cantSplit w:val="true"/>
        </w:trPr>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Typ</w:t>
            </w:r>
          </w:p>
        </w:tc>
        <w:tc>
          <w:tcPr>
            <w:tcW w:w="3254"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Arbeitstitel</w:t>
            </w:r>
          </w:p>
        </w:tc>
        <w:tc>
          <w:tcPr>
            <w:tcW w:w="3255"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Kernbeitrag</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Theoriebeitrag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Borrowed Intelligence: Epistemic Descent and Recursive Technogenesis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Begriffs- und Genealogiemodell</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Technischer 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Model-Specific Design Fingerprints in LLM-Generated Spiking Neural Networks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Artefaktvergleich F1–F5</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Can Intelligence Be Disembodied? A Multidimensional Framework for Stimulus, Body and Grounding</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Embodiment-Vektor und Stufen E0–E6</w:t>
            </w:r>
          </w:p>
        </w:tc>
      </w:tr>
      <w:tr>
        <w:trPr>
          <w:cantSplit w:val="true"/>
        </w:trPr>
        <w:tc>
          <w:tcPr>
            <w:tcW w:w="3254" w:type="dxa"/>
            <w:tcBorders/>
            <w:vAlign w:val="center"/>
          </w:tcPr>
          <w:p>
            <w:pPr>
              <w:pStyle w:val="Normal"/>
              <w:suppressAutoHyphens w:val="true"/>
              <w:spacing w:before="0" w:after="100"/>
              <w:rPr/>
            </w:pPr>
            <w:r>
              <w:rPr/>
              <w:t>Agency- und Reflexivitätsbeitrag</w:t>
            </w:r>
          </w:p>
        </w:tc>
        <w:tc>
          <w:tcPr>
            <w:tcW w:w="3254" w:type="dxa"/>
            <w:tcBorders/>
            <w:vAlign w:val="center"/>
          </w:tcPr>
          <w:p>
            <w:pPr>
              <w:pStyle w:val="Normal"/>
              <w:suppressAutoHyphens w:val="true"/>
              <w:spacing w:before="0" w:after="100"/>
              <w:rPr/>
            </w:pPr>
            <w:r>
              <w:rPr/>
              <w:t>From Designer to Constitutional Observer</w:t>
            </w:r>
          </w:p>
        </w:tc>
        <w:tc>
          <w:tcPr>
            <w:tcW w:w="3255" w:type="dxa"/>
            <w:tcBorders/>
            <w:vAlign w:val="center"/>
          </w:tcPr>
          <w:p>
            <w:pPr>
              <w:pStyle w:val="Normal"/>
              <w:suppressAutoHyphens w:val="true"/>
              <w:spacing w:before="0" w:after="100"/>
              <w:rPr/>
            </w:pPr>
            <w:r>
              <w:rPr/>
              <w:t>Rollen, Hoheit, Prozessprovenienz und effektive Kontrolle ohne Probandengruppen</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Governance-Beitrag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Operational Human Oversight for Self-Modifying Neuromorphic Systems</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H-, C- und U-Modell sowie R0–R3</w:t>
            </w:r>
          </w:p>
        </w:tc>
      </w:tr>
      <w:tr>
        <w:trPr>
          <w:cantSplit w:val="true"/>
        </w:trPr>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Reflexiver Beitrag</w:t>
            </w:r>
          </w:p>
        </w:tc>
        <w:tc>
          <w:tcPr>
            <w:tcW w:w="3254"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Authorship and Control in AI-Assisted Science</w:t>
            </w:r>
          </w:p>
        </w:tc>
        <w:tc>
          <w:tcPr>
            <w:tcW w:w="3255"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Provenienz- und Autorschaftsmodell</w:t>
            </w:r>
          </w:p>
        </w:tc>
      </w:tr>
    </w:tbl>
    <w:p>
      <w:pPr>
        <w:pStyle w:val="Normal"/>
        <w:spacing w:before="0" w:after="0"/>
        <w:rPr/>
      </w:pPr>
      <w:r>
        <w:rPr/>
      </w:r>
    </w:p>
    <w:p>
      <w:pPr>
        <w:pStyle w:val="Heading2"/>
        <w:rPr/>
      </w:pPr>
      <w:bookmarkStart w:id="180" w:name="__RefHeading___Toc4699_1712987439"/>
      <w:bookmarkEnd w:id="180"/>
      <w:r>
        <w:rPr/>
        <w:t>30. Synthese und vorläufige Schlussposition</w:t>
      </w:r>
    </w:p>
    <w:p>
      <w:pPr>
        <w:pStyle w:val="Normal"/>
        <w:widowControl/>
        <w:rPr/>
      </w:pPr>
      <w:r>
        <w:rPr/>
        <w:t>Die Arbeit führt zu keiner einfachen Entscheidung zwischen „KI ist Werkzeug“ und „KI ist autonomes Wesen“. Sie entwickelt eine relationale Theorie. Intelligenz wird nach Herkunft, Verkörperung, Entwicklungskausalität, Zielautonomie, Existenzabhängigkeit und normativer Einbettung beschrieben. Ein System kann nichtorganisch realisiert, epistemisch menschlich geprägt, durch mehrere KI-Generationen weiterentwickelt, körperlich schwach oder stark gekoppelt, funktional autonom und dennoch infrastrukturell abhängig sein.</w:t>
      </w:r>
    </w:p>
    <w:p>
      <w:pPr>
        <w:pStyle w:val="Normal"/>
        <w:widowControl/>
        <w:rPr/>
      </w:pPr>
      <w:r>
        <w:rPr/>
        <w:t>Der Verlust von Kontrolle ist ebenfalls kein einzelner historischer Moment. Er kann auf unterschiedlichen Ebenen eintreten: Der Mensch kann Entwurfshoheit abgeben und dennoch Ziele setzen; er kann formale Freigabe behalten und epistemische Beurteilungsfähigkeit verlieren; er kann als Teil eines hybriden Erkenntnissystems wirksam bleiben, ohne jeden inneren Prozess zu verstehen. Die zentrale Aufgabe wissenschaftlicher und rechtlicher Governance besteht deshalb darin, nicht abstrakt „den Menschen im Loop“ zu fordern, sondern die tatsächlichen Hoheits-, Informations-, Eingriffs- und Verantwortungsbeziehungen zu dokumentieren.</w:t>
      </w:r>
    </w:p>
    <w:p>
      <w:pPr>
        <w:pStyle w:val="Normal"/>
        <w:widowControl/>
        <w:rPr/>
      </w:pPr>
      <w:r>
        <w:rPr/>
        <w:t>Embodiment erweitert diese Theorie. Ein körperlos erscheinendes Sprachmodell ist nicht völlig ohne Weltbezug, weil seine Daten aus verkörperter menschlicher Praxis stammen. Es besitzt jedoch keine eigene kontinuierliche Sensor-Aktor- und Interozeptionsschleife. Ob daraus nur eine quantitative oder eine qualitative Grenze entsteht, ist offen. Gerade diese Offenheit erzeugt den Forschungsgewinn: Körper, Reiz, Bedeutung, Selbstmodell, Empfindungsfähigkeit und moralischer Status werden in prüfbare Dimensionen zerlegt, statt vorschnell gleichgesetzt zu werden.</w:t>
      </w:r>
    </w:p>
    <w:p>
      <w:pPr>
        <w:pStyle w:val="Normal"/>
        <w:widowControl/>
        <w:rPr/>
      </w:pPr>
      <w:r>
        <w:rPr/>
        <w:t>Die vorläufige Leitposition lautet daher: Mit zunehmender maschineller Beteiligung verschwindet der Mensch nicht notwendig aus dem Entwicklungsprozess. Seine Rolle verschiebt sich vom unmittelbaren Konstrukteur zu Meta-Entscheidungen, Verfassungsgebung, Organisation, Kuratierung, Audit, Intervention und möglicherweise hybrider Ko-Kognition. Wo diese Funktionen nur noch symbolisch bestehen, beginnt effektiver Kontrollverlust. Wo sie nachvollziehbar, technisch wirksam und institutionell legitimiert bleiben, kann hohe maschinelle Autonomie mit menschlicher Verantwortung vereinbar sein.</w:t>
      </w:r>
    </w:p>
    <w:p>
      <w:pPr>
        <w:pStyle w:val="QuoteBlock"/>
        <w:rPr/>
      </w:pPr>
      <w:r>
        <w:rPr/>
        <w:t>Der wissenschaftlich relevante Übergang liegt nicht zwischen „natürlich“ und „künstlich“, sondern zwischen direkter Spezifikation, maschineller Transformation, verkörperter Weltkopplung, rekursiver Entwicklungsdynamik und der Frage, wer Ziele, Regeln und Folgen noch verantworten kann.</w:t>
      </w:r>
    </w:p>
    <w:p>
      <w:pPr>
        <w:pStyle w:val="Heading1"/>
        <w:rPr/>
      </w:pPr>
      <w:bookmarkStart w:id="181" w:name="__RefHeading___Toc4701_1712987439"/>
      <w:bookmarkEnd w:id="181"/>
      <w:r>
        <w:rPr/>
        <w:t>Literaturverzeichnis und Anhänge</w:t>
      </w:r>
    </w:p>
    <w:p>
      <w:pPr>
        <w:pStyle w:val="Heading2"/>
        <w:rPr/>
      </w:pPr>
      <w:bookmarkStart w:id="182" w:name="__RefHeading___Toc4703_1712987439"/>
      <w:bookmarkEnd w:id="182"/>
      <w:r>
        <w:rPr/>
        <w:t>31. Literaturverzeichnis</w:t>
      </w:r>
    </w:p>
    <w:p>
      <w:pPr>
        <w:pStyle w:val="Small"/>
        <w:widowControl/>
        <w:rPr/>
      </w:pPr>
      <w:r>
        <w:rPr/>
        <w:t>Zitierte und weiterführende Literatur nach APA 7. Historische Primärtexte werden zusätzlich nach Werk-, Buch-, Kapitel- oder Versstelle ausgewiesen.</w:t>
      </w:r>
    </w:p>
    <w:p>
      <w:pPr>
        <w:pStyle w:val="Reference"/>
        <w:spacing w:lineRule="auto" w:line="245" w:before="0" w:after="80"/>
        <w:ind w:hanging="403" w:start="403"/>
        <w:rPr/>
      </w:pPr>
      <w:r>
        <w:rPr/>
        <w:t>Adams, F., &amp; Aizawa, K. (2008). The bounds of cognition. Wiley-Blackwell.</w:t>
      </w:r>
    </w:p>
    <w:p>
      <w:pPr>
        <w:pStyle w:val="Reference"/>
        <w:spacing w:lineRule="auto" w:line="245" w:before="0" w:after="80"/>
        <w:ind w:hanging="403" w:start="403"/>
        <w:rPr/>
      </w:pPr>
      <w:r>
        <w:rPr/>
        <w:t>Amodei, D., Olah, C., Steinhardt, J., Christiano, P., Schulman, J., &amp; Mané, D. (2016). Concrete problems in AI safety. arXiv. https://doi.org/10.48550/arXiv.1606.06565</w:t>
      </w:r>
    </w:p>
    <w:p>
      <w:pPr>
        <w:pStyle w:val="Reference"/>
        <w:spacing w:lineRule="auto" w:line="245" w:before="0" w:after="80"/>
        <w:ind w:hanging="403" w:start="403"/>
        <w:rPr/>
      </w:pPr>
      <w:r>
        <w:rPr/>
        <w:t>Anderson, M., &amp; Anderson, S. L. (Eds.). (2011). Machine ethics. Cambridge University Press.</w:t>
      </w:r>
    </w:p>
    <w:p>
      <w:pPr>
        <w:pStyle w:val="Reference"/>
        <w:spacing w:lineRule="auto" w:line="245" w:before="0" w:after="80"/>
        <w:ind w:hanging="403" w:start="403"/>
        <w:rPr/>
      </w:pPr>
      <w:r>
        <w:rPr/>
        <w:t>Apollodorus. (n.d.). Bibliotheca (1.9.26).</w:t>
      </w:r>
    </w:p>
    <w:p>
      <w:pPr>
        <w:pStyle w:val="Reference"/>
        <w:spacing w:lineRule="auto" w:line="245" w:before="0" w:after="80"/>
        <w:ind w:hanging="403" w:start="403"/>
        <w:rPr/>
      </w:pPr>
      <w:r>
        <w:rPr/>
        <w:t>Apollonius Rhodius. (n.d.). Argonautica (Book 4, 1638–1688).</w:t>
      </w:r>
    </w:p>
    <w:p>
      <w:pPr>
        <w:pStyle w:val="Reference"/>
        <w:spacing w:lineRule="auto" w:line="245" w:before="0" w:after="80"/>
        <w:ind w:hanging="403" w:start="403"/>
        <w:rPr/>
      </w:pPr>
      <w:r>
        <w:rPr/>
        <w:t>Aristotle. (n.d.). Politics (Book I, Chapter 4, 1253b33–1254a1).</w:t>
      </w:r>
    </w:p>
    <w:p>
      <w:pPr>
        <w:pStyle w:val="Reference"/>
        <w:spacing w:lineRule="auto" w:line="245" w:before="0" w:after="80"/>
        <w:ind w:hanging="403" w:start="403"/>
        <w:rPr/>
      </w:pPr>
      <w:r>
        <w:rPr/>
        <w:t>Ashby, W. R. (1956). An introduction to cybernetics. Chapman &amp; Hall.</w:t>
      </w:r>
    </w:p>
    <w:p>
      <w:pPr>
        <w:pStyle w:val="Reference"/>
        <w:spacing w:lineRule="auto" w:line="245" w:before="0" w:after="80"/>
        <w:ind w:hanging="403" w:start="403"/>
        <w:rPr/>
      </w:pPr>
      <w:r>
        <w:rPr/>
        <w:t>Asimov, I. (1950). I, robot. Gnome Press.</w:t>
      </w:r>
    </w:p>
    <w:p>
      <w:pPr>
        <w:pStyle w:val="Reference"/>
        <w:spacing w:lineRule="auto" w:line="245" w:before="0" w:after="80"/>
        <w:ind w:hanging="403" w:start="403"/>
        <w:rPr/>
      </w:pPr>
      <w:r>
        <w:rPr/>
        <w:t>Baars, B. J. (1988). A cognitive theory of consciousness. Cambridge University Press.</w:t>
      </w:r>
    </w:p>
    <w:p>
      <w:pPr>
        <w:pStyle w:val="Reference"/>
        <w:spacing w:lineRule="auto" w:line="245" w:before="0" w:after="80"/>
        <w:ind w:hanging="403" w:start="403"/>
        <w:rPr/>
      </w:pPr>
      <w:r>
        <w:rPr/>
        <w:t>Babbage, C. (1832). On the economy of machinery and manufactures. Charles Knight.</w:t>
      </w:r>
    </w:p>
    <w:p>
      <w:pPr>
        <w:pStyle w:val="Reference"/>
        <w:spacing w:lineRule="auto" w:line="245" w:before="0" w:after="80"/>
        <w:ind w:hanging="403" w:start="403"/>
        <w:rPr/>
      </w:pPr>
      <w:r>
        <w:rPr/>
        <w:t>Bai, Y., Kadavath, S., Kundu, S., Askell, A., Kernion, J., Jones, A., et al. (2022). Constitutional AI: Harmlessness from AI feedback. arXiv. https://doi.org/10.48550/arXiv.2212.08073</w:t>
      </w:r>
    </w:p>
    <w:p>
      <w:pPr>
        <w:pStyle w:val="Reference"/>
        <w:spacing w:lineRule="auto" w:line="245" w:before="0" w:after="80"/>
        <w:ind w:hanging="403" w:start="403"/>
        <w:rPr/>
      </w:pPr>
      <w:r>
        <w:rPr/>
        <w:t>Bainbridge, L. (1983). Ironies of automation. Automatica, 19(6), 775–779. https://doi.org/10.1016/0005-1098(83)90046-8</w:t>
      </w:r>
    </w:p>
    <w:p>
      <w:pPr>
        <w:pStyle w:val="Reference"/>
        <w:spacing w:lineRule="auto" w:line="245" w:before="0" w:after="80"/>
        <w:ind w:hanging="403" w:start="403"/>
        <w:rPr/>
      </w:pPr>
      <w:r>
        <w:rPr/>
        <w:t>Barad, K. (2007). Meeting the universe halfway. Duke University Press.</w:t>
      </w:r>
    </w:p>
    <w:p>
      <w:pPr>
        <w:pStyle w:val="Reference"/>
        <w:spacing w:lineRule="auto" w:line="245" w:before="0" w:after="80"/>
        <w:ind w:hanging="403" w:start="403"/>
        <w:rPr/>
      </w:pPr>
      <w:r>
        <w:rPr/>
        <w:t>Barsalou, L. W. (2008). Grounded cognition. Annual Review of Psychology, 59, 617–645. https://doi.org/10.1146/annurev.psych.59.103006.093639</w:t>
      </w:r>
    </w:p>
    <w:p>
      <w:pPr>
        <w:pStyle w:val="Reference"/>
        <w:spacing w:lineRule="auto" w:line="245" w:before="0" w:after="80"/>
        <w:ind w:hanging="403" w:start="403"/>
        <w:rPr/>
      </w:pPr>
      <w:r>
        <w:rPr/>
        <w:t>Beer, R. D. (1990). Intelligence as adaptive behavior. Academic Press.</w:t>
      </w:r>
    </w:p>
    <w:p>
      <w:pPr>
        <w:pStyle w:val="Reference"/>
        <w:spacing w:lineRule="auto" w:line="245" w:before="0" w:after="80"/>
        <w:ind w:hanging="403" w:start="403"/>
        <w:rPr/>
      </w:pPr>
      <w:r>
        <w:rPr/>
        <w:t>Bender, E. M., &amp; Koller, A. (2020). Climbing towards NLU: On meaning, form, and understanding in the age of data. In Proceedings of ACL 2020 (pp. 5185–5198). https://doi.org/10.18653/v1/2020.acl-main.463</w:t>
      </w:r>
    </w:p>
    <w:p>
      <w:pPr>
        <w:pStyle w:val="Reference"/>
        <w:spacing w:lineRule="auto" w:line="245" w:before="0" w:after="80"/>
        <w:ind w:hanging="403" w:start="403"/>
        <w:rPr/>
      </w:pPr>
      <w:r>
        <w:rPr/>
        <w:t>Bender, E. M., Gebru, T., McMillan-Major, A., &amp; Shmitchell, S. (2021). On the dangers of stochastic parrots. In Proceedings of FAccT ’21 (pp. 610–623). https://doi.org/10.1145/3442188.3445922</w:t>
      </w:r>
    </w:p>
    <w:p>
      <w:pPr>
        <w:pStyle w:val="Reference"/>
        <w:spacing w:lineRule="auto" w:line="245" w:before="0" w:after="80"/>
        <w:ind w:hanging="403" w:start="403"/>
        <w:rPr/>
      </w:pPr>
      <w:r>
        <w:rPr/>
        <w:t>Bi, G.-Q., &amp; Poo, M.-M. (1998). Synaptic modifications in cultured hippocampal neurons. Journal of Neuroscience, 18(24), 10464–10472. https://doi.org/10.1523/JNEUROSCI.18-24-10464.1998</w:t>
      </w:r>
    </w:p>
    <w:p>
      <w:pPr>
        <w:pStyle w:val="Reference"/>
        <w:spacing w:lineRule="auto" w:line="245" w:before="0" w:after="80"/>
        <w:ind w:hanging="403" w:start="403"/>
        <w:rPr/>
      </w:pPr>
      <w:r>
        <w:rPr/>
        <w:t>Bisk, Y., Holtzman, A., Thomason, J., Andreas, J., Bengio, Y., Chai, J., Lapata, M., Lazaridou, A., May, J., Nisnevich, A., Pinto, N., &amp; Turian, J. (2020). Experience grounds language. In Proceedings of the 2020 Conference on Empirical Methods in Natural Language Processing (pp. 8718–8735). Association for Computational Linguistics. https://doi.org/10.18653/v1/2020.emnlp-main.703</w:t>
      </w:r>
    </w:p>
    <w:p>
      <w:pPr>
        <w:pStyle w:val="Reference"/>
        <w:spacing w:lineRule="auto" w:line="245" w:before="0" w:after="80"/>
        <w:ind w:hanging="403" w:start="403"/>
        <w:rPr/>
      </w:pPr>
      <w:r>
        <w:rPr/>
        <w:t>Block, N. (1995). On a confusion about a function of consciousness. Behavioral and Brain Sciences, 18(2), 227–247. https://doi.org/10.1017/S0140525X00038188</w:t>
      </w:r>
    </w:p>
    <w:p>
      <w:pPr>
        <w:pStyle w:val="Reference"/>
        <w:spacing w:lineRule="auto" w:line="245" w:before="0" w:after="80"/>
        <w:ind w:hanging="403" w:start="403"/>
        <w:rPr/>
      </w:pPr>
      <w:r>
        <w:rPr/>
        <w:t>Boden, M. A. (2016). AI: Its nature and future. Oxford University Press.</w:t>
      </w:r>
    </w:p>
    <w:p>
      <w:pPr>
        <w:pStyle w:val="Reference"/>
        <w:spacing w:lineRule="auto" w:line="245" w:before="0" w:after="80"/>
        <w:ind w:hanging="403" w:start="403"/>
        <w:rPr/>
      </w:pPr>
      <w:r>
        <w:rPr/>
        <w:t>Bommasani, R., Hudson, D. A., Adeli, E., Altman, R., Arora, S., von Arx, S., et al. (2021). On the opportunities and risks of foundation models. arXiv. https://doi.org/10.48550/arXiv.2108.07258</w:t>
      </w:r>
    </w:p>
    <w:p>
      <w:pPr>
        <w:pStyle w:val="Reference"/>
        <w:spacing w:lineRule="auto" w:line="245" w:before="0" w:after="80"/>
        <w:ind w:hanging="403" w:start="403"/>
        <w:rPr/>
      </w:pPr>
      <w:r>
        <w:rPr/>
        <w:t>Bostrom, N. (2014). Superintelligence: Paths, dangers, strategies. Oxford University Press.</w:t>
      </w:r>
    </w:p>
    <w:p>
      <w:pPr>
        <w:pStyle w:val="Reference"/>
        <w:spacing w:lineRule="auto" w:line="245" w:before="0" w:after="80"/>
        <w:ind w:hanging="403" w:start="403"/>
        <w:rPr/>
      </w:pPr>
      <w:r>
        <w:rPr/>
        <w:t>Bostrom, N., &amp; Yudkowsky, E. (2014). The ethics of artificial intelligence. In K. Frankish &amp; W. M. Ramsey (Eds.), The Cambridge handbook of artificial intelligence (pp. 316–334). Cambridge University Press.</w:t>
      </w:r>
    </w:p>
    <w:p>
      <w:pPr>
        <w:pStyle w:val="Reference"/>
        <w:spacing w:lineRule="auto" w:line="245" w:before="0" w:after="80"/>
        <w:ind w:hanging="403" w:start="403"/>
        <w:rPr/>
      </w:pPr>
      <w:r>
        <w:rPr/>
        <w:t>Bratman, M. E. (1987). Intention, plans, and practical reason. Harvard University Press.</w:t>
      </w:r>
    </w:p>
    <w:p>
      <w:pPr>
        <w:pStyle w:val="Reference"/>
        <w:spacing w:lineRule="auto" w:line="245" w:before="0" w:after="80"/>
        <w:ind w:hanging="403" w:start="403"/>
        <w:rPr/>
      </w:pPr>
      <w:r>
        <w:rPr/>
        <w:t>Brohan, A., Brown, N., Carbajal, J., Chebotar, Y., Dabis, X., Finn, C., et al. (2023). RT-2: Vision-language-action models transfer web knowledge to robotic control. arXiv. https://doi.org/10.48550/arXiv.2307.15818</w:t>
      </w:r>
    </w:p>
    <w:p>
      <w:pPr>
        <w:pStyle w:val="Reference"/>
        <w:spacing w:lineRule="auto" w:line="245" w:before="0" w:after="80"/>
        <w:ind w:hanging="403" w:start="403"/>
        <w:rPr/>
      </w:pPr>
      <w:r>
        <w:rPr/>
        <w:t>Brooks, R. A. (1991). Intelligence without representation. Artificial Intelligence, 47(1–3), 139–159. https://doi.org/10.1016/0004-3702(91)90053-M</w:t>
      </w:r>
    </w:p>
    <w:p>
      <w:pPr>
        <w:pStyle w:val="Reference"/>
        <w:spacing w:lineRule="auto" w:line="245" w:before="0" w:after="80"/>
        <w:ind w:hanging="403" w:start="403"/>
        <w:rPr/>
      </w:pPr>
      <w:r>
        <w:rPr/>
        <w:t>Brown, T. B., Mann, B., Ryder, N., Subbiah, M., Kaplan, J., Dhariwal, P., et al. (2020). Language models are few-shot learners. Advances in Neural Information Processing Systems, 33, 1877–1901.</w:t>
      </w:r>
    </w:p>
    <w:p>
      <w:pPr>
        <w:pStyle w:val="Reference"/>
        <w:spacing w:lineRule="auto" w:line="245" w:before="0" w:after="80"/>
        <w:ind w:hanging="403" w:start="403"/>
        <w:rPr/>
      </w:pPr>
      <w:r>
        <w:rPr/>
        <w:t>Bryson, J. J. (2010). Robots should be slaves. In Y. Wilks (Ed.), Close engagements with artificial companions (pp. 63–74). John Benjamins.</w:t>
      </w:r>
    </w:p>
    <w:p>
      <w:pPr>
        <w:pStyle w:val="Reference"/>
        <w:spacing w:lineRule="auto" w:line="245" w:before="0" w:after="80"/>
        <w:ind w:hanging="403" w:start="403"/>
        <w:rPr/>
      </w:pPr>
      <w:r>
        <w:rPr/>
        <w:t>Burrell, J. (2016). How the machine ‘thinks’: Understanding opacity in machine learning algorithms. Big Data &amp; Society, 3(1). https://doi.org/10.1177/2053951715622512</w:t>
      </w:r>
    </w:p>
    <w:p>
      <w:pPr>
        <w:pStyle w:val="Reference"/>
        <w:spacing w:lineRule="auto" w:line="245" w:before="0" w:after="80"/>
        <w:ind w:hanging="403" w:start="403"/>
        <w:rPr/>
      </w:pPr>
      <w:r>
        <w:rPr/>
        <w:t>Butler, S. (1863, June 13). Darwin among the machines. The Press.</w:t>
      </w:r>
    </w:p>
    <w:p>
      <w:pPr>
        <w:pStyle w:val="Reference"/>
        <w:spacing w:lineRule="auto" w:line="245" w:before="0" w:after="80"/>
        <w:ind w:hanging="403" w:start="403"/>
        <w:rPr/>
      </w:pPr>
      <w:r>
        <w:rPr/>
        <w:t>Butlin, P., Long, R., Elmoznino, E., Bengio, Y., Birch, J., Constant, A., et al. (2023). Consciousness in artificial intelligence: Insights from the science of consciousness. arXiv. https://doi.org/10.48550/arXiv.2308.08708</w:t>
      </w:r>
    </w:p>
    <w:p>
      <w:pPr>
        <w:pStyle w:val="Reference"/>
        <w:spacing w:lineRule="auto" w:line="245" w:before="0" w:after="80"/>
        <w:ind w:hanging="403" w:start="403"/>
        <w:rPr/>
      </w:pPr>
      <w:r>
        <w:rPr/>
        <w:t>Chalmers, D. J. (1996). The conscious mind. Oxford University Press.</w:t>
      </w:r>
    </w:p>
    <w:p>
      <w:pPr>
        <w:pStyle w:val="Reference"/>
        <w:spacing w:lineRule="auto" w:line="245" w:before="0" w:after="80"/>
        <w:ind w:hanging="403" w:start="403"/>
        <w:rPr/>
      </w:pPr>
      <w:r>
        <w:rPr/>
        <w:t>Chalmers, D. J. (2023). Could a large language model be conscious? Boston Review.</w:t>
      </w:r>
    </w:p>
    <w:p>
      <w:pPr>
        <w:pStyle w:val="Reference"/>
        <w:spacing w:lineRule="auto" w:line="245" w:before="0" w:after="80"/>
        <w:ind w:hanging="403" w:start="403"/>
        <w:rPr/>
      </w:pPr>
      <w:r>
        <w:rPr/>
        <w:t>Che, K., Zhou, Z., Niu, J., Ma, Z., Fang, W., Chen, Y., et al. (2024). Auto-Spikformer: Spikformer architecture search. Frontiers in Neuroscience, 18, 1372257. https://doi.org/10.3389/fnins.2024.1372257</w:t>
      </w:r>
    </w:p>
    <w:p>
      <w:pPr>
        <w:pStyle w:val="Reference"/>
        <w:spacing w:lineRule="auto" w:line="245" w:before="0" w:after="80"/>
        <w:ind w:hanging="403" w:start="403"/>
        <w:rPr/>
      </w:pPr>
      <w:r>
        <w:rPr/>
        <w:t>Chemero, A. (2009). Radical embodied cognitive science. MIT Press.</w:t>
      </w:r>
    </w:p>
    <w:p>
      <w:pPr>
        <w:pStyle w:val="Reference"/>
        <w:spacing w:lineRule="auto" w:line="245" w:before="0" w:after="80"/>
        <w:ind w:hanging="403" w:start="403"/>
        <w:rPr/>
      </w:pPr>
      <w:r>
        <w:rPr/>
        <w:t>Christiano, P. F., Leike, J., Brown, T., Martic, M., Legg, S., &amp; Amodei, D. (2017). Deep reinforcement learning from human preferences. Advances in Neural Information Processing Systems, 30.</w:t>
      </w:r>
    </w:p>
    <w:p>
      <w:pPr>
        <w:pStyle w:val="Reference"/>
        <w:spacing w:lineRule="auto" w:line="245" w:before="0" w:after="80"/>
        <w:ind w:hanging="403" w:start="403"/>
        <w:rPr/>
      </w:pPr>
      <w:r>
        <w:rPr/>
        <w:t>Clark, A. (1997). Being there: Putting brain, body, and world together again. MIT Press.</w:t>
      </w:r>
    </w:p>
    <w:p>
      <w:pPr>
        <w:pStyle w:val="Reference"/>
        <w:spacing w:lineRule="auto" w:line="245" w:before="0" w:after="80"/>
        <w:ind w:hanging="403" w:start="403"/>
        <w:rPr/>
      </w:pPr>
      <w:r>
        <w:rPr/>
        <w:t>Clark, A. (2013). Whatever next? Predictive brains, situated agents, and the future of cognitive science. Behavioral and Brain Sciences, 36(3), 181–204. https://doi.org/10.1017/S0140525X12000477</w:t>
      </w:r>
    </w:p>
    <w:p>
      <w:pPr>
        <w:pStyle w:val="Reference"/>
        <w:spacing w:lineRule="auto" w:line="245" w:before="0" w:after="80"/>
        <w:ind w:hanging="403" w:start="403"/>
        <w:rPr/>
      </w:pPr>
      <w:r>
        <w:rPr/>
        <w:t>Clark, A., &amp; Chalmers, D. J. (1998). The extended mind. Analysis, 58(1), 7–19. https://doi.org/10.1093/analys/58.1.7</w:t>
      </w:r>
    </w:p>
    <w:p>
      <w:pPr>
        <w:pStyle w:val="Reference"/>
        <w:spacing w:lineRule="auto" w:line="245" w:before="0" w:after="80"/>
        <w:ind w:hanging="403" w:start="403"/>
        <w:rPr/>
      </w:pPr>
      <w:r>
        <w:rPr/>
        <w:t>Coeckelbergh, M. (2020). AI ethics. MIT Press.</w:t>
      </w:r>
    </w:p>
    <w:p>
      <w:pPr>
        <w:pStyle w:val="Reference"/>
        <w:spacing w:lineRule="auto" w:line="245" w:before="0" w:after="80"/>
        <w:ind w:hanging="403" w:start="403"/>
        <w:rPr/>
      </w:pPr>
      <w:r>
        <w:rPr/>
        <w:t>Council of Europe. (2024). Framework Convention on Artificial Intelligence and Human Rights, Democracy and the Rule of Law (CETS No. 225).</w:t>
      </w:r>
    </w:p>
    <w:p>
      <w:pPr>
        <w:pStyle w:val="Reference"/>
        <w:spacing w:lineRule="auto" w:line="245" w:before="0" w:after="80"/>
        <w:ind w:hanging="403" w:start="403"/>
        <w:rPr/>
      </w:pPr>
      <w:r>
        <w:rPr/>
        <w:t>Council of Europe. (2026, May 15). European Union ratifies the Council of Europe Framework Convention on Artificial Intelligence. Council of Europe.</w:t>
      </w:r>
    </w:p>
    <w:p>
      <w:pPr>
        <w:pStyle w:val="Reference"/>
        <w:spacing w:lineRule="auto" w:line="245" w:before="0" w:after="80"/>
        <w:ind w:hanging="403" w:start="403"/>
        <w:rPr/>
      </w:pPr>
      <w:r>
        <w:rPr/>
        <w:t>Crawford, K. (2021). Atlas of AI. Yale University Press.</w:t>
      </w:r>
    </w:p>
    <w:p>
      <w:pPr>
        <w:pStyle w:val="Reference"/>
        <w:spacing w:lineRule="auto" w:line="245" w:before="0" w:after="80"/>
        <w:ind w:hanging="403" w:start="403"/>
        <w:rPr/>
      </w:pPr>
      <w:r>
        <w:rPr/>
        <w:t>Damasio, A. R. (1994). Descartes’ error. Putnam.</w:t>
      </w:r>
    </w:p>
    <w:p>
      <w:pPr>
        <w:pStyle w:val="Reference"/>
        <w:spacing w:lineRule="auto" w:line="245" w:before="0" w:after="80"/>
        <w:ind w:hanging="403" w:start="403"/>
        <w:rPr/>
      </w:pPr>
      <w:r>
        <w:rPr/>
        <w:t>Dehaene, S. (2014). Consciousness and the brain. Viking.</w:t>
      </w:r>
    </w:p>
    <w:p>
      <w:pPr>
        <w:pStyle w:val="Reference"/>
        <w:spacing w:lineRule="auto" w:line="245" w:before="0" w:after="80"/>
        <w:ind w:hanging="403" w:start="403"/>
        <w:rPr/>
      </w:pPr>
      <w:r>
        <w:rPr/>
        <w:t>Dennett, D. C. (1987). The intentional stance. MIT Press.</w:t>
      </w:r>
    </w:p>
    <w:p>
      <w:pPr>
        <w:pStyle w:val="Reference"/>
        <w:spacing w:lineRule="auto" w:line="245" w:before="0" w:after="80"/>
        <w:ind w:hanging="403" w:start="403"/>
        <w:rPr/>
      </w:pPr>
      <w:r>
        <w:rPr/>
        <w:t>Descartes, R. (1637). Discours de la méthode. Jan Maire.</w:t>
      </w:r>
    </w:p>
    <w:p>
      <w:pPr>
        <w:pStyle w:val="Reference"/>
        <w:spacing w:lineRule="auto" w:line="245" w:before="0" w:after="80"/>
        <w:ind w:hanging="403" w:start="403"/>
        <w:rPr/>
      </w:pPr>
      <w:r>
        <w:rPr/>
        <w:t>Di Paolo, E. A., Buhrmann, T., &amp; Barandiaran, X. E. (2017). Sensorimotor life. Oxford University Press.</w:t>
      </w:r>
    </w:p>
    <w:p>
      <w:pPr>
        <w:pStyle w:val="Reference"/>
        <w:spacing w:lineRule="auto" w:line="245" w:before="0" w:after="80"/>
        <w:ind w:hanging="403" w:start="403"/>
        <w:rPr/>
      </w:pPr>
      <w:r>
        <w:rPr/>
        <w:t>Dignum, V. (2019). Responsible artificial intelligence. Springer. https://doi.org/10.1007/978-3-030-30371-6</w:t>
      </w:r>
    </w:p>
    <w:p>
      <w:pPr>
        <w:pStyle w:val="Reference"/>
        <w:spacing w:lineRule="auto" w:line="245" w:before="0" w:after="80"/>
        <w:ind w:hanging="403" w:start="403"/>
        <w:rPr/>
      </w:pPr>
      <w:r>
        <w:rPr/>
        <w:t>Doshi-Velez, F., &amp; Kim, B. (2017). Towards a rigorous science of interpretable machine learning. arXiv. https://doi.org/10.48550/arXiv.1702.08608</w:t>
      </w:r>
    </w:p>
    <w:p>
      <w:pPr>
        <w:pStyle w:val="Reference"/>
        <w:spacing w:lineRule="auto" w:line="245" w:before="0" w:after="80"/>
        <w:ind w:hanging="403" w:start="403"/>
        <w:rPr/>
      </w:pPr>
      <w:r>
        <w:rPr/>
        <w:t>Dreyfus, H. L. (1972). What computers can’t do. Harper &amp; Row.</w:t>
      </w:r>
    </w:p>
    <w:p>
      <w:pPr>
        <w:pStyle w:val="Reference"/>
        <w:spacing w:lineRule="auto" w:line="245" w:before="0" w:after="80"/>
        <w:ind w:hanging="403" w:start="403"/>
        <w:rPr/>
      </w:pPr>
      <w:r>
        <w:rPr/>
        <w:t>Dreyfus, H. L. (1992). What computers still can’t do. MIT Press.</w:t>
      </w:r>
    </w:p>
    <w:p>
      <w:pPr>
        <w:pStyle w:val="Reference"/>
        <w:spacing w:lineRule="auto" w:line="245" w:before="0" w:after="80"/>
        <w:ind w:hanging="403" w:start="403"/>
        <w:rPr/>
      </w:pPr>
      <w:r>
        <w:rPr/>
        <w:t>Driess, D., Xia, F., Sajjadi, M. S. M., Lynch, C., Chowdhery, A., Ichter, B., et al. (2023). PaLM-E: An embodied multimodal language model. arXiv. https://doi.org/10.48550/arXiv.2303.03378</w:t>
      </w:r>
    </w:p>
    <w:p>
      <w:pPr>
        <w:pStyle w:val="Reference"/>
        <w:spacing w:lineRule="auto" w:line="245" w:before="0" w:after="80"/>
        <w:ind w:hanging="403" w:start="403"/>
        <w:rPr/>
      </w:pPr>
      <w:r>
        <w:rPr/>
        <w:t>Ellul, J. (1964). The technological society. Vintage. (Original work published 1954)</w:t>
      </w:r>
    </w:p>
    <w:p>
      <w:pPr>
        <w:pStyle w:val="Reference"/>
        <w:spacing w:lineRule="auto" w:line="245" w:before="0" w:after="80"/>
        <w:ind w:hanging="403" w:start="403"/>
        <w:rPr/>
      </w:pPr>
      <w:r>
        <w:rPr/>
        <w:t>Elsken, T., Metzen, J. H., &amp; Hutter, F. (2019). Neural architecture search: A survey. Journal of Machine Learning Research, 20(55), 1–21.</w:t>
      </w:r>
    </w:p>
    <w:p>
      <w:pPr>
        <w:pStyle w:val="Reference"/>
        <w:spacing w:lineRule="auto" w:line="245" w:before="0" w:after="80"/>
        <w:ind w:hanging="403" w:start="403"/>
        <w:rPr/>
      </w:pPr>
      <w:r>
        <w:rPr/>
        <w:t>European Parliament &amp; Council of the European Union. (2016). Regulation (EU) 2016/679 (General Data Protection Regulation). Official Journal of the European Union.</w:t>
      </w:r>
    </w:p>
    <w:p>
      <w:pPr>
        <w:pStyle w:val="Reference"/>
        <w:spacing w:lineRule="auto" w:line="245" w:before="0" w:after="80"/>
        <w:ind w:hanging="403" w:start="403"/>
        <w:rPr/>
      </w:pPr>
      <w:r>
        <w:rPr/>
        <w:t>European Parliament &amp; Council of the European Union. (2024a). Regulation (EU) 2024/1689 laying down harmonised rules on artificial intelligence (Artificial Intelligence Act). Official Journal of the European Union.</w:t>
      </w:r>
    </w:p>
    <w:p>
      <w:pPr>
        <w:pStyle w:val="Reference"/>
        <w:spacing w:lineRule="auto" w:line="245" w:before="0" w:after="80"/>
        <w:ind w:hanging="403" w:start="403"/>
        <w:rPr/>
      </w:pPr>
      <w:r>
        <w:rPr/>
        <w:t>European Parliament &amp; Council of the European Union. (2024b). Directive (EU) 2024/2853 on liability for defective products. Official Journal of the European Union.</w:t>
      </w:r>
    </w:p>
    <w:p>
      <w:pPr>
        <w:pStyle w:val="Reference"/>
        <w:spacing w:lineRule="auto" w:line="245" w:before="0" w:after="80"/>
        <w:ind w:hanging="403" w:start="403"/>
        <w:rPr/>
      </w:pPr>
      <w:r>
        <w:rPr/>
        <w:t>European Parliament &amp; Council of the European Union. (2026). Regulation (EU) 2026/1744 of 8 July 2026 amending Regulation (EU) 2024/1689. Official Journal of the European Union.</w:t>
      </w:r>
    </w:p>
    <w:p>
      <w:pPr>
        <w:pStyle w:val="Reference"/>
        <w:spacing w:lineRule="auto" w:line="245" w:before="0" w:after="80"/>
        <w:ind w:hanging="403" w:start="403"/>
        <w:rPr/>
      </w:pPr>
      <w:r>
        <w:rPr/>
        <w:t>European Patent Office, Legal Board of Appeal. (2021). J 0009/20 (Designation of inventor/DABUS II), decision of 21 December 2021.</w:t>
      </w:r>
    </w:p>
    <w:p>
      <w:pPr>
        <w:pStyle w:val="Reference"/>
        <w:spacing w:lineRule="auto" w:line="245" w:before="0" w:after="80"/>
        <w:ind w:hanging="403" w:start="403"/>
        <w:rPr/>
      </w:pPr>
      <w:r>
        <w:rPr/>
        <w:t>Floridi, L. (2013). The ethics of information. Oxford University Press.</w:t>
      </w:r>
    </w:p>
    <w:p>
      <w:pPr>
        <w:pStyle w:val="Reference"/>
        <w:spacing w:lineRule="auto" w:line="245" w:before="0" w:after="80"/>
        <w:ind w:hanging="403" w:start="403"/>
        <w:rPr/>
      </w:pPr>
      <w:r>
        <w:rPr/>
        <w:t>Floridi, L., &amp; Cowls, J. (2019). A unified framework of five principles for AI in society. Harvard Data Science Review, 1(1). https://doi.org/10.1162/99608f92.8cd550d1</w:t>
      </w:r>
    </w:p>
    <w:p>
      <w:pPr>
        <w:pStyle w:val="Reference"/>
        <w:spacing w:lineRule="auto" w:line="245" w:before="0" w:after="80"/>
        <w:ind w:hanging="403" w:start="403"/>
        <w:rPr/>
      </w:pPr>
      <w:r>
        <w:rPr/>
        <w:t>Floridi, L., &amp; Sanders, J. W. (2004). On the morality of artificial agents. Minds and Machines, 14, 349–379. https://doi.org/10.1023/B:MIND.0000035461.63578.9d</w:t>
      </w:r>
    </w:p>
    <w:p>
      <w:pPr>
        <w:pStyle w:val="Reference"/>
        <w:spacing w:lineRule="auto" w:line="245" w:before="0" w:after="80"/>
        <w:ind w:hanging="403" w:start="403"/>
        <w:rPr/>
      </w:pPr>
      <w:r>
        <w:rPr/>
        <w:t>Floridi, L., Cowls, J., Beltrametti, M., Chatila, R., Chazerand, P., Dignum, V., et al. (2018). AI4People—An ethical framework for a good AI society. Minds and Machines, 28, 689–707. https://doi.org/10.1007/s11023-018-9482-5</w:t>
      </w:r>
    </w:p>
    <w:p>
      <w:pPr>
        <w:pStyle w:val="Reference"/>
        <w:spacing w:lineRule="auto" w:line="245" w:before="0" w:after="80"/>
        <w:ind w:hanging="403" w:start="403"/>
        <w:rPr/>
      </w:pPr>
      <w:r>
        <w:rPr/>
        <w:t>Fodor, J. A. (1983). The modularity of mind. MIT Press.</w:t>
      </w:r>
    </w:p>
    <w:p>
      <w:pPr>
        <w:pStyle w:val="Reference"/>
        <w:spacing w:lineRule="auto" w:line="245" w:before="0" w:after="80"/>
        <w:ind w:hanging="403" w:start="403"/>
        <w:rPr/>
      </w:pPr>
      <w:r>
        <w:rPr/>
        <w:t>Friedman, B., &amp; Hendry, D. G. (2019). Value sensitive design. MIT Press.</w:t>
      </w:r>
    </w:p>
    <w:p>
      <w:pPr>
        <w:pStyle w:val="Reference"/>
        <w:spacing w:lineRule="auto" w:line="245" w:before="0" w:after="80"/>
        <w:ind w:hanging="403" w:start="403"/>
        <w:rPr/>
      </w:pPr>
      <w:r>
        <w:rPr/>
        <w:t>Friston, K. (2010). The free-energy principle: A unified brain theory? Nature Reviews Neuroscience, 11, 127–138. https://doi.org/10.1038/nrn2787</w:t>
      </w:r>
    </w:p>
    <w:p>
      <w:pPr>
        <w:pStyle w:val="Reference"/>
        <w:spacing w:lineRule="auto" w:line="245" w:before="0" w:after="80"/>
        <w:ind w:hanging="403" w:start="403"/>
        <w:rPr/>
      </w:pPr>
      <w:r>
        <w:rPr/>
        <w:t>Gabriel, I. (2020). Artificial intelligence, values, and alignment. Minds and Machines, 30, 411–437. https://doi.org/10.1007/s11023-020-09539-2</w:t>
      </w:r>
    </w:p>
    <w:p>
      <w:pPr>
        <w:pStyle w:val="Reference"/>
        <w:spacing w:lineRule="auto" w:line="245" w:before="0" w:after="80"/>
        <w:ind w:hanging="403" w:start="403"/>
        <w:rPr/>
      </w:pPr>
      <w:r>
        <w:rPr/>
        <w:t>Gallagher, S. (2005). How the body shapes the mind. Oxford University Press.</w:t>
      </w:r>
    </w:p>
    <w:p>
      <w:pPr>
        <w:pStyle w:val="Reference"/>
        <w:spacing w:lineRule="auto" w:line="245" w:before="0" w:after="80"/>
        <w:ind w:hanging="403" w:start="403"/>
        <w:rPr/>
      </w:pPr>
      <w:r>
        <w:rPr/>
        <w:t>Gerstner, W., Kistler, W. M., Naud, R., &amp; Paninski, L. (2014). Neuronal dynamics. Cambridge University Press.</w:t>
      </w:r>
    </w:p>
    <w:p>
      <w:pPr>
        <w:pStyle w:val="Reference"/>
        <w:spacing w:lineRule="auto" w:line="245" w:before="0" w:after="80"/>
        <w:ind w:hanging="403" w:start="403"/>
        <w:rPr/>
      </w:pPr>
      <w:r>
        <w:rPr/>
        <w:t>Godfrey-Smith, P. (2016). Other minds. Farrar, Straus and Giroux.</w:t>
      </w:r>
    </w:p>
    <w:p>
      <w:pPr>
        <w:pStyle w:val="Reference"/>
        <w:spacing w:lineRule="auto" w:line="245" w:before="0" w:after="80"/>
        <w:ind w:hanging="403" w:start="403"/>
        <w:rPr/>
      </w:pPr>
      <w:r>
        <w:rPr/>
        <w:t>Gunkel, D. J. (2012). The machine question. MIT Press.</w:t>
      </w:r>
    </w:p>
    <w:p>
      <w:pPr>
        <w:pStyle w:val="Reference"/>
        <w:spacing w:lineRule="auto" w:line="245" w:before="0" w:after="80"/>
        <w:ind w:hanging="403" w:start="403"/>
        <w:rPr/>
      </w:pPr>
      <w:r>
        <w:rPr/>
        <w:t>Gunkel, D. J. (2018). Robot rights. MIT Press.</w:t>
      </w:r>
    </w:p>
    <w:p>
      <w:pPr>
        <w:pStyle w:val="Reference"/>
        <w:spacing w:lineRule="auto" w:line="245" w:before="0" w:after="80"/>
        <w:ind w:hanging="403" w:start="403"/>
        <w:rPr/>
      </w:pPr>
      <w:r>
        <w:rPr/>
        <w:t>Habermas, J. (1991). Erläuterungen zur Diskursethik. Suhrkamp.</w:t>
      </w:r>
    </w:p>
    <w:p>
      <w:pPr>
        <w:pStyle w:val="Reference"/>
        <w:spacing w:lineRule="auto" w:line="245" w:before="0" w:after="80"/>
        <w:ind w:hanging="403" w:start="403"/>
        <w:rPr/>
      </w:pPr>
      <w:r>
        <w:rPr/>
        <w:t>Haraway, D. (1991). A cyborg manifesto. In Simians, cyborgs, and women (pp. 149–181). Routledge. (Original work published 1985)</w:t>
      </w:r>
    </w:p>
    <w:p>
      <w:pPr>
        <w:pStyle w:val="Reference"/>
        <w:spacing w:lineRule="auto" w:line="245" w:before="0" w:after="80"/>
        <w:ind w:hanging="403" w:start="403"/>
        <w:rPr/>
      </w:pPr>
      <w:r>
        <w:rPr/>
        <w:t>Harnad, S. (1990). The symbol grounding problem. Physica D, 42(1–3), 335–346. https://doi.org/10.1016/0167-2789(90)90087-6</w:t>
      </w:r>
    </w:p>
    <w:p>
      <w:pPr>
        <w:pStyle w:val="Reference"/>
        <w:spacing w:lineRule="auto" w:line="245" w:before="0" w:after="80"/>
        <w:ind w:hanging="403" w:start="403"/>
        <w:rPr/>
      </w:pPr>
      <w:r>
        <w:rPr/>
        <w:t>Hayles, N. K. (1999). How we became posthuman. University of Chicago Press.</w:t>
      </w:r>
    </w:p>
    <w:p>
      <w:pPr>
        <w:pStyle w:val="Reference"/>
        <w:spacing w:lineRule="auto" w:line="245" w:before="0" w:after="80"/>
        <w:ind w:hanging="403" w:start="403"/>
        <w:rPr/>
      </w:pPr>
      <w:r>
        <w:rPr/>
        <w:t>Hebb, D. O. (1949). The organization of behavior. Wiley.</w:t>
      </w:r>
    </w:p>
    <w:p>
      <w:pPr>
        <w:pStyle w:val="Reference"/>
        <w:spacing w:lineRule="auto" w:line="245" w:before="0" w:after="80"/>
        <w:ind w:hanging="403" w:start="403"/>
        <w:rPr/>
      </w:pPr>
      <w:r>
        <w:rPr/>
        <w:t>Heidegger, M. (1954). Die Frage nach der Technik. In Vorträge und Aufsätze. Neske.</w:t>
      </w:r>
    </w:p>
    <w:p>
      <w:pPr>
        <w:pStyle w:val="Reference"/>
        <w:spacing w:lineRule="auto" w:line="245" w:before="0" w:after="80"/>
        <w:ind w:hanging="403" w:start="403"/>
        <w:rPr/>
      </w:pPr>
      <w:r>
        <w:rPr/>
        <w:t>Heron of Alexandria. (n.d.). Pneumatica and Automata.</w:t>
      </w:r>
    </w:p>
    <w:p>
      <w:pPr>
        <w:pStyle w:val="Reference"/>
        <w:spacing w:lineRule="auto" w:line="245" w:before="0" w:after="80"/>
        <w:ind w:hanging="403" w:start="403"/>
        <w:rPr/>
      </w:pPr>
      <w:r>
        <w:rPr/>
        <w:t>Hobbes, T. (1651). Leviathan. Andrew Crooke.</w:t>
      </w:r>
    </w:p>
    <w:p>
      <w:pPr>
        <w:pStyle w:val="Reference"/>
        <w:spacing w:lineRule="auto" w:line="245" w:before="0" w:after="80"/>
        <w:ind w:hanging="403" w:start="403"/>
        <w:rPr/>
      </w:pPr>
      <w:r>
        <w:rPr/>
        <w:t>Homer. (n.d.). Iliad (Book 18, 369–420).</w:t>
      </w:r>
    </w:p>
    <w:p>
      <w:pPr>
        <w:pStyle w:val="Reference"/>
        <w:spacing w:lineRule="auto" w:line="245" w:before="0" w:after="80"/>
        <w:ind w:hanging="403" w:start="403"/>
        <w:rPr/>
      </w:pPr>
      <w:r>
        <w:rPr/>
        <w:t>Hopfield, J. J. (1982). Neural networks and physical systems with emergent collective computational abilities. PNAS, 79(8), 2554–2558. https://doi.org/10.1073/pnas.79.8.2554</w:t>
      </w:r>
    </w:p>
    <w:p>
      <w:pPr>
        <w:pStyle w:val="Reference"/>
        <w:spacing w:lineRule="auto" w:line="245" w:before="0" w:after="80"/>
        <w:ind w:hanging="403" w:start="403"/>
        <w:rPr/>
      </w:pPr>
      <w:r>
        <w:rPr/>
        <w:t>Hutchins, E. (1995). Cognition in the wild. MIT Press.</w:t>
      </w:r>
    </w:p>
    <w:p>
      <w:pPr>
        <w:pStyle w:val="Reference"/>
        <w:spacing w:lineRule="auto" w:line="245" w:before="0" w:after="80"/>
        <w:ind w:hanging="403" w:start="403"/>
        <w:rPr/>
      </w:pPr>
      <w:r>
        <w:rPr/>
        <w:t>Hutto, D. D., &amp; Myin, E. (2013). Radicalizing enactivism. MIT Press.</w:t>
      </w:r>
    </w:p>
    <w:p>
      <w:pPr>
        <w:pStyle w:val="Reference"/>
        <w:spacing w:lineRule="auto" w:line="245" w:before="0" w:after="80"/>
        <w:ind w:hanging="403" w:start="403"/>
        <w:rPr/>
      </w:pPr>
      <w:r>
        <w:rPr/>
        <w:t>Izhikevich, E. M. (2003). Simple model of spiking neurons. IEEE Transactions on Neural Networks, 14(6), 1569–1572. https://doi.org/10.1109/TNN.2003.820440</w:t>
      </w:r>
    </w:p>
    <w:p>
      <w:pPr>
        <w:pStyle w:val="Reference"/>
        <w:spacing w:lineRule="auto" w:line="245" w:before="0" w:after="80"/>
        <w:ind w:hanging="403" w:start="403"/>
        <w:rPr/>
      </w:pPr>
      <w:r>
        <w:rPr/>
        <w:t>Jobin, A., Ienca, M., &amp; Vayena, E. (2019). The global landscape of AI ethics guidelines. Nature Machine Intelligence, 1, 389–399. https://doi.org/10.1038/s42256-019-0088-2</w:t>
      </w:r>
    </w:p>
    <w:p>
      <w:pPr>
        <w:pStyle w:val="Reference"/>
        <w:spacing w:lineRule="auto" w:line="245" w:before="0" w:after="80"/>
        <w:ind w:hanging="403" w:start="403"/>
        <w:rPr/>
      </w:pPr>
      <w:r>
        <w:rPr/>
        <w:t>Jonas, H. (1979). Das Prinzip Verantwortung. Insel.</w:t>
      </w:r>
    </w:p>
    <w:p>
      <w:pPr>
        <w:pStyle w:val="Reference"/>
        <w:spacing w:lineRule="auto" w:line="245" w:before="0" w:after="80"/>
        <w:ind w:hanging="403" w:start="403"/>
        <w:rPr/>
      </w:pPr>
      <w:r>
        <w:rPr/>
        <w:t>Kant, I. (1785). Grundlegung zur Metaphysik der Sitten.</w:t>
      </w:r>
    </w:p>
    <w:p>
      <w:pPr>
        <w:pStyle w:val="Reference"/>
        <w:spacing w:lineRule="auto" w:line="245" w:before="0" w:after="80"/>
        <w:ind w:hanging="403" w:start="403"/>
        <w:rPr/>
      </w:pPr>
      <w:r>
        <w:rPr/>
        <w:t>Kosow, H., &amp; Gaßner, R. (2008). Methoden der Zukunfts- und Szenarioanalyse. Institut für Zukunftsstudien und Technologiebewertung.</w:t>
      </w:r>
    </w:p>
    <w:p>
      <w:pPr>
        <w:pStyle w:val="Reference"/>
        <w:spacing w:lineRule="auto" w:line="245" w:before="0" w:after="80"/>
        <w:ind w:hanging="403" w:start="403"/>
        <w:rPr/>
      </w:pPr>
      <w:r>
        <w:rPr/>
        <w:t>Kroll, J. A., Huey, J., Barocas, S., Felten, E. W., Reidenberg, J. R., Robinson, D. G., &amp; Yu, H. (2017). Accountable algorithms. University of Pennsylvania Law Review, 165, 633–705.</w:t>
      </w:r>
    </w:p>
    <w:p>
      <w:pPr>
        <w:pStyle w:val="Reference"/>
        <w:spacing w:lineRule="auto" w:line="245" w:before="0" w:after="80"/>
        <w:ind w:hanging="403" w:start="403"/>
        <w:rPr/>
      </w:pPr>
      <w:r>
        <w:rPr/>
        <w:t>Kuhn, T. S. (1962). The structure of scientific revolutions. University of Chicago Press.</w:t>
      </w:r>
    </w:p>
    <w:p>
      <w:pPr>
        <w:pStyle w:val="Reference"/>
        <w:spacing w:lineRule="auto" w:line="245" w:before="0" w:after="80"/>
        <w:ind w:hanging="403" w:start="403"/>
        <w:rPr/>
      </w:pPr>
      <w:r>
        <w:rPr/>
        <w:t>La Mettrie, J. O. de. (1748). L’homme machine. Elie Luzac.</w:t>
      </w:r>
    </w:p>
    <w:p>
      <w:pPr>
        <w:pStyle w:val="Reference"/>
        <w:spacing w:lineRule="auto" w:line="245" w:before="0" w:after="80"/>
        <w:ind w:hanging="403" w:start="403"/>
        <w:rPr/>
      </w:pPr>
      <w:r>
        <w:rPr/>
        <w:t>Lakatos, I. (1978). The methodology of scientific research programmes. Cambridge University Press.</w:t>
      </w:r>
    </w:p>
    <w:p>
      <w:pPr>
        <w:pStyle w:val="Reference"/>
        <w:spacing w:lineRule="auto" w:line="245" w:before="0" w:after="80"/>
        <w:ind w:hanging="403" w:start="403"/>
        <w:rPr/>
      </w:pPr>
      <w:r>
        <w:rPr/>
        <w:t>Latour, B. (2005). Reassembling the social. Oxford University Press.</w:t>
      </w:r>
    </w:p>
    <w:p>
      <w:pPr>
        <w:pStyle w:val="Reference"/>
        <w:spacing w:lineRule="auto" w:line="245" w:before="0" w:after="80"/>
        <w:ind w:hanging="403" w:start="403"/>
        <w:rPr/>
      </w:pPr>
      <w:r>
        <w:rPr/>
        <w:t>LeCun, Y., Bengio, Y., &amp; Hinton, G. (2015). Deep learning. Nature, 521, 436–444. https://doi.org/10.1038/nature14539</w:t>
      </w:r>
    </w:p>
    <w:p>
      <w:pPr>
        <w:pStyle w:val="Reference"/>
        <w:spacing w:lineRule="auto" w:line="245" w:before="0" w:after="80"/>
        <w:ind w:hanging="403" w:start="403"/>
        <w:rPr/>
      </w:pPr>
      <w:r>
        <w:rPr/>
        <w:t>Lee, H., Joo, S. J., Kim, C., Jang, J., Kim, D., On, K.-W., &amp; Seo, M. (2024). How well do large language models truly ground? In Proceedings of the 2024 Conference of the North American Chapter of the Association for Computational Linguistics: Human Language Technologies (Vol. 1, pp. 2437–2465). Association for Computational Linguistics. https://doi.org/10.18653/v1/2024.naacl-long.135</w:t>
      </w:r>
    </w:p>
    <w:p>
      <w:pPr>
        <w:pStyle w:val="Reference"/>
        <w:spacing w:lineRule="auto" w:line="245" w:before="0" w:after="80"/>
        <w:ind w:hanging="403" w:start="403"/>
        <w:rPr/>
      </w:pPr>
      <w:r>
        <w:rPr/>
        <w:t>Leibniz, G. W. (n.d.). Writings on characteristica universalis and calculus ratiocinator.</w:t>
      </w:r>
    </w:p>
    <w:p>
      <w:pPr>
        <w:pStyle w:val="Reference"/>
        <w:spacing w:lineRule="auto" w:line="245" w:before="0" w:after="80"/>
        <w:ind w:hanging="403" w:start="403"/>
        <w:rPr/>
      </w:pPr>
      <w:r>
        <w:rPr/>
        <w:t>Leike, J., Krueger, D., Everitt, T., Martic, M., Maini, V., &amp; Legg, S. (2018). Scalable agent alignment via reward modeling. arXiv. https://doi.org/10.48550/arXiv.1811.07871</w:t>
      </w:r>
    </w:p>
    <w:p>
      <w:pPr>
        <w:pStyle w:val="Reference"/>
        <w:spacing w:lineRule="auto" w:line="245" w:before="0" w:after="80"/>
        <w:ind w:hanging="403" w:start="403"/>
        <w:rPr/>
      </w:pPr>
      <w:r>
        <w:rPr/>
        <w:t>Lipton, Z. C. (2018). The mythos of model interpretability. Communications of the ACM, 61(10), 36–43. https://doi.org/10.1145/3233231</w:t>
      </w:r>
    </w:p>
    <w:p>
      <w:pPr>
        <w:pStyle w:val="Reference"/>
        <w:spacing w:lineRule="auto" w:line="245" w:before="0" w:after="80"/>
        <w:ind w:hanging="403" w:start="403"/>
        <w:rPr/>
      </w:pPr>
      <w:r>
        <w:rPr/>
        <w:t>Lovelace, A. A. (1843). Notes on L. F. Menabrea’s sketch of the analytical engine. Scientific Memoirs, 3, 666–731.</w:t>
      </w:r>
    </w:p>
    <w:p>
      <w:pPr>
        <w:pStyle w:val="Reference"/>
        <w:spacing w:lineRule="auto" w:line="245" w:before="0" w:after="80"/>
        <w:ind w:hanging="403" w:start="403"/>
        <w:rPr/>
      </w:pPr>
      <w:r>
        <w:rPr/>
        <w:t>Lu, C., Lu, C., Lange, R. T., Yamada, Y., Hu, S., Foerster, J., Ha, D., &amp; Clune, J. (2026). Towards end-to-end automation of AI research. Nature, 651, 914–919. https://doi.org/10.1038/s41586-026-10265-5</w:t>
      </w:r>
    </w:p>
    <w:p>
      <w:pPr>
        <w:pStyle w:val="Reference"/>
        <w:spacing w:lineRule="auto" w:line="245" w:before="0" w:after="80"/>
        <w:ind w:hanging="403" w:start="403"/>
        <w:rPr/>
      </w:pPr>
      <w:r>
        <w:rPr/>
        <w:t>Maass, W. (1997). Networks of spiking neurons: The third generation of neural network models. Neural Networks, 10(9), 1659–1671. https://doi.org/10.1016/S0893-6080(97)00011-7</w:t>
      </w:r>
    </w:p>
    <w:p>
      <w:pPr>
        <w:pStyle w:val="Reference"/>
        <w:spacing w:lineRule="auto" w:line="245" w:before="0" w:after="80"/>
        <w:ind w:hanging="403" w:start="403"/>
        <w:rPr/>
      </w:pPr>
      <w:r>
        <w:rPr/>
        <w:t>Mahowald, K., Ivanova, A. A., Blank, I. A., Kanwisher, N., Tenenbaum, J. B., &amp; Fedorenko, E. (2024). Dissociating language and thought in large language models. Trends in Cognitive Sciences, 28(6), 517–540. https://doi.org/10.1016/j.tics.2024.01.011</w:t>
      </w:r>
    </w:p>
    <w:p>
      <w:pPr>
        <w:pStyle w:val="Reference"/>
        <w:spacing w:lineRule="auto" w:line="245" w:before="0" w:after="80"/>
        <w:ind w:hanging="403" w:start="403"/>
        <w:rPr/>
      </w:pPr>
      <w:r>
        <w:rPr/>
        <w:t>Matthias, A. (2004). The responsibility gap. Ethics and Information Technology, 6, 175–183. https://doi.org/10.1007/s10676-004-3422-1</w:t>
      </w:r>
    </w:p>
    <w:p>
      <w:pPr>
        <w:pStyle w:val="Reference"/>
        <w:spacing w:lineRule="auto" w:line="245" w:before="0" w:after="80"/>
        <w:ind w:hanging="403" w:start="403"/>
        <w:rPr/>
      </w:pPr>
      <w:r>
        <w:rPr/>
        <w:t>Maturana, H. R., &amp; Varela, F. J. (1980). Autopoiesis and cognition. Reidel.</w:t>
      </w:r>
    </w:p>
    <w:p>
      <w:pPr>
        <w:pStyle w:val="Reference"/>
        <w:spacing w:lineRule="auto" w:line="245" w:before="0" w:after="80"/>
        <w:ind w:hanging="403" w:start="403"/>
        <w:rPr/>
      </w:pPr>
      <w:r>
        <w:rPr/>
        <w:t>Mayor, A. (2018). Gods and robots. Princeton University Press.</w:t>
      </w:r>
    </w:p>
    <w:p>
      <w:pPr>
        <w:pStyle w:val="Reference"/>
        <w:spacing w:lineRule="auto" w:line="245" w:before="0" w:after="80"/>
        <w:ind w:hanging="403" w:start="403"/>
        <w:rPr/>
      </w:pPr>
      <w:r>
        <w:rPr/>
        <w:t>McCarthy, J., Minsky, M. L., Rochester, N., &amp; Shannon, C. E. (1955). A proposal for the Dartmouth Summer Research Project on Artificial Intelligence.</w:t>
      </w:r>
    </w:p>
    <w:p>
      <w:pPr>
        <w:pStyle w:val="Reference"/>
        <w:spacing w:lineRule="auto" w:line="245" w:before="0" w:after="80"/>
        <w:ind w:hanging="403" w:start="403"/>
        <w:rPr/>
      </w:pPr>
      <w:r>
        <w:rPr/>
        <w:t>McCulloch, W. S., &amp; Pitts, W. (1943). A logical calculus of the ideas immanent in nervous activity. Bulletin of Mathematical Biophysics, 5, 115–133. https://doi.org/10.1007/BF02478259</w:t>
      </w:r>
    </w:p>
    <w:p>
      <w:pPr>
        <w:pStyle w:val="Reference"/>
        <w:spacing w:lineRule="auto" w:line="245" w:before="0" w:after="80"/>
        <w:ind w:hanging="403" w:start="403"/>
        <w:rPr/>
      </w:pPr>
      <w:r>
        <w:rPr/>
        <w:t>Minsky, M. (1967). Computation: Finite and infinite machines. Prentice-Hall.</w:t>
      </w:r>
    </w:p>
    <w:p>
      <w:pPr>
        <w:pStyle w:val="Reference"/>
        <w:spacing w:lineRule="auto" w:line="245" w:before="0" w:after="80"/>
        <w:ind w:hanging="403" w:start="403"/>
        <w:rPr/>
      </w:pPr>
      <w:r>
        <w:rPr/>
        <w:t>Minsky, M., &amp; Papert, S. (1969). Perceptrons. MIT Press.</w:t>
      </w:r>
    </w:p>
    <w:p>
      <w:pPr>
        <w:pStyle w:val="Reference"/>
        <w:spacing w:lineRule="auto" w:line="245" w:before="0" w:after="80"/>
        <w:ind w:hanging="403" w:start="403"/>
        <w:rPr/>
      </w:pPr>
      <w:r>
        <w:rPr/>
        <w:t>Mittelstadt, B. D. (2019). Principles alone cannot guarantee ethical AI. Nature Machine Intelligence, 1, 501–507. https://doi.org/10.1038/s42256-019-0114-4</w:t>
      </w:r>
    </w:p>
    <w:p>
      <w:pPr>
        <w:pStyle w:val="Reference"/>
        <w:spacing w:lineRule="auto" w:line="245" w:before="0" w:after="80"/>
        <w:ind w:hanging="403" w:start="403"/>
        <w:rPr/>
      </w:pPr>
      <w:r>
        <w:rPr/>
        <w:t>Mittelstadt, B. D., Allo, P., Taddeo, M., Wachter, S., &amp; Floridi, L. (2016). The ethics of algorithms. Big Data &amp; Society, 3(2). https://doi.org/10.1177/2053951716679679</w:t>
      </w:r>
    </w:p>
    <w:p>
      <w:pPr>
        <w:pStyle w:val="Reference"/>
        <w:spacing w:lineRule="auto" w:line="245" w:before="0" w:after="80"/>
        <w:ind w:hanging="403" w:start="403"/>
        <w:rPr/>
      </w:pPr>
      <w:r>
        <w:rPr/>
        <w:t>Moor, J. H. (2006). The nature, importance, and difficulty of machine ethics. IEEE Intelligent Systems, 21(4), 18–21. https://doi.org/10.1109/MIS.2006.80</w:t>
      </w:r>
    </w:p>
    <w:p>
      <w:pPr>
        <w:pStyle w:val="Reference"/>
        <w:spacing w:lineRule="auto" w:line="245" w:before="0" w:after="80"/>
        <w:ind w:hanging="403" w:start="403"/>
        <w:rPr/>
      </w:pPr>
      <w:r>
        <w:rPr/>
        <w:t>Neftci, E. O., Mostafa, H., &amp; Zenke, F. (2019). Surrogate gradient learning in spiking neural networks. IEEE Signal Processing Magazine, 36(6), 51–63. https://doi.org/10.1109/MSP.2019.2931595</w:t>
      </w:r>
    </w:p>
    <w:p>
      <w:pPr>
        <w:pStyle w:val="Reference"/>
        <w:spacing w:lineRule="auto" w:line="245" w:before="0" w:after="80"/>
        <w:ind w:hanging="403" w:start="403"/>
        <w:rPr/>
      </w:pPr>
      <w:r>
        <w:rPr/>
        <w:t>Newell, A., &amp; Simon, H. A. (1976). Computer science as empirical inquiry. Communications of the ACM, 19(3), 113–126. https://doi.org/10.1145/360018.360022</w:t>
      </w:r>
    </w:p>
    <w:p>
      <w:pPr>
        <w:pStyle w:val="Reference"/>
        <w:spacing w:lineRule="auto" w:line="245" w:before="0" w:after="80"/>
        <w:ind w:hanging="403" w:start="403"/>
        <w:rPr/>
      </w:pPr>
      <w:r>
        <w:rPr/>
        <w:t>NIST. (2023). Artificial Intelligence Risk Management Framework (AI RMF 1.0) (NIST AI 100-1). https://doi.org/10.6028/NIST.AI.100-1</w:t>
      </w:r>
    </w:p>
    <w:p>
      <w:pPr>
        <w:pStyle w:val="Reference"/>
        <w:spacing w:lineRule="auto" w:line="245" w:before="0" w:after="80"/>
        <w:ind w:hanging="403" w:start="403"/>
        <w:rPr/>
      </w:pPr>
      <w:r>
        <w:rPr/>
        <w:t>NIST. (2024). Artificial Intelligence Risk Management Framework: Generative Artificial Intelligence Profile (NIST AI 600-1). https://doi.org/10.6028/NIST.AI.600-1</w:t>
      </w:r>
    </w:p>
    <w:p>
      <w:pPr>
        <w:pStyle w:val="Reference"/>
        <w:spacing w:lineRule="auto" w:line="245" w:before="0" w:after="80"/>
        <w:ind w:hanging="403" w:start="403"/>
        <w:rPr/>
      </w:pPr>
      <w:r>
        <w:rPr/>
        <w:t>Noë, A. (2004). Action in perception. MIT Press.</w:t>
      </w:r>
    </w:p>
    <w:p>
      <w:pPr>
        <w:pStyle w:val="Reference"/>
        <w:spacing w:lineRule="auto" w:line="245" w:before="0" w:after="80"/>
        <w:ind w:hanging="403" w:start="403"/>
        <w:rPr/>
      </w:pPr>
      <w:r>
        <w:rPr/>
        <w:t>Nunes, J. D., Carvalho, M., Carneiro, D., &amp; Cardoso, J. S. (2022). Spiking neural networks: A survey. IEEE Access, 10, 60738–60764. https://doi.org/10.1109/ACCESS.2022.3179968</w:t>
      </w:r>
    </w:p>
    <w:p>
      <w:pPr>
        <w:pStyle w:val="Reference"/>
        <w:spacing w:lineRule="auto" w:line="245" w:before="0" w:after="80"/>
        <w:ind w:hanging="403" w:start="403"/>
        <w:rPr/>
      </w:pPr>
      <w:r>
        <w:rPr/>
        <w:t>Nussbaum, M. C. (2011). Creating capabilities. Harvard University Press.</w:t>
      </w:r>
    </w:p>
    <w:p>
      <w:pPr>
        <w:pStyle w:val="Reference"/>
        <w:spacing w:lineRule="auto" w:line="245" w:before="0" w:after="80"/>
        <w:ind w:hanging="403" w:start="403"/>
        <w:rPr/>
      </w:pPr>
      <w:r>
        <w:rPr/>
        <w:t>OECD. (2024). OECD principles on artificial intelligence. OECD.</w:t>
      </w:r>
    </w:p>
    <w:p>
      <w:pPr>
        <w:pStyle w:val="Reference"/>
        <w:spacing w:lineRule="auto" w:line="245" w:before="0" w:after="80"/>
        <w:ind w:hanging="403" w:start="403"/>
        <w:rPr/>
      </w:pPr>
      <w:r>
        <w:rPr/>
        <w:t>Ovid. (n.d.). Metamorphoses (Book 10, 243–297).</w:t>
      </w:r>
    </w:p>
    <w:p>
      <w:pPr>
        <w:pStyle w:val="Reference"/>
        <w:spacing w:lineRule="auto" w:line="245" w:before="0" w:after="80"/>
        <w:ind w:hanging="403" w:start="403"/>
        <w:rPr/>
      </w:pPr>
      <w:r>
        <w:rPr/>
        <w:t>O’Regan, J. K., &amp; Noë, A. (2001). A sensorimotor account of vision and visual consciousness. Behavioral and Brain Sciences, 24(5), 939–973. https://doi.org/10.1017/S0140525X01000115</w:t>
      </w:r>
    </w:p>
    <w:p>
      <w:pPr>
        <w:pStyle w:val="Reference"/>
        <w:spacing w:lineRule="auto" w:line="245" w:before="0" w:after="80"/>
        <w:ind w:hanging="403" w:start="403"/>
        <w:rPr/>
      </w:pPr>
      <w:r>
        <w:rPr/>
        <w:t>Page, M. J., McKenzie, J. E., Bossuyt, P. M., Boutron, I., Hoffmann, T. C., Mulrow, C. D., et al. (2021). The PRISMA 2020 statement. BMJ, 372, n71. https://doi.org/10.1136/bmj.n71</w:t>
      </w:r>
    </w:p>
    <w:p>
      <w:pPr>
        <w:pStyle w:val="Reference"/>
        <w:spacing w:lineRule="auto" w:line="245" w:before="0" w:after="80"/>
        <w:ind w:hanging="403" w:start="403"/>
        <w:rPr/>
      </w:pPr>
      <w:r>
        <w:rPr/>
        <w:t>Parasuraman, R., &amp; Riley, V. (1997). Humans and automation: Use, misuse, disuse, abuse. Human Factors, 39(2), 230–253. https://doi.org/10.1518/001872097778543886</w:t>
      </w:r>
    </w:p>
    <w:p>
      <w:pPr>
        <w:pStyle w:val="Reference"/>
        <w:spacing w:lineRule="auto" w:line="245" w:before="0" w:after="80"/>
        <w:ind w:hanging="403" w:start="403"/>
        <w:rPr/>
      </w:pPr>
      <w:r>
        <w:rPr/>
        <w:t>Pasquale, F. (2015). The black box society. Harvard University Press.</w:t>
      </w:r>
    </w:p>
    <w:p>
      <w:pPr>
        <w:pStyle w:val="Reference"/>
        <w:spacing w:lineRule="auto" w:line="245" w:before="0" w:after="80"/>
        <w:ind w:hanging="403" w:start="403"/>
        <w:rPr/>
      </w:pPr>
      <w:r>
        <w:rPr/>
        <w:t>Pfeifer, R., &amp; Bongard, J. (2006). How the body shapes the way we think. MIT Press.</w:t>
      </w:r>
    </w:p>
    <w:p>
      <w:pPr>
        <w:pStyle w:val="Reference"/>
        <w:spacing w:lineRule="auto" w:line="245" w:before="0" w:after="80"/>
        <w:ind w:hanging="403" w:start="403"/>
        <w:rPr/>
      </w:pPr>
      <w:r>
        <w:rPr/>
        <w:t>Pfeifer, R., &amp; Scheier, C. (1999). Understanding intelligence. MIT Press.</w:t>
      </w:r>
    </w:p>
    <w:p>
      <w:pPr>
        <w:pStyle w:val="Reference"/>
        <w:spacing w:lineRule="auto" w:line="245" w:before="0" w:after="80"/>
        <w:ind w:hanging="403" w:start="403"/>
        <w:rPr/>
      </w:pPr>
      <w:r>
        <w:rPr/>
        <w:t>Popper, K. R. (1959). The logic of scientific discovery. Hutchinson. (Original work published 1934)</w:t>
      </w:r>
    </w:p>
    <w:p>
      <w:pPr>
        <w:pStyle w:val="Reference"/>
        <w:spacing w:lineRule="auto" w:line="245" w:before="0" w:after="80"/>
        <w:ind w:hanging="403" w:start="403"/>
        <w:rPr/>
      </w:pPr>
      <w:r>
        <w:rPr/>
        <w:t>Putnam, H. (1967). Psychological predicates. In W. H. Capitan &amp; D. D. Merrill (Eds.), Art, mind, and religion. University of Pittsburgh Press.</w:t>
      </w:r>
    </w:p>
    <w:p>
      <w:pPr>
        <w:pStyle w:val="Reference"/>
        <w:spacing w:lineRule="auto" w:line="245" w:before="0" w:after="80"/>
        <w:ind w:hanging="403" w:start="403"/>
        <w:rPr/>
      </w:pPr>
      <w:r>
        <w:rPr/>
        <w:t>Rahman, M. H., Haider, Z., &amp; Chakraborty, P. (2025). An automated multi parameter neural architecture discovery framework using ChatGPT in the backend. Scientific Reports, 15, 16871. https://doi.org/10.1038/s41598-025-97378-5</w:t>
      </w:r>
    </w:p>
    <w:p>
      <w:pPr>
        <w:pStyle w:val="Reference"/>
        <w:spacing w:lineRule="auto" w:line="245" w:before="0" w:after="80"/>
        <w:ind w:hanging="403" w:start="403"/>
        <w:rPr/>
      </w:pPr>
      <w:r>
        <w:rPr/>
        <w:t>Rahwan, I. (2018). Society-in-the-loop. Ethics and Information Technology, 20, 5–14. https://doi.org/10.1007/s10676-017-9430-8</w:t>
      </w:r>
    </w:p>
    <w:p>
      <w:pPr>
        <w:pStyle w:val="Reference"/>
        <w:spacing w:lineRule="auto" w:line="245" w:before="0" w:after="80"/>
        <w:ind w:hanging="403" w:start="403"/>
        <w:rPr/>
      </w:pPr>
      <w:r>
        <w:rPr/>
        <w:t>Raji, I. D., Smart, A., White, R. N., Mitchell, M., Gebru, T., Hutchinson, B., et al. (2020). Closing the AI accountability gap. In Proceedings of FAccT ’20 (pp. 33–44). https://doi.org/10.1145/3351095.3372873</w:t>
      </w:r>
    </w:p>
    <w:p>
      <w:pPr>
        <w:pStyle w:val="Reference"/>
        <w:spacing w:lineRule="auto" w:line="245" w:before="0" w:after="80"/>
        <w:ind w:hanging="403" w:start="403"/>
        <w:rPr/>
      </w:pPr>
      <w:r>
        <w:rPr/>
        <w:t>Rawls, J. (1971). A theory of justice. Harvard University Press.</w:t>
      </w:r>
    </w:p>
    <w:p>
      <w:pPr>
        <w:pStyle w:val="Reference"/>
        <w:spacing w:lineRule="auto" w:line="245" w:before="0" w:after="80"/>
        <w:ind w:hanging="403" w:start="403"/>
        <w:rPr/>
      </w:pPr>
      <w:r>
        <w:rPr/>
        <w:t>Ren, P., Xiao, Y., Chang, X., Huang, P.-Y., Li, Z., Gupta, B. B., Chen, X., &amp; Wang, X. (2021). A comprehensive survey of neural architecture search. ACM Computing Surveys, 54(4). https://doi.org/10.1145/3447582</w:t>
      </w:r>
    </w:p>
    <w:p>
      <w:pPr>
        <w:pStyle w:val="Reference"/>
        <w:spacing w:lineRule="auto" w:line="245" w:before="0" w:after="80"/>
        <w:ind w:hanging="403" w:start="403"/>
        <w:rPr/>
      </w:pPr>
      <w:r>
        <w:rPr/>
        <w:t>Ribeiro, M. T., Singh, S., &amp; Guestrin, C. (2016). ‘Why should I trust you?’ In Proceedings of KDD ’16 (pp. 1135–1144). https://doi.org/10.1145/2939672.2939778</w:t>
      </w:r>
    </w:p>
    <w:p>
      <w:pPr>
        <w:pStyle w:val="Reference"/>
        <w:spacing w:lineRule="auto" w:line="245" w:before="0" w:after="80"/>
        <w:ind w:hanging="403" w:start="403"/>
        <w:rPr/>
      </w:pPr>
      <w:r>
        <w:rPr/>
        <w:t>Riskin, J. (2016). The restless clock. University of Chicago Press.</w:t>
      </w:r>
    </w:p>
    <w:p>
      <w:pPr>
        <w:pStyle w:val="Reference"/>
        <w:spacing w:lineRule="auto" w:line="245" w:before="0" w:after="80"/>
        <w:ind w:hanging="403" w:start="403"/>
        <w:rPr/>
      </w:pPr>
      <w:r>
        <w:rPr/>
        <w:t>Rosenblatt, F. (1958). The perceptron. Psychological Review, 65(6), 386–408. https://doi.org/10.1037/h0042519</w:t>
      </w:r>
    </w:p>
    <w:p>
      <w:pPr>
        <w:pStyle w:val="Reference"/>
        <w:spacing w:lineRule="auto" w:line="245" w:before="0" w:after="80"/>
        <w:ind w:hanging="403" w:start="403"/>
        <w:rPr/>
      </w:pPr>
      <w:r>
        <w:rPr/>
        <w:t>Rumelhart, D. E., Hinton, G. E., &amp; Williams, R. J. (1986). Learning representations by back-propagating errors. Nature, 323, 533–536. https://doi.org/10.1038/323533a0</w:t>
      </w:r>
    </w:p>
    <w:p>
      <w:pPr>
        <w:pStyle w:val="Reference"/>
        <w:spacing w:lineRule="auto" w:line="245" w:before="0" w:after="80"/>
        <w:ind w:hanging="403" w:start="403"/>
        <w:rPr/>
      </w:pPr>
      <w:r>
        <w:rPr/>
        <w:t>Russell, S. (2019). Human compatible. Viking.</w:t>
      </w:r>
    </w:p>
    <w:p>
      <w:pPr>
        <w:pStyle w:val="Reference"/>
        <w:spacing w:lineRule="auto" w:line="245" w:before="0" w:after="80"/>
        <w:ind w:hanging="403" w:start="403"/>
        <w:rPr/>
      </w:pPr>
      <w:r>
        <w:rPr/>
        <w:t>Russell, S., &amp; Norvig, P. (2021). Artificial intelligence: A modern approach (4th ed.). Pearson.</w:t>
      </w:r>
    </w:p>
    <w:p>
      <w:pPr>
        <w:pStyle w:val="Reference"/>
        <w:spacing w:lineRule="auto" w:line="245" w:before="0" w:after="80"/>
        <w:ind w:hanging="403" w:start="403"/>
        <w:rPr/>
      </w:pPr>
      <w:r>
        <w:rPr/>
        <w:t>Russell, S., Dewey, D., &amp; Tegmark, M. (2015). Research priorities for robust and beneficial artificial intelligence. AI Magazine, 36(4), 105–114. https://doi.org/10.1609/aimag.v36i4.2577</w:t>
      </w:r>
    </w:p>
    <w:p>
      <w:pPr>
        <w:pStyle w:val="Reference"/>
        <w:spacing w:lineRule="auto" w:line="245" w:before="0" w:after="80"/>
        <w:ind w:hanging="403" w:start="403"/>
        <w:rPr/>
      </w:pPr>
      <w:r>
        <w:rPr/>
        <w:t>Ryle, G. (1949). The concept of mind. Hutchinson.</w:t>
      </w:r>
    </w:p>
    <w:p>
      <w:pPr>
        <w:pStyle w:val="Reference"/>
        <w:spacing w:lineRule="auto" w:line="245" w:before="0" w:after="80"/>
        <w:ind w:hanging="403" w:start="403"/>
        <w:rPr/>
      </w:pPr>
      <w:r>
        <w:rPr/>
        <w:t>Santoni de Sio, F., &amp; van den Hoven, J. (2018). Meaningful human control over autonomous systems. Frontiers in Robotics and AI, 5, 15. https://doi.org/10.3389/frobt.2018.00015</w:t>
      </w:r>
    </w:p>
    <w:p>
      <w:pPr>
        <w:pStyle w:val="Reference"/>
        <w:spacing w:lineRule="auto" w:line="245" w:before="0" w:after="80"/>
        <w:ind w:hanging="403" w:start="403"/>
        <w:rPr/>
      </w:pPr>
      <w:r>
        <w:rPr/>
        <w:t>Searle, J. R. (1980). Minds, brains, and programs. Behavioral and Brain Sciences, 3(3), 417–457. https://doi.org/10.1017/S0140525X00005756</w:t>
      </w:r>
    </w:p>
    <w:p>
      <w:pPr>
        <w:pStyle w:val="Reference"/>
        <w:spacing w:lineRule="auto" w:line="245" w:before="0" w:after="80"/>
        <w:ind w:hanging="403" w:start="403"/>
        <w:rPr/>
      </w:pPr>
      <w:r>
        <w:rPr/>
        <w:t>Sen, A. (1999). Development as freedom. Knopf.</w:t>
      </w:r>
    </w:p>
    <w:p>
      <w:pPr>
        <w:pStyle w:val="Reference"/>
        <w:spacing w:lineRule="auto" w:line="245" w:before="0" w:after="80"/>
        <w:ind w:hanging="403" w:start="403"/>
        <w:rPr/>
      </w:pPr>
      <w:r>
        <w:rPr/>
        <w:t>Seth, A. K., &amp; Bayne, T. (2022). Theories of consciousness. Nature Reviews Neuroscience, 23, 439–452. https://doi.org/10.1038/s41583-022-00587-4</w:t>
      </w:r>
    </w:p>
    <w:p>
      <w:pPr>
        <w:pStyle w:val="Reference"/>
        <w:spacing w:lineRule="auto" w:line="245" w:before="0" w:after="80"/>
        <w:ind w:hanging="403" w:start="403"/>
        <w:rPr/>
      </w:pPr>
      <w:r>
        <w:rPr/>
        <w:t>Shannon, C. E. (1948). A mathematical theory of communication. Bell System Technical Journal, 27, 379–423, 623–656.</w:t>
      </w:r>
    </w:p>
    <w:p>
      <w:pPr>
        <w:pStyle w:val="Reference"/>
        <w:spacing w:lineRule="auto" w:line="245" w:before="0" w:after="80"/>
        <w:ind w:hanging="403" w:start="403"/>
        <w:rPr/>
      </w:pPr>
      <w:r>
        <w:rPr/>
        <w:t>Shen, S., Zhang, R., Wang, C., Huang, R., Tuerhong, A., Guo, Q., et al. (2024). Evolutionary spiking neural networks: A survey. Journal of Membrane Computing, 6(4), 335–346. https://doi.org/10.1007/s41965-024-00156-x</w:t>
      </w:r>
    </w:p>
    <w:p>
      <w:pPr>
        <w:pStyle w:val="Reference"/>
        <w:spacing w:lineRule="auto" w:line="245" w:before="0" w:after="80"/>
        <w:ind w:hanging="403" w:start="403"/>
        <w:rPr/>
      </w:pPr>
      <w:r>
        <w:rPr/>
        <w:t>Simon, H. A. (1962). The architecture of complexity. Proceedings of the American Philosophical Society, 106(6), 467–482.</w:t>
      </w:r>
    </w:p>
    <w:p>
      <w:pPr>
        <w:pStyle w:val="Reference"/>
        <w:spacing w:lineRule="auto" w:line="245" w:before="0" w:after="80"/>
        <w:ind w:hanging="403" w:start="403"/>
        <w:rPr/>
      </w:pPr>
      <w:r>
        <w:rPr/>
        <w:t>Simondon, G. (1958). Du mode d’existence des objets techniques. Aubier.</w:t>
      </w:r>
    </w:p>
    <w:p>
      <w:pPr>
        <w:pStyle w:val="Reference"/>
        <w:spacing w:lineRule="auto" w:line="245" w:before="0" w:after="80"/>
        <w:ind w:hanging="403" w:start="403"/>
        <w:rPr/>
      </w:pPr>
      <w:r>
        <w:rPr/>
        <w:t>Snyder, H. (2019). Literature review as a research methodology. Journal of Business Research, 104, 333–339. https://doi.org/10.1016/j.jbusres.2019.07.039</w:t>
      </w:r>
    </w:p>
    <w:p>
      <w:pPr>
        <w:pStyle w:val="Reference"/>
        <w:spacing w:lineRule="auto" w:line="245" w:before="0" w:after="80"/>
        <w:ind w:hanging="403" w:start="403"/>
        <w:rPr/>
      </w:pPr>
      <w:r>
        <w:rPr/>
        <w:t>Suchman, L. (2007). Human-machine reconfigurations (2nd ed.). Cambridge University Press.</w:t>
      </w:r>
    </w:p>
    <w:p>
      <w:pPr>
        <w:pStyle w:val="Reference"/>
        <w:spacing w:lineRule="auto" w:line="245" w:before="0" w:after="80"/>
        <w:ind w:hanging="403" w:start="403"/>
        <w:rPr/>
      </w:pPr>
      <w:r>
        <w:rPr/>
        <w:t>Thompson, E. (2007). Mind in life. Harvard University Press.</w:t>
      </w:r>
    </w:p>
    <w:p>
      <w:pPr>
        <w:pStyle w:val="Reference"/>
        <w:spacing w:lineRule="auto" w:line="245" w:before="0" w:after="80"/>
        <w:ind w:hanging="403" w:start="403"/>
        <w:rPr/>
      </w:pPr>
      <w:r>
        <w:rPr/>
        <w:t>Thompson, E., &amp; Varela, F. J. (2001). Radical embodiment. Trends in Cognitive Sciences, 5(10), 418–425. https://doi.org/10.1016/S1364-6613(00)01750-2</w:t>
      </w:r>
    </w:p>
    <w:p>
      <w:pPr>
        <w:pStyle w:val="Reference"/>
        <w:spacing w:lineRule="auto" w:line="245" w:before="0" w:after="80"/>
        <w:ind w:hanging="403" w:start="403"/>
        <w:rPr/>
      </w:pPr>
      <w:r>
        <w:rPr/>
        <w:t>Tononi, G. (2004). An information integration theory of consciousness. BMC Neuroscience, 5, 42. https://doi.org/10.1186/1471-2202-5-42</w:t>
      </w:r>
    </w:p>
    <w:p>
      <w:pPr>
        <w:pStyle w:val="Reference"/>
        <w:spacing w:lineRule="auto" w:line="245" w:before="0" w:after="80"/>
        <w:ind w:hanging="403" w:start="403"/>
        <w:rPr/>
      </w:pPr>
      <w:r>
        <w:rPr/>
        <w:t>Tronto, J. C. (1993). Moral boundaries. Routledge.</w:t>
      </w:r>
    </w:p>
    <w:p>
      <w:pPr>
        <w:pStyle w:val="Reference"/>
        <w:spacing w:lineRule="auto" w:line="245" w:before="0" w:after="80"/>
        <w:ind w:hanging="403" w:start="403"/>
        <w:rPr/>
      </w:pPr>
      <w:r>
        <w:rPr/>
        <w:t>Turing, A. M. (1950). Computing machinery and intelligence. Mind, 59(236), 433–460. https://doi.org/10.1093/mind/LIX.236.433</w:t>
      </w:r>
    </w:p>
    <w:p>
      <w:pPr>
        <w:pStyle w:val="Reference"/>
        <w:spacing w:lineRule="auto" w:line="245" w:before="0" w:after="80"/>
        <w:ind w:hanging="403" w:start="403"/>
        <w:rPr/>
      </w:pPr>
      <w:r>
        <w:rPr/>
        <w:t>U.S. Copyright Office. (2025). Copyright and artificial intelligence, Part 2: Copyrightability. Library of Congress.</w:t>
      </w:r>
    </w:p>
    <w:p>
      <w:pPr>
        <w:pStyle w:val="Reference"/>
        <w:spacing w:lineRule="auto" w:line="245" w:before="0" w:after="80"/>
        <w:ind w:hanging="403" w:start="403"/>
        <w:rPr/>
      </w:pPr>
      <w:r>
        <w:rPr/>
        <w:t>UNESCO. (2021). Recommendation on the ethics of artificial intelligence. UNESCO.</w:t>
      </w:r>
    </w:p>
    <w:p>
      <w:pPr>
        <w:pStyle w:val="Reference"/>
        <w:spacing w:lineRule="auto" w:line="245" w:before="0" w:after="80"/>
        <w:ind w:hanging="403" w:start="403"/>
        <w:rPr/>
      </w:pPr>
      <w:r>
        <w:rPr/>
        <w:t>Varela, F. J., Thompson, E., &amp; Rosch, E. (1991). The embodied mind. MIT Press.</w:t>
      </w:r>
    </w:p>
    <w:p>
      <w:pPr>
        <w:pStyle w:val="Reference"/>
        <w:spacing w:lineRule="auto" w:line="245" w:before="0" w:after="80"/>
        <w:ind w:hanging="403" w:start="403"/>
        <w:rPr/>
      </w:pPr>
      <w:r>
        <w:rPr/>
        <w:t>Vaswani, A., Shazeer, N., Parmar, N., Uszkoreit, J., Jones, L., Gomez, A. N., et al. (2017). Attention is all you need. Advances in Neural Information Processing Systems, 30.</w:t>
      </w:r>
    </w:p>
    <w:p>
      <w:pPr>
        <w:pStyle w:val="Reference"/>
        <w:spacing w:lineRule="auto" w:line="245" w:before="0" w:after="80"/>
        <w:ind w:hanging="403" w:start="403"/>
        <w:rPr/>
      </w:pPr>
      <w:r>
        <w:rPr/>
        <w:t>Verbeek, P.-P. (2011). Moralizing technology. University of Chicago Press.</w:t>
      </w:r>
    </w:p>
    <w:p>
      <w:pPr>
        <w:pStyle w:val="Reference"/>
        <w:spacing w:lineRule="auto" w:line="245" w:before="0" w:after="80"/>
        <w:ind w:hanging="403" w:start="403"/>
        <w:rPr/>
      </w:pPr>
      <w:r>
        <w:rPr/>
        <w:t>Vitolo, P., Psaltakis, G., Tomlinson, M., Licciardo, G. D., &amp; Andreou, A. G. (2024). Natural language to Verilog: Design of a recurrent spiking neural network using large language models and ChatGPT. In IEEE/ACM International Conference on Neuromorphic Systems. https://doi.org/10.1109/ICONS62911.2024.00024</w:t>
      </w:r>
    </w:p>
    <w:p>
      <w:pPr>
        <w:pStyle w:val="Reference"/>
        <w:spacing w:lineRule="auto" w:line="245" w:before="0" w:after="80"/>
        <w:ind w:hanging="403" w:start="403"/>
        <w:rPr/>
      </w:pPr>
      <w:r>
        <w:rPr/>
        <w:t>Wallach, W., &amp; Allen, C. (2009). Moral machines. Oxford University Press.</w:t>
      </w:r>
    </w:p>
    <w:p>
      <w:pPr>
        <w:pStyle w:val="Reference"/>
        <w:spacing w:lineRule="auto" w:line="245" w:before="0" w:after="80"/>
        <w:ind w:hanging="403" w:start="403"/>
        <w:rPr/>
      </w:pPr>
      <w:r>
        <w:rPr/>
        <w:t>Wiener, N. (1948). Cybernetics. MIT Press.</w:t>
      </w:r>
    </w:p>
    <w:p>
      <w:pPr>
        <w:pStyle w:val="Reference"/>
        <w:spacing w:lineRule="auto" w:line="245" w:before="0" w:after="80"/>
        <w:ind w:hanging="403" w:start="403"/>
        <w:rPr/>
      </w:pPr>
      <w:r>
        <w:rPr/>
        <w:t>Wiener, N. (1950). The human use of human beings. Houghton Mifflin.</w:t>
      </w:r>
    </w:p>
    <w:p>
      <w:pPr>
        <w:pStyle w:val="Reference"/>
        <w:spacing w:lineRule="auto" w:line="245" w:before="0" w:after="80"/>
        <w:ind w:hanging="403" w:start="403"/>
        <w:rPr/>
      </w:pPr>
      <w:r>
        <w:rPr/>
        <w:t>Wilson, M. (2002). Six views of embodied cognition. Psychonomic Bulletin &amp; Review, 9, 625–636. https://doi.org/10.3758/BF03196322</w:t>
      </w:r>
    </w:p>
    <w:p>
      <w:pPr>
        <w:pStyle w:val="Reference"/>
        <w:spacing w:lineRule="auto" w:line="245" w:before="0" w:after="80"/>
        <w:ind w:hanging="403" w:start="403"/>
        <w:rPr/>
      </w:pPr>
      <w:r>
        <w:rPr/>
        <w:t>Winner, L. (1986). The whale and the reactor. University of Chicago Press.</w:t>
      </w:r>
    </w:p>
    <w:p>
      <w:pPr>
        <w:pStyle w:val="Reference"/>
        <w:spacing w:lineRule="auto" w:line="245" w:before="0" w:after="80"/>
        <w:ind w:hanging="403" w:start="403"/>
        <w:rPr/>
      </w:pPr>
      <w:r>
        <w:rPr/>
        <w:t>Yan, J., Liu, Q., Zhang, M., Feng, L., Ma, D., Li, H., &amp; Pan, G. (2024). Efficient spiking neural network design via neural architecture search. Neural Networks, 173, 106172. https://doi.org/10.1016/j.neunet.2024.106172</w:t>
      </w:r>
    </w:p>
    <w:p>
      <w:pPr>
        <w:pStyle w:val="Reference"/>
        <w:spacing w:lineRule="auto" w:line="245" w:before="0" w:after="80"/>
        <w:ind w:hanging="403" w:start="403"/>
        <w:rPr/>
      </w:pPr>
      <w:r>
        <w:rPr/>
        <w:t>Zhou, X., Wu, X., Feng, L., Lu, Z., &amp; Tan, K. C. (2025). Design principle transfer in neural architecture search via large language models. Proceedings of the AAAI Conference on Artificial Intelligence, 39(21), 23000–23008. https://doi.org/10.1609/aaai.v39i21.34463</w:t>
      </w:r>
    </w:p>
    <w:p>
      <w:pPr>
        <w:pStyle w:val="Reference"/>
        <w:spacing w:lineRule="auto" w:line="245" w:before="0" w:after="80"/>
        <w:ind w:hanging="403" w:start="403"/>
        <w:rPr/>
      </w:pPr>
      <w:r>
        <w:rPr/>
        <w:t>Zuboff, S. (2019). The age of surveillance capitalism. PublicAffairs.</w:t>
      </w:r>
    </w:p>
    <w:p>
      <w:pPr>
        <w:pStyle w:val="Reference"/>
        <w:spacing w:lineRule="auto" w:line="245" w:before="0" w:after="80"/>
        <w:ind w:hanging="403" w:start="403"/>
        <w:rPr/>
      </w:pPr>
      <w:r>
        <w:rPr/>
        <w:t>Čapek, K. (1921). R.U.R. (Rossum’s universal robots). Aventinum.</w:t>
      </w:r>
    </w:p>
    <w:p>
      <w:pPr>
        <w:pStyle w:val="Small"/>
        <w:widowControl/>
        <w:rPr/>
      </w:pPr>
      <w:r>
        <w:rPr/>
        <w:t>Umfang der Bibliografie: 175 unterschiedliche Primär-, Fach-, Rechts- und Governancequellen.</w:t>
      </w:r>
    </w:p>
    <w:p>
      <w:pPr>
        <w:pStyle w:val="Heading2"/>
        <w:rPr/>
      </w:pPr>
      <w:bookmarkStart w:id="183" w:name="__RefHeading___Toc4705_1712987439"/>
      <w:bookmarkEnd w:id="183"/>
      <w:r>
        <w:rPr/>
        <w:t>Anhang A – Forschungs- und Provenienzprotokoll</w:t>
      </w:r>
    </w:p>
    <w:p>
      <w:pPr>
        <w:pStyle w:val="ListBullet"/>
        <w:numPr>
          <w:ilvl w:val="0"/>
          <w:numId w:val="1"/>
        </w:numPr>
        <w:rPr/>
      </w:pPr>
      <w:r>
        <w:rPr/>
        <w:t>analysis_id / run_id / Zeitstempel</w:t>
      </w:r>
    </w:p>
    <w:p>
      <w:pPr>
        <w:pStyle w:val="ListBullet"/>
        <w:numPr>
          <w:ilvl w:val="0"/>
          <w:numId w:val="1"/>
        </w:numPr>
        <w:rPr/>
      </w:pPr>
      <w:r>
        <w:rPr/>
        <w:t>Repository, Commit und Softwareumgebung</w:t>
      </w:r>
    </w:p>
    <w:p>
      <w:pPr>
        <w:pStyle w:val="ListBullet"/>
        <w:numPr>
          <w:ilvl w:val="0"/>
          <w:numId w:val="1"/>
        </w:numPr>
        <w:rPr/>
      </w:pPr>
      <w:r>
        <w:rPr/>
        <w:t>LLM-Anbieter, Modell, Version und Zugriffsweg</w:t>
      </w:r>
    </w:p>
    <w:p>
      <w:pPr>
        <w:pStyle w:val="ListBullet"/>
        <w:numPr>
          <w:ilvl w:val="0"/>
          <w:numId w:val="1"/>
        </w:numPr>
        <w:rPr/>
      </w:pPr>
      <w:r>
        <w:rPr/>
        <w:t>Systemprompt, Benutzerprompt, Prompt-Hash und Kontext</w:t>
      </w:r>
    </w:p>
    <w:p>
      <w:pPr>
        <w:pStyle w:val="ListBullet"/>
        <w:numPr>
          <w:ilvl w:val="0"/>
          <w:numId w:val="1"/>
        </w:numPr>
        <w:rPr/>
      </w:pPr>
      <w:r>
        <w:rPr/>
        <w:t>Samplingparameter und Seed, soweit verfügbar</w:t>
      </w:r>
    </w:p>
    <w:p>
      <w:pPr>
        <w:pStyle w:val="ListBullet"/>
        <w:numPr>
          <w:ilvl w:val="0"/>
          <w:numId w:val="1"/>
        </w:numPr>
        <w:rPr/>
      </w:pPr>
      <w:r>
        <w:rPr/>
        <w:t>Manifest, Validator- und Builderversion</w:t>
      </w:r>
    </w:p>
    <w:p>
      <w:pPr>
        <w:pStyle w:val="ListBullet"/>
        <w:numPr>
          <w:ilvl w:val="0"/>
          <w:numId w:val="1"/>
        </w:numPr>
        <w:rPr/>
      </w:pPr>
      <w:r>
        <w:rPr/>
        <w:t>Netzwerk-Startzustand und Endzustand</w:t>
      </w:r>
    </w:p>
    <w:p>
      <w:pPr>
        <w:pStyle w:val="ListBullet"/>
        <w:numPr>
          <w:ilvl w:val="0"/>
          <w:numId w:val="1"/>
        </w:numPr>
        <w:rPr/>
      </w:pPr>
      <w:r>
        <w:rPr/>
        <w:t>Architektur-, Dynamik-, Leistungs- und Ressourcenmetriken</w:t>
      </w:r>
    </w:p>
    <w:p>
      <w:pPr>
        <w:pStyle w:val="ListBullet"/>
        <w:numPr>
          <w:ilvl w:val="0"/>
          <w:numId w:val="1"/>
        </w:numPr>
        <w:rPr/>
      </w:pPr>
      <w:r>
        <w:rPr/>
        <w:t>Embodiment-Stufe, Sensoren, Aktoren und Umweltversion</w:t>
      </w:r>
    </w:p>
    <w:p>
      <w:pPr>
        <w:pStyle w:val="ListBullet"/>
        <w:numPr>
          <w:ilvl w:val="0"/>
          <w:numId w:val="1"/>
        </w:numPr>
        <w:rPr/>
      </w:pPr>
      <w:r>
        <w:rPr/>
        <w:t>menschliche Eingriffe, Auswahl- und Freigabeentscheidungen</w:t>
      </w:r>
    </w:p>
    <w:p>
      <w:pPr>
        <w:pStyle w:val="ListBullet"/>
        <w:numPr>
          <w:ilvl w:val="0"/>
          <w:numId w:val="1"/>
        </w:numPr>
        <w:rPr/>
      </w:pPr>
      <w:r>
        <w:rPr/>
        <w:t>Selbstmodifikationen, Stopps, Snapshots und Rollbacks</w:t>
      </w:r>
    </w:p>
    <w:p>
      <w:pPr>
        <w:pStyle w:val="ListBullet"/>
        <w:numPr>
          <w:ilvl w:val="0"/>
          <w:numId w:val="1"/>
        </w:numPr>
        <w:rPr/>
      </w:pPr>
      <w:r>
        <w:rPr/>
        <w:t>Quellen, Unsicherheiten, Ausschlüsse und Interpretationsnotizen</w:t>
      </w:r>
    </w:p>
    <w:p>
      <w:pPr>
        <w:pStyle w:val="Heading2"/>
        <w:rPr/>
      </w:pPr>
      <w:bookmarkStart w:id="184" w:name="__RefHeading___Toc4707_1712987439"/>
      <w:bookmarkEnd w:id="184"/>
      <w:r>
        <w:rPr/>
        <w:t>Anhang B – Skalen für Hoheit, Kontrolle, Autonomierisiko und Embodiment</w:t>
      </w:r>
    </w:p>
    <w:p>
      <w:pPr>
        <w:pStyle w:val="TableCaption"/>
        <w:keepNext w:val="true"/>
        <w:rPr/>
      </w:pPr>
      <w:r>
        <w:rPr/>
        <w:t>Tabelle 19. Allgemeine Ordinalskala für Vektordimensionen</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Wert</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8"/>
                <w:szCs w:val="22"/>
                <w:lang w:val="en-US" w:eastAsia="en-US" w:bidi="ar-SA"/>
              </w:rPr>
              <w:t>Interpretation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0</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nicht vorhanden / nicht dokumentiert</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1</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minimal, indirekt oder praktisch unwirksam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2</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begrenzt und nur in Teilbereichen wirksam</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3</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substanziell, aber mit relevanten Lücken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4</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hoch und weitgehend nachgewiesen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5</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8"/>
                <w:szCs w:val="22"/>
                <w:lang w:val="en-US" w:eastAsia="en-US" w:bidi="ar-SA"/>
              </w:rPr>
              <w:t>vollständig, unabhängig geprüft und reproduzierbar dokumentiert</w:t>
            </w:r>
          </w:p>
        </w:tc>
      </w:tr>
    </w:tbl>
    <w:p>
      <w:pPr>
        <w:pStyle w:val="Normal"/>
        <w:spacing w:before="0" w:after="0"/>
        <w:rPr/>
      </w:pPr>
      <w:r>
        <w:rPr/>
      </w:r>
    </w:p>
    <w:p>
      <w:pPr>
        <w:pStyle w:val="Normal"/>
        <w:widowControl/>
        <w:rPr/>
      </w:pPr>
      <w:r>
        <w:rPr/>
        <w:t>Die Skala ist kein validiertes Messinstrument. Sie ist ein strukturiertes Dokumentationsschema. Gewichtungen und aggregierte Scores dürfen erst nach Validierungs- und Sensitivitätsanalyse verwendet werden.</w:t>
      </w:r>
    </w:p>
    <w:p>
      <w:pPr>
        <w:pStyle w:val="Heading2"/>
        <w:rPr/>
      </w:pPr>
      <w:bookmarkStart w:id="185" w:name="__RefHeading___Toc4709_1712987439"/>
      <w:bookmarkEnd w:id="185"/>
      <w:r>
        <w:rPr/>
        <w:t>Anhang C – Minimalanforderungen an sichere reflexive Begleitforschung</w:t>
      </w:r>
    </w:p>
    <w:p>
      <w:pPr>
        <w:pStyle w:val="ListNumber"/>
        <w:numPr>
          <w:ilvl w:val="0"/>
          <w:numId w:val="4"/>
        </w:numPr>
        <w:rPr/>
      </w:pPr>
      <w:r>
        <w:rPr/>
        <w:t>Generierter Code wird nicht unmittelbar ausgeführt.</w:t>
      </w:r>
    </w:p>
    <w:p>
      <w:pPr>
        <w:pStyle w:val="ListNumber"/>
        <w:numPr>
          <w:ilvl w:val="0"/>
          <w:numId w:val="4"/>
        </w:numPr>
        <w:rPr/>
      </w:pPr>
      <w:r>
        <w:rPr/>
        <w:t>Sicherheitskernel, Watchdog und Protokollierung liegen außerhalb der Schreibrechte untersuchter Systeme.</w:t>
      </w:r>
    </w:p>
    <w:p>
      <w:pPr>
        <w:pStyle w:val="ListNumber"/>
        <w:numPr>
          <w:ilvl w:val="0"/>
          <w:numId w:val="4"/>
        </w:numPr>
        <w:rPr/>
      </w:pPr>
      <w:r>
        <w:rPr/>
        <w:t>Ressourcen, Laufzeit, Netzwerk und Aktorik sind standardmäßig begrenzt.</w:t>
      </w:r>
    </w:p>
    <w:p>
      <w:pPr>
        <w:pStyle w:val="ListNumber"/>
        <w:numPr>
          <w:ilvl w:val="0"/>
          <w:numId w:val="4"/>
        </w:numPr>
        <w:rPr/>
      </w:pPr>
      <w:r>
        <w:rPr/>
        <w:t>Vor jeder strukturellen Selbstmodifikation wird ein Snapshot erzeugt.</w:t>
      </w:r>
    </w:p>
    <w:p>
      <w:pPr>
        <w:pStyle w:val="ListNumber"/>
        <w:numPr>
          <w:ilvl w:val="0"/>
          <w:numId w:val="4"/>
        </w:numPr>
        <w:rPr/>
      </w:pPr>
      <w:r>
        <w:rPr/>
        <w:t>Jede Veränderung wird mit Ursache, Zeitpunkt und verantwortlicher Instanz protokolliert.</w:t>
      </w:r>
    </w:p>
    <w:p>
      <w:pPr>
        <w:pStyle w:val="ListNumber"/>
        <w:numPr>
          <w:ilvl w:val="0"/>
          <w:numId w:val="4"/>
        </w:numPr>
        <w:rPr/>
      </w:pPr>
      <w:r>
        <w:rPr/>
        <w:t>Stop und Rollback bleiben unabhängig vom untersuchten Regelkreis erreichbar.</w:t>
      </w:r>
    </w:p>
    <w:p>
      <w:pPr>
        <w:pStyle w:val="ListNumber"/>
        <w:numPr>
          <w:ilvl w:val="0"/>
          <w:numId w:val="4"/>
        </w:numPr>
        <w:rPr/>
      </w:pPr>
      <w:r>
        <w:rPr/>
        <w:t>Ein fehlgeschlagener Sicherheitscheck beendet den Lauf.</w:t>
      </w:r>
    </w:p>
    <w:p>
      <w:pPr>
        <w:pStyle w:val="ListNumber"/>
        <w:numPr>
          <w:ilvl w:val="0"/>
          <w:numId w:val="4"/>
        </w:numPr>
        <w:rPr/>
      </w:pPr>
      <w:r>
        <w:rPr/>
        <w:t>Menschliche Freigabe setzt fachliche Prüfbarkeit und reale Ablehnungsmöglichkeit voraus.</w:t>
      </w:r>
    </w:p>
    <w:p>
      <w:pPr>
        <w:pStyle w:val="ListNumber"/>
        <w:numPr>
          <w:ilvl w:val="0"/>
          <w:numId w:val="4"/>
        </w:numPr>
        <w:rPr/>
      </w:pPr>
      <w:r>
        <w:rPr/>
        <w:t>Embodiment wird stufenweise von virtueller zu physischer Kopplung erweitert.</w:t>
      </w:r>
    </w:p>
    <w:p>
      <w:pPr>
        <w:pStyle w:val="ListNumber"/>
        <w:numPr>
          <w:ilvl w:val="0"/>
          <w:numId w:val="4"/>
        </w:numPr>
        <w:rPr/>
      </w:pPr>
      <w:r>
        <w:rPr/>
        <w:t>Aus Systemverhalten werden keine Aussagen über Bewusstsein oder Empfindungsfähigkeit ohne separate Theorie und Evidenz abgeleitet.</w:t>
      </w:r>
    </w:p>
    <w:p>
      <w:pPr>
        <w:pStyle w:val="Heading2"/>
        <w:rPr/>
      </w:pPr>
      <w:bookmarkStart w:id="186" w:name="__RefHeading___Toc4711_1712987439"/>
      <w:bookmarkEnd w:id="186"/>
      <w:r>
        <w:rPr/>
        <w:t>Anhang D – Dokumentation der KI-Unterstützung in dieser Dissertation</w:t>
      </w:r>
    </w:p>
    <w:p>
      <w:pPr>
        <w:pStyle w:val="TableCaption"/>
        <w:keepNext w:val="true"/>
        <w:rPr/>
      </w:pPr>
      <w:r>
        <w:rPr/>
        <w:t>Tabelle 20. Reflexives KI-Nutzungsprotokoll</w:t>
      </w:r>
    </w:p>
    <w:tbl>
      <w:tblPr>
        <w:tblStyle w:val="TableGrid"/>
        <w:tblW w:w="9763" w:type="dxa"/>
        <w:jc w:val="center"/>
        <w:tblInd w:w="0" w:type="dxa"/>
        <w:tblLayout w:type="fixed"/>
        <w:tblCellMar>
          <w:top w:w="120" w:type="dxa"/>
          <w:start w:w="140" w:type="dxa"/>
          <w:bottom w:w="120" w:type="dxa"/>
          <w:end w:w="140" w:type="dxa"/>
        </w:tblCellMar>
        <w:tblLook w:val="04a0" w:noHBand="0" w:noVBand="1" w:firstColumn="1" w:lastRow="0" w:lastColumn="0" w:firstRow="1"/>
      </w:tblPr>
      <w:tblGrid>
        <w:gridCol w:w="4881"/>
        <w:gridCol w:w="4881"/>
      </w:tblGrid>
      <w:tr>
        <w:trPr>
          <w:tblHeader w:val="true"/>
          <w:cantSplit w:val="true"/>
        </w:trPr>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Feld</w:t>
            </w:r>
          </w:p>
        </w:tc>
        <w:tc>
          <w:tcPr>
            <w:tcW w:w="4881" w:type="dxa"/>
            <w:tcBorders/>
            <w:shd w:fill="DCE8EF"/>
            <w:vAlign w:val="center"/>
          </w:tcPr>
          <w:p>
            <w:pPr>
              <w:pStyle w:val="Normal"/>
              <w:suppressAutoHyphens w:val="true"/>
              <w:spacing w:before="0" w:after="0"/>
              <w:jc w:val="center"/>
              <w:rPr>
                <w:rFonts w:eastAsia="ＭＳ 明朝" w:cs=""/>
                <w:kern w:val="0"/>
                <w:szCs w:val="22"/>
                <w:lang w:val="en-US" w:eastAsia="en-US" w:bidi="ar-SA"/>
              </w:rPr>
            </w:pPr>
            <w:r>
              <w:rPr>
                <w:rFonts w:eastAsia="Liberation Sans" w:cs="Liberation Sans" w:ascii="Liberation Sans" w:hAnsi="Liberation Sans"/>
                <w:b/>
                <w:color w:val="16324F"/>
                <w:kern w:val="0"/>
                <w:sz w:val="17"/>
                <w:szCs w:val="22"/>
                <w:lang w:val="en-US" w:eastAsia="en-US" w:bidi="ar-SA"/>
              </w:rPr>
              <w:t>Dokumentation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Modell und Version</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Name, Version, Anbieter, Datum und Zugang dokumentieren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Zweck</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Recherche, Gliederung, Gegenargument, Formulierung, Code, Diagramm oder Prüfung</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Eingabe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Prompt oder Hash sowie relevante Kontextquellen sichern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Ausgabe</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übernommene, veränderte und verworfene Bestandteile kennzeichnen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Quellenprüfung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jede Literatur- und Rechtsquelle am Original verifizieren</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menschliche Entscheidung</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Begründung der endgültigen Auswahl und Freigabe</w:t>
            </w:r>
          </w:p>
        </w:tc>
      </w:tr>
      <w:tr>
        <w:trPr>
          <w:cantSplit w:val="true"/>
        </w:trPr>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Kontrollnachweis</w:t>
            </w:r>
          </w:p>
        </w:tc>
        <w:tc>
          <w:tcPr>
            <w:tcW w:w="4881" w:type="dxa"/>
            <w:tcBorders/>
            <w:vAlign w:val="center"/>
          </w:tcPr>
          <w:p>
            <w:pPr>
              <w:pStyle w:val="Normal"/>
              <w:suppressAutoHyphens w:val="true"/>
              <w:spacing w:lineRule="auto" w:line="252" w:before="0" w:after="0"/>
              <w:jc w:val="start"/>
              <w:rPr>
                <w:rFonts w:eastAsia="ＭＳ 明朝" w:cs=""/>
                <w:kern w:val="0"/>
                <w:szCs w:val="22"/>
                <w:lang w:val="en-US" w:eastAsia="en-US" w:bidi="ar-SA"/>
              </w:rPr>
            </w:pPr>
            <w:r>
              <w:rPr>
                <w:rFonts w:eastAsia="Liberation Serif" w:cs="Liberation Serif"/>
                <w:color w:val="1F2933"/>
                <w:kern w:val="0"/>
                <w:sz w:val="17"/>
                <w:szCs w:val="22"/>
                <w:lang w:val="en-US" w:eastAsia="en-US" w:bidi="ar-SA"/>
              </w:rPr>
              <w:t>Autor kann Argument, Methode, Quelle und Schlussfolgerung erläutern und verteidigen</w:t>
            </w:r>
          </w:p>
        </w:tc>
      </w:tr>
    </w:tbl>
    <w:p>
      <w:pPr>
        <w:pStyle w:val="Normal"/>
        <w:spacing w:before="0" w:after="0"/>
        <w:rPr/>
      </w:pPr>
      <w:r>
        <w:rPr/>
      </w:r>
    </w:p>
    <w:p>
      <w:pPr>
        <w:pStyle w:val="Heading2"/>
        <w:rPr/>
      </w:pPr>
      <w:bookmarkStart w:id="187" w:name="__RefHeading___Toc4713_1712987439"/>
      <w:bookmarkEnd w:id="187"/>
      <w:r>
        <w:rPr/>
        <w:t>Anhang E – Offenes Forschungsprogramm</w:t>
      </w:r>
    </w:p>
    <w:p>
      <w:pPr>
        <w:pStyle w:val="ListBullet"/>
        <w:numPr>
          <w:ilvl w:val="0"/>
          <w:numId w:val="1"/>
        </w:numPr>
        <w:rPr/>
      </w:pPr>
      <w:r>
        <w:rPr/>
        <w:t>Wie verändert sich semantische Grounding-Leistung zwischen E1, E3 und E5?</w:t>
      </w:r>
    </w:p>
    <w:p>
      <w:pPr>
        <w:pStyle w:val="ListBullet"/>
        <w:numPr>
          <w:ilvl w:val="0"/>
          <w:numId w:val="1"/>
        </w:numPr>
        <w:rPr/>
      </w:pPr>
      <w:r>
        <w:rPr/>
        <w:t>Welche Architekturmerkmale bilden modellspezifische LLM-Entwurfsfingerabdrücke?</w:t>
      </w:r>
    </w:p>
    <w:p>
      <w:pPr>
        <w:pStyle w:val="ListBullet"/>
        <w:numPr>
          <w:ilvl w:val="0"/>
          <w:numId w:val="1"/>
        </w:numPr>
        <w:rPr/>
      </w:pPr>
      <w:r>
        <w:rPr/>
        <w:t>Kann ein SNN ohne externe Reize stabile, funktional relevante interne Dynamik entwickeln?</w:t>
      </w:r>
    </w:p>
    <w:p>
      <w:pPr>
        <w:pStyle w:val="ListBullet"/>
        <w:numPr>
          <w:ilvl w:val="0"/>
          <w:numId w:val="1"/>
        </w:numPr>
        <w:rPr/>
      </w:pPr>
      <w:r>
        <w:rPr/>
        <w:t>Welche Rolle spielen Homeostase und Energiezustände für langfristige Präferenzbildung?</w:t>
      </w:r>
    </w:p>
    <w:p>
      <w:pPr>
        <w:pStyle w:val="ListBullet"/>
        <w:numPr>
          <w:ilvl w:val="0"/>
          <w:numId w:val="1"/>
        </w:numPr>
        <w:rPr/>
      </w:pPr>
      <w:r>
        <w:rPr/>
        <w:t>Wie lässt sich nominale von effektiver menschlicher Aufsicht empirisch unterscheiden?</w:t>
      </w:r>
    </w:p>
    <w:p>
      <w:pPr>
        <w:pStyle w:val="ListBullet"/>
        <w:numPr>
          <w:ilvl w:val="0"/>
          <w:numId w:val="1"/>
        </w:numPr>
        <w:rPr/>
      </w:pPr>
      <w:r>
        <w:rPr/>
        <w:t>Ab welchem G-Level muss ein unabhängiger institutioneller Validator zwingend werden?</w:t>
      </w:r>
    </w:p>
    <w:p>
      <w:pPr>
        <w:pStyle w:val="ListBullet"/>
        <w:numPr>
          <w:ilvl w:val="0"/>
          <w:numId w:val="1"/>
        </w:numPr>
        <w:rPr/>
      </w:pPr>
      <w:r>
        <w:rPr/>
        <w:t>Wie verändert virtuelle Verkörperung die Generalisierung gegenüber reinem Texttraining?</w:t>
      </w:r>
    </w:p>
    <w:p>
      <w:pPr>
        <w:pStyle w:val="ListBullet"/>
        <w:numPr>
          <w:ilvl w:val="0"/>
          <w:numId w:val="1"/>
        </w:numPr>
        <w:rPr/>
      </w:pPr>
      <w:r>
        <w:rPr/>
        <w:t>Kann eine normative Regelhierarchie technisch gegen Selbstmodifikation geschützt werden?</w:t>
      </w:r>
    </w:p>
    <w:p>
      <w:pPr>
        <w:pStyle w:val="ListBullet"/>
        <w:numPr>
          <w:ilvl w:val="0"/>
          <w:numId w:val="1"/>
        </w:numPr>
        <w:rPr/>
      </w:pPr>
      <w:r>
        <w:rPr/>
        <w:t>Welche Formen verteilten Verstehens genügen für wissenschaftliche Verantwortung?</w:t>
      </w:r>
    </w:p>
    <w:p>
      <w:pPr>
        <w:pStyle w:val="ListBullet"/>
        <w:numPr>
          <w:ilvl w:val="0"/>
          <w:numId w:val="1"/>
        </w:numPr>
        <w:rPr/>
      </w:pPr>
      <w:r>
        <w:rPr/>
        <w:t>Wann wird ein KI-gestützter Forscher funktional Teil eines hybriden Erkenntnissystems?</w:t>
      </w:r>
    </w:p>
    <w:p>
      <w:pPr>
        <w:pStyle w:val="ListBullet"/>
        <w:numPr>
          <w:ilvl w:val="0"/>
          <w:numId w:val="1"/>
        </w:numPr>
        <w:rPr/>
      </w:pPr>
      <w:r>
        <w:rPr/>
        <w:t>Welche Kriterien rechtfertigen vorsorgliche moralische Berücksichtigung bei Unsicherheit über Empfindungsfähigkeit?</w:t>
      </w:r>
    </w:p>
    <w:p>
      <w:pPr>
        <w:pStyle w:val="ListBullet"/>
        <w:numPr>
          <w:ilvl w:val="0"/>
          <w:numId w:val="1"/>
        </w:numPr>
        <w:spacing w:before="0" w:after="100"/>
        <w:contextualSpacing/>
        <w:rPr/>
      </w:pPr>
      <w:r>
        <w:rPr/>
        <w:t>Welche Rechtsrollen müssen an Hoheitsrechte statt an traditionelle Herstellerbegriffe gekoppelt werden?</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296" w:right="1181" w:gutter="0" w:header="0" w:top="1123" w:footer="504"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rlito">
    <w:altName w:val="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Liberation Sans" w:cs="Liberation Sans" w:ascii="Liberation Sans" w:hAnsi="Liberation Sans"/>
        <w:color w:val="606973"/>
        <w:sz w:val="16"/>
      </w:rPr>
      <w:t xml:space="preserve">KI – Die geliehene Intelligenz und der Verlust von Kontrolle  ·  </w:t>
    </w:r>
    <w:r>
      <w:rPr/>
      <w:fldChar w:fldCharType="begin"/>
    </w:r>
    <w:r>
      <w:rPr/>
      <w:instrText xml:space="preserve"> PAGE </w:instrText>
    </w:r>
    <w:r>
      <w:rPr/>
      <w:fldChar w:fldCharType="separate"/>
    </w:r>
    <w:r>
      <w:rPr/>
      <w:t>78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Liberation Sans" w:cs="Liberation Sans" w:ascii="Liberation Sans" w:hAnsi="Liberation Sans"/>
        <w:color w:val="606973"/>
        <w:sz w:val="16"/>
      </w:rPr>
      <w:t xml:space="preserve">KI – Die geliehene Intelligenz und der Verlust von Kontrolle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83" w:before="0" w:after="100"/>
      <w:jc w:val="both"/>
    </w:pPr>
    <w:rPr>
      <w:rFonts w:ascii="Liberation Serif" w:hAnsi="Liberation Serif"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360" w:after="200"/>
      <w:outlineLvl w:val="0"/>
    </w:pPr>
    <w:rPr>
      <w:rFonts w:ascii="Calibri" w:hAnsi="Calibri" w:eastAsia="" w:cs="" w:asciiTheme="majorHAnsi" w:cstheme="majorBidi" w:eastAsiaTheme="majorEastAsia" w:hAnsiTheme="majorHAnsi"/>
      <w:b/>
      <w:bCs/>
      <w:color w:val="16324F"/>
      <w:sz w:val="36"/>
      <w:szCs w:val="28"/>
    </w:rPr>
  </w:style>
  <w:style w:type="paragraph" w:styleId="Heading2">
    <w:name w:val="heading 2"/>
    <w:basedOn w:val="Normal"/>
    <w:next w:val="Normal"/>
    <w:link w:val="Heading2Char"/>
    <w:uiPriority w:val="9"/>
    <w:unhideWhenUsed/>
    <w:qFormat/>
    <w:rsid w:val="00fc693f"/>
    <w:pPr>
      <w:keepNext w:val="true"/>
      <w:keepLines/>
      <w:spacing w:before="320" w:after="160"/>
      <w:outlineLvl w:val="1"/>
    </w:pPr>
    <w:rPr>
      <w:rFonts w:ascii="Calibri" w:hAnsi="Calibri" w:eastAsia="" w:cs="" w:asciiTheme="majorHAnsi" w:cstheme="majorBidi" w:eastAsiaTheme="majorEastAsia" w:hAnsiTheme="majorHAnsi"/>
      <w:b/>
      <w:bCs/>
      <w:color w:val="16324F"/>
      <w:sz w:val="30"/>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 w:cs="" w:asciiTheme="majorHAnsi" w:cstheme="majorBidi" w:eastAsiaTheme="majorEastAsia" w:hAnsiTheme="majorHAnsi"/>
      <w:b/>
      <w:bCs/>
      <w:color w:val="2E6F73"/>
      <w:sz w:val="25"/>
    </w:rPr>
  </w:style>
  <w:style w:type="paragraph" w:styleId="Heading4">
    <w:name w:val="heading 4"/>
    <w:basedOn w:val="Normal"/>
    <w:next w:val="Normal"/>
    <w:link w:val="Heading4Char"/>
    <w:uiPriority w:val="9"/>
    <w:semiHidden/>
    <w:unhideWhenUsed/>
    <w:qFormat/>
    <w:rsid w:val="00fc693f"/>
    <w:pPr>
      <w:keepNext w:val="true"/>
      <w:keepLines/>
      <w:spacing w:before="180" w:after="80"/>
      <w:outlineLvl w:val="3"/>
    </w:pPr>
    <w:rPr>
      <w:rFonts w:ascii="Calibri" w:hAnsi="Calibri" w:eastAsia="" w:cs="" w:asciiTheme="majorHAnsi" w:cstheme="majorBidi" w:eastAsiaTheme="majorEastAsia" w:hAnsiTheme="majorHAnsi"/>
      <w:b/>
      <w:bCs/>
      <w:i/>
      <w:iCs/>
      <w:color w:val="8B6B1F"/>
      <w:sz w:val="23"/>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keepNext w:val="false"/>
      <w:spacing w:lineRule="auto" w:line="240" w:before="40" w:after="160"/>
    </w:pPr>
    <w:rPr>
      <w:rFonts w:ascii="Liberation Sans" w:hAnsi="Liberation Sans"/>
      <w:b/>
      <w:bCs/>
      <w:i/>
      <w:color w:val="606973"/>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16324F"/>
      <w:spacing w:val="5"/>
      <w:kern w:val="2"/>
      <w:sz w:val="52"/>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2E6F73"/>
      <w:spacing w:val="15"/>
      <w:sz w:val="28"/>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QuoteBlock" w:customStyle="1">
    <w:name w:val="QuoteBlock"/>
    <w:basedOn w:val="Normal"/>
    <w:qFormat/>
    <w:pPr>
      <w:spacing w:before="140" w:after="140"/>
      <w:ind w:start="504" w:end="360"/>
    </w:pPr>
    <w:rPr>
      <w:rFonts w:ascii="Liberation Serif" w:hAnsi="Liberation Serif"/>
      <w:i/>
      <w:color w:val="16324F"/>
      <w:sz w:val="21"/>
    </w:rPr>
  </w:style>
  <w:style w:type="paragraph" w:styleId="Equation" w:customStyle="1">
    <w:name w:val="Equation"/>
    <w:basedOn w:val="Normal"/>
    <w:qFormat/>
    <w:pPr>
      <w:spacing w:before="120" w:after="120"/>
      <w:jc w:val="center"/>
    </w:pPr>
    <w:rPr>
      <w:rFonts w:ascii="Liberation Serif" w:hAnsi="Liberation Serif"/>
      <w:i/>
      <w:color w:val="16324F"/>
      <w:sz w:val="23"/>
    </w:rPr>
  </w:style>
  <w:style w:type="paragraph" w:styleId="TableCaption" w:customStyle="1">
    <w:name w:val="Table Caption"/>
    <w:basedOn w:val="Caption"/>
    <w:qFormat/>
    <w:pPr>
      <w:spacing w:before="160" w:after="60"/>
    </w:pPr>
    <w:rPr>
      <w:b/>
      <w:color w:val="16324F"/>
    </w:rPr>
  </w:style>
  <w:style w:type="paragraph" w:styleId="Reference" w:customStyle="1">
    <w:name w:val="Reference"/>
    <w:basedOn w:val="Normal"/>
    <w:qFormat/>
    <w:pPr>
      <w:spacing w:lineRule="auto" w:line="252" w:before="0" w:after="60"/>
      <w:ind w:hanging="360" w:start="360"/>
    </w:pPr>
    <w:rPr>
      <w:sz w:val="19"/>
    </w:rPr>
  </w:style>
  <w:style w:type="paragraph" w:styleId="Small" w:customStyle="1">
    <w:name w:val="Small"/>
    <w:basedOn w:val="Normal"/>
    <w:qFormat/>
    <w:pPr>
      <w:spacing w:before="0" w:after="80"/>
      <w:jc w:val="center"/>
    </w:pPr>
    <w:rPr>
      <w:rFonts w:ascii="Liberation Sans" w:hAnsi="Liberation Sans"/>
      <w:color w:val="606973"/>
      <w:sz w:val="18"/>
    </w:rPr>
  </w:style>
  <w:style w:type="paragraph" w:styleId="Epigraph" w:customStyle="1">
    <w:name w:val="Epigraph"/>
    <w:basedOn w:val="Normal"/>
    <w:qFormat/>
    <w:pPr>
      <w:ind w:start="720" w:end="720"/>
      <w:jc w:val="center"/>
    </w:pPr>
    <w:rPr>
      <w:i/>
      <w:color w:val="2E6F73"/>
      <w:sz w:val="22"/>
    </w:rPr>
  </w:style>
  <w:style w:type="paragraph" w:styleId="TOC1">
    <w:name w:val="toc 1"/>
    <w:basedOn w:val="Index"/>
    <w:pPr>
      <w:tabs>
        <w:tab w:val="clear" w:pos="720"/>
        <w:tab w:val="right" w:pos="9763" w:leader="dot"/>
      </w:tabs>
      <w:ind w:hanging="0" w:start="0"/>
    </w:pPr>
    <w:rPr/>
  </w:style>
  <w:style w:type="paragraph" w:styleId="TOC3">
    <w:name w:val="toc 3"/>
    <w:basedOn w:val="Index"/>
    <w:pPr>
      <w:tabs>
        <w:tab w:val="clear" w:pos="720"/>
        <w:tab w:val="right" w:pos="9196" w:leader="dot"/>
      </w:tabs>
      <w:ind w:hanging="0" w:start="567"/>
    </w:pPr>
    <w:rPr/>
  </w:style>
  <w:style w:type="paragraph" w:styleId="TOC2">
    <w:name w:val="toc 2"/>
    <w:basedOn w:val="Index"/>
    <w:pPr>
      <w:tabs>
        <w:tab w:val="clear" w:pos="720"/>
        <w:tab w:val="right" w:pos="9480"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78</Pages>
  <Words>21465</Words>
  <Characters>163496</Characters>
  <CharactersWithSpaces>183443</CharactersWithSpaces>
  <Paragraphs>1446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Heisig</dc:creator>
  <dc:description>Konsolidierte wissenschaftliche Dissertationsbasis; automatisches Inhaltsverzeichnis; keine Erhebung an menschlichen Probandengruppen.</dc:description>
  <cp:keywords>Künstliche Intelligenz geliehene Intelligenz Embodiment Grounding rekursive Technogenese Kontrolle Autorenschaft Ethik Recht Brain-5D</cp:keywords>
  <dc:language>en-US</dc:language>
  <cp:lastModifiedBy/>
  <dcterms:modified xsi:type="dcterms:W3CDTF">2026-08-21T16:06:13Z</dcterms:modified>
  <cp:revision>2</cp:revision>
  <dc:subject>Dissertationsbasis zu epistemischer Genealogie, Embodiment, rekursiver Technogenese, Autorenschaft, Kontrolle, Ethik und Recht</dc:subject>
  <dc:title>KI – Die geliehene Intelligenz und der Verlust von Kontrolle</dc:title>
</cp:coreProperties>
</file>

<file path=docProps/custom.xml><?xml version="1.0" encoding="utf-8"?>
<Properties xmlns="http://schemas.openxmlformats.org/officeDocument/2006/custom-properties" xmlns:vt="http://schemas.openxmlformats.org/officeDocument/2006/docPropsVTypes"/>
</file>