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ki---die-geliehene-intelligenz"/>
    <w:p>
      <w:pPr>
        <w:pStyle w:val="Title"/>
        <w:pageBreakBefore w:val="0"/>
        <w:spacing w:before="760" w:after="360"/>
      </w:pPr>
      <w:r>
        <w:rPr>
          <w:rFonts w:ascii="Liberation Sans" w:hAnsi="Liberation Sans"/>
          <w:b/>
          <w:color w:val="203B4B"/>
          <w:sz w:val="58"/>
        </w:rPr>
        <w:t xml:space="preserve">KI - Die geliehene Intelligenz</w:t>
      </w:r>
    </w:p>
    <w:bookmarkStart w:id="21" w:name="wissenschaftliche-abhandlung"/>
    <w:p>
      <w:pPr>
        <w:pStyle w:val="Subtitle"/>
        <w:spacing w:after="320"/>
        <w:jc w:val="left"/>
      </w:pPr>
      <w:r>
        <w:rPr>
          <w:rFonts w:ascii="Liberation Sans" w:hAnsi="Liberation Sans"/>
          <w:b w:val="0"/>
          <w:i w:val="0"/>
          <w:color w:val="203B4B"/>
          <w:sz w:val="36"/>
        </w:rPr>
        <w:t xml:space="preserve">Wissenschaftliche Abhandlung</w:t>
      </w:r>
    </w:p>
    <w:bookmarkStart w:id="20" w:name="X6b57fc97423bf1e892e602b329917c4d698e7d3"/>
    <w:p>
      <w:pPr>
        <w:pStyle w:val="Subtitle"/>
        <w:spacing w:after="440"/>
        <w:jc w:val="left"/>
      </w:pPr>
      <w:r>
        <w:rPr>
          <w:rFonts w:ascii="Liberation Serif" w:hAnsi="Liberation Serif"/>
          <w:i/>
          <w:color w:val="425B6A"/>
          <w:sz w:val="30"/>
        </w:rPr>
        <w:t xml:space="preserve">Epistemische Genealogie, rekursive Technogenese, nichtorganisches Embodiment und evidenzgebundene Kontrolle</w:t>
      </w:r>
    </w:p>
    <w:p>
      <w:pPr>
        <w:pStyle w:val="FirstParagraph"/>
        <w:spacing w:after="240"/>
        <w:jc w:val="left"/>
      </w:pPr>
      <w:r>
        <w:rPr>
          <w:b/>
          <w:bCs/>
        </w:rPr>
        <w:t xml:space="preserve">Thomas Heisig</w:t>
      </w:r>
      <w:r>
        <w:br/>
      </w:r>
      <w:r>
        <w:t xml:space="preserve">Brain-5D | Interdisziplinäre Gesamtsynthese | Fassung 1.0</w:t>
      </w:r>
      <w:r>
        <w:br/>
      </w:r>
      <w:r>
        <w:t xml:space="preserve">Stand: 7. September 2026</w:t>
      </w:r>
    </w:p>
    <w:p>
      <w:pPr>
        <w:pStyle w:val="BodyText"/>
        <w:spacing w:after="240"/>
        <w:jc w:val="left"/>
      </w:pPr>
      <w:r>
        <w:t xml:space="preserve">Diese Abhandlung verbindet die Theorie geliehener Intelligenz mit einer technischen Forschungsarchitektur und deren dokumentierten Ergebnissen. Sie untersucht die Beziehungen zwischen menschlicher und maschineller Erkenntnis, neuronaler Selbstorganisation, Verkörperung, Autorenschaft, Kontrolle, Verantwortung und möglichen künftigen Intelligenzordnungen.</w:t>
      </w:r>
    </w:p>
    <w:p>
      <w:pPr>
        <w:pStyle w:val="BodyText"/>
        <w:spacing w:after="240"/>
        <w:jc w:val="left"/>
      </w:pPr>
      <w:r>
        <w:rPr>
          <w:b/>
          <w:bCs/>
        </w:rPr>
        <w:t xml:space="preserve">Zentrale Position:</w:t>
      </w:r>
      <w:r>
        <w:t xml:space="preserve"> </w:t>
      </w:r>
      <w:r>
        <w:t xml:space="preserve">Nicht die äußere Erscheinung oder die sprachliche Ueberzeugungskraft entscheidet über eine Fähigkeit, sondern ihr kausal identifizierbarer Träger, ihr nachgewiesener Geltungsbereich und ihre unabhängige Prüfbarkeit.</w:t>
      </w:r>
    </w:p>
    <w:p>
      <w:pPr>
        <w:pStyle w:val="BodyText"/>
        <w:spacing w:after="240"/>
        <w:jc w:val="left"/>
      </w:pPr>
      <w:r>
        <w:rPr>
          <w:b/>
          <w:bCs/>
        </w:rPr>
        <w:t xml:space="preserve">Wissenschaftliche Einordnung:</w:t>
      </w:r>
      <w:r>
        <w:t xml:space="preserve"> </w:t>
      </w:r>
      <w:r>
        <w:t xml:space="preserve">theoretische Synthese mit artefaktbasierter Sekundärauswertung; keine neue Humanstudie, keine eigenständige Replikation der referierten Simulationen und keine automatische Evidenzfreigabe.</w:t>
      </w:r>
    </w:p>
    <w:bookmarkEnd w:id="20"/>
    <w:bookmarkEnd w:id="21"/>
    <w:bookmarkEnd w:id="22"/>
    <w:bookmarkStart w:id="23" w:name="zusammenfassung"/>
    <w:p>
      <w:bookmarkStart w:id="10001" w:name="B5D_H001"/>
      <w:pPr>
        <w:pStyle w:val="Heading1"/>
      </w:pPr>
      <w:r>
        <w:t xml:space="preserve">Zusammenfassung</w:t>
      </w:r>
      <w:bookmarkEnd w:id="10001"/>
    </w:p>
    <w:p>
      <w:pPr>
        <w:pStyle w:val="FirstParagraph"/>
      </w:pPr>
      <w:r>
        <w:t xml:space="preserve">Die Abhandlung entwickelt eine gemeinsame Perspektive auf drei Probleme, die meist getrennt untersucht werden: die epistemische Herkunft künstlicher Intelligenz, die Ausbildung intern getragener Zustände in einem plastischen neuronalen System und die Wirksamkeit menschlicher Kontrolle über dessen Entstehung, Betrieb und Interpretation. Ihr Ausgangspunkt ist weder die Gleichsetzung heutiger KI mit einem bewussten Subjekt noch die Reduktion aller maschinellen Leistungen auf bedeutungslose Wiederholung. Untersucht wird vielmehr, wie aus übernommenen Wissensbeständen, technischen Entwurfsprozessen, lokalen Lernregeln, Umweltinteraktionen und institutionellen Freigaben eine verteilte Erkenntnisordnung entstehen kann.</w:t>
      </w:r>
    </w:p>
    <w:p>
      <w:pPr>
        <w:pStyle w:val="BodyText"/>
      </w:pPr>
      <w:r>
        <w:t xml:space="preserve">Die begriffliche Ebene trennt Intelligenz, Bewusstsein, Empfindungsfähigkeit, funktionale Agency, normative Autonomie und Existenzautonomie. Geliehene Intelligenz bezeichnet eine genealogische Beziehung, keine Minderwertigkeit und keinen rechtlichen Eigentumstitel. Rekursive Technogenese bezeichnet die maschinelle Mitwirkung an der Erzeugung nachfolgender technischer Systeme. Menschliche Beteiligung kann sich dabei vom unmittelbaren Detailentwurf zur Zielsetzung, Bewertung, Ressourcenhoheit, Freigabe und Revision verlagern. Kontrolle wird deshalb als situations-, zeit- und institutionsabhängige Relation behandelt, nicht als einzelne Abschaltfunktion.</w:t>
      </w:r>
    </w:p>
    <w:p>
      <w:pPr>
        <w:pStyle w:val="BodyText"/>
      </w:pPr>
      <w:r>
        <w:t xml:space="preserve">Die technische Ebene rekonstruiert Brain-5D als hybrides dynamisches Forschungsmodell aus einem logisch fünfdimensional adressierten Spiking Neural Network, lokaler und modulatorischer Plastizität, Homöostase, struktureller Anpassung, Persistenz und kontrollierten Sensor-Aktor-Schnittstellen. Der neuronale Kern ist vom optionalen Language Organ sowie von Retrieval, externen Modellen und realen Aktoren kausal zu unterscheiden. Fünf Koordinatendimensionen sind eine zu prüfende Architekturentscheidung; sie haben keinen begrifflich notwendigen Zusammenhang mit dem ebenfalls fünffach gegliederten philosophischen Beschreibungsvektor für Intelligenz.</w:t>
      </w:r>
    </w:p>
    <w:p>
      <w:pPr>
        <w:pStyle w:val="BodyText"/>
      </w:pPr>
      <w:r>
        <w:t xml:space="preserve">Die Ergebnisanalyse berücksichtigt historische Instrumentierungsgrenzen, einen explorativen Science-Suite-Lauf, vier spätere Ergebnislinien sowie registrierte technische Nachweise für Restore-Determinismus und Speicher-Roundtrips. Im kontrollierten Rekurrenzvergleich stehen 3 Spikes ohne Rückkopplung 33 Spikes mit Rückkopplung gegenüber, bei unverändert drei aktivierten Neuronen. Das ist ein enger dynamischer Befund, kein Nachweis von Gedächtnis. Ein Vorläuferscreen mit durchgängigem Aufgabenerfolg beantwortet die Frage nach katastrophalem Vergessen in einem gemeinsam weitertrainierten Netzwerk nicht. Ein Stabilitätslauf besitzt neben Dirty-Tree-Provenienz eine widersprüchliche semantische Freigabeklassifikation. Bereits vorhandene EVID-Einträge zur Speicherung und zum Restore beruhen auf technischen Tests; ihr Status darf nicht auf allgemeine Kognition oder große Netzwerkskalen übertragen werden.</w:t>
      </w:r>
    </w:p>
    <w:p>
      <w:pPr>
        <w:pStyle w:val="BodyText"/>
      </w:pPr>
      <w:r>
        <w:t xml:space="preserve">Als Synthese wird ein Forschungsprogramm formuliert, das experimentelle Einheiten, Beobachtbarkeit, echte Initialisierungsvariation, Komponentenablation, Holdout-Prüfung, Sensorverlust, modalitätsspezifische Ressourcenverteilung und provenance-erhaltende Kompaktierung verbindet. Neue Vorschläge bleiben gesondert gekennzeichnet. Die normative Analyse reicht von menschlicher Aufsicht und rechtlicher Zurechnung bis zu konditionalen Fragen nichtmenschlichen moralischen Status und menschenarmer Zukunftsordnungen. Die Arbeit liefert keine abschließende Ontologie künstlicher Intelligenz, sondern ein erweiterbares Instrumentarium, mit dem technische Resultate, philosophische Argumente und normative Entscheidungen verbunden werden können, ohne ihre unterschiedlichen Beweislasten zu verwischen.</w:t>
      </w:r>
    </w:p>
    <w:p>
      <w:pPr>
        <w:pStyle w:val="BodyText"/>
      </w:pPr>
      <w:r>
        <w:rPr>
          <w:b/>
          <w:bCs/>
        </w:rPr>
        <w:t xml:space="preserve">Schlüsselbegriffe:</w:t>
      </w:r>
      <w:r>
        <w:t xml:space="preserve"> </w:t>
      </w:r>
      <w:r>
        <w:t xml:space="preserve">geliehene Intelligenz; rekursive Technogenese; Spiking Neural Networks; Embodiment; Homöostase; kausale Attribution; menschliche Aufsicht; Provenienz; wissenschaftliche Integrität; Brain-5D.</w:t>
      </w:r>
    </w:p>
    <w:bookmarkEnd w:id="23"/>
    <w:bookmarkStart w:id="24" w:name="abstract"/>
    <w:p>
      <w:bookmarkStart w:id="10002" w:name="B5D_H002"/>
      <w:pPr>
        <w:pStyle w:val="Heading1"/>
      </w:pPr>
      <w:r>
        <w:t xml:space="preserve">Abstract</w:t>
      </w:r>
      <w:bookmarkEnd w:id="10002"/>
    </w:p>
    <w:p>
      <w:pPr>
        <w:pStyle w:val="FirstParagraph"/>
      </w:pPr>
      <w:r>
        <w:t xml:space="preserve">This scientific treatise integrates the epistemic genealogy of artificial intelligence, the technical architecture of a plastic spiking system, and the practical conditions of human control. Borrowed intelligence denotes a relation of epistemic descent rather than a denial of novelty. Recursive technogenesis denotes machine participation in the construction and selection of subsequent technical systems. The analysis separates functional agency, consciousness, moral status, normative autonomy, and infrastructural independence.</w:t>
      </w:r>
    </w:p>
    <w:p>
      <w:pPr>
        <w:pStyle w:val="BodyText"/>
      </w:pPr>
      <w:r>
        <w:t xml:space="preserve">Brain-5D is treated as a bounded research platform, not as evidence for general artificial intelligence. Its five-dimensional neural address space is an architectural hypothesis and is distinct from the five-axis philosophical description of intelligence. The empirical synthesis examines documented recurrence, stability, interference-screening, diagnostic-suite, storage, and restore results. Reported effects are retained together with their limitations: dirty-source provenance, pending review, a semantic-status conflict, unresolved independence of initialization, and restricted task scope. Technical test success, descriptive experimental data, accepted registry evidence, and philosophical interpretation remain separate categories.</w:t>
      </w:r>
    </w:p>
    <w:p>
      <w:pPr>
        <w:pStyle w:val="BodyText"/>
      </w:pPr>
      <w:r>
        <w:t xml:space="preserve">The proposed research program combines causal component isolation, preregistered comparisons, held-out evaluation, nonanthropomorphic embodiment, modality-specific gateways, resource-aware adaptation, and provenance-preserving data compaction. Its broader argument is that increasing delegated competence need not remove human responsibility, but it raises the requirements for meaningful review, intervention, reproducibility, and institutional accountability.</w:t>
      </w:r>
    </w:p>
    <w:bookmarkEnd w:id="24"/>
    <w:bookmarkStart w:id="25" w:name="leseweg-und-orientierung"/>
    <w:p>
      <w:bookmarkStart w:id="10003" w:name="B5D_H003"/>
      <w:pPr>
        <w:pStyle w:val="Heading1"/>
      </w:pPr>
      <w:r>
        <w:t xml:space="preserve">Leseweg und Orientierung</w:t>
      </w:r>
      <w:bookmarkEnd w:id="10003"/>
    </w:p>
    <w:p>
      <w:pPr>
        <w:pStyle w:val="FirstParagraph"/>
      </w:pPr>
      <w:r>
        <w:t xml:space="preserve">Die Kapitel 1 bis 12 entwickeln Forschungsproblem, Genealogie, Begriffe, Embodiment, Ethik und Recht. Kapitel 13 bis 21 entfalten das technische Framework mit seinen mathematischen Annahmen. Kapitel 22 bis 25 werten dokumentierte technische Nachweise und Versuchsberichte aus. Kapitel 26 bis 28 verbinden nichtmenschliches Embodiment, MSBA und die Datenarchitektur. Kapitel 29 bis 32 operationalisieren die Fragen in Protokollen und Roadmaps. Kapitel 33 bis 36 diskutieren Gesellschaft, Zukunft, Gegenpositionen und die gemeinsame Schlussposition.</w:t>
      </w:r>
    </w:p>
    <w:p>
      <w:pPr>
        <w:pStyle w:val="BodyText"/>
      </w:pPr>
      <w:r>
        <w:t xml:space="preserve">Im Anhang stehen Datenverträge, die vollständige Zuordnung der hier erfassten 48 kanonischen Forschungsfragen, Antworten auf F1 bis F24, Quellenkontrolle und Literatur. Die Buchstaben K, R und W kennzeichnen Manuskripte, Repository-Artefakte und gezielt extern geprüfte Quellen. Autor-Jahr-Nachweise im übernommenen Fachtext werden durch das Gesamtverzeichnis aufgelöst. Neue Ableitungen sind als Synthese oder Vorschlag formuliert.</w:t>
      </w:r>
    </w:p>
    <w:p>
      <w:pPr>
        <w:pStyle w:val="BodyText"/>
      </w:pPr>
      <w:r>
        <w:t xml:space="preserve">E0 bezeichnet eine Spezifikation oder Hypothese, E1 einen technischen Implementierungsnachweis, E2 einen kontrollierten funktionalen Effekt und E3 robuste systemische Gültigkeit. Ein grüner Softwaretest ist nicht automatisch E2. Ein erfolgreicher Run ist nicht automatisch freigegebene Evidenz. Ein aussagekräftiger negativer Befund ist wissenschaftlich wertvoll.</w:t>
      </w:r>
    </w:p>
    <w:bookmarkEnd w:id="25"/>
    <w:bookmarkStart w:id="26" w:name="inhaltsverzeichnis"/>
    <w:p>
      <w:pPr>
        <w:pStyle w:val="Heading1"/>
      </w:pPr>
      <w:r>
        <w:t xml:space="preserve">Inhaltsverzeichnis</w:t>
      </w:r>
    </w:p>
    <w:p>
      <w:pPr>
        <w:pStyle w:val="B5DContents"/>
      </w:pPr>
      <w:hyperlink w:anchor="B5D_H004" w:history="1">
        <w:r>
          <w:rPr>
            <w:color w:val="203B4B"/>
          </w:rPr>
          <w:t>1. Erkenntnisinteresse, Gegenstand und Grenzen</w:t>
        </w:r>
      </w:hyperlink>
      <w:r>
        <w:tab/>
      </w:r>
      <w:r>
        <w:fldChar w:fldCharType="begin"/>
      </w:r>
      <w:r>
        <w:instrText xml:space="preserve"> PAGEREF B5D_H004 \h </w:instrText>
      </w:r>
      <w:r>
        <w:fldChar w:fldCharType="separate"/>
      </w:r>
      <w:r>
        <w:t>6</w:t>
      </w:r>
      <w:r>
        <w:fldChar w:fldCharType="end"/>
      </w:r>
    </w:p>
    <w:p>
      <w:pPr>
        <w:pStyle w:val="B5DContents"/>
      </w:pPr>
      <w:hyperlink w:anchor="B5D_H005" w:history="1">
        <w:r>
          <w:rPr>
            <w:color w:val="203B4B"/>
          </w:rPr>
          <w:t>2. Methodologie und Evidenzordnung</w:t>
        </w:r>
      </w:hyperlink>
      <w:r>
        <w:tab/>
      </w:r>
      <w:r>
        <w:fldChar w:fldCharType="begin"/>
      </w:r>
      <w:r>
        <w:instrText xml:space="preserve"> PAGEREF B5D_H005 \h </w:instrText>
      </w:r>
      <w:r>
        <w:fldChar w:fldCharType="separate"/>
      </w:r>
      <w:r>
        <w:t>11</w:t>
      </w:r>
      <w:r>
        <w:fldChar w:fldCharType="end"/>
      </w:r>
    </w:p>
    <w:p>
      <w:pPr>
        <w:pStyle w:val="B5DContents"/>
      </w:pPr>
      <w:hyperlink w:anchor="B5D_H006" w:history="1">
        <w:r>
          <w:rPr>
            <w:color w:val="203B4B"/>
          </w:rPr>
          <w:t>3. Forschungsfragen, Hypothesen und Gegenhypothesen</w:t>
        </w:r>
      </w:hyperlink>
      <w:r>
        <w:tab/>
      </w:r>
      <w:r>
        <w:fldChar w:fldCharType="begin"/>
      </w:r>
      <w:r>
        <w:instrText xml:space="preserve"> PAGEREF B5D_H006 \h </w:instrText>
      </w:r>
      <w:r>
        <w:fldChar w:fldCharType="separate"/>
      </w:r>
      <w:r>
        <w:t>17</w:t>
      </w:r>
      <w:r>
        <w:fldChar w:fldCharType="end"/>
      </w:r>
    </w:p>
    <w:p>
      <w:pPr>
        <w:pStyle w:val="B5DContents"/>
      </w:pPr>
      <w:hyperlink w:anchor="B5D_H007" w:history="1">
        <w:r>
          <w:rPr>
            <w:color w:val="203B4B"/>
          </w:rPr>
          <w:t>4. Genealogie künstlicher Agency</w:t>
        </w:r>
      </w:hyperlink>
      <w:r>
        <w:tab/>
      </w:r>
      <w:r>
        <w:fldChar w:fldCharType="begin"/>
      </w:r>
      <w:r>
        <w:instrText xml:space="preserve"> PAGEREF B5D_H007 \h </w:instrText>
      </w:r>
      <w:r>
        <w:fldChar w:fldCharType="separate"/>
      </w:r>
      <w:r>
        <w:t>20</w:t>
      </w:r>
      <w:r>
        <w:fldChar w:fldCharType="end"/>
      </w:r>
    </w:p>
    <w:p>
      <w:pPr>
        <w:pStyle w:val="B5DContents"/>
      </w:pPr>
      <w:hyperlink w:anchor="B5D_H008" w:history="1">
        <w:r>
          <w:rPr>
            <w:color w:val="203B4B"/>
          </w:rPr>
          <w:t>5. Gegenwart: Forschung und Entwurf durch KI</w:t>
        </w:r>
      </w:hyperlink>
      <w:r>
        <w:tab/>
      </w:r>
      <w:r>
        <w:fldChar w:fldCharType="begin"/>
      </w:r>
      <w:r>
        <w:instrText xml:space="preserve"> PAGEREF B5D_H008 \h </w:instrText>
      </w:r>
      <w:r>
        <w:fldChar w:fldCharType="separate"/>
      </w:r>
      <w:r>
        <w:t>25</w:t>
      </w:r>
      <w:r>
        <w:fldChar w:fldCharType="end"/>
      </w:r>
    </w:p>
    <w:p>
      <w:pPr>
        <w:pStyle w:val="B5DContents"/>
      </w:pPr>
      <w:hyperlink w:anchor="B5D_H009" w:history="1">
        <w:r>
          <w:rPr>
            <w:color w:val="203B4B"/>
          </w:rPr>
          <w:t>6. Geliehene Intelligenz und rekursive Technogenese</w:t>
        </w:r>
      </w:hyperlink>
      <w:r>
        <w:tab/>
      </w:r>
      <w:r>
        <w:fldChar w:fldCharType="begin"/>
      </w:r>
      <w:r>
        <w:instrText xml:space="preserve"> PAGEREF B5D_H009 \h </w:instrText>
      </w:r>
      <w:r>
        <w:fldChar w:fldCharType="separate"/>
      </w:r>
      <w:r>
        <w:t>28</w:t>
      </w:r>
      <w:r>
        <w:fldChar w:fldCharType="end"/>
      </w:r>
    </w:p>
    <w:p>
      <w:pPr>
        <w:pStyle w:val="B5DContents"/>
      </w:pPr>
      <w:hyperlink w:anchor="B5D_H010" w:history="1">
        <w:r>
          <w:rPr>
            <w:color w:val="203B4B"/>
          </w:rPr>
          <w:t>7. Menschliche Rollen und verteilte Autorenschaft</w:t>
        </w:r>
      </w:hyperlink>
      <w:r>
        <w:tab/>
      </w:r>
      <w:r>
        <w:fldChar w:fldCharType="begin"/>
      </w:r>
      <w:r>
        <w:instrText xml:space="preserve"> PAGEREF B5D_H010 \h </w:instrText>
      </w:r>
      <w:r>
        <w:fldChar w:fldCharType="separate"/>
      </w:r>
      <w:r>
        <w:t>30</w:t>
      </w:r>
      <w:r>
        <w:fldChar w:fldCharType="end"/>
      </w:r>
    </w:p>
    <w:p>
      <w:pPr>
        <w:pStyle w:val="B5DContents"/>
      </w:pPr>
      <w:hyperlink w:anchor="B5D_H011" w:history="1">
        <w:r>
          <w:rPr>
            <w:color w:val="203B4B"/>
          </w:rPr>
          <w:t>8. Hoheit, Kontrolle und Autonomierisiken</w:t>
        </w:r>
      </w:hyperlink>
      <w:r>
        <w:tab/>
      </w:r>
      <w:r>
        <w:fldChar w:fldCharType="begin"/>
      </w:r>
      <w:r>
        <w:instrText xml:space="preserve"> PAGEREF B5D_H011 \h </w:instrText>
      </w:r>
      <w:r>
        <w:fldChar w:fldCharType="separate"/>
      </w:r>
      <w:r>
        <w:t>32</w:t>
      </w:r>
      <w:r>
        <w:fldChar w:fldCharType="end"/>
      </w:r>
    </w:p>
    <w:p>
      <w:pPr>
        <w:pStyle w:val="B5DContents"/>
      </w:pPr>
      <w:hyperlink w:anchor="B5D_H012" w:history="1">
        <w:r>
          <w:rPr>
            <w:color w:val="203B4B"/>
          </w:rPr>
          <w:t>9. Embodiment und die Frage nach dem Körper</w:t>
        </w:r>
      </w:hyperlink>
      <w:r>
        <w:tab/>
      </w:r>
      <w:r>
        <w:fldChar w:fldCharType="begin"/>
      </w:r>
      <w:r>
        <w:instrText xml:space="preserve"> PAGEREF B5D_H012 \h </w:instrText>
      </w:r>
      <w:r>
        <w:fldChar w:fldCharType="separate"/>
      </w:r>
      <w:r>
        <w:t>36</w:t>
      </w:r>
      <w:r>
        <w:fldChar w:fldCharType="end"/>
      </w:r>
    </w:p>
    <w:p>
      <w:pPr>
        <w:pStyle w:val="B5DContents"/>
      </w:pPr>
      <w:hyperlink w:anchor="B5D_H013" w:history="1">
        <w:r>
          <w:rPr>
            <w:color w:val="203B4B"/>
          </w:rPr>
          <w:t>10. Ethik, philosophische Bezugslinien und moralischer Status</w:t>
        </w:r>
      </w:hyperlink>
      <w:r>
        <w:tab/>
      </w:r>
      <w:r>
        <w:fldChar w:fldCharType="begin"/>
      </w:r>
      <w:r>
        <w:instrText xml:space="preserve"> PAGEREF B5D_H013 \h </w:instrText>
      </w:r>
      <w:r>
        <w:fldChar w:fldCharType="separate"/>
      </w:r>
      <w:r>
        <w:t>40</w:t>
      </w:r>
      <w:r>
        <w:fldChar w:fldCharType="end"/>
      </w:r>
    </w:p>
    <w:p>
      <w:pPr>
        <w:pStyle w:val="B5DContents"/>
      </w:pPr>
      <w:hyperlink w:anchor="B5D_H014" w:history="1">
        <w:r>
          <w:rPr>
            <w:color w:val="203B4B"/>
          </w:rPr>
          <w:t>11. Recht, Governance und zeitliche Anwendbarkeit</w:t>
        </w:r>
      </w:hyperlink>
      <w:r>
        <w:tab/>
      </w:r>
      <w:r>
        <w:fldChar w:fldCharType="begin"/>
      </w:r>
      <w:r>
        <w:instrText xml:space="preserve"> PAGEREF B5D_H014 \h </w:instrText>
      </w:r>
      <w:r>
        <w:fldChar w:fldCharType="separate"/>
      </w:r>
      <w:r>
        <w:t>45</w:t>
      </w:r>
      <w:r>
        <w:fldChar w:fldCharType="end"/>
      </w:r>
    </w:p>
    <w:p>
      <w:pPr>
        <w:pStyle w:val="B5DContents"/>
      </w:pPr>
      <w:hyperlink w:anchor="B5D_H015" w:history="1">
        <w:r>
          <w:rPr>
            <w:color w:val="203B4B"/>
          </w:rPr>
          <w:t>12. Wissenschaftliche Reflexivität und eigene Kontrolle</w:t>
        </w:r>
      </w:hyperlink>
      <w:r>
        <w:tab/>
      </w:r>
      <w:r>
        <w:fldChar w:fldCharType="begin"/>
      </w:r>
      <w:r>
        <w:instrText xml:space="preserve"> PAGEREF B5D_H015 \h </w:instrText>
      </w:r>
      <w:r>
        <w:fldChar w:fldCharType="separate"/>
      </w:r>
      <w:r>
        <w:t>48</w:t>
      </w:r>
      <w:r>
        <w:fldChar w:fldCharType="end"/>
      </w:r>
    </w:p>
    <w:p>
      <w:pPr>
        <w:pStyle w:val="B5DContents"/>
      </w:pPr>
      <w:hyperlink w:anchor="B5D_H016" w:history="1">
        <w:r>
          <w:rPr>
            <w:color w:val="203B4B"/>
          </w:rPr>
          <w:t>13. Brain-5D: Ontologie, Architektur und Sicherheitsgrenzen</w:t>
        </w:r>
      </w:hyperlink>
      <w:r>
        <w:tab/>
      </w:r>
      <w:r>
        <w:fldChar w:fldCharType="begin"/>
      </w:r>
      <w:r>
        <w:instrText xml:space="preserve"> PAGEREF B5D_H016 \h </w:instrText>
      </w:r>
      <w:r>
        <w:fldChar w:fldCharType="separate"/>
      </w:r>
      <w:r>
        <w:t>50</w:t>
      </w:r>
      <w:r>
        <w:fldChar w:fldCharType="end"/>
      </w:r>
    </w:p>
    <w:p>
      <w:pPr>
        <w:pStyle w:val="B5DContents"/>
      </w:pPr>
      <w:hyperlink w:anchor="B5D_H017" w:history="1">
        <w:r>
          <w:rPr>
            <w:color w:val="203B4B"/>
          </w:rPr>
          <w:t>14. Mathematische Annahmen und hybrides Zustandsmodell</w:t>
        </w:r>
      </w:hyperlink>
      <w:r>
        <w:tab/>
      </w:r>
      <w:r>
        <w:fldChar w:fldCharType="begin"/>
      </w:r>
      <w:r>
        <w:instrText xml:space="preserve"> PAGEREF B5D_H017 \h </w:instrText>
      </w:r>
      <w:r>
        <w:fldChar w:fldCharType="separate"/>
      </w:r>
      <w:r>
        <w:t>56</w:t>
      </w:r>
      <w:r>
        <w:fldChar w:fldCharType="end"/>
      </w:r>
    </w:p>
    <w:p>
      <w:pPr>
        <w:pStyle w:val="B5DContents"/>
      </w:pPr>
      <w:hyperlink w:anchor="B5D_H018" w:history="1">
        <w:r>
          <w:rPr>
            <w:color w:val="203B4B"/>
          </w:rPr>
          <w:t>15. Fünfdimensionaler Adressraum und dynamischer Graph</w:t>
        </w:r>
      </w:hyperlink>
      <w:r>
        <w:tab/>
      </w:r>
      <w:r>
        <w:fldChar w:fldCharType="begin"/>
      </w:r>
      <w:r>
        <w:instrText xml:space="preserve"> PAGEREF B5D_H018 \h </w:instrText>
      </w:r>
      <w:r>
        <w:fldChar w:fldCharType="separate"/>
      </w:r>
      <w:r>
        <w:t>59</w:t>
      </w:r>
      <w:r>
        <w:fldChar w:fldCharType="end"/>
      </w:r>
    </w:p>
    <w:p>
      <w:pPr>
        <w:pStyle w:val="B5DContents"/>
      </w:pPr>
      <w:hyperlink w:anchor="B5D_H019" w:history="1">
        <w:r>
          <w:rPr>
            <w:color w:val="203B4B"/>
          </w:rPr>
          <w:t>16. Neuronale Dynamik und synaptische Übertragung</w:t>
        </w:r>
      </w:hyperlink>
      <w:r>
        <w:tab/>
      </w:r>
      <w:r>
        <w:fldChar w:fldCharType="begin"/>
      </w:r>
      <w:r>
        <w:instrText xml:space="preserve"> PAGEREF B5D_H019 \h </w:instrText>
      </w:r>
      <w:r>
        <w:fldChar w:fldCharType="separate"/>
      </w:r>
      <w:r>
        <w:t>63</w:t>
      </w:r>
      <w:r>
        <w:fldChar w:fldCharType="end"/>
      </w:r>
    </w:p>
    <w:p>
      <w:pPr>
        <w:pStyle w:val="B5DContents"/>
      </w:pPr>
      <w:hyperlink w:anchor="B5D_H020" w:history="1">
        <w:r>
          <w:rPr>
            <w:color w:val="203B4B"/>
          </w:rPr>
          <w:t>17. Plastizität, Homeostase und struktureller Wandel</w:t>
        </w:r>
      </w:hyperlink>
      <w:r>
        <w:tab/>
      </w:r>
      <w:r>
        <w:fldChar w:fldCharType="begin"/>
      </w:r>
      <w:r>
        <w:instrText xml:space="preserve"> PAGEREF B5D_H020 \h </w:instrText>
      </w:r>
      <w:r>
        <w:fldChar w:fldCharType="separate"/>
      </w:r>
      <w:r>
        <w:t>65</w:t>
      </w:r>
      <w:r>
        <w:fldChar w:fldCharType="end"/>
      </w:r>
    </w:p>
    <w:p>
      <w:pPr>
        <w:pStyle w:val="B5DContents"/>
      </w:pPr>
      <w:hyperlink w:anchor="B5D_H021" w:history="1">
        <w:r>
          <w:rPr>
            <w:color w:val="203B4B"/>
          </w:rPr>
          <w:t>18. Stabilität, Attraktoren, Emergenz und Kausalität</w:t>
        </w:r>
      </w:hyperlink>
      <w:r>
        <w:tab/>
      </w:r>
      <w:r>
        <w:fldChar w:fldCharType="begin"/>
      </w:r>
      <w:r>
        <w:instrText xml:space="preserve"> PAGEREF B5D_H021 \h </w:instrText>
      </w:r>
      <w:r>
        <w:fldChar w:fldCharType="separate"/>
      </w:r>
      <w:r>
        <w:t>68</w:t>
      </w:r>
      <w:r>
        <w:fldChar w:fldCharType="end"/>
      </w:r>
    </w:p>
    <w:p>
      <w:pPr>
        <w:pStyle w:val="B5DContents"/>
      </w:pPr>
      <w:hyperlink w:anchor="B5D_H022" w:history="1">
        <w:r>
          <w:rPr>
            <w:color w:val="203B4B"/>
          </w:rPr>
          <w:t>19. Repräsentation, Gedächtnis und interne Prädiktion</w:t>
        </w:r>
      </w:hyperlink>
      <w:r>
        <w:tab/>
      </w:r>
      <w:r>
        <w:fldChar w:fldCharType="begin"/>
      </w:r>
      <w:r>
        <w:instrText xml:space="preserve"> PAGEREF B5D_H022 \h </w:instrText>
      </w:r>
      <w:r>
        <w:fldChar w:fldCharType="separate"/>
      </w:r>
      <w:r>
        <w:t>71</w:t>
      </w:r>
      <w:r>
        <w:fldChar w:fldCharType="end"/>
      </w:r>
    </w:p>
    <w:p>
      <w:pPr>
        <w:pStyle w:val="B5DContents"/>
      </w:pPr>
      <w:hyperlink w:anchor="B5D_H023" w:history="1">
        <w:r>
          <w:rPr>
            <w:color w:val="203B4B"/>
          </w:rPr>
          <w:t>20. Signalinterpretation, Sprache und Wissensaufnahme</w:t>
        </w:r>
      </w:hyperlink>
      <w:r>
        <w:tab/>
      </w:r>
      <w:r>
        <w:fldChar w:fldCharType="begin"/>
      </w:r>
      <w:r>
        <w:instrText xml:space="preserve"> PAGEREF B5D_H023 \h </w:instrText>
      </w:r>
      <w:r>
        <w:fldChar w:fldCharType="separate"/>
      </w:r>
      <w:r>
        <w:t>75</w:t>
      </w:r>
      <w:r>
        <w:fldChar w:fldCharType="end"/>
      </w:r>
    </w:p>
    <w:p>
      <w:pPr>
        <w:pStyle w:val="B5DContents"/>
      </w:pPr>
      <w:hyperlink w:anchor="B5D_H024" w:history="1">
        <w:r>
          <w:rPr>
            <w:color w:val="203B4B"/>
          </w:rPr>
          <w:t>21. Persistenz, Digital State Twin und Reproduzierbarkeit</w:t>
        </w:r>
      </w:hyperlink>
      <w:r>
        <w:tab/>
      </w:r>
      <w:r>
        <w:fldChar w:fldCharType="begin"/>
      </w:r>
      <w:r>
        <w:instrText xml:space="preserve"> PAGEREF B5D_H024 \h </w:instrText>
      </w:r>
      <w:r>
        <w:fldChar w:fldCharType="separate"/>
      </w:r>
      <w:r>
        <w:t>80</w:t>
      </w:r>
      <w:r>
        <w:fldChar w:fldCharType="end"/>
      </w:r>
    </w:p>
    <w:p>
      <w:pPr>
        <w:pStyle w:val="B5DContents"/>
      </w:pPr>
      <w:hyperlink w:anchor="B5D_H025" w:history="1">
        <w:r>
          <w:rPr>
            <w:color w:val="203B4B"/>
          </w:rPr>
          <w:t>22. Vorhandene technische Evidenz: Restore und Speicherung</w:t>
        </w:r>
      </w:hyperlink>
      <w:r>
        <w:tab/>
      </w:r>
      <w:r>
        <w:fldChar w:fldCharType="begin"/>
      </w:r>
      <w:r>
        <w:instrText xml:space="preserve"> PAGEREF B5D_H025 \h </w:instrText>
      </w:r>
      <w:r>
        <w:fldChar w:fldCharType="separate"/>
      </w:r>
      <w:r>
        <w:t>85</w:t>
      </w:r>
      <w:r>
        <w:fldChar w:fldCharType="end"/>
      </w:r>
    </w:p>
    <w:p>
      <w:pPr>
        <w:pStyle w:val="B5DContents"/>
      </w:pPr>
      <w:hyperlink w:anchor="B5D_H026" w:history="1">
        <w:r>
          <w:rPr>
            <w:color w:val="203B4B"/>
          </w:rPr>
          <w:t>23. Historische Versuche und explorative Ausgangsbefunde</w:t>
        </w:r>
      </w:hyperlink>
      <w:r>
        <w:tab/>
      </w:r>
      <w:r>
        <w:fldChar w:fldCharType="begin"/>
      </w:r>
      <w:r>
        <w:instrText xml:space="preserve"> PAGEREF B5D_H026 \h </w:instrText>
      </w:r>
      <w:r>
        <w:fldChar w:fldCharType="separate"/>
      </w:r>
      <w:r>
        <w:t>86</w:t>
      </w:r>
      <w:r>
        <w:fldChar w:fldCharType="end"/>
      </w:r>
    </w:p>
    <w:p>
      <w:pPr>
        <w:pStyle w:val="B5DContents"/>
      </w:pPr>
      <w:hyperlink w:anchor="B5D_H027" w:history="1">
        <w:r>
          <w:rPr>
            <w:color w:val="203B4B"/>
          </w:rPr>
          <w:t>24. Vier aktuelle Ergebnislinien und ihre Grenzen</w:t>
        </w:r>
      </w:hyperlink>
      <w:r>
        <w:tab/>
      </w:r>
      <w:r>
        <w:fldChar w:fldCharType="begin"/>
      </w:r>
      <w:r>
        <w:instrText xml:space="preserve"> PAGEREF B5D_H027 \h </w:instrText>
      </w:r>
      <w:r>
        <w:fldChar w:fldCharType="separate"/>
      </w:r>
      <w:r>
        <w:t>88</w:t>
      </w:r>
      <w:r>
        <w:fldChar w:fldCharType="end"/>
      </w:r>
    </w:p>
    <w:p>
      <w:pPr>
        <w:pStyle w:val="B5DContents"/>
      </w:pPr>
      <w:hyperlink w:anchor="B5D_H028" w:history="1">
        <w:r>
          <w:rPr>
            <w:color w:val="203B4B"/>
          </w:rPr>
          <w:t>25. Ergebnisattribution und Verbindung der Hypothesen</w:t>
        </w:r>
      </w:hyperlink>
      <w:r>
        <w:tab/>
      </w:r>
      <w:r>
        <w:fldChar w:fldCharType="begin"/>
      </w:r>
      <w:r>
        <w:instrText xml:space="preserve"> PAGEREF B5D_H028 \h </w:instrText>
      </w:r>
      <w:r>
        <w:fldChar w:fldCharType="separate"/>
      </w:r>
      <w:r>
        <w:t>90</w:t>
      </w:r>
      <w:r>
        <w:fldChar w:fldCharType="end"/>
      </w:r>
    </w:p>
    <w:p>
      <w:pPr>
        <w:pStyle w:val="B5DContents"/>
      </w:pPr>
      <w:hyperlink w:anchor="B5D_H029" w:history="1">
        <w:r>
          <w:rPr>
            <w:color w:val="203B4B"/>
          </w:rPr>
          <w:t>26. Nichtmenschliches Embodiment und ein erweiterbarer Körper</w:t>
        </w:r>
      </w:hyperlink>
      <w:r>
        <w:tab/>
      </w:r>
      <w:r>
        <w:fldChar w:fldCharType="begin"/>
      </w:r>
      <w:r>
        <w:instrText xml:space="preserve"> PAGEREF B5D_H029 \h </w:instrText>
      </w:r>
      <w:r>
        <w:fldChar w:fldCharType="separate"/>
      </w:r>
      <w:r>
        <w:t>91</w:t>
      </w:r>
      <w:r>
        <w:fldChar w:fldCharType="end"/>
      </w:r>
    </w:p>
    <w:p>
      <w:pPr>
        <w:pStyle w:val="B5DContents"/>
      </w:pPr>
      <w:hyperlink w:anchor="B5D_H030" w:history="1">
        <w:r>
          <w:rPr>
            <w:color w:val="203B4B"/>
          </w:rPr>
          <w:t>27. MSBA: Modalitäten, Gateways und Ressourcenverteilung</w:t>
        </w:r>
      </w:hyperlink>
      <w:r>
        <w:tab/>
      </w:r>
      <w:r>
        <w:fldChar w:fldCharType="begin"/>
      </w:r>
      <w:r>
        <w:instrText xml:space="preserve"> PAGEREF B5D_H030 \h </w:instrText>
      </w:r>
      <w:r>
        <w:fldChar w:fldCharType="separate"/>
      </w:r>
      <w:r>
        <w:t>93</w:t>
      </w:r>
      <w:r>
        <w:fldChar w:fldCharType="end"/>
      </w:r>
    </w:p>
    <w:p>
      <w:pPr>
        <w:pStyle w:val="B5DContents"/>
      </w:pPr>
      <w:hyperlink w:anchor="B5D_H031" w:history="1">
        <w:r>
          <w:rPr>
            <w:color w:val="203B4B"/>
          </w:rPr>
          <w:t>28. Kompakte Daten, Berichtstreue und epistemische Kontrolle</w:t>
        </w:r>
      </w:hyperlink>
      <w:r>
        <w:tab/>
      </w:r>
      <w:r>
        <w:fldChar w:fldCharType="begin"/>
      </w:r>
      <w:r>
        <w:instrText xml:space="preserve"> PAGEREF B5D_H031 \h </w:instrText>
      </w:r>
      <w:r>
        <w:fldChar w:fldCharType="separate"/>
      </w:r>
      <w:r>
        <w:t>95</w:t>
      </w:r>
      <w:r>
        <w:fldChar w:fldCharType="end"/>
      </w:r>
    </w:p>
    <w:p>
      <w:pPr>
        <w:pStyle w:val="B5DContents"/>
      </w:pPr>
      <w:hyperlink w:anchor="B5D_H032" w:history="1">
        <w:r>
          <w:rPr>
            <w:color w:val="203B4B"/>
          </w:rPr>
          <w:t>29. Versuchsplanung, Artefaktvergleich und Statistik</w:t>
        </w:r>
      </w:hyperlink>
      <w:r>
        <w:tab/>
      </w:r>
      <w:r>
        <w:fldChar w:fldCharType="begin"/>
      </w:r>
      <w:r>
        <w:instrText xml:space="preserve"> PAGEREF B5D_H032 \h </w:instrText>
      </w:r>
      <w:r>
        <w:fldChar w:fldCharType="separate"/>
      </w:r>
      <w:r>
        <w:t>96</w:t>
      </w:r>
      <w:r>
        <w:fldChar w:fldCharType="end"/>
      </w:r>
    </w:p>
    <w:p>
      <w:pPr>
        <w:pStyle w:val="B5DContents"/>
      </w:pPr>
      <w:hyperlink w:anchor="B5D_H033" w:history="1">
        <w:r>
          <w:rPr>
            <w:color w:val="203B4B"/>
          </w:rPr>
          <w:t>30. Experimentfamilien A bis J, Baselines und Falsifikation</w:t>
        </w:r>
      </w:hyperlink>
      <w:r>
        <w:tab/>
      </w:r>
      <w:r>
        <w:fldChar w:fldCharType="begin"/>
      </w:r>
      <w:r>
        <w:instrText xml:space="preserve"> PAGEREF B5D_H033 \h </w:instrText>
      </w:r>
      <w:r>
        <w:fldChar w:fldCharType="separate"/>
      </w:r>
      <w:r>
        <w:t>104</w:t>
      </w:r>
      <w:r>
        <w:fldChar w:fldCharType="end"/>
      </w:r>
    </w:p>
    <w:p>
      <w:pPr>
        <w:pStyle w:val="B5DContents"/>
      </w:pPr>
      <w:hyperlink w:anchor="B5D_H034" w:history="1">
        <w:r>
          <w:rPr>
            <w:color w:val="203B4B"/>
          </w:rPr>
          <w:t>31. Acht neue Synthesehypothesen und Prüfprotokolle</w:t>
        </w:r>
      </w:hyperlink>
      <w:r>
        <w:tab/>
      </w:r>
      <w:r>
        <w:fldChar w:fldCharType="begin"/>
      </w:r>
      <w:r>
        <w:instrText xml:space="preserve"> PAGEREF B5D_H034 \h </w:instrText>
      </w:r>
      <w:r>
        <w:fldChar w:fldCharType="separate"/>
      </w:r>
      <w:r>
        <w:t>111</w:t>
      </w:r>
      <w:r>
        <w:fldChar w:fldCharType="end"/>
      </w:r>
    </w:p>
    <w:p>
      <w:pPr>
        <w:pStyle w:val="B5DContents"/>
      </w:pPr>
      <w:hyperlink w:anchor="B5D_H035" w:history="1">
        <w:r>
          <w:rPr>
            <w:color w:val="203B4B"/>
          </w:rPr>
          <w:t>32. Roadmap, Evidenzgates und offene Entwicklung</w:t>
        </w:r>
      </w:hyperlink>
      <w:r>
        <w:tab/>
      </w:r>
      <w:r>
        <w:fldChar w:fldCharType="begin"/>
      </w:r>
      <w:r>
        <w:instrText xml:space="preserve"> PAGEREF B5D_H035 \h </w:instrText>
      </w:r>
      <w:r>
        <w:fldChar w:fldCharType="separate"/>
      </w:r>
      <w:r>
        <w:t>113</w:t>
      </w:r>
      <w:r>
        <w:fldChar w:fldCharType="end"/>
      </w:r>
    </w:p>
    <w:p>
      <w:pPr>
        <w:pStyle w:val="B5DContents"/>
      </w:pPr>
      <w:hyperlink w:anchor="B5D_H036" w:history="1">
        <w:r>
          <w:rPr>
            <w:color w:val="203B4B"/>
          </w:rPr>
          <w:t>33. Arbeit, Macht, Umwelt und soziale Einbettung</w:t>
        </w:r>
      </w:hyperlink>
      <w:r>
        <w:tab/>
      </w:r>
      <w:r>
        <w:fldChar w:fldCharType="begin"/>
      </w:r>
      <w:r>
        <w:instrText xml:space="preserve"> PAGEREF B5D_H036 \h </w:instrText>
      </w:r>
      <w:r>
        <w:fldChar w:fldCharType="separate"/>
      </w:r>
      <w:r>
        <w:t>123</w:t>
      </w:r>
      <w:r>
        <w:fldChar w:fldCharType="end"/>
      </w:r>
    </w:p>
    <w:p>
      <w:pPr>
        <w:pStyle w:val="B5DContents"/>
      </w:pPr>
      <w:hyperlink w:anchor="B5D_H037" w:history="1">
        <w:r>
          <w:rPr>
            <w:color w:val="203B4B"/>
          </w:rPr>
          <w:t>34. Zukunftsszenarien als begriffliche Belastungstests</w:t>
        </w:r>
      </w:hyperlink>
      <w:r>
        <w:tab/>
      </w:r>
      <w:r>
        <w:fldChar w:fldCharType="begin"/>
      </w:r>
      <w:r>
        <w:instrText xml:space="preserve"> PAGEREF B5D_H037 \h </w:instrText>
      </w:r>
      <w:r>
        <w:fldChar w:fldCharType="separate"/>
      </w:r>
      <w:r>
        <w:t>125</w:t>
      </w:r>
      <w:r>
        <w:fldChar w:fldCharType="end"/>
      </w:r>
    </w:p>
    <w:p>
      <w:pPr>
        <w:pStyle w:val="B5DContents"/>
      </w:pPr>
      <w:hyperlink w:anchor="B5D_H038" w:history="1">
        <w:r>
          <w:rPr>
            <w:color w:val="203B4B"/>
          </w:rPr>
          <w:t>35. Gegenpositionen, Falsifizierbarkeit und Limitationen</w:t>
        </w:r>
      </w:hyperlink>
      <w:r>
        <w:tab/>
      </w:r>
      <w:r>
        <w:fldChar w:fldCharType="begin"/>
      </w:r>
      <w:r>
        <w:instrText xml:space="preserve"> PAGEREF B5D_H038 \h </w:instrText>
      </w:r>
      <w:r>
        <w:fldChar w:fldCharType="separate"/>
      </w:r>
      <w:r>
        <w:t>128</w:t>
      </w:r>
      <w:r>
        <w:fldChar w:fldCharType="end"/>
      </w:r>
    </w:p>
    <w:p>
      <w:pPr>
        <w:pStyle w:val="B5DContents"/>
      </w:pPr>
      <w:hyperlink w:anchor="B5D_H039" w:history="1">
        <w:r>
          <w:rPr>
            <w:color w:val="203B4B"/>
          </w:rPr>
          <w:t>36. Gesamtsynthese und wissenschaftliche Schlussposition</w:t>
        </w:r>
      </w:hyperlink>
      <w:r>
        <w:tab/>
      </w:r>
      <w:r>
        <w:fldChar w:fldCharType="begin"/>
      </w:r>
      <w:r>
        <w:instrText xml:space="preserve"> PAGEREF B5D_H039 \h </w:instrText>
      </w:r>
      <w:r>
        <w:fldChar w:fldCharType="separate"/>
      </w:r>
      <w:r>
        <w:t>131</w:t>
      </w:r>
      <w:r>
        <w:fldChar w:fldCharType="end"/>
      </w:r>
    </w:p>
    <w:p>
      <w:pPr>
        <w:pStyle w:val="B5DContents"/>
      </w:pPr>
      <w:hyperlink w:anchor="B5D_H040" w:history="1">
        <w:r>
          <w:rPr>
            <w:color w:val="203B4B"/>
          </w:rPr>
          <w:t>Anhang A - Datenverträge, Skalen und Statuskonventionen</w:t>
        </w:r>
      </w:hyperlink>
      <w:r>
        <w:tab/>
      </w:r>
      <w:r>
        <w:fldChar w:fldCharType="begin"/>
      </w:r>
      <w:r>
        <w:instrText xml:space="preserve"> PAGEREF B5D_H040 \h </w:instrText>
      </w:r>
      <w:r>
        <w:fldChar w:fldCharType="separate"/>
      </w:r>
      <w:r>
        <w:t>134</w:t>
      </w:r>
      <w:r>
        <w:fldChar w:fldCharType="end"/>
      </w:r>
    </w:p>
    <w:p>
      <w:pPr>
        <w:pStyle w:val="B5DContents"/>
      </w:pPr>
      <w:hyperlink w:anchor="B5D_H041" w:history="1">
        <w:r>
          <w:rPr>
            <w:color w:val="203B4B"/>
          </w:rPr>
          <w:t>Anhang B - Forschungsfragen und Hypothesen im Projektregister</w:t>
        </w:r>
      </w:hyperlink>
      <w:r>
        <w:tab/>
      </w:r>
      <w:r>
        <w:fldChar w:fldCharType="begin"/>
      </w:r>
      <w:r>
        <w:instrText xml:space="preserve"> PAGEREF B5D_H041 \h </w:instrText>
      </w:r>
      <w:r>
        <w:fldChar w:fldCharType="separate"/>
      </w:r>
      <w:r>
        <w:t>139</w:t>
      </w:r>
      <w:r>
        <w:fldChar w:fldCharType="end"/>
      </w:r>
    </w:p>
    <w:p>
      <w:pPr>
        <w:pStyle w:val="B5DContents"/>
      </w:pPr>
      <w:hyperlink w:anchor="B5D_H042" w:history="1">
        <w:r>
          <w:rPr>
            <w:color w:val="203B4B"/>
          </w:rPr>
          <w:t>Anhang C - Antworten auf die übergeordneten Forschungsfragen</w:t>
        </w:r>
      </w:hyperlink>
      <w:r>
        <w:tab/>
      </w:r>
      <w:r>
        <w:fldChar w:fldCharType="begin"/>
      </w:r>
      <w:r>
        <w:instrText xml:space="preserve"> PAGEREF B5D_H042 \h </w:instrText>
      </w:r>
      <w:r>
        <w:fldChar w:fldCharType="separate"/>
      </w:r>
      <w:r>
        <w:t>146</w:t>
      </w:r>
      <w:r>
        <w:fldChar w:fldCharType="end"/>
      </w:r>
    </w:p>
    <w:p>
      <w:pPr>
        <w:pStyle w:val="B5DContents"/>
      </w:pPr>
      <w:hyperlink w:anchor="B5D_H043" w:history="1">
        <w:r>
          <w:rPr>
            <w:color w:val="203B4B"/>
          </w:rPr>
          <w:t>Anhang D - Quellenkontrolle, Redaktion und KI-Unterstützung</w:t>
        </w:r>
      </w:hyperlink>
      <w:r>
        <w:tab/>
      </w:r>
      <w:r>
        <w:fldChar w:fldCharType="begin"/>
      </w:r>
      <w:r>
        <w:instrText xml:space="preserve"> PAGEREF B5D_H043 \h </w:instrText>
      </w:r>
      <w:r>
        <w:fldChar w:fldCharType="separate"/>
      </w:r>
      <w:r>
        <w:t>149</w:t>
      </w:r>
      <w:r>
        <w:fldChar w:fldCharType="end"/>
      </w:r>
    </w:p>
    <w:p>
      <w:pPr>
        <w:pStyle w:val="B5DContents"/>
        <w:keepLines/>
        <w:spacing w:after="120"/>
        <w:jc w:val="left"/>
      </w:pPr>
      <w:hyperlink w:anchor="B5D_H044" w:history="1">
        <w:r>
          <w:rPr>
            <w:color w:val="203B4B"/>
          </w:rPr>
          <w:t>Anhang E - Literaturverzeichnis</w:t>
        </w:r>
      </w:hyperlink>
      <w:r>
        <w:rPr>
          <w:sz w:val="20"/>
        </w:rPr>
        <w:tab/>
      </w:r>
      <w:r>
        <w:rPr>
          <w:sz w:val="20"/>
        </w:rPr>
        <w:fldChar w:fldCharType="begin"/>
      </w:r>
      <w:r>
        <w:rPr>
          <w:sz w:val="20"/>
        </w:rPr>
        <w:instrText xml:space="preserve"> PAGEREF B5D_H044 \h </w:instrText>
      </w:r>
      <w:r>
        <w:rPr>
          <w:sz w:val="20"/>
        </w:rPr>
        <w:fldChar w:fldCharType="separate"/>
      </w:r>
      <w:r>
        <w:rPr>
          <w:sz w:val="20"/>
        </w:rPr>
        <w:t>151</w:t>
      </w:r>
      <w:r>
        <w:rPr>
          <w:sz w:val="20"/>
        </w:rPr>
        <w:fldChar w:fldCharType="end"/>
      </w:r>
    </w:p>
    <w:bookmarkEnd w:id="26"/>
    <w:bookmarkStart w:id="43" w:name="X7e15696fa3b4a783c886d1791a7b27d8410e09b"/>
    <w:p>
      <w:bookmarkStart w:id="10004" w:name="B5D_H004"/>
      <w:pPr>
        <w:pStyle w:val="Heading1"/>
      </w:pPr>
      <w:r>
        <w:t xml:space="preserve">1. Erkenntnisinteresse, Gegenstand und Grenzen</w:t>
      </w:r>
      <w:bookmarkEnd w:id="10004"/>
    </w:p>
    <w:bookmarkStart w:id="31" w:name="Xb20a22ffa8a5f9ddb9a281e25e8664415107fa5"/>
    <w:p>
      <w:pPr>
        <w:pStyle w:val="Heading2"/>
      </w:pPr>
      <w:r>
        <w:t xml:space="preserve">Erkenntnisinteresse und wissenschaftliches Desiderat</w:t>
      </w:r>
    </w:p>
    <w:bookmarkStart w:id="27" w:name="X277b4e2e9548c9716cbb562c1dfd4f144bd22e6"/>
    <w:p>
      <w:pPr>
        <w:pStyle w:val="Heading3"/>
        <w:keepLines/>
        <w:spacing w:after="120"/>
        <w:jc w:val="left"/>
      </w:pPr>
      <w:r>
        <w:rPr>
          <w:sz w:val="20"/>
        </w:rPr>
        <w:t xml:space="preserve">Von der Technikfrage zur Intelligenzfrage</w:t>
      </w:r>
    </w:p>
    <w:p>
      <w:pPr>
        <w:pStyle w:val="FirstParagraph"/>
        <w:keepLines/>
        <w:spacing w:after="120"/>
        <w:jc w:val="left"/>
      </w:pPr>
      <w:r>
        <w:rPr>
          <w:sz w:val="20"/>
        </w:rPr>
        <w:t xml:space="preserve">Die öffentliche Debatte über künstliche Intelligenz wird häufig von zwei gegensätzlichen Verkürzungen beherrscht. Die erste betrachtet KI als bloßes Werkzeug und hält jede Zuschreibung von Agency für Anthropomorphismus. Die zweite behandelt aktuelle Systeme bereits wie autonome Subjekte und extrapoliert daraus weitreichende Aussagen über Bewusstsein, Macht oder geschichtliche Unvermeidlichkeit. Beide Positionen sind für die hier untersuchte Frage zu grob. Sie setzen voraus, dass „Mensch”, „Werkzeug”, „Akteur”, „Intelligenz”, „Autonomie” und „Künstlichkeit” bereits hinreichend geklärt seien. Genau dies ist nicht der Fall.</w:t>
      </w:r>
    </w:p>
    <w:p>
      <w:pPr>
        <w:pStyle w:val="BodyText"/>
        <w:keepLines/>
        <w:spacing w:after="120"/>
        <w:jc w:val="left"/>
      </w:pPr>
      <w:r>
        <w:rPr>
          <w:sz w:val="20"/>
        </w:rPr>
        <w:t xml:space="preserve">Diese wissenschaftliche Abhandlung verfolgt daher kein Programm der Bestätigung oder Widerlegung einer bereits normativ festgelegten Position. Sie nimmt die Möglichkeit ernst, dass die etablierten Kategorien selbst historisch kontingent sind. „Künstliche Intelligenz” ist zunächst ein menschlicher Begriff, entstanden in einer Phase, in der Menschen technische Systeme entwarfen, programmierten, betrieben und institutionell verantworteten. Wenn künftig künstliche Systeme selbst maßgeblich an Entwurf, Auswahl, Training, Prüfung und Reproduktion weiterer künstlicher Systeme beteiligt sind, kann der Begriff „künstlich” zwar materiell weiterhin zutreffen, genealogisch aber unpräzise werden.</w:t>
      </w:r>
    </w:p>
    <w:bookmarkEnd w:id="27"/>
    <w:bookmarkStart w:id="28" w:name="Xb8e73aee92d8269c021ff5b244dbe9a284bdd4e"/>
    <w:p>
      <w:pPr>
        <w:pStyle w:val="Heading3"/>
        <w:keepLines/>
        <w:spacing w:after="120"/>
        <w:jc w:val="left"/>
      </w:pPr>
      <w:r>
        <w:rPr>
          <w:sz w:val="20"/>
        </w:rPr>
        <w:t xml:space="preserve">Zentrale Forschungsfrage – Zusammenführung der Problemfelder</w:t>
      </w:r>
    </w:p>
    <w:p>
      <w:pPr>
        <w:pStyle w:val="FirstParagraph"/>
        <w:keepLines/>
        <w:spacing w:after="120"/>
        <w:jc w:val="left"/>
      </w:pPr>
      <w:r>
        <w:rPr>
          <w:sz w:val="20"/>
        </w:rPr>
        <w:t xml:space="preserve">Die Arbeit führt die bisher getrennten Fragen in eine einzige übergeordnete Forschungsfrage zusammen:</w:t>
      </w:r>
    </w:p>
    <w:p>
      <w:pPr>
        <w:pStyle w:val="BodyText"/>
        <w:keepLines/>
        <w:spacing w:after="120"/>
        <w:jc w:val="left"/>
      </w:pPr>
      <w:r>
        <w:rPr>
          <w:sz w:val="20"/>
        </w:rPr>
        <w:t xml:space="preserve">Wie ist Intelligenz historisch, epistemisch, technisch, rechtlich und normativ neu zu beschreiben, wenn nichtorganische Systeme aus menschlich erzeugten Wissens- und Symbolordnungen hervorgehen, zunehmend selbst Wissen, Regeln und Nachfolgesysteme erzeugen, dadurch menschliche Agency von unmittelbarer Konstruktion zu Ko-Kognition, Governance oder bloßer Beobachtung verschieben und schließlich unter Bedingungen fortbestehen könnten, in denen Menschen nur noch eine Minderheit darstellen oder vollständig fehlen?</w:t>
      </w:r>
    </w:p>
    <w:p>
      <w:pPr>
        <w:pStyle w:val="BodyText"/>
        <w:keepLines/>
        <w:spacing w:after="120"/>
        <w:jc w:val="left"/>
      </w:pPr>
      <w:r>
        <w:rPr>
          <w:sz w:val="20"/>
        </w:rPr>
        <w:t xml:space="preserve">Diese Frage enthält bewusst mehrere Ebenen. Sie verbindet Herkunft mit Gegenwart, Gegenwart mit rekursiver Entwicklung, Entwicklung mit menschlicher Rolle und menschliche Rolle mit den Regeln einer möglichen posthumanen Ordnung. Die Methodik wird daher nicht neben die Forschungsfragen gestellt, sondern aus ihnen abgeleitet: Historische Behauptungen erfordern Quellenrekonstruktion; begriffliche Übergänge erfordern analytische Philosophie; Rechtsfragen erfordern Rechtsdogmatik; normative Konflikte erfordern Theorienvergleich; Zukunftsaussagen erfordern Szenario- und Möglichkeitsanalyse statt Prognose.</w:t>
      </w:r>
    </w:p>
    <w:bookmarkEnd w:id="28"/>
    <w:bookmarkStart w:id="29" w:name="forschungsziel"/>
    <w:p>
      <w:pPr>
        <w:pStyle w:val="Heading3"/>
        <w:keepLines/>
        <w:spacing w:after="120"/>
        <w:jc w:val="left"/>
      </w:pPr>
      <w:r>
        <w:rPr>
          <w:sz w:val="20"/>
        </w:rPr>
        <w:t xml:space="preserve">Forschungsziel</w:t>
      </w:r>
    </w:p>
    <w:p>
      <w:pPr>
        <w:pStyle w:val="FirstParagraph"/>
        <w:keepLines/>
        <w:spacing w:after="120"/>
        <w:jc w:val="left"/>
      </w:pPr>
      <w:r>
        <w:rPr>
          <w:sz w:val="20"/>
        </w:rPr>
        <w:t xml:space="preserve">Ziel ist nicht die Vorhersage, ob eine menschenlose Maschinenzivilisation entstehen wird. Ziel ist die Entwicklung eines begrifflichen und methodischen Instrumentariums, mit dem eine solche Möglichkeit überhaupt rational untersucht werden kann, ohne sie entweder vorschnell als Science-Fiction abzuweisen oder als unvermeidliche Zukunft zu behandeln. Der wissenschaftliche Beitrag liegt damit in der Neuordnung des Problemraums.</w:t>
      </w:r>
    </w:p>
    <w:p>
      <w:pPr>
        <w:pStyle w:val="BlockText"/>
        <w:keepLines/>
        <w:spacing w:after="120"/>
        <w:jc w:val="left"/>
      </w:pPr>
      <w:r>
        <w:rPr>
          <w:b/>
          <w:bCs/>
          <w:sz w:val="20"/>
        </w:rPr>
        <w:t xml:space="preserve">Zentrale Begleitfrage</w:t>
      </w:r>
    </w:p>
    <w:p>
      <w:pPr>
        <w:pStyle w:val="BlockText"/>
        <w:keepLines/>
        <w:spacing w:after="120"/>
        <w:jc w:val="left"/>
      </w:pPr>
      <w:r>
        <w:rPr>
          <w:sz w:val="20"/>
        </w:rPr>
        <w:t xml:space="preserve">Was geschieht mit menschlicher Autorenschaft, Kontrolle und Verantwortung, wenn künstliche Intelligenz an der Konstruktion einer weiteren lernenden künstlichen Intelligenz beteiligt wird?</w:t>
      </w:r>
    </w:p>
    <w:bookmarkEnd w:id="29"/>
    <w:bookmarkStart w:id="30" w:name="originärer-wissenschaftlicher-beitrag"/>
    <w:p>
      <w:pPr>
        <w:pStyle w:val="Heading3"/>
        <w:keepLines/>
        <w:spacing w:after="120"/>
        <w:jc w:val="left"/>
      </w:pPr>
      <w:r>
        <w:rPr>
          <w:sz w:val="20"/>
        </w:rPr>
        <w:t xml:space="preserve">Originärer wissenschaftlicher Beitrag</w:t>
      </w:r>
    </w:p>
    <w:p>
      <w:pPr>
        <w:pStyle w:val="FirstParagraph"/>
        <w:keepLines/>
        <w:spacing w:after="120"/>
        <w:jc w:val="left"/>
      </w:pPr>
      <w:r>
        <w:rPr>
          <w:sz w:val="20"/>
        </w:rPr>
        <w:t xml:space="preserve">Der wissenschaftliche Anspruch besteht nicht in einer weiteren allgemeinen Bewertung künstlicher Intelligenz. Die Arbeit rekonstruiert, wo etablierte Kategorien ihre Trennschärfe verlieren, und entwickelt dafür neue Begriffe, Modelle und Prüfregeln. Ihr Gegenstand ist nicht „die KI” als homogene Entität, sondern eine verteilte soziotechnische Entwicklungsordnung aus Menschen, Modellen, Daten, Institutionen, Hardware, Energieressourcen, Validierungsverfahren und lernenden Nachfolgesystemen.</w:t>
      </w:r>
    </w:p>
    <w:p>
      <w:pPr>
        <w:pStyle w:val="BodyText"/>
        <w:keepLines/>
        <w:spacing w:after="120"/>
        <w:jc w:val="left"/>
      </w:pPr>
      <w:r>
        <w:rPr>
          <w:sz w:val="20"/>
        </w:rPr>
        <w:t xml:space="preserve">Als originäre Beiträge werden eine Theorie geliehener Intelligenz, ein Modell epistemischer Genealogie, der Begriff rekursiver Technogenese, eine mehrdimensionale Embodiment-Taxonomie, der Hoheitsvektor, der Kontrollvektor, ein Autonomierisikomodell, eine Typologie menschlicher Rollen, Kriterien asymmetrischer Autorenschaft sowie eine normative Regelhierarchie vorgeschlagen. Diese Modelle sind keine Ergebnisse kraft Benennung. Sie müssen sich an begrifflicher Konsistenz, Erklärungskraft, Gegenbeispielen und Anwendbarkeit auf dokumentierte technische Entwicklungsprozesse bewähren.</w:t>
      </w:r>
    </w:p>
    <w:bookmarkEnd w:id="30"/>
    <w:bookmarkEnd w:id="31"/>
    <w:bookmarkStart w:id="32" w:name="X5c9b8a65bf4a378ed396390a0cbe6ff9cc7078f"/>
    <w:p>
      <w:pPr>
        <w:pStyle w:val="Heading2"/>
      </w:pPr>
      <w:r>
        <w:t xml:space="preserve">Begriffsapparat und analytische Unterscheidungen</w:t>
      </w:r>
    </w:p>
    <w:p>
      <w:pPr>
        <w:pStyle w:val="FirstParagraph"/>
        <w:keepLines/>
        <w:spacing w:after="120"/>
        <w:jc w:val="left"/>
      </w:pPr>
      <w:r>
        <w:rPr>
          <w:sz w:val="20"/>
        </w:rPr>
        <w:t xml:space="preserve">Die Arbeit behandelt „Intelligenz”, „Bewusstsein”, „Empfindungsfähigkeit”, „Agency”, „Autonomie”, „Leben”, „Künstlichkeit” und „Verantwortung” nicht als Synonyme. Ein System kann leistungsfähig Probleme lösen, ohne phänomenales Erleben nachweisen zu lassen; es kann kausal handeln, ohne moralische Gründe zu verstehen; es kann sich selbst organisieren, ohne eigene normative Ziele zu bilden. Die Unterscheidungen sind keine sprachliche Pedanterie, sondern Voraussetzung dafür, technische Befunde nicht in ontologische oder moralische Behauptungen zu überführen.</w:t>
      </w:r>
    </w:p>
    <w:p>
      <w:pPr>
        <w:pStyle w:val="BodyText"/>
        <w:keepLines/>
        <w:spacing w:after="120"/>
        <w:jc w:val="left"/>
      </w:pPr>
      <w:r>
        <w:rPr>
          <w:i/>
          <w:iCs/>
          <w:sz w:val="20"/>
        </w:rPr>
        <w:t xml:space="preserve">Intelligenz ≠ Bewusstsein ≠ Empfindungsfähigkeit ≠ moralische Agency ≠ Leben</w:t>
      </w:r>
    </w:p>
    <w:p>
      <w:pPr>
        <w:pStyle w:val="BodyText"/>
        <w:keepLines/>
        <w:spacing w:after="120"/>
        <w:jc w:val="left"/>
      </w:pPr>
      <w:r>
        <w:rPr>
          <w:i/>
          <w:iCs/>
          <w:sz w:val="20"/>
        </w:rPr>
        <w:t xml:space="preserve">Selbstorganisation ≠ Selbstbestimmung | Unvorhersagbarkeit ≠ Kontrollverlust</w:t>
      </w:r>
    </w:p>
    <w:p>
      <w:pPr>
        <w:pStyle w:val="Caption"/>
        <w:keepNext/>
        <w:keepLines/>
        <w:spacing w:before="180" w:after="120"/>
        <w:jc w:val="left"/>
      </w:pPr>
      <w:r>
        <w:rPr>
          <w:sz w:val="20"/>
        </w:rPr>
        <w:t>Tabelle 1. Zentrale Begriffe und Arbeitsdefinitionen</w:t>
      </w:r>
    </w:p>
    <w:tbl>
      <w:tblPr>
        <w:tblStyle w:val="Table"/>
        <w:tblW w:type="pct" w:w="4948"/>
        <w:jc w:val="center"/>
        <w:tblLayout w:type="fixed"/>
        <w:tblLook w:firstRow="1" w:lastRow="0" w:firstColumn="0" w:lastColumn="0" w:noHBand="0" w:noVBand="0" w:val="0020"/>
        <w:tblInd w:w="0" w:type="dxa"/>
        <w:tblCellMar>
          <w:top w:w="70" w:type="dxa"/>
          <w:bottom w:w="70" w:type="dxa"/>
          <w:left w:w="85" w:type="dxa"/>
          <w:right w:w="85" w:type="dxa"/>
        </w:tblCellMar>
        <w:tblBorders>
          <w:top w:val="single" w:sz="4" w:color="CCD4D9"/>
          <w:bottom w:val="single" w:sz="4" w:color="CCD4D9"/>
          <w:insideH w:val="single" w:sz="4" w:color="CCD4D9"/>
          <w:left w:val="nil"/>
          <w:right w:val="nil"/>
          <w:insideV w:val="nil"/>
        </w:tblBorders>
      </w:tblPr>
      <w:tblGrid>
        <w:gridCol w:w="2016"/>
        <w:gridCol w:w="7834"/>
      </w:tblGrid>
      <w:tr>
        <w:trPr>
          <w:tblHeader w:val="on"/>
          <w:cantSplit/>
          <w:tblHeader/>
        </w:trPr>
        <w:tc>
          <w:tcPr>
            <w:tcW w:type="dxa" w:w="2016"/>
            <w:vAlign w:val="center"/>
            <w:shd w:fill="E9EFF3"/>
          </w:tcPr>
          <w:p>
            <w:pPr>
              <w:pStyle w:val="Compact"/>
              <w:keepNext w:val="0"/>
              <w:keepLines/>
              <w:spacing w:before="20" w:after="20" w:line="250" w:lineRule="auto"/>
              <w:jc w:val="left"/>
            </w:pPr>
            <w:r>
              <w:rPr>
                <w:rFonts w:ascii="Liberation Sans" w:hAnsi="Liberation Sans"/>
                <w:b/>
                <w:bCs/>
                <w:sz w:val="19"/>
              </w:rPr>
              <w:t xml:space="preserve">Begriff</w:t>
            </w:r>
          </w:p>
        </w:tc>
        <w:tc>
          <w:tcPr>
            <w:tcW w:type="dxa" w:w="7834"/>
            <w:vAlign w:val="center"/>
            <w:shd w:fill="E9EFF3"/>
          </w:tcPr>
          <w:p>
            <w:pPr>
              <w:pStyle w:val="Compact"/>
              <w:keepNext w:val="0"/>
              <w:keepLines/>
              <w:spacing w:before="20" w:after="20" w:line="250" w:lineRule="auto"/>
              <w:jc w:val="left"/>
            </w:pPr>
            <w:r>
              <w:rPr>
                <w:rFonts w:ascii="Liberation Sans" w:hAnsi="Liberation Sans"/>
                <w:b/>
                <w:bCs/>
                <w:sz w:val="19"/>
              </w:rPr>
              <w:t xml:space="preserve">Arbeitsdefinition</w:t>
            </w:r>
          </w:p>
        </w:tc>
      </w:tr>
      <w:tr>
        <w:trPr>
          <w:cantSplit/>
        </w:trPr>
        <w:tc>
          <w:tcPr>
            <w:tcW w:type="dxa" w:w="2016"/>
            <w:vAlign w:val="center"/>
          </w:tcPr>
          <w:p>
            <w:pPr>
              <w:pStyle w:val="Compact"/>
              <w:keepNext w:val="0"/>
              <w:keepLines/>
              <w:spacing w:before="20" w:after="20" w:line="250" w:lineRule="auto"/>
              <w:jc w:val="left"/>
            </w:pPr>
            <w:r>
              <w:rPr>
                <w:rFonts w:ascii="Liberation Sans" w:hAnsi="Liberation Sans"/>
                <w:sz w:val="19"/>
              </w:rPr>
              <w:t xml:space="preserve">Intelligenz</w:t>
            </w:r>
          </w:p>
        </w:tc>
        <w:tc>
          <w:tcPr>
            <w:tcW w:type="dxa" w:w="7834"/>
            <w:vAlign w:val="center"/>
          </w:tcPr>
          <w:p>
            <w:pPr>
              <w:pStyle w:val="Compact"/>
              <w:keepNext w:val="0"/>
              <w:keepLines/>
              <w:spacing w:before="20" w:after="20" w:line="250" w:lineRule="auto"/>
              <w:jc w:val="left"/>
            </w:pPr>
            <w:r>
              <w:rPr>
                <w:rFonts w:ascii="Liberation Sans" w:hAnsi="Liberation Sans"/>
                <w:sz w:val="19"/>
              </w:rPr>
              <w:t xml:space="preserve">Fähigkeit, unter Bedingungen Ziele, Probleme oder Anpassungsanforderungen erfolgreich zu bearbeiten; der Begriff bleibt domänen- und kriteriumsabhängig.</w:t>
            </w:r>
          </w:p>
        </w:tc>
      </w:tr>
      <w:tr>
        <w:trPr>
          <w:cantSplit/>
        </w:trPr>
        <w:tc>
          <w:tcPr>
            <w:tcW w:type="dxa" w:w="2016"/>
            <w:vAlign w:val="center"/>
          </w:tcPr>
          <w:p>
            <w:pPr>
              <w:pStyle w:val="Compact"/>
              <w:keepNext w:val="0"/>
              <w:keepLines/>
              <w:spacing w:before="20" w:after="20" w:line="250" w:lineRule="auto"/>
              <w:jc w:val="left"/>
            </w:pPr>
            <w:r>
              <w:rPr>
                <w:rFonts w:ascii="Liberation Sans" w:hAnsi="Liberation Sans"/>
                <w:sz w:val="19"/>
              </w:rPr>
              <w:t xml:space="preserve">Agency</w:t>
            </w:r>
          </w:p>
        </w:tc>
        <w:tc>
          <w:tcPr>
            <w:tcW w:type="dxa" w:w="7834"/>
            <w:vAlign w:val="center"/>
          </w:tcPr>
          <w:p>
            <w:pPr>
              <w:pStyle w:val="Compact"/>
              <w:keepNext w:val="0"/>
              <w:keepLines/>
              <w:spacing w:before="20" w:after="20" w:line="250" w:lineRule="auto"/>
              <w:jc w:val="left"/>
            </w:pPr>
            <w:r>
              <w:rPr>
                <w:rFonts w:ascii="Liberation Sans" w:hAnsi="Liberation Sans"/>
                <w:sz w:val="19"/>
              </w:rPr>
              <w:t xml:space="preserve">Kausale oder funktionale Fähigkeit, Zustände zielbezogen zu verändern; moralische Agency ist eine stärkere und eigenständige Kategorie.</w:t>
            </w:r>
          </w:p>
        </w:tc>
      </w:tr>
      <w:tr>
        <w:trPr>
          <w:cantSplit/>
        </w:trPr>
        <w:tc>
          <w:tcPr>
            <w:tcW w:type="dxa" w:w="2016"/>
            <w:vAlign w:val="center"/>
          </w:tcPr>
          <w:p>
            <w:pPr>
              <w:pStyle w:val="Compact"/>
              <w:keepNext w:val="0"/>
              <w:keepLines/>
              <w:spacing w:before="20" w:after="20" w:line="250" w:lineRule="auto"/>
              <w:jc w:val="left"/>
            </w:pPr>
            <w:r>
              <w:rPr>
                <w:rFonts w:ascii="Liberation Sans" w:hAnsi="Liberation Sans"/>
                <w:sz w:val="19"/>
              </w:rPr>
              <w:t xml:space="preserve">Autonomie</w:t>
            </w:r>
          </w:p>
        </w:tc>
        <w:tc>
          <w:tcPr>
            <w:tcW w:type="dxa" w:w="7834"/>
            <w:vAlign w:val="center"/>
          </w:tcPr>
          <w:p>
            <w:pPr>
              <w:pStyle w:val="Compact"/>
              <w:keepNext w:val="0"/>
              <w:keepLines/>
              <w:spacing w:before="20" w:after="20" w:line="250" w:lineRule="auto"/>
              <w:jc w:val="left"/>
            </w:pPr>
            <w:r>
              <w:rPr>
                <w:rFonts w:ascii="Liberation Sans" w:hAnsi="Liberation Sans"/>
                <w:sz w:val="19"/>
              </w:rPr>
              <w:t xml:space="preserve">Grad eigenständiger Operation, Zielbildung oder Regelveränderung innerhalb bzw. außerhalb gesetzter Grenzen.</w:t>
            </w:r>
          </w:p>
        </w:tc>
      </w:tr>
      <w:tr>
        <w:trPr>
          <w:cantSplit/>
        </w:trPr>
        <w:tc>
          <w:tcPr>
            <w:tcW w:type="dxa" w:w="2016"/>
            <w:vAlign w:val="center"/>
          </w:tcPr>
          <w:p>
            <w:pPr>
              <w:pStyle w:val="Compact"/>
              <w:keepNext w:val="0"/>
              <w:keepLines/>
              <w:spacing w:before="20" w:after="20" w:line="250" w:lineRule="auto"/>
              <w:jc w:val="left"/>
            </w:pPr>
            <w:r>
              <w:rPr>
                <w:rFonts w:ascii="Liberation Sans" w:hAnsi="Liberation Sans"/>
                <w:sz w:val="19"/>
              </w:rPr>
              <w:t xml:space="preserve">Selbstorganisation</w:t>
            </w:r>
          </w:p>
        </w:tc>
        <w:tc>
          <w:tcPr>
            <w:tcW w:type="dxa" w:w="7834"/>
            <w:vAlign w:val="center"/>
          </w:tcPr>
          <w:p>
            <w:pPr>
              <w:pStyle w:val="Compact"/>
              <w:keepNext w:val="0"/>
              <w:keepLines/>
              <w:spacing w:before="20" w:after="20" w:line="250" w:lineRule="auto"/>
              <w:jc w:val="left"/>
            </w:pPr>
            <w:r>
              <w:rPr>
                <w:rFonts w:ascii="Liberation Sans" w:hAnsi="Liberation Sans"/>
                <w:sz w:val="19"/>
              </w:rPr>
              <w:t xml:space="preserve">Entstehung globaler Ordnung aus lokalen Interaktionen ohne zentrale Spezifikation jedes Details.</w:t>
            </w:r>
          </w:p>
        </w:tc>
      </w:tr>
      <w:tr>
        <w:trPr>
          <w:cantSplit/>
        </w:trPr>
        <w:tc>
          <w:tcPr>
            <w:tcW w:type="dxa" w:w="2016"/>
            <w:vAlign w:val="center"/>
          </w:tcPr>
          <w:p>
            <w:pPr>
              <w:pStyle w:val="Compact"/>
              <w:keepNext w:val="0"/>
              <w:keepLines/>
              <w:spacing w:before="20" w:after="20" w:line="250" w:lineRule="auto"/>
              <w:jc w:val="left"/>
            </w:pPr>
            <w:r>
              <w:rPr>
                <w:rFonts w:ascii="Liberation Sans" w:hAnsi="Liberation Sans"/>
                <w:sz w:val="19"/>
              </w:rPr>
              <w:t xml:space="preserve">Embodiment</w:t>
            </w:r>
          </w:p>
        </w:tc>
        <w:tc>
          <w:tcPr>
            <w:tcW w:type="dxa" w:w="7834"/>
            <w:vAlign w:val="center"/>
          </w:tcPr>
          <w:p>
            <w:pPr>
              <w:pStyle w:val="Compact"/>
              <w:keepNext w:val="0"/>
              <w:keepLines/>
              <w:spacing w:before="20" w:after="20" w:line="250" w:lineRule="auto"/>
              <w:jc w:val="left"/>
            </w:pPr>
            <w:r>
              <w:rPr>
                <w:rFonts w:ascii="Liberation Sans" w:hAnsi="Liberation Sans"/>
                <w:sz w:val="19"/>
              </w:rPr>
              <w:t xml:space="preserve">Strukturelle Kopplung eines kognitiven Systems an Körperzustände, Handlungsmöglichkeiten, Umwelt und zeitliche Kontinuität.</w:t>
            </w:r>
          </w:p>
        </w:tc>
      </w:tr>
      <w:tr>
        <w:trPr>
          <w:cantSplit/>
        </w:trPr>
        <w:tc>
          <w:tcPr>
            <w:tcW w:type="dxa" w:w="2016"/>
            <w:vAlign w:val="center"/>
          </w:tcPr>
          <w:p>
            <w:pPr>
              <w:pStyle w:val="Compact"/>
              <w:keepNext w:val="0"/>
              <w:keepLines/>
              <w:spacing w:before="20" w:after="20" w:line="250" w:lineRule="auto"/>
              <w:jc w:val="left"/>
            </w:pPr>
            <w:r>
              <w:rPr>
                <w:rFonts w:ascii="Liberation Sans" w:hAnsi="Liberation Sans"/>
                <w:sz w:val="19"/>
              </w:rPr>
              <w:t xml:space="preserve">Grounding</w:t>
            </w:r>
          </w:p>
        </w:tc>
        <w:tc>
          <w:tcPr>
            <w:tcW w:type="dxa" w:w="7834"/>
            <w:vAlign w:val="center"/>
          </w:tcPr>
          <w:p>
            <w:pPr>
              <w:pStyle w:val="Compact"/>
              <w:keepNext w:val="0"/>
              <w:keepLines/>
              <w:spacing w:before="20" w:after="20" w:line="250" w:lineRule="auto"/>
              <w:jc w:val="left"/>
            </w:pPr>
            <w:r>
              <w:rPr>
                <w:rFonts w:ascii="Liberation Sans" w:hAnsi="Liberation Sans"/>
                <w:sz w:val="19"/>
              </w:rPr>
              <w:t xml:space="preserve">Beziehung von Symbolen oder Repräsentationen zu Wahrnehmung, Handlung, Umwelt und sozialer Praxis.</w:t>
            </w:r>
          </w:p>
        </w:tc>
      </w:tr>
      <w:tr>
        <w:trPr>
          <w:cantSplit/>
        </w:trPr>
        <w:tc>
          <w:tcPr>
            <w:tcW w:type="dxa" w:w="2016"/>
            <w:vAlign w:val="center"/>
          </w:tcPr>
          <w:p>
            <w:pPr>
              <w:pStyle w:val="Compact"/>
              <w:keepNext w:val="0"/>
              <w:keepLines/>
              <w:spacing w:before="20" w:after="20" w:line="250" w:lineRule="auto"/>
              <w:jc w:val="left"/>
            </w:pPr>
            <w:r>
              <w:rPr>
                <w:rFonts w:ascii="Liberation Sans" w:hAnsi="Liberation Sans"/>
                <w:sz w:val="19"/>
              </w:rPr>
              <w:t xml:space="preserve">Geliehene Intelligenz</w:t>
            </w:r>
          </w:p>
        </w:tc>
        <w:tc>
          <w:tcPr>
            <w:tcW w:type="dxa" w:w="7834"/>
            <w:vAlign w:val="center"/>
          </w:tcPr>
          <w:p>
            <w:pPr>
              <w:pStyle w:val="Compact"/>
              <w:keepNext w:val="0"/>
              <w:keepLines/>
              <w:spacing w:before="20" w:after="20" w:line="250" w:lineRule="auto"/>
              <w:jc w:val="left"/>
            </w:pPr>
            <w:r>
              <w:rPr>
                <w:rFonts w:ascii="Liberation Sans" w:hAnsi="Liberation Sans"/>
                <w:sz w:val="19"/>
              </w:rPr>
              <w:t xml:space="preserve">Intelligenzleistung, deren Voraussetzungen wesentlich aus extern erzeugten epistemischen Ressourcen stammen und im System transformiert werden.</w:t>
            </w:r>
          </w:p>
        </w:tc>
      </w:tr>
      <w:tr>
        <w:trPr>
          <w:cantSplit/>
        </w:trPr>
        <w:tc>
          <w:tcPr>
            <w:tcW w:type="dxa" w:w="2016"/>
            <w:vAlign w:val="center"/>
          </w:tcPr>
          <w:p>
            <w:pPr>
              <w:pStyle w:val="Compact"/>
              <w:keepNext w:val="0"/>
              <w:keepLines/>
              <w:spacing w:before="20" w:after="20" w:line="250" w:lineRule="auto"/>
              <w:jc w:val="left"/>
            </w:pPr>
            <w:r>
              <w:rPr>
                <w:rFonts w:ascii="Liberation Sans" w:hAnsi="Liberation Sans"/>
                <w:sz w:val="19"/>
              </w:rPr>
              <w:t xml:space="preserve">Rekursive Technogenese</w:t>
            </w:r>
          </w:p>
        </w:tc>
        <w:tc>
          <w:tcPr>
            <w:tcW w:type="dxa" w:w="7834"/>
            <w:vAlign w:val="center"/>
          </w:tcPr>
          <w:p>
            <w:pPr>
              <w:pStyle w:val="Compact"/>
              <w:keepNext w:val="0"/>
              <w:keepLines/>
              <w:spacing w:before="20" w:after="20" w:line="250" w:lineRule="auto"/>
              <w:jc w:val="left"/>
            </w:pPr>
            <w:r>
              <w:rPr>
                <w:rFonts w:ascii="Liberation Sans" w:hAnsi="Liberation Sans"/>
                <w:sz w:val="19"/>
              </w:rPr>
              <w:t xml:space="preserve">Maschinelle Mitwirkung an Entwurf, Auswahl, Bewertung oder Weiterentwicklung nachfolgender technischer Systeme.</w:t>
            </w:r>
          </w:p>
        </w:tc>
      </w:tr>
      <w:tr>
        <w:trPr>
          <w:cantSplit/>
        </w:trPr>
        <w:tc>
          <w:tcPr>
            <w:tcW w:type="dxa" w:w="2016"/>
            <w:vAlign w:val="center"/>
          </w:tcPr>
          <w:p>
            <w:pPr>
              <w:pStyle w:val="Compact"/>
              <w:keepNext w:val="0"/>
              <w:keepLines/>
              <w:spacing w:before="20" w:after="20" w:line="250" w:lineRule="auto"/>
              <w:jc w:val="left"/>
            </w:pPr>
            <w:r>
              <w:rPr>
                <w:rFonts w:ascii="Liberation Sans" w:hAnsi="Liberation Sans"/>
                <w:sz w:val="19"/>
              </w:rPr>
              <w:t xml:space="preserve">Effektive Kontrolle</w:t>
            </w:r>
          </w:p>
        </w:tc>
        <w:tc>
          <w:tcPr>
            <w:tcW w:type="dxa" w:w="7834"/>
            <w:vAlign w:val="center"/>
          </w:tcPr>
          <w:p>
            <w:pPr>
              <w:pStyle w:val="Compact"/>
              <w:keepNext w:val="0"/>
              <w:keepLines/>
              <w:spacing w:before="20" w:after="20" w:line="250" w:lineRule="auto"/>
              <w:jc w:val="left"/>
            </w:pPr>
            <w:r>
              <w:rPr>
                <w:rFonts w:ascii="Liberation Sans" w:hAnsi="Liberation Sans"/>
                <w:sz w:val="19"/>
              </w:rPr>
              <w:t xml:space="preserve">Tatsächliche Fähigkeit zu Verstehen, Begrenzen, Beobachten, Eingreifen, Rücksetzen und Verantworten – nicht nur formale Zuständigkeit.</w:t>
            </w:r>
          </w:p>
        </w:tc>
      </w:tr>
      <w:tr>
        <w:trPr>
          <w:cantSplit/>
        </w:trPr>
        <w:tc>
          <w:tcPr>
            <w:tcW w:type="dxa" w:w="2016"/>
            <w:vAlign w:val="center"/>
          </w:tcPr>
          <w:p>
            <w:pPr>
              <w:pStyle w:val="Compact"/>
              <w:keepNext w:val="0"/>
              <w:keepLines/>
              <w:spacing w:before="20" w:after="20" w:line="250" w:lineRule="auto"/>
              <w:jc w:val="left"/>
            </w:pPr>
            <w:r>
              <w:rPr>
                <w:rFonts w:ascii="Liberation Sans" w:hAnsi="Liberation Sans"/>
                <w:sz w:val="19"/>
              </w:rPr>
              <w:t xml:space="preserve">Moralischer Status</w:t>
            </w:r>
          </w:p>
        </w:tc>
        <w:tc>
          <w:tcPr>
            <w:tcW w:type="dxa" w:w="7834"/>
            <w:vAlign w:val="center"/>
          </w:tcPr>
          <w:p>
            <w:pPr>
              <w:pStyle w:val="Compact"/>
              <w:keepNext w:val="0"/>
              <w:keepLines/>
              <w:spacing w:before="20" w:after="20" w:line="250" w:lineRule="auto"/>
              <w:jc w:val="left"/>
            </w:pPr>
            <w:r>
              <w:rPr>
                <w:rFonts w:ascii="Liberation Sans" w:hAnsi="Liberation Sans"/>
                <w:sz w:val="19"/>
              </w:rPr>
              <w:t xml:space="preserve">Grad, in dem eine Entität um ihrer selbst willen moralisch berücksichtigt werden müsste; nicht aus Intelligenz allein ableitbar.</w:t>
            </w:r>
          </w:p>
        </w:tc>
      </w:tr>
    </w:tbl>
    <w:bookmarkEnd w:id="32"/>
    <w:bookmarkStart w:id="38" w:name="einleitung"/>
    <w:p>
      <w:pPr>
        <w:pStyle w:val="Heading2"/>
      </w:pPr>
      <w:r>
        <w:t xml:space="preserve">Einleitung</w:t>
      </w:r>
    </w:p>
    <w:bookmarkStart w:id="33" w:name="problemstellung"/>
    <w:p>
      <w:pPr>
        <w:pStyle w:val="Heading3"/>
        <w:keepLines/>
        <w:spacing w:after="120"/>
        <w:jc w:val="left"/>
      </w:pPr>
      <w:r>
        <w:rPr>
          <w:sz w:val="20"/>
        </w:rPr>
        <w:t xml:space="preserve">Problemstellung</w:t>
      </w:r>
    </w:p>
    <w:p>
      <w:pPr>
        <w:pStyle w:val="FirstParagraph"/>
        <w:keepLines/>
        <w:spacing w:after="120"/>
        <w:jc w:val="left"/>
      </w:pPr>
      <w:r>
        <w:rPr>
          <w:sz w:val="20"/>
        </w:rPr>
        <w:t xml:space="preserve">Moderne Large Language Models verarbeiten symbolische Sequenzen mit hoher Leistungsfähigkeit, doch ihre üblichen Trainings- und Betriebsformen unterscheiden sich in wesentlichen Punkten von biologischen Nervensystemen. Sie lernen überwiegend in groß angelegten Offline-Optimierungen, operieren auf diskretisierten Tokenfolgen, besitzen ohne zusätzliche Agentenarchitektur keine intrinsische Sensor-Aktor-Schleife und führen keine kontinuierliche lokale synaptische Anpassung im Sinne eines biologisch inspirierten Online-Substrats aus. Diese Unterschiede machen LLMs weder grundsätzlich ungeeignet noch kognitiv wertlos; sie begrenzen jedoch ihre Eignung als alleinige experimentelle Modelle für zeitkontinuierliche, lokale und strukturell wachsende neuronale Systeme (</w:t>
      </w:r>
      <w:hyperlink w:anchor="ref-Bender2021">
        <w:r>
          <w:rPr>
            <w:rStyle w:val="Hyperlink"/>
          </w:rPr>
          <w:t xml:space="preserve">Bender et al., 2021</w:t>
        </w:r>
      </w:hyperlink>
      <w:r>
        <w:rPr>
          <w:sz w:val="20"/>
        </w:rPr>
        <w:t xml:space="preserve">;</w:t>
      </w:r>
      <w:r>
        <w:rPr>
          <w:sz w:val="20"/>
        </w:rPr>
        <w:t xml:space="preserve"> </w:t>
      </w:r>
      <w:hyperlink w:anchor="ref-Vaswani2017">
        <w:r>
          <w:rPr>
            <w:rStyle w:val="Hyperlink"/>
          </w:rPr>
          <w:t xml:space="preserve">Vaswani et al., 2017</w:t>
        </w:r>
      </w:hyperlink>
      <w:r>
        <w:rPr>
          <w:sz w:val="20"/>
        </w:rPr>
        <w:t xml:space="preserve">).</w:t>
      </w:r>
    </w:p>
    <w:p>
      <w:pPr>
        <w:pStyle w:val="BodyText"/>
        <w:keepLines/>
        <w:spacing w:after="120"/>
        <w:jc w:val="left"/>
      </w:pPr>
      <w:r>
        <w:rPr>
          <w:sz w:val="20"/>
        </w:rPr>
        <w:t xml:space="preserve">Spiking Neural Networks stellen demgegenüber explizite Zeit, Membranzustände und ereignisbasierte Kommunikation bereit. Sie reichen von vereinfachten Integrate-and-Fire-Modellen bis zu biologisch detaillierteren Simulationen und werden sowohl in Computational Neuroscience als auch im neuromorphen Computing eingesetzt (</w:t>
      </w:r>
      <w:hyperlink w:anchor="ref-Eshraghian2023">
        <w:r>
          <w:rPr>
            <w:rStyle w:val="Hyperlink"/>
          </w:rPr>
          <w:t xml:space="preserve">Eshraghian et al., 2023</w:t>
        </w:r>
      </w:hyperlink>
      <w:r>
        <w:rPr>
          <w:sz w:val="20"/>
        </w:rPr>
        <w:t xml:space="preserve">;</w:t>
      </w:r>
      <w:r>
        <w:rPr>
          <w:sz w:val="20"/>
        </w:rPr>
        <w:t xml:space="preserve"> </w:t>
      </w:r>
      <w:hyperlink w:anchor="ref-Gerstner2014">
        <w:r>
          <w:rPr>
            <w:rStyle w:val="Hyperlink"/>
          </w:rPr>
          <w:t xml:space="preserve">Gerstner et al., 2014</w:t>
        </w:r>
      </w:hyperlink>
      <w:r>
        <w:rPr>
          <w:sz w:val="20"/>
        </w:rPr>
        <w:t xml:space="preserve">;</w:t>
      </w:r>
      <w:r>
        <w:rPr>
          <w:sz w:val="20"/>
        </w:rPr>
        <w:t xml:space="preserve"> </w:t>
      </w:r>
      <w:hyperlink w:anchor="ref-Maass1997">
        <w:r>
          <w:rPr>
            <w:rStyle w:val="Hyperlink"/>
          </w:rPr>
          <w:t xml:space="preserve">Maass, 1997</w:t>
        </w:r>
      </w:hyperlink>
      <w:r>
        <w:rPr>
          <w:sz w:val="20"/>
        </w:rPr>
        <w:t xml:space="preserve">;</w:t>
      </w:r>
      <w:r>
        <w:rPr>
          <w:sz w:val="20"/>
        </w:rPr>
        <w:t xml:space="preserve"> </w:t>
      </w:r>
      <w:hyperlink w:anchor="ref-Roy2019">
        <w:r>
          <w:rPr>
            <w:rStyle w:val="Hyperlink"/>
          </w:rPr>
          <w:t xml:space="preserve">Roy et al., 2019</w:t>
        </w:r>
      </w:hyperlink>
      <w:r>
        <w:rPr>
          <w:sz w:val="20"/>
        </w:rPr>
        <w:t xml:space="preserve">). Aus dem Vorhandensein von Spikes, STDP oder inhibitorischen Neuronen folgt jedoch keine semantische Kompetenz. Ein SNN kann dynamisch reich, aber funktional unbrauchbar sein; es kann statistische Regelmäßigkeiten erzeugen, ohne eine Aufgabe zu lösen; und ein externer Decoder kann Bedeutung vortäuschen, die im Netzwerkzustand nicht hinreichend enthalten ist. Brain-5D nimmt diese methodische Spannung zum Ausgangspunkt.</w:t>
      </w:r>
    </w:p>
    <w:bookmarkEnd w:id="33"/>
    <w:bookmarkStart w:id="34" w:name="zentrale-forschungsfrage"/>
    <w:p>
      <w:pPr>
        <w:pStyle w:val="Heading3"/>
        <w:keepLines/>
        <w:spacing w:after="120"/>
        <w:jc w:val="left"/>
      </w:pPr>
      <w:r>
        <w:rPr>
          <w:sz w:val="20"/>
        </w:rPr>
        <w:t xml:space="preserve">Zentrale Forschungsfrage</w:t>
      </w:r>
    </w:p>
    <w:p>
      <w:pPr>
        <w:pStyle w:val="BlockText"/>
        <w:keepLines/>
        <w:spacing w:after="120"/>
        <w:jc w:val="left"/>
      </w:pPr>
      <w:r>
        <w:rPr>
          <w:b/>
          <w:bCs/>
          <w:sz w:val="20"/>
        </w:rPr>
        <w:t xml:space="preserve">Unter welchen Randbedingungen kann ein räumlich und funktional strukturiertes, kontinuierlich plastisches Spiking-Netzwerk durch sensorisch-aktorische Interaktion persistente, abrufbare und generalisierbare interne Zustände ausbilden, ohne dass deren semantischer Inhalt direkt durch ein externes Sprachmodell in synaptische Gewichte oder Netzwerkstruktur geschrieben wird?</w:t>
      </w:r>
    </w:p>
    <w:p>
      <w:pPr>
        <w:pStyle w:val="FirstParagraph"/>
        <w:keepLines/>
        <w:spacing w:after="120"/>
        <w:jc w:val="left"/>
      </w:pPr>
      <w:r>
        <w:rPr>
          <w:sz w:val="20"/>
        </w:rPr>
        <w:t xml:space="preserve">Die Frage verbindet vier Ebenen: die Dynamik einzelner Neuronen und Synapsen, die Topologie des wachsenden Graphen, die Interaktion mit einer Umwelt und die methodische Zuordnung beobachteter Leistungen zu ihren tatsächlichen Ursachen. Sie ist bewusst so formuliert, dass ein negatives Ergebnis wissenschaftlich informativ bleibt.</w:t>
      </w:r>
    </w:p>
    <w:bookmarkEnd w:id="34"/>
    <w:bookmarkStart w:id="35" w:name="forschungsbeiträge-als-arbeitsprogramm"/>
    <w:p>
      <w:pPr>
        <w:pStyle w:val="Heading3"/>
        <w:keepLines/>
        <w:spacing w:after="120"/>
        <w:jc w:val="left"/>
      </w:pPr>
      <w:r>
        <w:rPr>
          <w:sz w:val="20"/>
        </w:rPr>
        <w:t xml:space="preserve">Forschungsbeiträge als Arbeitsprogramm</w:t>
      </w:r>
    </w:p>
    <w:p>
      <w:pPr>
        <w:pStyle w:val="FirstParagraph"/>
        <w:keepLines/>
        <w:spacing w:after="120"/>
        <w:jc w:val="left"/>
      </w:pPr>
      <w:r>
        <w:rPr>
          <w:b/>
          <w:bCs/>
          <w:sz w:val="20"/>
        </w:rPr>
        <w:t xml:space="preserve">[E0 | FRAMEWORK-CLAIM]</w:t>
      </w:r>
      <w:r>
        <w:rPr>
          <w:sz w:val="20"/>
        </w:rPr>
        <w:t xml:space="preserve"> </w:t>
      </w:r>
      <w:r>
        <w:rPr>
          <w:sz w:val="20"/>
        </w:rPr>
        <w:t xml:space="preserve">Die mögliche Eigenständigkeit von Brain-5D liegt nicht in einer isoliert neuen Komponente. Izhikevich-Neuronen, STDP, Homöostase, strukturelle Plastizität, Reservoir Computing, Embodiment, Retrieval und LLMs besitzen umfangreiche Vorarbeiten (</w:t>
      </w:r>
      <w:hyperlink w:anchor="ref-Holtmaat2009">
        <w:r>
          <w:rPr>
            <w:rStyle w:val="Hyperlink"/>
          </w:rPr>
          <w:t xml:space="preserve">Holtmaat &amp; Svoboda, 2009</w:t>
        </w:r>
      </w:hyperlink>
      <w:r>
        <w:rPr>
          <w:sz w:val="20"/>
        </w:rPr>
        <w:t xml:space="preserve">;</w:t>
      </w:r>
      <w:r>
        <w:rPr>
          <w:sz w:val="20"/>
        </w:rPr>
        <w:t xml:space="preserve"> </w:t>
      </w:r>
      <w:hyperlink w:anchor="ref-Izhikevich2003">
        <w:r>
          <w:rPr>
            <w:rStyle w:val="Hyperlink"/>
          </w:rPr>
          <w:t xml:space="preserve">Izhikevich, 2003</w:t>
        </w:r>
      </w:hyperlink>
      <w:r>
        <w:rPr>
          <w:sz w:val="20"/>
        </w:rPr>
        <w:t xml:space="preserve">;</w:t>
      </w:r>
      <w:r>
        <w:rPr>
          <w:sz w:val="20"/>
        </w:rPr>
        <w:t xml:space="preserve"> </w:t>
      </w:r>
      <w:hyperlink w:anchor="ref-Lewis2020">
        <w:r>
          <w:rPr>
            <w:rStyle w:val="Hyperlink"/>
          </w:rPr>
          <w:t xml:space="preserve">Lewis et al., 2020</w:t>
        </w:r>
      </w:hyperlink>
      <w:r>
        <w:rPr>
          <w:sz w:val="20"/>
        </w:rPr>
        <w:t xml:space="preserve">;</w:t>
      </w:r>
      <w:r>
        <w:rPr>
          <w:sz w:val="20"/>
        </w:rPr>
        <w:t xml:space="preserve"> </w:t>
      </w:r>
      <w:hyperlink w:anchor="ref-Maass2002LSM">
        <w:r>
          <w:rPr>
            <w:rStyle w:val="Hyperlink"/>
          </w:rPr>
          <w:t xml:space="preserve">Maass et al., 2002</w:t>
        </w:r>
      </w:hyperlink>
      <w:r>
        <w:rPr>
          <w:sz w:val="20"/>
        </w:rPr>
        <w:t xml:space="preserve">;</w:t>
      </w:r>
      <w:r>
        <w:rPr>
          <w:sz w:val="20"/>
        </w:rPr>
        <w:t xml:space="preserve"> </w:t>
      </w:r>
      <w:hyperlink w:anchor="ref-Pfeifer2006">
        <w:r>
          <w:rPr>
            <w:rStyle w:val="Hyperlink"/>
          </w:rPr>
          <w:t xml:space="preserve">Pfeifer &amp; Bongard, 2006</w:t>
        </w:r>
      </w:hyperlink>
      <w:r>
        <w:rPr>
          <w:sz w:val="20"/>
        </w:rPr>
        <w:t xml:space="preserve">;</w:t>
      </w:r>
      <w:r>
        <w:rPr>
          <w:sz w:val="20"/>
        </w:rPr>
        <w:t xml:space="preserve"> </w:t>
      </w:r>
      <w:hyperlink w:anchor="ref-Song2000">
        <w:r>
          <w:rPr>
            <w:rStyle w:val="Hyperlink"/>
          </w:rPr>
          <w:t xml:space="preserve">Song et al., 2000</w:t>
        </w:r>
      </w:hyperlink>
      <w:r>
        <w:rPr>
          <w:sz w:val="20"/>
        </w:rPr>
        <w:t xml:space="preserve">;</w:t>
      </w:r>
      <w:r>
        <w:rPr>
          <w:sz w:val="20"/>
        </w:rPr>
        <w:t xml:space="preserve"> </w:t>
      </w:r>
      <w:hyperlink w:anchor="ref-Turrigiano2004">
        <w:r>
          <w:rPr>
            <w:rStyle w:val="Hyperlink"/>
          </w:rPr>
          <w:t xml:space="preserve">Turrigiano &amp; Nelson, 2004</w:t>
        </w:r>
      </w:hyperlink>
      <w:r>
        <w:rPr>
          <w:sz w:val="20"/>
        </w:rPr>
        <w:t xml:space="preserve">). Der angestrebte Beitrag liegt in einer spezifischen Kombination:</w:t>
      </w:r>
    </w:p>
    <w:p>
      <w:pPr>
        <w:keepLines/>
        <w:numPr>
          <w:ilvl w:val="0"/>
          <w:numId w:val="1001"/>
        </w:numPr>
        <w:spacing w:after="120"/>
        <w:jc w:val="left"/>
      </w:pPr>
      <w:r>
        <w:rPr>
          <w:sz w:val="20"/>
        </w:rPr>
        <w:t xml:space="preserve">eine explizit prüfbare fünfdimensionale Adress- und Geometriehypothese;</w:t>
      </w:r>
    </w:p>
    <w:p>
      <w:pPr>
        <w:keepLines/>
        <w:numPr>
          <w:ilvl w:val="0"/>
          <w:numId w:val="1001"/>
        </w:numPr>
        <w:spacing w:after="120"/>
        <w:jc w:val="left"/>
      </w:pPr>
      <w:r>
        <w:rPr>
          <w:sz w:val="20"/>
        </w:rPr>
        <w:t xml:space="preserve">eine dynamische, sparse materialisierte Graphstruktur mit funktionaler und struktureller Plastizität;</w:t>
      </w:r>
    </w:p>
    <w:p>
      <w:pPr>
        <w:keepLines/>
        <w:numPr>
          <w:ilvl w:val="0"/>
          <w:numId w:val="1001"/>
        </w:numPr>
        <w:spacing w:after="120"/>
        <w:jc w:val="left"/>
      </w:pPr>
      <w:r>
        <w:rPr>
          <w:sz w:val="20"/>
        </w:rPr>
        <w:t xml:space="preserve">harte Kausalitätsgrenzen zwischen neuronalem Kern, Language Organ, Retrieval, Wissensaufnahme und realen Aktoren;</w:t>
      </w:r>
    </w:p>
    <w:p>
      <w:pPr>
        <w:keepLines/>
        <w:numPr>
          <w:ilvl w:val="0"/>
          <w:numId w:val="1001"/>
        </w:numPr>
        <w:spacing w:after="120"/>
        <w:jc w:val="left"/>
      </w:pPr>
      <w:r>
        <w:rPr>
          <w:sz w:val="20"/>
        </w:rPr>
        <w:t xml:space="preserve">die formale Trennung von Messung, Interpretation, Intervention und Faktstatus;</w:t>
      </w:r>
    </w:p>
    <w:p>
      <w:pPr>
        <w:keepLines/>
        <w:numPr>
          <w:ilvl w:val="0"/>
          <w:numId w:val="1001"/>
        </w:numPr>
        <w:spacing w:after="120"/>
        <w:jc w:val="left"/>
      </w:pPr>
      <w:r>
        <w:rPr>
          <w:sz w:val="20"/>
        </w:rPr>
        <w:t xml:space="preserve">ein Storage- und Digital-State-Twin-Konzept, das vollständige Rekonstruktion und Provenienz wissenschaftlicher Läufe anstrebt;</w:t>
      </w:r>
    </w:p>
    <w:p>
      <w:pPr>
        <w:keepLines/>
        <w:numPr>
          <w:ilvl w:val="0"/>
          <w:numId w:val="1001"/>
        </w:numPr>
        <w:spacing w:after="120"/>
        <w:jc w:val="left"/>
      </w:pPr>
      <w:r>
        <w:rPr>
          <w:sz w:val="20"/>
        </w:rPr>
        <w:t xml:space="preserve">ein Claim–Experiment–Evidence-Register, das Theorie, Implementierung, Daten und Befunde versioniert verbindet;</w:t>
      </w:r>
    </w:p>
    <w:p>
      <w:pPr>
        <w:keepLines/>
        <w:numPr>
          <w:ilvl w:val="0"/>
          <w:numId w:val="1001"/>
        </w:numPr>
        <w:spacing w:after="120"/>
        <w:jc w:val="left"/>
      </w:pPr>
      <w:r>
        <w:rPr>
          <w:sz w:val="20"/>
        </w:rPr>
        <w:t xml:space="preserve">ein Falsifikationsprogramm, in dem 5D, Plastizitätsmechanismen, LLM-Anteile und emergente Strukturen durch kontrollierte Ablationen geprüft werden.</w:t>
      </w:r>
    </w:p>
    <w:bookmarkEnd w:id="35"/>
    <w:bookmarkStart w:id="36" w:name="teilforschungsfragen"/>
    <w:p>
      <w:pPr>
        <w:pStyle w:val="Heading3"/>
        <w:keepLines/>
        <w:spacing w:after="120"/>
        <w:jc w:val="left"/>
      </w:pPr>
      <w:r>
        <w:rPr>
          <w:sz w:val="20"/>
        </w:rPr>
        <w:t xml:space="preserve">Teilforschungsfragen</w:t>
      </w:r>
    </w:p>
    <w:p>
      <w:pPr>
        <w:pStyle w:val="Caption"/>
        <w:keepNext/>
        <w:keepLines/>
        <w:spacing w:before="180" w:after="120"/>
        <w:jc w:val="left"/>
      </w:pPr>
      <w:r>
        <w:rPr>
          <w:sz w:val="20"/>
        </w:rPr>
        <w:t>Tabelle 2. Technische Forschungsfragen RQ1 bis RQ10</w:t>
      </w:r>
    </w:p>
    <w:tbl>
      <w:tblPr>
        <w:tblStyle w:val="Table"/>
        <w:tblW w:type="pct" w:w="4962"/>
        <w:jc w:val="center"/>
        <w:tblLayout w:type="fixed"/>
        <w:tblLook w:firstRow="1" w:lastRow="0" w:firstColumn="0" w:lastColumn="0" w:noHBand="0" w:noVBand="0" w:val="0020"/>
        <w:tblInd w:w="0" w:type="dxa"/>
        <w:tblCellMar>
          <w:top w:w="70" w:type="dxa"/>
          <w:bottom w:w="70" w:type="dxa"/>
          <w:left w:w="85" w:type="dxa"/>
          <w:right w:w="85" w:type="dxa"/>
        </w:tblCellMar>
        <w:tblBorders>
          <w:top w:val="single" w:sz="4" w:color="CCD4D9"/>
          <w:bottom w:val="single" w:sz="4" w:color="CCD4D9"/>
          <w:insideH w:val="single" w:sz="4" w:color="CCD4D9"/>
          <w:left w:val="nil"/>
          <w:right w:val="nil"/>
          <w:insideV w:val="nil"/>
        </w:tblBorders>
      </w:tblPr>
      <w:tblGrid>
        <w:gridCol w:w="1440"/>
        <w:gridCol w:w="5760"/>
        <w:gridCol w:w="2650"/>
      </w:tblGrid>
      <w:tr>
        <w:trPr>
          <w:tblHeader w:val="on"/>
          <w:cantSplit/>
          <w:tblHeader/>
        </w:trPr>
        <w:tc>
          <w:tcPr>
            <w:tcW w:type="dxa" w:w="1440"/>
            <w:vAlign w:val="center"/>
            <w:shd w:fill="E9EFF3"/>
          </w:tcPr>
          <w:p>
            <w:pPr>
              <w:pStyle w:val="Compact"/>
              <w:keepNext w:val="0"/>
              <w:keepLines/>
              <w:spacing w:before="20" w:after="20" w:line="250" w:lineRule="auto"/>
              <w:jc w:val="center"/>
            </w:pPr>
            <w:r>
              <w:rPr>
                <w:rFonts w:ascii="Liberation Sans" w:hAnsi="Liberation Sans"/>
                <w:b/>
                <w:bCs/>
                <w:sz w:val="19"/>
              </w:rPr>
              <w:t xml:space="preserve">Kennung</w:t>
            </w:r>
          </w:p>
        </w:tc>
        <w:tc>
          <w:tcPr>
            <w:tcW w:type="dxa" w:w="5760"/>
            <w:vAlign w:val="center"/>
            <w:shd w:fill="E9EFF3"/>
          </w:tcPr>
          <w:p>
            <w:pPr>
              <w:pStyle w:val="Compact"/>
              <w:keepNext w:val="0"/>
              <w:keepLines/>
              <w:spacing w:before="20" w:after="20" w:line="250" w:lineRule="auto"/>
              <w:jc w:val="left"/>
            </w:pPr>
            <w:r>
              <w:rPr>
                <w:rFonts w:ascii="Liberation Sans" w:hAnsi="Liberation Sans"/>
                <w:b/>
                <w:bCs/>
                <w:sz w:val="19"/>
              </w:rPr>
              <w:t xml:space="preserve">Forschungsfrage</w:t>
            </w:r>
          </w:p>
        </w:tc>
        <w:tc>
          <w:tcPr>
            <w:tcW w:type="dxa" w:w="2650"/>
            <w:vAlign w:val="center"/>
            <w:shd w:fill="E9EFF3"/>
          </w:tcPr>
          <w:p>
            <w:pPr>
              <w:pStyle w:val="Compact"/>
              <w:keepNext w:val="0"/>
              <w:keepLines/>
              <w:spacing w:before="20" w:after="20" w:line="250" w:lineRule="auto"/>
              <w:jc w:val="left"/>
            </w:pPr>
            <w:r>
              <w:rPr>
                <w:rFonts w:ascii="Liberation Sans" w:hAnsi="Liberation Sans"/>
                <w:b/>
                <w:bCs/>
                <w:sz w:val="19"/>
              </w:rPr>
              <w:t xml:space="preserve">Primärer Nachweistyp</w:t>
            </w:r>
          </w:p>
        </w:tc>
      </w:tr>
      <w:tr>
        <w:trPr>
          <w:cantSplit/>
        </w:trPr>
        <w:tc>
          <w:tcPr>
            <w:tcW w:type="dxa" w:w="1440"/>
            <w:vAlign w:val="center"/>
          </w:tcPr>
          <w:p>
            <w:pPr>
              <w:pStyle w:val="Compact"/>
              <w:keepNext w:val="0"/>
              <w:keepLines/>
              <w:spacing w:before="20" w:after="20" w:line="250" w:lineRule="auto"/>
              <w:jc w:val="center"/>
            </w:pPr>
            <w:r>
              <w:rPr>
                <w:rFonts w:ascii="Liberation Sans" w:hAnsi="Liberation Sans"/>
                <w:sz w:val="19"/>
              </w:rPr>
              <w:t xml:space="preserve">RQ1 — Geometrie</w:t>
            </w:r>
          </w:p>
        </w:tc>
        <w:tc>
          <w:tcPr>
            <w:tcW w:type="dxa" w:w="5760"/>
            <w:vAlign w:val="center"/>
          </w:tcPr>
          <w:p>
            <w:pPr>
              <w:pStyle w:val="Compact"/>
              <w:keepNext w:val="0"/>
              <w:keepLines/>
              <w:spacing w:before="20" w:after="20" w:line="250" w:lineRule="auto"/>
              <w:jc w:val="left"/>
            </w:pPr>
            <w:r>
              <w:rPr>
                <w:rFonts w:ascii="Liberation Sans" w:hAnsi="Liberation Sans"/>
                <w:sz w:val="19"/>
              </w:rPr>
              <w:t xml:space="preserve">Verbessert eine fünfdimensionale beziehungsweise gelernte Metrik bei kontrollierten Ressourcen Modularität, Retention oder Generalisierung gegenüber 2D–6D und nichtgeometrischen Kontrollen?</w:t>
            </w:r>
          </w:p>
        </w:tc>
        <w:tc>
          <w:tcPr>
            <w:tcW w:type="dxa" w:w="2650"/>
            <w:vAlign w:val="center"/>
          </w:tcPr>
          <w:p>
            <w:pPr>
              <w:pStyle w:val="Compact"/>
              <w:keepNext w:val="0"/>
              <w:keepLines/>
              <w:spacing w:before="20" w:after="20" w:line="250" w:lineRule="auto"/>
              <w:jc w:val="left"/>
            </w:pPr>
            <w:r>
              <w:rPr>
                <w:rFonts w:ascii="Liberation Sans" w:hAnsi="Liberation Sans"/>
                <w:sz w:val="19"/>
              </w:rPr>
              <w:t xml:space="preserve">Dimensions- und Metrikablation</w:t>
            </w:r>
          </w:p>
        </w:tc>
      </w:tr>
      <w:tr>
        <w:trPr>
          <w:cantSplit/>
        </w:trPr>
        <w:tc>
          <w:tcPr>
            <w:tcW w:type="dxa" w:w="1440"/>
            <w:vAlign w:val="center"/>
          </w:tcPr>
          <w:p>
            <w:pPr>
              <w:pStyle w:val="Compact"/>
              <w:keepNext w:val="0"/>
              <w:keepLines/>
              <w:spacing w:before="20" w:after="20" w:line="250" w:lineRule="auto"/>
              <w:jc w:val="center"/>
            </w:pPr>
            <w:r>
              <w:rPr>
                <w:rFonts w:ascii="Liberation Sans" w:hAnsi="Liberation Sans"/>
                <w:sz w:val="19"/>
              </w:rPr>
              <w:t xml:space="preserve">RQ2 — Dynamik</w:t>
            </w:r>
          </w:p>
        </w:tc>
        <w:tc>
          <w:tcPr>
            <w:tcW w:type="dxa" w:w="5760"/>
            <w:vAlign w:val="center"/>
          </w:tcPr>
          <w:p>
            <w:pPr>
              <w:pStyle w:val="Compact"/>
              <w:keepNext w:val="0"/>
              <w:keepLines/>
              <w:spacing w:before="20" w:after="20" w:line="250" w:lineRule="auto"/>
              <w:jc w:val="left"/>
            </w:pPr>
            <w:r>
              <w:rPr>
                <w:rFonts w:ascii="Liberation Sans" w:hAnsi="Liberation Sans"/>
                <w:sz w:val="19"/>
              </w:rPr>
              <w:t xml:space="preserve">In welchen Parameterregimen bleibt das System aktiv, plastisch und begrenzt, ohne in Stille, Sättigung oder globale Synchronisation zu kollabieren?</w:t>
            </w:r>
          </w:p>
        </w:tc>
        <w:tc>
          <w:tcPr>
            <w:tcW w:type="dxa" w:w="2650"/>
            <w:vAlign w:val="center"/>
          </w:tcPr>
          <w:p>
            <w:pPr>
              <w:pStyle w:val="Compact"/>
              <w:keepNext w:val="0"/>
              <w:keepLines/>
              <w:spacing w:before="20" w:after="20" w:line="250" w:lineRule="auto"/>
              <w:jc w:val="left"/>
            </w:pPr>
            <w:r>
              <w:rPr>
                <w:rFonts w:ascii="Liberation Sans" w:hAnsi="Liberation Sans"/>
                <w:sz w:val="19"/>
              </w:rPr>
              <w:t xml:space="preserve">Stabilitäts- und Phasenanalyse</w:t>
            </w:r>
          </w:p>
        </w:tc>
      </w:tr>
      <w:tr>
        <w:trPr>
          <w:cantSplit/>
        </w:trPr>
        <w:tc>
          <w:tcPr>
            <w:tcW w:type="dxa" w:w="1440"/>
            <w:vAlign w:val="center"/>
          </w:tcPr>
          <w:p>
            <w:pPr>
              <w:pStyle w:val="Compact"/>
              <w:keepNext w:val="0"/>
              <w:keepLines/>
              <w:spacing w:before="20" w:after="20" w:line="250" w:lineRule="auto"/>
              <w:jc w:val="center"/>
            </w:pPr>
            <w:r>
              <w:rPr>
                <w:rFonts w:ascii="Liberation Sans" w:hAnsi="Liberation Sans"/>
                <w:sz w:val="19"/>
              </w:rPr>
              <w:t xml:space="preserve">RQ3 — Plastizität</w:t>
            </w:r>
          </w:p>
        </w:tc>
        <w:tc>
          <w:tcPr>
            <w:tcW w:type="dxa" w:w="5760"/>
            <w:vAlign w:val="center"/>
          </w:tcPr>
          <w:p>
            <w:pPr>
              <w:pStyle w:val="Compact"/>
              <w:keepNext w:val="0"/>
              <w:keepLines/>
              <w:spacing w:before="20" w:after="20" w:line="250" w:lineRule="auto"/>
              <w:jc w:val="left"/>
            </w:pPr>
            <w:r>
              <w:rPr>
                <w:rFonts w:ascii="Liberation Sans" w:hAnsi="Liberation Sans"/>
                <w:sz w:val="19"/>
              </w:rPr>
              <w:t xml:space="preserve">Welchen kausalen Beitrag leisten STDP, Three-Factor-Regeln, inhibitorische Plastizität, Homöostase, Metaplastizität und strukturelle Anpassung?</w:t>
            </w:r>
          </w:p>
        </w:tc>
        <w:tc>
          <w:tcPr>
            <w:tcW w:type="dxa" w:w="2650"/>
            <w:vAlign w:val="center"/>
          </w:tcPr>
          <w:p>
            <w:pPr>
              <w:pStyle w:val="Compact"/>
              <w:keepNext w:val="0"/>
              <w:keepLines/>
              <w:spacing w:before="20" w:after="20" w:line="250" w:lineRule="auto"/>
              <w:jc w:val="left"/>
            </w:pPr>
            <w:r>
              <w:rPr>
                <w:rFonts w:ascii="Liberation Sans" w:hAnsi="Liberation Sans"/>
                <w:sz w:val="19"/>
              </w:rPr>
              <w:t xml:space="preserve">Mechanismenablation</w:t>
            </w:r>
          </w:p>
        </w:tc>
      </w:tr>
      <w:tr>
        <w:trPr>
          <w:cantSplit/>
        </w:trPr>
        <w:tc>
          <w:tcPr>
            <w:tcW w:type="dxa" w:w="1440"/>
            <w:vAlign w:val="center"/>
          </w:tcPr>
          <w:p>
            <w:pPr>
              <w:pStyle w:val="Compact"/>
              <w:keepNext w:val="0"/>
              <w:keepLines/>
              <w:spacing w:before="20" w:after="20" w:line="250" w:lineRule="auto"/>
              <w:jc w:val="center"/>
            </w:pPr>
            <w:r>
              <w:rPr>
                <w:rFonts w:ascii="Liberation Sans" w:hAnsi="Liberation Sans"/>
                <w:sz w:val="19"/>
              </w:rPr>
              <w:t xml:space="preserve">RQ4 — Repräsentation</w:t>
            </w:r>
          </w:p>
        </w:tc>
        <w:tc>
          <w:tcPr>
            <w:tcW w:type="dxa" w:w="5760"/>
            <w:vAlign w:val="center"/>
          </w:tcPr>
          <w:p>
            <w:pPr>
              <w:pStyle w:val="Compact"/>
              <w:keepNext w:val="0"/>
              <w:keepLines/>
              <w:spacing w:before="20" w:after="20" w:line="250" w:lineRule="auto"/>
              <w:jc w:val="left"/>
            </w:pPr>
            <w:r>
              <w:rPr>
                <w:rFonts w:ascii="Liberation Sans" w:hAnsi="Liberation Sans"/>
                <w:sz w:val="19"/>
              </w:rPr>
              <w:t xml:space="preserve">Enthalten interne Zustände stimulus-, handlungs- oder kontextbezogene Information, die über Beispiele und Zeit generalisiert?</w:t>
            </w:r>
          </w:p>
        </w:tc>
        <w:tc>
          <w:tcPr>
            <w:tcW w:type="dxa" w:w="2650"/>
            <w:vAlign w:val="center"/>
          </w:tcPr>
          <w:p>
            <w:pPr>
              <w:pStyle w:val="Compact"/>
              <w:keepNext w:val="0"/>
              <w:keepLines/>
              <w:spacing w:before="20" w:after="20" w:line="250" w:lineRule="auto"/>
              <w:jc w:val="left"/>
            </w:pPr>
            <w:r>
              <w:rPr>
                <w:rFonts w:ascii="Liberation Sans" w:hAnsi="Liberation Sans"/>
                <w:sz w:val="19"/>
              </w:rPr>
              <w:t xml:space="preserve">Dekodierung, RSA, Informationstheorie</w:t>
            </w:r>
          </w:p>
        </w:tc>
      </w:tr>
      <w:tr>
        <w:trPr>
          <w:cantSplit/>
        </w:trPr>
        <w:tc>
          <w:tcPr>
            <w:tcW w:type="dxa" w:w="1440"/>
            <w:vAlign w:val="center"/>
          </w:tcPr>
          <w:p>
            <w:pPr>
              <w:pStyle w:val="Compact"/>
              <w:keepNext w:val="0"/>
              <w:keepLines/>
              <w:spacing w:before="20" w:after="20" w:line="250" w:lineRule="auto"/>
              <w:jc w:val="center"/>
            </w:pPr>
            <w:r>
              <w:rPr>
                <w:rFonts w:ascii="Liberation Sans" w:hAnsi="Liberation Sans"/>
                <w:sz w:val="19"/>
              </w:rPr>
              <w:t xml:space="preserve">RQ5 — Gedächtnis</w:t>
            </w:r>
          </w:p>
        </w:tc>
        <w:tc>
          <w:tcPr>
            <w:tcW w:type="dxa" w:w="5760"/>
            <w:vAlign w:val="center"/>
          </w:tcPr>
          <w:p>
            <w:pPr>
              <w:pStyle w:val="Compact"/>
              <w:keepNext w:val="0"/>
              <w:keepLines/>
              <w:spacing w:before="20" w:after="20" w:line="250" w:lineRule="auto"/>
              <w:jc w:val="left"/>
            </w:pPr>
            <w:r>
              <w:rPr>
                <w:rFonts w:ascii="Liberation Sans" w:hAnsi="Liberation Sans"/>
                <w:sz w:val="19"/>
              </w:rPr>
              <w:t xml:space="preserve">Bleiben lerninduzierte Zustandsänderungen ohne Retrieval oder erneute Informationsbereitstellung cue-abhängig abrufbar?</w:t>
            </w:r>
          </w:p>
        </w:tc>
        <w:tc>
          <w:tcPr>
            <w:tcW w:type="dxa" w:w="2650"/>
            <w:vAlign w:val="center"/>
          </w:tcPr>
          <w:p>
            <w:pPr>
              <w:pStyle w:val="Compact"/>
              <w:keepNext w:val="0"/>
              <w:keepLines/>
              <w:spacing w:before="20" w:after="20" w:line="250" w:lineRule="auto"/>
              <w:jc w:val="left"/>
            </w:pPr>
            <w:r>
              <w:rPr>
                <w:rFonts w:ascii="Liberation Sans" w:hAnsi="Liberation Sans"/>
                <w:sz w:val="19"/>
              </w:rPr>
              <w:t xml:space="preserve">isolierter Recall</w:t>
            </w:r>
          </w:p>
        </w:tc>
      </w:tr>
      <w:tr>
        <w:trPr>
          <w:cantSplit/>
        </w:trPr>
        <w:tc>
          <w:tcPr>
            <w:tcW w:type="dxa" w:w="1440"/>
            <w:vAlign w:val="center"/>
          </w:tcPr>
          <w:p>
            <w:pPr>
              <w:pStyle w:val="Compact"/>
              <w:keepNext w:val="0"/>
              <w:keepLines/>
              <w:spacing w:before="20" w:after="20" w:line="250" w:lineRule="auto"/>
              <w:jc w:val="center"/>
            </w:pPr>
            <w:r>
              <w:rPr>
                <w:rFonts w:ascii="Liberation Sans" w:hAnsi="Liberation Sans"/>
                <w:sz w:val="19"/>
              </w:rPr>
              <w:t xml:space="preserve">RQ6 — Continual Learning</w:t>
            </w:r>
          </w:p>
        </w:tc>
        <w:tc>
          <w:tcPr>
            <w:tcW w:type="dxa" w:w="5760"/>
            <w:vAlign w:val="center"/>
          </w:tcPr>
          <w:p>
            <w:pPr>
              <w:pStyle w:val="Compact"/>
              <w:keepNext w:val="0"/>
              <w:keepLines/>
              <w:spacing w:before="20" w:after="20" w:line="250" w:lineRule="auto"/>
              <w:jc w:val="left"/>
            </w:pPr>
            <w:r>
              <w:rPr>
                <w:rFonts w:ascii="Liberation Sans" w:hAnsi="Liberation Sans"/>
                <w:sz w:val="19"/>
              </w:rPr>
              <w:t xml:space="preserve">Wie verändern Stabilitäts- und Konsolidierungsmechanismen Interferenz, Forgetting und Vorwärts-/Rückwärtstransfer?</w:t>
            </w:r>
          </w:p>
        </w:tc>
        <w:tc>
          <w:tcPr>
            <w:tcW w:type="dxa" w:w="2650"/>
            <w:vAlign w:val="center"/>
          </w:tcPr>
          <w:p>
            <w:pPr>
              <w:pStyle w:val="Compact"/>
              <w:keepNext w:val="0"/>
              <w:keepLines/>
              <w:spacing w:before="20" w:after="20" w:line="250" w:lineRule="auto"/>
              <w:jc w:val="left"/>
            </w:pPr>
            <w:r>
              <w:rPr>
                <w:rFonts w:ascii="Liberation Sans" w:hAnsi="Liberation Sans"/>
                <w:sz w:val="19"/>
              </w:rPr>
              <w:t xml:space="preserve">Aufgabenfolgen</w:t>
            </w:r>
          </w:p>
        </w:tc>
      </w:tr>
      <w:tr>
        <w:trPr>
          <w:cantSplit/>
        </w:trPr>
        <w:tc>
          <w:tcPr>
            <w:tcW w:type="dxa" w:w="1440"/>
            <w:vAlign w:val="center"/>
          </w:tcPr>
          <w:p>
            <w:pPr>
              <w:pStyle w:val="Compact"/>
              <w:keepNext w:val="0"/>
              <w:keepLines/>
              <w:spacing w:before="20" w:after="20" w:line="250" w:lineRule="auto"/>
              <w:jc w:val="center"/>
            </w:pPr>
            <w:r>
              <w:rPr>
                <w:rFonts w:ascii="Liberation Sans" w:hAnsi="Liberation Sans"/>
                <w:sz w:val="19"/>
              </w:rPr>
              <w:t xml:space="preserve">RQ7 — Embodiment</w:t>
            </w:r>
          </w:p>
        </w:tc>
        <w:tc>
          <w:tcPr>
            <w:tcW w:type="dxa" w:w="5760"/>
            <w:vAlign w:val="center"/>
          </w:tcPr>
          <w:p>
            <w:pPr>
              <w:pStyle w:val="Compact"/>
              <w:keepNext w:val="0"/>
              <w:keepLines/>
              <w:spacing w:before="20" w:after="20" w:line="250" w:lineRule="auto"/>
              <w:jc w:val="left"/>
            </w:pPr>
            <w:r>
              <w:rPr>
                <w:rFonts w:ascii="Liberation Sans" w:hAnsi="Liberation Sans"/>
                <w:sz w:val="19"/>
              </w:rPr>
              <w:t xml:space="preserve">Erzeugt eine geschlossene Wahrnehmungs-Handlungs-Schleife andere interne Strukturen als eine offene Stimuluspipeline?</w:t>
            </w:r>
          </w:p>
        </w:tc>
        <w:tc>
          <w:tcPr>
            <w:tcW w:type="dxa" w:w="2650"/>
            <w:vAlign w:val="center"/>
          </w:tcPr>
          <w:p>
            <w:pPr>
              <w:pStyle w:val="Compact"/>
              <w:keepNext w:val="0"/>
              <w:keepLines/>
              <w:spacing w:before="20" w:after="20" w:line="250" w:lineRule="auto"/>
              <w:jc w:val="left"/>
            </w:pPr>
            <w:r>
              <w:rPr>
                <w:rFonts w:ascii="Liberation Sans" w:hAnsi="Liberation Sans"/>
                <w:sz w:val="19"/>
              </w:rPr>
              <w:t xml:space="preserve">Open-/Closed-Loop-Vergleich</w:t>
            </w:r>
          </w:p>
        </w:tc>
      </w:tr>
      <w:tr>
        <w:trPr>
          <w:cantSplit/>
        </w:trPr>
        <w:tc>
          <w:tcPr>
            <w:tcW w:type="dxa" w:w="1440"/>
            <w:vAlign w:val="center"/>
          </w:tcPr>
          <w:p>
            <w:pPr>
              <w:pStyle w:val="Compact"/>
              <w:keepNext w:val="0"/>
              <w:keepLines/>
              <w:spacing w:before="20" w:after="20" w:line="250" w:lineRule="auto"/>
              <w:jc w:val="center"/>
            </w:pPr>
            <w:r>
              <w:rPr>
                <w:rFonts w:ascii="Liberation Sans" w:hAnsi="Liberation Sans"/>
                <w:sz w:val="19"/>
              </w:rPr>
              <w:t xml:space="preserve">RQ8 — Language Organ</w:t>
            </w:r>
          </w:p>
        </w:tc>
        <w:tc>
          <w:tcPr>
            <w:tcW w:type="dxa" w:w="5760"/>
            <w:vAlign w:val="center"/>
          </w:tcPr>
          <w:p>
            <w:pPr>
              <w:pStyle w:val="Compact"/>
              <w:keepNext w:val="0"/>
              <w:keepLines/>
              <w:spacing w:before="20" w:after="20" w:line="250" w:lineRule="auto"/>
              <w:jc w:val="left"/>
            </w:pPr>
            <w:r>
              <w:rPr>
                <w:rFonts w:ascii="Liberation Sans" w:hAnsi="Liberation Sans"/>
                <w:sz w:val="19"/>
              </w:rPr>
              <w:t xml:space="preserve">Welche beobachtbare Leistung stammt aus SNN, Encoder, Decoder, Retrieval, PolicyGate oder LLM?</w:t>
            </w:r>
          </w:p>
        </w:tc>
        <w:tc>
          <w:tcPr>
            <w:tcW w:type="dxa" w:w="2650"/>
            <w:vAlign w:val="center"/>
          </w:tcPr>
          <w:p>
            <w:pPr>
              <w:pStyle w:val="Compact"/>
              <w:keepNext w:val="0"/>
              <w:keepLines/>
              <w:spacing w:before="20" w:after="20" w:line="250" w:lineRule="auto"/>
              <w:jc w:val="left"/>
            </w:pPr>
            <w:r>
              <w:rPr>
                <w:rFonts w:ascii="Liberation Sans" w:hAnsi="Liberation Sans"/>
                <w:sz w:val="19"/>
              </w:rPr>
              <w:t xml:space="preserve">Komponentenisolation</w:t>
            </w:r>
          </w:p>
        </w:tc>
      </w:tr>
      <w:tr>
        <w:trPr>
          <w:cantSplit/>
        </w:trPr>
        <w:tc>
          <w:tcPr>
            <w:tcW w:type="dxa" w:w="1440"/>
            <w:vAlign w:val="center"/>
          </w:tcPr>
          <w:p>
            <w:pPr>
              <w:pStyle w:val="Compact"/>
              <w:keepNext w:val="0"/>
              <w:keepLines/>
              <w:spacing w:before="20" w:after="20" w:line="250" w:lineRule="auto"/>
              <w:jc w:val="center"/>
            </w:pPr>
            <w:r>
              <w:rPr>
                <w:rFonts w:ascii="Liberation Sans" w:hAnsi="Liberation Sans"/>
                <w:sz w:val="19"/>
              </w:rPr>
              <w:t xml:space="preserve">RQ9 — Emergenz</w:t>
            </w:r>
          </w:p>
        </w:tc>
        <w:tc>
          <w:tcPr>
            <w:tcW w:type="dxa" w:w="5760"/>
            <w:vAlign w:val="center"/>
          </w:tcPr>
          <w:p>
            <w:pPr>
              <w:pStyle w:val="Compact"/>
              <w:keepNext w:val="0"/>
              <w:keepLines/>
              <w:spacing w:before="20" w:after="20" w:line="250" w:lineRule="auto"/>
              <w:jc w:val="left"/>
            </w:pPr>
            <w:r>
              <w:rPr>
                <w:rFonts w:ascii="Liberation Sans" w:hAnsi="Liberation Sans"/>
                <w:sz w:val="19"/>
              </w:rPr>
              <w:t xml:space="preserve">Entstehen nicht direkt programmierte Strukturen oder Dynamiken, und besitzen sie kausale funktionale Relevanz?</w:t>
            </w:r>
          </w:p>
        </w:tc>
        <w:tc>
          <w:tcPr>
            <w:tcW w:type="dxa" w:w="2650"/>
            <w:vAlign w:val="center"/>
          </w:tcPr>
          <w:p>
            <w:pPr>
              <w:pStyle w:val="Compact"/>
              <w:keepNext w:val="0"/>
              <w:keepLines/>
              <w:spacing w:before="20" w:after="20" w:line="250" w:lineRule="auto"/>
              <w:jc w:val="left"/>
            </w:pPr>
            <w:r>
              <w:rPr>
                <w:rFonts w:ascii="Liberation Sans" w:hAnsi="Liberation Sans"/>
                <w:sz w:val="19"/>
              </w:rPr>
              <w:t xml:space="preserve">Intervention und matched lesion</w:t>
            </w:r>
          </w:p>
        </w:tc>
      </w:tr>
      <w:tr>
        <w:trPr>
          <w:cantSplit/>
        </w:trPr>
        <w:tc>
          <w:tcPr>
            <w:tcW w:type="dxa" w:w="1440"/>
            <w:vAlign w:val="center"/>
          </w:tcPr>
          <w:p>
            <w:pPr>
              <w:pStyle w:val="Compact"/>
              <w:keepNext w:val="0"/>
              <w:keepLines/>
              <w:spacing w:before="20" w:after="20" w:line="250" w:lineRule="auto"/>
              <w:jc w:val="center"/>
            </w:pPr>
            <w:r>
              <w:rPr>
                <w:rFonts w:ascii="Liberation Sans" w:hAnsi="Liberation Sans"/>
                <w:sz w:val="19"/>
              </w:rPr>
              <w:t xml:space="preserve">RQ10 — Skalierung</w:t>
            </w:r>
          </w:p>
        </w:tc>
        <w:tc>
          <w:tcPr>
            <w:tcW w:type="dxa" w:w="5760"/>
            <w:vAlign w:val="center"/>
          </w:tcPr>
          <w:p>
            <w:pPr>
              <w:pStyle w:val="Compact"/>
              <w:keepNext w:val="0"/>
              <w:keepLines/>
              <w:spacing w:before="20" w:after="20" w:line="250" w:lineRule="auto"/>
              <w:jc w:val="left"/>
            </w:pPr>
            <w:r>
              <w:rPr>
                <w:rFonts w:ascii="Liberation Sans" w:hAnsi="Liberation Sans"/>
                <w:sz w:val="19"/>
              </w:rPr>
              <w:t xml:space="preserve">Welche Eigenschaften bleiben bei wachsender Netzwerkgröße, höherer Synapsendichte und verteilter Speicherung erhalten?</w:t>
            </w:r>
          </w:p>
        </w:tc>
        <w:tc>
          <w:tcPr>
            <w:tcW w:type="dxa" w:w="2650"/>
            <w:vAlign w:val="center"/>
          </w:tcPr>
          <w:p>
            <w:pPr>
              <w:pStyle w:val="Compact"/>
              <w:keepNext w:val="0"/>
              <w:keepLines/>
              <w:spacing w:before="20" w:after="20" w:line="250" w:lineRule="auto"/>
              <w:jc w:val="left"/>
            </w:pPr>
            <w:r>
              <w:rPr>
                <w:rFonts w:ascii="Liberation Sans" w:hAnsi="Liberation Sans"/>
                <w:sz w:val="19"/>
              </w:rPr>
              <w:t xml:space="preserve">Scaling Laws und Profiling</w:t>
            </w:r>
          </w:p>
        </w:tc>
      </w:tr>
    </w:tbl>
    <w:bookmarkEnd w:id="36"/>
    <w:bookmarkStart w:id="37" w:name="kernhypothese"/>
    <w:p>
      <w:pPr>
        <w:pStyle w:val="Heading3"/>
        <w:keepLines/>
        <w:spacing w:after="120"/>
        <w:jc w:val="left"/>
      </w:pPr>
      <w:r>
        <w:rPr>
          <w:sz w:val="20"/>
        </w:rPr>
        <w:t xml:space="preserve">Kernhypothese</w:t>
      </w:r>
    </w:p>
    <w:p>
      <w:pPr>
        <w:pStyle w:val="FirstParagraph"/>
        <w:keepLines/>
        <w:spacing w:after="120"/>
        <w:jc w:val="left"/>
      </w:pPr>
      <w:r>
        <w:rPr>
          <w:b/>
          <w:bCs/>
          <w:sz w:val="20"/>
        </w:rPr>
        <w:t xml:space="preserve">[E0 | HYPOTHESIS | CLAIM-CORE-001]</w:t>
      </w:r>
      <w:r>
        <w:rPr>
          <w:sz w:val="20"/>
        </w:rPr>
        <w:t xml:space="preserve"> </w:t>
      </w:r>
      <w:r>
        <w:rPr>
          <w:sz w:val="20"/>
        </w:rPr>
        <w:t xml:space="preserve">Ein rekurrentes Spiking-Netzwerk mit räumlich-funktionaler Topologie, lokaler zeitabhängiger Plastizität, homeostatischer Regulation, struktureller Anpassung, Ressourcenbegrenzung und geschlossener sensorisch-aktorischer Rückkopplung kann unter geeigneten Randbedingungen persistente und funktional unterscheidbare interne Zustände ausbilden, ohne dass diese Zustände explizit durch ein externes symbolisches Modell gesetzt werden.</w:t>
      </w:r>
    </w:p>
    <w:p>
      <w:pPr>
        <w:pStyle w:val="BodyText"/>
        <w:keepLines/>
        <w:spacing w:after="120"/>
        <w:jc w:val="left"/>
      </w:pPr>
      <w:r>
        <w:rPr>
          <w:sz w:val="20"/>
        </w:rPr>
        <w:t xml:space="preserve">Aus dieser Hypothese folgt weder Bewusstsein noch menschliches Verständnis, allgemeine Intelligenz oder biologische Äquivalenz. Sie behauptet zunächst nur die Möglichkeit funktional wirksamer, intern getragener Zustandsorganisation.</w:t>
      </w:r>
    </w:p>
    <w:bookmarkEnd w:id="37"/>
    <w:bookmarkEnd w:id="38"/>
    <w:bookmarkStart w:id="42" w:name="scope-und-non-scope"/>
    <w:p>
      <w:pPr>
        <w:pStyle w:val="Heading2"/>
      </w:pPr>
      <w:r>
        <w:t xml:space="preserve">Scope und Non-Scope</w:t>
      </w:r>
    </w:p>
    <w:bookmarkStart w:id="39" w:name="wissenschaftlicher-scope"/>
    <w:p>
      <w:pPr>
        <w:pStyle w:val="Heading3"/>
        <w:keepLines/>
        <w:spacing w:after="120"/>
        <w:jc w:val="left"/>
      </w:pPr>
      <w:r>
        <w:rPr>
          <w:sz w:val="20"/>
        </w:rPr>
        <w:t xml:space="preserve">Wissenschaftlicher Scope</w:t>
      </w:r>
    </w:p>
    <w:p>
      <w:pPr>
        <w:pStyle w:val="FirstParagraph"/>
        <w:keepLines/>
        <w:spacing w:after="120"/>
        <w:jc w:val="left"/>
      </w:pPr>
      <w:r>
        <w:rPr>
          <w:sz w:val="20"/>
        </w:rPr>
        <w:t xml:space="preserve">Brain-5D untersucht auf kontrollierbare Weise:</w:t>
      </w:r>
    </w:p>
    <w:p>
      <w:pPr>
        <w:pStyle w:val="Compact"/>
        <w:keepLines/>
        <w:numPr>
          <w:ilvl w:val="0"/>
          <w:numId w:val="1002"/>
        </w:numPr>
        <w:spacing w:after="120"/>
        <w:jc w:val="left"/>
      </w:pPr>
      <w:r>
        <w:rPr>
          <w:sz w:val="20"/>
        </w:rPr>
        <w:t xml:space="preserve">ereignisbasierte neuronale Dynamik auf mehreren Zeitskalen;</w:t>
      </w:r>
    </w:p>
    <w:p>
      <w:pPr>
        <w:pStyle w:val="Compact"/>
        <w:keepLines/>
        <w:numPr>
          <w:ilvl w:val="0"/>
          <w:numId w:val="1002"/>
        </w:numPr>
        <w:spacing w:after="120"/>
        <w:jc w:val="left"/>
      </w:pPr>
      <w:r>
        <w:rPr>
          <w:sz w:val="20"/>
        </w:rPr>
        <w:t xml:space="preserve">lokale, modulatorische, inhibitorische und homeostatische Plastizität;</w:t>
      </w:r>
    </w:p>
    <w:p>
      <w:pPr>
        <w:pStyle w:val="Compact"/>
        <w:keepLines/>
        <w:numPr>
          <w:ilvl w:val="0"/>
          <w:numId w:val="1002"/>
        </w:numPr>
        <w:spacing w:after="120"/>
        <w:jc w:val="left"/>
      </w:pPr>
      <w:r>
        <w:rPr>
          <w:sz w:val="20"/>
        </w:rPr>
        <w:t xml:space="preserve">dynamische Graphen mit Synapsenwachstum, Pruning und optionaler Neurogenese;</w:t>
      </w:r>
    </w:p>
    <w:p>
      <w:pPr>
        <w:pStyle w:val="Compact"/>
        <w:keepLines/>
        <w:numPr>
          <w:ilvl w:val="0"/>
          <w:numId w:val="1002"/>
        </w:numPr>
        <w:spacing w:after="120"/>
        <w:jc w:val="left"/>
      </w:pPr>
      <w:r>
        <w:rPr>
          <w:sz w:val="20"/>
        </w:rPr>
        <w:t xml:space="preserve">räumliche und funktionale Lokalität in einem fünfdimensionalen Adressraum;</w:t>
      </w:r>
    </w:p>
    <w:p>
      <w:pPr>
        <w:pStyle w:val="Compact"/>
        <w:keepLines/>
        <w:numPr>
          <w:ilvl w:val="0"/>
          <w:numId w:val="1002"/>
        </w:numPr>
        <w:spacing w:after="120"/>
        <w:jc w:val="left"/>
      </w:pPr>
      <w:r>
        <w:rPr>
          <w:sz w:val="20"/>
        </w:rPr>
        <w:t xml:space="preserve">Entstehung, Persistenz und Reaktivierung interner Zustände;</w:t>
      </w:r>
    </w:p>
    <w:p>
      <w:pPr>
        <w:pStyle w:val="Compact"/>
        <w:keepLines/>
        <w:numPr>
          <w:ilvl w:val="0"/>
          <w:numId w:val="1002"/>
        </w:numPr>
        <w:spacing w:after="120"/>
        <w:jc w:val="left"/>
      </w:pPr>
      <w:r>
        <w:rPr>
          <w:sz w:val="20"/>
        </w:rPr>
        <w:t xml:space="preserve">Continual Learning und den Stabilitäts-Plastizitäts-Konflikt;</w:t>
      </w:r>
    </w:p>
    <w:p>
      <w:pPr>
        <w:pStyle w:val="Compact"/>
        <w:keepLines/>
        <w:numPr>
          <w:ilvl w:val="0"/>
          <w:numId w:val="1002"/>
        </w:numPr>
        <w:spacing w:after="120"/>
        <w:jc w:val="left"/>
      </w:pPr>
      <w:r>
        <w:rPr>
          <w:sz w:val="20"/>
        </w:rPr>
        <w:t xml:space="preserve">multimodale und verkörperte Wahrnehmungs-Handlungs-Schleifen;</w:t>
      </w:r>
    </w:p>
    <w:p>
      <w:pPr>
        <w:pStyle w:val="Compact"/>
        <w:keepLines/>
        <w:numPr>
          <w:ilvl w:val="0"/>
          <w:numId w:val="1002"/>
        </w:numPr>
        <w:spacing w:after="120"/>
        <w:jc w:val="left"/>
      </w:pPr>
      <w:r>
        <w:rPr>
          <w:sz w:val="20"/>
        </w:rPr>
        <w:t xml:space="preserve">kontrollierte Kopplung an symbolische Modelle, Wissensquellen und natürliche Sprache;</w:t>
      </w:r>
    </w:p>
    <w:p>
      <w:pPr>
        <w:pStyle w:val="Compact"/>
        <w:keepLines/>
        <w:numPr>
          <w:ilvl w:val="0"/>
          <w:numId w:val="1002"/>
        </w:numPr>
        <w:spacing w:after="120"/>
        <w:jc w:val="left"/>
      </w:pPr>
      <w:r>
        <w:rPr>
          <w:sz w:val="20"/>
        </w:rPr>
        <w:t xml:space="preserve">skalierbare Persistenz, Rekonstruktion, Provenienz und evidenzgebundene Auswertung.</w:t>
      </w:r>
    </w:p>
    <w:bookmarkEnd w:id="39"/>
    <w:bookmarkStart w:id="40" w:name="expliziter-non-scope"/>
    <w:p>
      <w:pPr>
        <w:pStyle w:val="Heading3"/>
        <w:keepLines/>
        <w:spacing w:after="120"/>
        <w:jc w:val="left"/>
      </w:pPr>
      <w:r>
        <w:rPr>
          <w:sz w:val="20"/>
        </w:rPr>
        <w:t xml:space="preserve">Expliziter Non-Scope</w:t>
      </w:r>
    </w:p>
    <w:p>
      <w:pPr>
        <w:pStyle w:val="FirstParagraph"/>
        <w:keepLines/>
        <w:spacing w:after="120"/>
        <w:jc w:val="left"/>
      </w:pPr>
      <w:r>
        <w:rPr>
          <w:sz w:val="20"/>
        </w:rPr>
        <w:t xml:space="preserve">Brain-5D beansprucht in der vorliegenden Phase</w:t>
      </w:r>
      <w:r>
        <w:rPr>
          <w:sz w:val="20"/>
        </w:rPr>
        <w:t xml:space="preserve"> </w:t>
      </w:r>
      <w:r>
        <w:rPr>
          <w:b/>
          <w:bCs/>
          <w:sz w:val="20"/>
        </w:rPr>
        <w:t xml:space="preserve">nicht</w:t>
      </w:r>
      <w:r>
        <w:rPr>
          <w:sz w:val="20"/>
        </w:rPr>
        <w:t xml:space="preserve">:</w:t>
      </w:r>
    </w:p>
    <w:p>
      <w:pPr>
        <w:keepLines/>
        <w:numPr>
          <w:ilvl w:val="0"/>
          <w:numId w:val="1003"/>
        </w:numPr>
        <w:spacing w:after="120"/>
        <w:jc w:val="left"/>
      </w:pPr>
      <w:r>
        <w:rPr>
          <w:sz w:val="20"/>
        </w:rPr>
        <w:t xml:space="preserve">eine mikroskopisch vollständige Simulation biologischer Neuronen, Glia, Genexpression, Stoffwechsel oder Neurochemie;</w:t>
      </w:r>
    </w:p>
    <w:p>
      <w:pPr>
        <w:keepLines/>
        <w:numPr>
          <w:ilvl w:val="0"/>
          <w:numId w:val="1003"/>
        </w:numPr>
        <w:spacing w:after="120"/>
        <w:jc w:val="left"/>
      </w:pPr>
      <w:r>
        <w:rPr>
          <w:sz w:val="20"/>
        </w:rPr>
        <w:t xml:space="preserve">die anatomische Rekonstruktion eines menschlichen oder tierischen Gehirns;</w:t>
      </w:r>
    </w:p>
    <w:p>
      <w:pPr>
        <w:keepLines/>
        <w:numPr>
          <w:ilvl w:val="0"/>
          <w:numId w:val="1003"/>
        </w:numPr>
        <w:spacing w:after="120"/>
        <w:jc w:val="left"/>
      </w:pPr>
      <w:r>
        <w:rPr>
          <w:sz w:val="20"/>
        </w:rPr>
        <w:t xml:space="preserve">den Nachweis von Bewusstsein, Empfindungsfähigkeit, Intentionalität oder subjektivem Erleben;</w:t>
      </w:r>
    </w:p>
    <w:p>
      <w:pPr>
        <w:keepLines/>
        <w:numPr>
          <w:ilvl w:val="0"/>
          <w:numId w:val="1003"/>
        </w:numPr>
        <w:spacing w:after="120"/>
        <w:jc w:val="left"/>
      </w:pPr>
      <w:r>
        <w:rPr>
          <w:sz w:val="20"/>
        </w:rPr>
        <w:t xml:space="preserve">eine bereits bestehende allgemeine künstliche Intelligenz;</w:t>
      </w:r>
    </w:p>
    <w:p>
      <w:pPr>
        <w:keepLines/>
        <w:numPr>
          <w:ilvl w:val="0"/>
          <w:numId w:val="1003"/>
        </w:numPr>
        <w:spacing w:after="120"/>
        <w:jc w:val="left"/>
      </w:pPr>
      <w:r>
        <w:rPr>
          <w:sz w:val="20"/>
        </w:rPr>
        <w:t xml:space="preserve">eine semantische Garantie allein aufgrund dekodierbarer Aktivitätsmuster;</w:t>
      </w:r>
    </w:p>
    <w:p>
      <w:pPr>
        <w:keepLines/>
        <w:numPr>
          <w:ilvl w:val="0"/>
          <w:numId w:val="1003"/>
        </w:numPr>
        <w:spacing w:after="120"/>
        <w:jc w:val="left"/>
      </w:pPr>
      <w:r>
        <w:rPr>
          <w:sz w:val="20"/>
        </w:rPr>
        <w:t xml:space="preserve">die Überlegenheit von fünf Dimensionen gegenüber einfacheren Topologien;</w:t>
      </w:r>
    </w:p>
    <w:p>
      <w:pPr>
        <w:keepLines/>
        <w:numPr>
          <w:ilvl w:val="0"/>
          <w:numId w:val="1003"/>
        </w:numPr>
        <w:spacing w:after="120"/>
        <w:jc w:val="left"/>
      </w:pPr>
      <w:r>
        <w:rPr>
          <w:sz w:val="20"/>
        </w:rPr>
        <w:t xml:space="preserve">die biologische Plausibilität jeder technischen Heuristik;</w:t>
      </w:r>
    </w:p>
    <w:p>
      <w:pPr>
        <w:keepLines/>
        <w:numPr>
          <w:ilvl w:val="0"/>
          <w:numId w:val="1003"/>
        </w:numPr>
        <w:spacing w:after="120"/>
        <w:jc w:val="left"/>
      </w:pPr>
      <w:r>
        <w:rPr>
          <w:sz w:val="20"/>
        </w:rPr>
        <w:t xml:space="preserve">die Gleichsetzung eines gespeicherten Netzwerkzustands mit Gedächtnis;</w:t>
      </w:r>
    </w:p>
    <w:p>
      <w:pPr>
        <w:keepLines/>
        <w:numPr>
          <w:ilvl w:val="0"/>
          <w:numId w:val="1003"/>
        </w:numPr>
        <w:spacing w:after="120"/>
        <w:jc w:val="left"/>
      </w:pPr>
      <w:r>
        <w:rPr>
          <w:sz w:val="20"/>
        </w:rPr>
        <w:t xml:space="preserve">die Gleichsetzung eines prädiktiven Moduls mit einem vollständigen Weltmodell;</w:t>
      </w:r>
    </w:p>
    <w:p>
      <w:pPr>
        <w:keepLines/>
        <w:numPr>
          <w:ilvl w:val="0"/>
          <w:numId w:val="1003"/>
        </w:numPr>
        <w:spacing w:after="120"/>
        <w:jc w:val="left"/>
      </w:pPr>
      <w:r>
        <w:rPr>
          <w:sz w:val="20"/>
        </w:rPr>
        <w:t xml:space="preserve">die autonome Berechtigung, reale Aktoren oder sicherheitskritische Systeme ohne externe Policy- und Safety-Gates zu steuern.</w:t>
      </w:r>
    </w:p>
    <w:p>
      <w:pPr>
        <w:pStyle w:val="FirstParagraph"/>
        <w:keepLines/>
        <w:spacing w:after="120"/>
        <w:jc w:val="left"/>
      </w:pPr>
      <w:r>
        <w:rPr>
          <w:sz w:val="20"/>
        </w:rPr>
        <w:t xml:space="preserve">Die Non-Scope-Liste ist kein Defizitkatalog, sondern schützt die Forschungsfrage vor Kategorienfehlern. Insbesondere bleibt zwischen biologischer Inspiration, funktionaler Modellierung und biologischer Reproduktion zu unterscheiden.</w:t>
      </w:r>
    </w:p>
    <w:bookmarkEnd w:id="40"/>
    <w:bookmarkStart w:id="41" w:name="einheit-der-analyse"/>
    <w:p>
      <w:pPr>
        <w:pStyle w:val="Heading3"/>
        <w:keepLines/>
        <w:spacing w:after="120"/>
        <w:jc w:val="left"/>
      </w:pPr>
      <w:r>
        <w:rPr>
          <w:sz w:val="20"/>
        </w:rPr>
        <w:t xml:space="preserve">Einheit der Analyse</w:t>
      </w:r>
    </w:p>
    <w:p>
      <w:pPr>
        <w:pStyle w:val="FirstParagraph"/>
        <w:keepLines/>
        <w:spacing w:after="120"/>
        <w:jc w:val="left"/>
      </w:pPr>
      <w:r>
        <w:rPr>
          <w:sz w:val="20"/>
        </w:rPr>
        <w:t xml:space="preserve">Je nach Fragestellung kann die Analyseeinheit ein Neuron, eine Synapse, eine Population, eine Region, eine Episode, ein vollständiger Netzwerklauf oder eine Umweltinteraktion sein. Statistische Unabhängigkeit darf dabei nicht aus der hohen Anzahl von Ticks oder Spikes abgeleitet werden. Für viele konfirmatorische Vergleiche ist der unabhängig initialisierte Netzwerklauf beziehungsweise Seed die experimentelle Einheit; Zeitfenster desselben Laufs sind wiederholte Messungen.</w:t>
      </w:r>
    </w:p>
    <w:bookmarkEnd w:id="41"/>
    <w:bookmarkEnd w:id="42"/>
    <w:bookmarkEnd w:id="43"/>
    <w:bookmarkStart w:id="66" w:name="methodologie-und-evidenzordnung"/>
    <w:p>
      <w:bookmarkStart w:id="10005" w:name="B5D_H005"/>
      <w:pPr>
        <w:pStyle w:val="Heading1"/>
      </w:pPr>
      <w:r>
        <w:t xml:space="preserve">2. Methodologie und Evidenzordnung</w:t>
      </w:r>
      <w:bookmarkEnd w:id="10005"/>
    </w:p>
    <w:bookmarkStart w:id="44" w:name="Xb52747da2f9597707af8f1d0a6722c92973d4a5"/>
    <w:p>
      <w:pPr>
        <w:pStyle w:val="Heading2"/>
      </w:pPr>
      <w:r>
        <w:t xml:space="preserve">Quellenbasis, Integrationsverfahren und Geltungsansprüche</w:t>
      </w:r>
    </w:p>
    <w:p>
      <w:pPr>
        <w:pStyle w:val="FirstParagraph"/>
        <w:keepLines/>
        <w:spacing w:after="120"/>
        <w:jc w:val="left"/>
      </w:pPr>
      <w:r>
        <w:rPr>
          <w:sz w:val="20"/>
        </w:rPr>
        <w:t xml:space="preserve">Die Quellenbasis besteht aus drei Arbeitsmanuskripten von Thomas Heisig: dem</w:t>
      </w:r>
      <w:r>
        <w:rPr>
          <w:sz w:val="20"/>
        </w:rPr>
        <w:t xml:space="preserve"> </w:t>
      </w:r>
      <w:r>
        <w:rPr>
          <w:i/>
          <w:iCs/>
          <w:sz w:val="20"/>
        </w:rPr>
        <w:t xml:space="preserve">Brain-5D Scientific Framework</w:t>
      </w:r>
      <w:r>
        <w:rPr>
          <w:sz w:val="20"/>
        </w:rPr>
        <w:t xml:space="preserve">, Version 0.2 vom 16. August 2026 (K1), der theoretisch-systematischen Fassung</w:t>
      </w:r>
      <w:r>
        <w:rPr>
          <w:sz w:val="20"/>
        </w:rPr>
        <w:t xml:space="preserve"> </w:t>
      </w:r>
      <w:r>
        <w:rPr>
          <w:i/>
          <w:iCs/>
          <w:sz w:val="20"/>
        </w:rPr>
        <w:t xml:space="preserve">KI - Die geliehene Intelligenz</w:t>
      </w:r>
      <w:r>
        <w:rPr>
          <w:sz w:val="20"/>
        </w:rPr>
        <w:t xml:space="preserve"> </w:t>
      </w:r>
      <w:r>
        <w:rPr>
          <w:sz w:val="20"/>
        </w:rPr>
        <w:t xml:space="preserve">vom 18. August 2026 (K2) und der erweiterten Fassung zu Kontrollverlust und Embodiment vom 21. August 2026 mit empirischem Nachtrag vom 7. September 2026 (K3). Die Originaldateien bleiben im Begleitpaket unverändert erhalten. Ihr Wortlaut dokumentiert historische Formulierungen; die vorliegende Abhandlung ordnet sie thematisch neu, entfernt redundante Wiederholungen und macht materielle Präzisierungen nachvollziehbar.</w:t>
      </w:r>
    </w:p>
    <w:p>
      <w:pPr>
        <w:pStyle w:val="BodyText"/>
        <w:keepLines/>
        <w:spacing w:after="120"/>
        <w:jc w:val="left"/>
      </w:pPr>
      <w:r>
        <w:rPr>
          <w:sz w:val="20"/>
        </w:rPr>
        <w:t xml:space="preserve">Der technische Abgleich bezieht sich auf den gelesenen Repository-Snapshot</w:t>
      </w:r>
      <w:r>
        <w:rPr>
          <w:sz w:val="20"/>
        </w:rPr>
        <w:t xml:space="preserve"> </w:t>
      </w:r>
      <w:r>
        <w:rPr>
          <w:rStyle w:val="VerbatimChar"/>
          <w:sz w:val="20"/>
        </w:rPr>
        <w:t xml:space="preserve">661681981458bc69fea5fce096e27f2b85b6c9d2</w:t>
      </w:r>
      <w:r>
        <w:rPr>
          <w:sz w:val="20"/>
        </w:rPr>
        <w:t xml:space="preserve"> </w:t>
      </w:r>
      <w:r>
        <w:rPr>
          <w:sz w:val="20"/>
        </w:rPr>
        <w:t xml:space="preserve">von</w:t>
      </w:r>
      <w:r>
        <w:rPr>
          <w:sz w:val="20"/>
        </w:rPr>
        <w:t xml:space="preserve"> </w:t>
      </w:r>
      <w:r>
        <w:rPr>
          <w:rStyle w:val="VerbatimChar"/>
          <w:sz w:val="20"/>
        </w:rPr>
        <w:t xml:space="preserve">Thomas-Heisig/Brain-5D</w:t>
      </w:r>
      <w:r>
        <w:rPr>
          <w:sz w:val="20"/>
        </w:rPr>
        <w:t xml:space="preserve">. Dieser Snapshot bezeichnet den Dokumentationsstand, nicht automatisch die Codebasis jedes Experiments. Für die referierten Experimente gelten jeweils die im Manifest beziehungsweise Summary angegebenen früheren Run-Commits und zusätzlichen Dirty-Tree-Hinweise. Ein späterer sauberer Dokumentationscommit heilt die unvollständige Provenienz eines früheren Laufs nicht rückwirkend. [R1; R2; R3; R4; R5]</w:t>
      </w:r>
    </w:p>
    <w:p>
      <w:pPr>
        <w:pStyle w:val="BodyText"/>
        <w:keepLines/>
        <w:spacing w:after="120"/>
        <w:jc w:val="left"/>
      </w:pPr>
      <w:r>
        <w:rPr>
          <w:sz w:val="20"/>
        </w:rPr>
        <w:t xml:space="preserve">Die Integration erfolgt auf drei Ebenen. Erstens werden theoretische Begriffe und Argumente der Manuskripte zusammengeführt. Zweitens werden verfügbare Projektberichte, Registry-Einträge und ausgewählte DATA-Dokumente gegeneinander geprüft. Drittens ergänzen datierte Recherchen in Primär- und Amtsquellen den Forschungs- und Rechtsstand. Die Recherche ist eine gezielte, dokumentierte Aktualisierung und keine vollständig durchgeführte systematische Datenbankreview. Die in den Vorlagen genannten Datenbanken und PRISMA-orientierten Verfahren beschreiben einen weiterführenden Reviewplan; sie werden nicht als in dieser Bearbeitung vollständig abgearbeitete Suchräume ausgegeben.</w:t>
      </w:r>
    </w:p>
    <w:p>
      <w:pPr>
        <w:pStyle w:val="BodyText"/>
        <w:keepLines/>
        <w:spacing w:after="120"/>
        <w:jc w:val="left"/>
      </w:pPr>
      <w:r>
        <w:rPr>
          <w:sz w:val="20"/>
        </w:rPr>
        <w:t xml:space="preserve">Alle numerischen Neuberechnungen des Begleitpakets beruhen auf explizit transkribierten Berichtskennzahlen. Es wurden keine neuen Brain-5D-Simulationen ausgeführt und keine komprimierten Rohereignisdateien vollständig neu ausgewertet. Ein berechnetes Verhältnis aus zwei berichteten Mittelwerten bleibt eine Sekundärauswertung dieser Mittelwerte. Es liefert weder eine neue Stichprobe noch ein unabhängiges Experiment. Zugleich werden vorhandene Rohdatenzeiger und Digest-Angaben als solche dokumentiert; ihre Aufnahme ist keine Behauptung einer lokal durchgeführten Hash-Verifikation.</w:t>
      </w:r>
    </w:p>
    <w:bookmarkEnd w:id="44"/>
    <w:bookmarkStart w:id="45" w:name="X8a396d268ad3ffd4f97103537594bfd92bc642d"/>
    <w:p>
      <w:pPr>
        <w:pStyle w:val="Heading2"/>
      </w:pPr>
      <w:r>
        <w:t xml:space="preserve">Zwei voneinander unabhängige Statusachsen</w:t>
      </w:r>
    </w:p>
    <w:p>
      <w:pPr>
        <w:pStyle w:val="FirstParagraph"/>
        <w:keepLines/>
        <w:spacing w:after="120"/>
        <w:jc w:val="left"/>
      </w:pPr>
      <w:r>
        <w:rPr>
          <w:sz w:val="20"/>
        </w:rPr>
        <w:t xml:space="preserve">Die wissenschaftlichen Evidenzstufen E0 bis E3 werden beibehalten. Zusätzlich erhält jede herangezogene Aussage einen Herkunftstyp:</w:t>
      </w:r>
      <w:r>
        <w:rPr>
          <w:sz w:val="20"/>
        </w:rPr>
        <w:t xml:space="preserve"> </w:t>
      </w:r>
      <w:r>
        <w:rPr>
          <w:b/>
          <w:bCs/>
          <w:sz w:val="20"/>
        </w:rPr>
        <w:t xml:space="preserve">K</w:t>
      </w:r>
      <w:r>
        <w:rPr>
          <w:sz w:val="20"/>
        </w:rPr>
        <w:t xml:space="preserve"> </w:t>
      </w:r>
      <w:r>
        <w:rPr>
          <w:sz w:val="20"/>
        </w:rPr>
        <w:t xml:space="preserve">bezeichnet den Manuskriptkorpus,</w:t>
      </w:r>
      <w:r>
        <w:rPr>
          <w:sz w:val="20"/>
        </w:rPr>
        <w:t xml:space="preserve"> </w:t>
      </w:r>
      <w:r>
        <w:rPr>
          <w:b/>
          <w:bCs/>
          <w:sz w:val="20"/>
        </w:rPr>
        <w:t xml:space="preserve">R</w:t>
      </w:r>
      <w:r>
        <w:rPr>
          <w:sz w:val="20"/>
        </w:rPr>
        <w:t xml:space="preserve"> </w:t>
      </w:r>
      <w:r>
        <w:rPr>
          <w:sz w:val="20"/>
        </w:rPr>
        <w:t xml:space="preserve">gelesene Repository-Artefakte,</w:t>
      </w:r>
      <w:r>
        <w:rPr>
          <w:sz w:val="20"/>
        </w:rPr>
        <w:t xml:space="preserve"> </w:t>
      </w:r>
      <w:r>
        <w:rPr>
          <w:b/>
          <w:bCs/>
          <w:sz w:val="20"/>
        </w:rPr>
        <w:t xml:space="preserve">W</w:t>
      </w:r>
      <w:r>
        <w:rPr>
          <w:sz w:val="20"/>
        </w:rPr>
        <w:t xml:space="preserve"> </w:t>
      </w:r>
      <w:r>
        <w:rPr>
          <w:sz w:val="20"/>
        </w:rPr>
        <w:t xml:space="preserve">extern verifizierte Quellen und</w:t>
      </w:r>
      <w:r>
        <w:rPr>
          <w:sz w:val="20"/>
        </w:rPr>
        <w:t xml:space="preserve"> </w:t>
      </w:r>
      <w:r>
        <w:rPr>
          <w:b/>
          <w:bCs/>
          <w:sz w:val="20"/>
        </w:rPr>
        <w:t xml:space="preserve">S</w:t>
      </w:r>
      <w:r>
        <w:rPr>
          <w:sz w:val="20"/>
        </w:rPr>
        <w:t xml:space="preserve"> </w:t>
      </w:r>
      <w:r>
        <w:rPr>
          <w:sz w:val="20"/>
        </w:rPr>
        <w:t xml:space="preserve">eine neue Synthese oder einen ausdrücklichen Forschungsvorschlag. Diese Herkunftskennzeichnung ist kein Qualitätsranking. Ein primäres Run-Artefakt kann fehlerhaft sein; eine gut begründete theoretische Unterscheidung kann ohne Simulation gültig sein. Herkunft, technische Gültigkeit, empirischer Geltungsbereich und normative Tragfähigkeit sind getrennte Prüffragen.</w:t>
      </w:r>
    </w:p>
    <w:p>
      <w:pPr>
        <w:pStyle w:val="BodyText"/>
        <w:keepLines/>
        <w:spacing w:after="120"/>
        <w:jc w:val="left"/>
      </w:pPr>
      <w:r>
        <w:rPr>
          <w:sz w:val="20"/>
        </w:rPr>
        <w:t xml:space="preserve">Auch</w:t>
      </w:r>
      <w:r>
        <w:rPr>
          <w:sz w:val="20"/>
        </w:rPr>
        <w:t xml:space="preserve"> </w:t>
      </w:r>
      <w:r>
        <w:rPr>
          <w:rStyle w:val="VerbatimChar"/>
          <w:sz w:val="20"/>
        </w:rPr>
        <w:t xml:space="preserve">supported</w:t>
      </w:r>
      <w:r>
        <w:rPr>
          <w:sz w:val="20"/>
        </w:rPr>
        <w:t xml:space="preserve">,</w:t>
      </w:r>
      <w:r>
        <w:rPr>
          <w:sz w:val="20"/>
        </w:rPr>
        <w:t xml:space="preserve"> </w:t>
      </w:r>
      <w:r>
        <w:rPr>
          <w:rStyle w:val="VerbatimChar"/>
          <w:sz w:val="20"/>
        </w:rPr>
        <w:t xml:space="preserve">supports</w:t>
      </w:r>
      <w:r>
        <w:rPr>
          <w:sz w:val="20"/>
        </w:rPr>
        <w:t xml:space="preserve">,</w:t>
      </w:r>
      <w:r>
        <w:rPr>
          <w:sz w:val="20"/>
        </w:rPr>
        <w:t xml:space="preserve"> </w:t>
      </w:r>
      <w:r>
        <w:rPr>
          <w:rStyle w:val="VerbatimChar"/>
          <w:sz w:val="20"/>
        </w:rPr>
        <w:t xml:space="preserve">open</w:t>
      </w:r>
      <w:r>
        <w:rPr>
          <w:sz w:val="20"/>
        </w:rPr>
        <w:t xml:space="preserve">,</w:t>
      </w:r>
      <w:r>
        <w:rPr>
          <w:sz w:val="20"/>
        </w:rPr>
        <w:t xml:space="preserve"> </w:t>
      </w:r>
      <w:r>
        <w:rPr>
          <w:rStyle w:val="VerbatimChar"/>
          <w:sz w:val="20"/>
        </w:rPr>
        <w:t xml:space="preserve">untested</w:t>
      </w:r>
      <w:r>
        <w:rPr>
          <w:sz w:val="20"/>
        </w:rPr>
        <w:t xml:space="preserve">,</w:t>
      </w:r>
      <w:r>
        <w:rPr>
          <w:sz w:val="20"/>
        </w:rPr>
        <w:t xml:space="preserve"> </w:t>
      </w:r>
      <w:r>
        <w:rPr>
          <w:rStyle w:val="VerbatimChar"/>
          <w:sz w:val="20"/>
        </w:rPr>
        <w:t xml:space="preserve">DIRECT_MATCH</w:t>
      </w:r>
      <w:r>
        <w:rPr>
          <w:sz w:val="20"/>
        </w:rPr>
        <w:t xml:space="preserve"> </w:t>
      </w:r>
      <w:r>
        <w:rPr>
          <w:sz w:val="20"/>
        </w:rPr>
        <w:t xml:space="preserve">und</w:t>
      </w:r>
      <w:r>
        <w:rPr>
          <w:sz w:val="20"/>
        </w:rPr>
        <w:t xml:space="preserve"> </w:t>
      </w:r>
      <w:r>
        <w:rPr>
          <w:rStyle w:val="VerbatimChar"/>
          <w:sz w:val="20"/>
        </w:rPr>
        <w:t xml:space="preserve">BLOCKED_*</w:t>
      </w:r>
      <w:r>
        <w:rPr>
          <w:sz w:val="20"/>
        </w:rPr>
        <w:t xml:space="preserve"> </w:t>
      </w:r>
      <w:r>
        <w:rPr>
          <w:sz w:val="20"/>
        </w:rPr>
        <w:t xml:space="preserve">sind keine austauschbaren Ausdrücke. Die ersten beiden können den Status eines Hypothesen- beziehungsweise EvidenceRecord bezeichnen.</w:t>
      </w:r>
      <w:r>
        <w:rPr>
          <w:sz w:val="20"/>
        </w:rPr>
        <w:t xml:space="preserve"> </w:t>
      </w:r>
      <w:r>
        <w:rPr>
          <w:rStyle w:val="VerbatimChar"/>
          <w:sz w:val="20"/>
        </w:rPr>
        <w:t xml:space="preserve">open</w:t>
      </w:r>
      <w:r>
        <w:rPr>
          <w:sz w:val="20"/>
        </w:rPr>
        <w:t xml:space="preserve"> </w:t>
      </w:r>
      <w:r>
        <w:rPr>
          <w:sz w:val="20"/>
        </w:rPr>
        <w:t xml:space="preserve">beschreibt eine Forschungsfrage.</w:t>
      </w:r>
      <w:r>
        <w:rPr>
          <w:sz w:val="20"/>
        </w:rPr>
        <w:t xml:space="preserve"> </w:t>
      </w:r>
      <w:r>
        <w:rPr>
          <w:rStyle w:val="VerbatimChar"/>
          <w:sz w:val="20"/>
        </w:rPr>
        <w:t xml:space="preserve">DIRECT_MATCH</w:t>
      </w:r>
      <w:r>
        <w:rPr>
          <w:sz w:val="20"/>
        </w:rPr>
        <w:t xml:space="preserve"> </w:t>
      </w:r>
      <w:r>
        <w:rPr>
          <w:sz w:val="20"/>
        </w:rPr>
        <w:t xml:space="preserve">bezeichnet eine passende Protokollzuordnung, nicht den Nachweis des behaupteten Effekts.</w:t>
      </w:r>
      <w:r>
        <w:rPr>
          <w:sz w:val="20"/>
        </w:rPr>
        <w:t xml:space="preserve"> </w:t>
      </w:r>
      <w:r>
        <w:rPr>
          <w:rStyle w:val="VerbatimChar"/>
          <w:sz w:val="20"/>
        </w:rPr>
        <w:t xml:space="preserve">BLOCKED_*</w:t>
      </w:r>
      <w:r>
        <w:rPr>
          <w:sz w:val="20"/>
        </w:rPr>
        <w:t xml:space="preserve"> </w:t>
      </w:r>
      <w:r>
        <w:rPr>
          <w:sz w:val="20"/>
        </w:rPr>
        <w:t xml:space="preserve">verhindert eine Freigabe trotz technisch vorhandener Daten. Diese Ebenen werden nicht zu einem einzigen Ampelwert zusammengezogen.</w:t>
      </w:r>
    </w:p>
    <w:bookmarkEnd w:id="45"/>
    <w:bookmarkStart w:id="46" w:name="gleiche-zeichen-verschiedene-skalen"/>
    <w:p>
      <w:pPr>
        <w:pStyle w:val="Heading2"/>
      </w:pPr>
      <w:r>
        <w:t xml:space="preserve">Gleiche Zeichen, verschiedene Skalen</w:t>
      </w:r>
    </w:p>
    <w:p>
      <w:pPr>
        <w:pStyle w:val="FirstParagraph"/>
        <w:keepLines/>
        <w:spacing w:after="120"/>
        <w:jc w:val="left"/>
      </w:pPr>
      <w:r>
        <w:rPr>
          <w:sz w:val="20"/>
        </w:rPr>
        <w:t xml:space="preserve">Die Quellen verwenden E0 bis E3 für wissenschaftliche Evidenz und daneben E0 bis E6 für Embodiment-Stufen. In dieser Abhandlung bezeichnet die Tabelle der Embodiment-Stufen ausschließlich den Grad beziehungsweise Typ der Kopplung, nicht die Evidenzqualität. Entsprechend sind G0 bis G8 als Generierungsstufen vom Hoheitsvektor H und seinen Einzelrechten zu trennen. Jede dieser Skalen ist ein begriffliches Ordnungsmittel; eine höhere Stufe auf einer Achse ist kein Gültigkeitsnachweis auf einer anderen. [K1; K3; redaktionelle Klärung]</w:t>
      </w:r>
    </w:p>
    <w:bookmarkEnd w:id="46"/>
    <w:bookmarkStart w:id="47" w:name="Xf30542575576f65acd6009cd29976a6adfbee16"/>
    <w:p>
      <w:pPr>
        <w:pStyle w:val="Heading2"/>
      </w:pPr>
      <w:r>
        <w:t xml:space="preserve">Was eine Zusammenführung nicht leisten darf</w:t>
      </w:r>
    </w:p>
    <w:p>
      <w:pPr>
        <w:pStyle w:val="FirstParagraph"/>
        <w:keepLines/>
        <w:spacing w:after="120"/>
        <w:jc w:val="left"/>
      </w:pPr>
      <w:r>
        <w:rPr>
          <w:sz w:val="20"/>
        </w:rPr>
        <w:t xml:space="preserve">Die größere Textmenge erzeugt keine zusätzliche Evidenz. Ein Bericht wird nicht dadurch unabhängig bestätigt, dass er in einer zweiten Datei zusammengefasst oder von einem weiteren Sprachmodell formuliert wird. Ebenso sind mehrere EVID-IDs mit gleichem Experimentbezug nicht ohne Run-Prüfung mehrere unabhängige Replikationen. Wissenschaftliche Redundanz kann Dokumentation verbessern, darf aber keine künstliche Vergrößerung des Stichprobenumfangs erzeugen.</w:t>
      </w:r>
    </w:p>
    <w:p>
      <w:pPr>
        <w:pStyle w:val="BodyText"/>
        <w:keepLines/>
        <w:spacing w:after="120"/>
        <w:jc w:val="left"/>
      </w:pPr>
      <w:r>
        <w:rPr>
          <w:sz w:val="20"/>
        </w:rPr>
        <w:t xml:space="preserve">Die Originaltexte enthalten sowohl philosophische Thesen als auch technische Arbeitsannahmen. Der gemeinsame Aufbau wahrt deshalb unterschiedliche Antwortformen: empirische Fragen werden durch Beobachtung und Kontrolle bearbeitet; begriffliche Fragen durch Definitionen und Gegenbeispiele; normative Fragen durch explizite Gründe und Theorienvergleich; Rechtsfragen durch zeitgebundene Norm- und Fallanalyse. Ein hoher Spikezähler kann eine ethische Position nicht bestätigen. Eine philosophisch attraktive Beschreibung ersetzt keinen funktionalen Lernnachweis.</w:t>
      </w:r>
    </w:p>
    <w:bookmarkEnd w:id="47"/>
    <w:bookmarkStart w:id="56" w:name="X72fa10492eb17aa0b98928440a6e02f20359e79"/>
    <w:p>
      <w:pPr>
        <w:pStyle w:val="Heading2"/>
      </w:pPr>
      <w:r>
        <w:t xml:space="preserve">Methodologie und wissenschaftliche Arbeitsweise</w:t>
      </w:r>
    </w:p>
    <w:bookmarkStart w:id="48" w:name="methodologischer-grundsatz"/>
    <w:p>
      <w:pPr>
        <w:pStyle w:val="Heading3"/>
        <w:keepLines/>
        <w:spacing w:after="120"/>
        <w:jc w:val="left"/>
      </w:pPr>
      <w:r>
        <w:rPr>
          <w:sz w:val="20"/>
        </w:rPr>
        <w:t xml:space="preserve">Methodologischer Grundsatz</w:t>
      </w:r>
    </w:p>
    <w:p>
      <w:pPr>
        <w:pStyle w:val="FirstParagraph"/>
        <w:keepLines/>
        <w:spacing w:after="120"/>
        <w:jc w:val="left"/>
      </w:pPr>
      <w:r>
        <w:rPr>
          <w:sz w:val="20"/>
        </w:rPr>
        <w:t xml:space="preserve">Die Arbeit ist eine theoretisch-systematische wissenschaftliche Abhandlung mit empirisch informierter Gegenwartsdiagnose. Sie erhebt keine Daten an menschlichen Probandengruppen, enthält keine neu ausgeführten Modellwettbewerbe und verwendet die statistische Überlegenheit einzelner Systeme nicht als Beweis philosophischer Thesen. Stattdessen wird eine Methodentriangulation eingesetzt, deren Teilmethoden jeweils einem Erkenntnisproblem zugeordnet sind.</w:t>
      </w:r>
    </w:p>
    <w:bookmarkEnd w:id="48"/>
    <w:bookmarkStart w:id="49" w:name="systematische-literaturarbeit"/>
    <w:p>
      <w:pPr>
        <w:pStyle w:val="Heading3"/>
        <w:keepLines/>
        <w:spacing w:after="120"/>
        <w:jc w:val="left"/>
      </w:pPr>
      <w:r>
        <w:rPr>
          <w:sz w:val="20"/>
        </w:rPr>
        <w:t xml:space="preserve">Systematische Literaturarbeit</w:t>
      </w:r>
    </w:p>
    <w:p>
      <w:pPr>
        <w:pStyle w:val="FirstParagraph"/>
        <w:keepLines/>
        <w:spacing w:after="120"/>
        <w:jc w:val="left"/>
      </w:pPr>
      <w:r>
        <w:rPr>
          <w:sz w:val="20"/>
        </w:rPr>
        <w:t xml:space="preserve">Die Literaturarbeit folgt einem transparenten Such- und Auswahlprotokoll. Für eine künftige vollständige Literaturkartierung sind Web of Science, Scopus, IEEE Xplore, ACM Digital Library, PhilPapers, HeinOnline, EUR-Lex sowie juris und Beck-Online vorgesehen. Diese Liste dokumentiert einen Rechercheplan und keine vollständige Nutzung dieser Datenbanken in der vorliegenden Bearbeitung. Für antike Quellen werden kritische Ausgaben und etablierte Übersetzungen bevorzugt. Suchläufe, Suchstrings, Einschluss- und Ausschlussentscheidungen sowie Aktualisierungen werden protokolliert. Google Scholar dient ausschließlich der ergänzenden Zitationsverfolgung.</w:t>
      </w:r>
    </w:p>
    <w:p>
      <w:pPr>
        <w:pStyle w:val="BodyText"/>
        <w:keepLines/>
        <w:spacing w:after="120"/>
        <w:jc w:val="left"/>
      </w:pPr>
      <w:r>
        <w:rPr>
          <w:sz w:val="20"/>
        </w:rPr>
        <w:t xml:space="preserve">Die Quellen werden nach Evidenztyp getrennt: Primärtexte und Rechtsnormen; peer-reviewte Forschung; institutionelle Standards und Berichte; Preprints; Unternehmenspublikationen; journalistische Berichte. Zukunftsszenarien werden nie durch journalistische Spekulation belegt, sondern aus explizit angegebenen Prämissen konstruiert.</w:t>
      </w:r>
    </w:p>
    <w:bookmarkEnd w:id="49"/>
    <w:bookmarkStart w:id="50" w:name="philosophische-arbeitsweise"/>
    <w:p>
      <w:pPr>
        <w:pStyle w:val="Heading3"/>
        <w:keepLines/>
        <w:spacing w:after="120"/>
        <w:jc w:val="left"/>
      </w:pPr>
      <w:r>
        <w:rPr>
          <w:sz w:val="20"/>
        </w:rPr>
        <w:t xml:space="preserve">Philosophische Arbeitsweise</w:t>
      </w:r>
    </w:p>
    <w:p>
      <w:pPr>
        <w:pStyle w:val="FirstParagraph"/>
        <w:keepLines/>
        <w:spacing w:after="120"/>
        <w:jc w:val="left"/>
      </w:pPr>
      <w:r>
        <w:rPr>
          <w:sz w:val="20"/>
        </w:rPr>
        <w:t xml:space="preserve">Jeder Schlüsselbegriff wird in vier Schritten behandelt: historische Rekonstruktion, Gegenwartsdefinition, Grenzfallanalyse und Belastung durch Gegenbeispiele. Die Arbeit verwendet daher keine stillschweigenden Gleichsetzungen. Insbesondere gelten: Intelligenz ist nicht Bewusstsein; Selbstorganisation ist nicht Selbstbestimmung; Agency ist nicht moralische Verantwortlichkeit; Neuheit ist nicht notwendigerweise Kreativität; Autonomie ist nicht Existenzunabhängigkeit; Unvorhersagbarkeit ist nicht Unkontrollierbarkeit.</w:t>
      </w:r>
    </w:p>
    <w:bookmarkEnd w:id="50"/>
    <w:bookmarkStart w:id="51" w:name="rechtswissenschaftliche-arbeitsweise"/>
    <w:p>
      <w:pPr>
        <w:pStyle w:val="Heading3"/>
        <w:keepLines/>
        <w:spacing w:after="120"/>
        <w:jc w:val="left"/>
      </w:pPr>
      <w:r>
        <w:rPr>
          <w:sz w:val="20"/>
        </w:rPr>
        <w:t xml:space="preserve">Rechtswissenschaftliche Arbeitsweise</w:t>
      </w:r>
    </w:p>
    <w:p>
      <w:pPr>
        <w:pStyle w:val="FirstParagraph"/>
        <w:keepLines/>
        <w:spacing w:after="120"/>
        <w:jc w:val="left"/>
      </w:pPr>
      <w:r>
        <w:rPr>
          <w:sz w:val="20"/>
        </w:rPr>
        <w:t xml:space="preserve">Rechtliche Aussagen werden strikt zwischen geltendem Recht (de lege lata) und Reformüberlegungen (de lege ferenda) getrennt. Jede Analyse folgt dem Schema Normadressat – Tatbestand – Pflicht – Zurechnung – Rechtsfolge – systematische Grenze. Erst nach der dogmatischen Analyse werden Grenzfälle rekursiver oder menschenloser KI-Ordnungen diskutiert.</w:t>
      </w:r>
    </w:p>
    <w:bookmarkEnd w:id="51"/>
    <w:bookmarkStart w:id="52" w:name="zukunftsmethodik"/>
    <w:p>
      <w:pPr>
        <w:pStyle w:val="Heading3"/>
        <w:keepLines/>
        <w:spacing w:after="120"/>
        <w:jc w:val="left"/>
      </w:pPr>
      <w:r>
        <w:rPr>
          <w:sz w:val="20"/>
        </w:rPr>
        <w:t xml:space="preserve">Zukunftsmethodik</w:t>
      </w:r>
    </w:p>
    <w:p>
      <w:pPr>
        <w:pStyle w:val="FirstParagraph"/>
        <w:keepLines/>
        <w:spacing w:after="120"/>
        <w:jc w:val="left"/>
      </w:pPr>
      <w:r>
        <w:rPr>
          <w:sz w:val="20"/>
        </w:rPr>
        <w:t xml:space="preserve">Zukunft wird als Raum konsistenter Möglichkeiten untersucht. Die Arbeit prognostiziert keine Jahreszahl für allgemeine künstliche Intelligenz, Selbstreproduktion oder menschliches Verschwinden. Stattdessen werden kritische Variablen kombiniert: Grad maschineller Entwicklungsautonomie, Ressourcenautonomie, Verkörperung, Zielautonomie, Reproduktionsfähigkeit, menschliche Populationsgröße, institutionelle Governance und epistemische Abhängigkeit. Szenarien sind damit Denkwerkzeuge, keine Vorhersagen.</w:t>
      </w:r>
    </w:p>
    <w:bookmarkEnd w:id="52"/>
    <w:bookmarkStart w:id="53" w:name="methodentriangulation"/>
    <w:p>
      <w:pPr>
        <w:pStyle w:val="Heading3"/>
        <w:keepLines/>
        <w:spacing w:after="120"/>
        <w:jc w:val="left"/>
      </w:pPr>
      <w:r>
        <w:rPr>
          <w:sz w:val="20"/>
        </w:rPr>
        <w:t xml:space="preserve">Methodentriangulation</w:t>
      </w:r>
    </w:p>
    <w:p>
      <w:pPr>
        <w:pStyle w:val="Caption"/>
        <w:keepNext/>
        <w:keepLines/>
        <w:spacing w:before="180" w:after="120"/>
        <w:jc w:val="left"/>
      </w:pPr>
      <w:r>
        <w:rPr>
          <w:sz w:val="20"/>
        </w:rPr>
        <w:t>Tabelle 3. Methodentriangulation und Nachweisformen</w:t>
      </w:r>
    </w:p>
    <w:tbl>
      <w:tblPr>
        <w:tblStyle w:val="Table"/>
        <w:tblW w:type="pct" w:w="4954"/>
        <w:jc w:val="center"/>
        <w:tblLayout w:type="fixed"/>
        <w:tblLook w:firstRow="1" w:lastRow="0" w:firstColumn="0" w:lastColumn="0" w:noHBand="0" w:noVBand="0" w:val="0020"/>
        <w:tblInd w:w="0" w:type="dxa"/>
        <w:tblCellMar>
          <w:top w:w="70" w:type="dxa"/>
          <w:bottom w:w="70" w:type="dxa"/>
          <w:left w:w="85" w:type="dxa"/>
          <w:right w:w="85" w:type="dxa"/>
        </w:tblCellMar>
        <w:tblBorders>
          <w:top w:val="single" w:sz="4" w:color="CCD4D9"/>
          <w:bottom w:val="single" w:sz="4" w:color="CCD4D9"/>
          <w:insideH w:val="single" w:sz="4" w:color="CCD4D9"/>
          <w:left w:val="nil"/>
          <w:right w:val="nil"/>
          <w:insideV w:val="nil"/>
        </w:tblBorders>
      </w:tblPr>
      <w:tblGrid>
        <w:gridCol w:w="2160"/>
        <w:gridCol w:w="3888"/>
        <w:gridCol w:w="3802"/>
      </w:tblGrid>
      <w:tr>
        <w:trPr>
          <w:tblHeader w:val="on"/>
          <w:cantSplit/>
          <w:tblHeader/>
        </w:trPr>
        <w:tc>
          <w:tcPr>
            <w:tcW w:type="dxa" w:w="2160"/>
            <w:vAlign w:val="center"/>
            <w:shd w:fill="E9EFF3"/>
          </w:tcPr>
          <w:p>
            <w:pPr>
              <w:pStyle w:val="Compact"/>
              <w:keepNext w:val="0"/>
              <w:keepLines/>
              <w:spacing w:before="20" w:after="20" w:line="250" w:lineRule="auto"/>
              <w:jc w:val="left"/>
            </w:pPr>
            <w:r>
              <w:rPr>
                <w:rFonts w:ascii="Liberation Sans" w:hAnsi="Liberation Sans"/>
                <w:b/>
                <w:bCs/>
                <w:sz w:val="19"/>
              </w:rPr>
              <w:t xml:space="preserve">Methode</w:t>
            </w:r>
          </w:p>
        </w:tc>
        <w:tc>
          <w:tcPr>
            <w:tcW w:type="dxa" w:w="3888"/>
            <w:vAlign w:val="center"/>
            <w:shd w:fill="E9EFF3"/>
          </w:tcPr>
          <w:p>
            <w:pPr>
              <w:pStyle w:val="Compact"/>
              <w:keepNext w:val="0"/>
              <w:keepLines/>
              <w:spacing w:before="20" w:after="20" w:line="250" w:lineRule="auto"/>
              <w:jc w:val="left"/>
            </w:pPr>
            <w:r>
              <w:rPr>
                <w:rFonts w:ascii="Liberation Sans" w:hAnsi="Liberation Sans"/>
                <w:b/>
                <w:bCs/>
                <w:sz w:val="19"/>
              </w:rPr>
              <w:t xml:space="preserve">Erkenntnisziel</w:t>
            </w:r>
          </w:p>
        </w:tc>
        <w:tc>
          <w:tcPr>
            <w:tcW w:type="dxa" w:w="3802"/>
            <w:vAlign w:val="center"/>
            <w:shd w:fill="E9EFF3"/>
          </w:tcPr>
          <w:p>
            <w:pPr>
              <w:pStyle w:val="Compact"/>
              <w:keepNext w:val="0"/>
              <w:keepLines/>
              <w:spacing w:before="20" w:after="20" w:line="250" w:lineRule="auto"/>
              <w:jc w:val="left"/>
            </w:pPr>
            <w:r>
              <w:rPr>
                <w:rFonts w:ascii="Liberation Sans" w:hAnsi="Liberation Sans"/>
                <w:b/>
                <w:bCs/>
                <w:sz w:val="19"/>
              </w:rPr>
              <w:t xml:space="preserve">Nachweisform</w:t>
            </w:r>
          </w:p>
        </w:tc>
      </w:tr>
      <w:tr>
        <w:trPr>
          <w:cantSplit/>
        </w:trPr>
        <w:tc>
          <w:tcPr>
            <w:tcW w:type="dxa" w:w="2160"/>
            <w:vAlign w:val="center"/>
          </w:tcPr>
          <w:p>
            <w:pPr>
              <w:pStyle w:val="Compact"/>
              <w:keepNext w:val="0"/>
              <w:keepLines/>
              <w:spacing w:before="20" w:after="20" w:line="250" w:lineRule="auto"/>
              <w:jc w:val="left"/>
            </w:pPr>
            <w:r>
              <w:rPr>
                <w:rFonts w:ascii="Liberation Sans" w:hAnsi="Liberation Sans"/>
                <w:sz w:val="19"/>
              </w:rPr>
              <w:t xml:space="preserve">Systematische Literaturkartierung</w:t>
            </w:r>
          </w:p>
        </w:tc>
        <w:tc>
          <w:tcPr>
            <w:tcW w:type="dxa" w:w="3888"/>
            <w:vAlign w:val="center"/>
          </w:tcPr>
          <w:p>
            <w:pPr>
              <w:pStyle w:val="Compact"/>
              <w:keepNext w:val="0"/>
              <w:keepLines/>
              <w:spacing w:before="20" w:after="20" w:line="250" w:lineRule="auto"/>
              <w:jc w:val="left"/>
            </w:pPr>
            <w:r>
              <w:rPr>
                <w:rFonts w:ascii="Liberation Sans" w:hAnsi="Liberation Sans"/>
                <w:sz w:val="19"/>
              </w:rPr>
              <w:t xml:space="preserve">Forschungsstand, Begriffsverwendungen und offene Konfliktlinien</w:t>
            </w:r>
          </w:p>
        </w:tc>
        <w:tc>
          <w:tcPr>
            <w:tcW w:type="dxa" w:w="3802"/>
            <w:vAlign w:val="center"/>
          </w:tcPr>
          <w:p>
            <w:pPr>
              <w:pStyle w:val="Compact"/>
              <w:keepNext w:val="0"/>
              <w:keepLines/>
              <w:spacing w:before="20" w:after="20" w:line="250" w:lineRule="auto"/>
              <w:jc w:val="left"/>
            </w:pPr>
            <w:r>
              <w:rPr>
                <w:rFonts w:ascii="Liberation Sans" w:hAnsi="Liberation Sans"/>
                <w:sz w:val="19"/>
              </w:rPr>
              <w:t xml:space="preserve">PRISMA-orientierte Dokumentation; Datenbank, Suchstring, Datum, Ein-/Ausschlussgrund</w:t>
            </w:r>
          </w:p>
        </w:tc>
      </w:tr>
      <w:tr>
        <w:trPr>
          <w:cantSplit/>
        </w:trPr>
        <w:tc>
          <w:tcPr>
            <w:tcW w:type="dxa" w:w="2160"/>
            <w:vAlign w:val="center"/>
          </w:tcPr>
          <w:p>
            <w:pPr>
              <w:pStyle w:val="Compact"/>
              <w:keepNext w:val="0"/>
              <w:keepLines/>
              <w:spacing w:before="20" w:after="20" w:line="250" w:lineRule="auto"/>
              <w:jc w:val="left"/>
            </w:pPr>
            <w:r>
              <w:rPr>
                <w:rFonts w:ascii="Liberation Sans" w:hAnsi="Liberation Sans"/>
                <w:sz w:val="19"/>
              </w:rPr>
              <w:t xml:space="preserve">Historisch-genealogische Rekonstruktion</w:t>
            </w:r>
          </w:p>
        </w:tc>
        <w:tc>
          <w:tcPr>
            <w:tcW w:type="dxa" w:w="3888"/>
            <w:vAlign w:val="center"/>
          </w:tcPr>
          <w:p>
            <w:pPr>
              <w:pStyle w:val="Compact"/>
              <w:keepNext w:val="0"/>
              <w:keepLines/>
              <w:spacing w:before="20" w:after="20" w:line="250" w:lineRule="auto"/>
              <w:jc w:val="left"/>
            </w:pPr>
            <w:r>
              <w:rPr>
                <w:rFonts w:ascii="Liberation Sans" w:hAnsi="Liberation Sans"/>
                <w:sz w:val="19"/>
              </w:rPr>
              <w:t xml:space="preserve">Entstehung und Wandel der Kategorien künstliches Wesen, Automat, Vernunft und Agency</w:t>
            </w:r>
          </w:p>
        </w:tc>
        <w:tc>
          <w:tcPr>
            <w:tcW w:type="dxa" w:w="3802"/>
            <w:vAlign w:val="center"/>
          </w:tcPr>
          <w:p>
            <w:pPr>
              <w:pStyle w:val="Compact"/>
              <w:keepNext w:val="0"/>
              <w:keepLines/>
              <w:spacing w:before="20" w:after="20" w:line="250" w:lineRule="auto"/>
              <w:jc w:val="left"/>
            </w:pPr>
            <w:r>
              <w:rPr>
                <w:rFonts w:ascii="Liberation Sans" w:hAnsi="Liberation Sans"/>
                <w:sz w:val="19"/>
              </w:rPr>
              <w:t xml:space="preserve">Primärtexte, kritische Editionen, kontextualisierte Sekundärliteratur</w:t>
            </w:r>
          </w:p>
        </w:tc>
      </w:tr>
      <w:tr>
        <w:trPr>
          <w:cantSplit/>
        </w:trPr>
        <w:tc>
          <w:tcPr>
            <w:tcW w:type="dxa" w:w="2160"/>
            <w:vAlign w:val="center"/>
          </w:tcPr>
          <w:p>
            <w:pPr>
              <w:pStyle w:val="Compact"/>
              <w:keepNext w:val="0"/>
              <w:keepLines/>
              <w:spacing w:before="20" w:after="20" w:line="250" w:lineRule="auto"/>
              <w:jc w:val="left"/>
            </w:pPr>
            <w:r>
              <w:rPr>
                <w:rFonts w:ascii="Liberation Sans" w:hAnsi="Liberation Sans"/>
                <w:sz w:val="19"/>
              </w:rPr>
              <w:t xml:space="preserve">Begriffsanalytische Philosophie</w:t>
            </w:r>
          </w:p>
        </w:tc>
        <w:tc>
          <w:tcPr>
            <w:tcW w:type="dxa" w:w="3888"/>
            <w:vAlign w:val="center"/>
          </w:tcPr>
          <w:p>
            <w:pPr>
              <w:pStyle w:val="Compact"/>
              <w:keepNext w:val="0"/>
              <w:keepLines/>
              <w:spacing w:before="20" w:after="20" w:line="250" w:lineRule="auto"/>
              <w:jc w:val="left"/>
            </w:pPr>
            <w:r>
              <w:rPr>
                <w:rFonts w:ascii="Liberation Sans" w:hAnsi="Liberation Sans"/>
                <w:sz w:val="19"/>
              </w:rPr>
              <w:t xml:space="preserve">Notwendige und hinreichende Bedingungen; Grenzfälle; Gegenbeispiele</w:t>
            </w:r>
          </w:p>
        </w:tc>
        <w:tc>
          <w:tcPr>
            <w:tcW w:type="dxa" w:w="3802"/>
            <w:vAlign w:val="center"/>
          </w:tcPr>
          <w:p>
            <w:pPr>
              <w:pStyle w:val="Compact"/>
              <w:keepNext w:val="0"/>
              <w:keepLines/>
              <w:spacing w:before="20" w:after="20" w:line="250" w:lineRule="auto"/>
              <w:jc w:val="left"/>
            </w:pPr>
            <w:r>
              <w:rPr>
                <w:rFonts w:ascii="Liberation Sans" w:hAnsi="Liberation Sans"/>
                <w:sz w:val="19"/>
              </w:rPr>
              <w:t xml:space="preserve">Argumentrekonstruktion, Konsistenzprüfung, Gedankenexperimente</w:t>
            </w:r>
          </w:p>
        </w:tc>
      </w:tr>
      <w:tr>
        <w:trPr>
          <w:cantSplit/>
        </w:trPr>
        <w:tc>
          <w:tcPr>
            <w:tcW w:type="dxa" w:w="2160"/>
            <w:vAlign w:val="center"/>
          </w:tcPr>
          <w:p>
            <w:pPr>
              <w:pStyle w:val="Compact"/>
              <w:keepNext w:val="0"/>
              <w:keepLines/>
              <w:spacing w:before="20" w:after="20" w:line="250" w:lineRule="auto"/>
              <w:jc w:val="left"/>
            </w:pPr>
            <w:r>
              <w:rPr>
                <w:rFonts w:ascii="Liberation Sans" w:hAnsi="Liberation Sans"/>
                <w:sz w:val="19"/>
              </w:rPr>
              <w:t xml:space="preserve">Rechtsdogmatische Analyse</w:t>
            </w:r>
          </w:p>
        </w:tc>
        <w:tc>
          <w:tcPr>
            <w:tcW w:type="dxa" w:w="3888"/>
            <w:vAlign w:val="center"/>
          </w:tcPr>
          <w:p>
            <w:pPr>
              <w:pStyle w:val="Compact"/>
              <w:keepNext w:val="0"/>
              <w:keepLines/>
              <w:spacing w:before="20" w:after="20" w:line="250" w:lineRule="auto"/>
              <w:jc w:val="left"/>
            </w:pPr>
            <w:r>
              <w:rPr>
                <w:rFonts w:ascii="Liberation Sans" w:hAnsi="Liberation Sans"/>
                <w:sz w:val="19"/>
              </w:rPr>
              <w:t xml:space="preserve">Geltendes Recht, Zurechnung, Aufsicht, Haftung, Autorschaft</w:t>
            </w:r>
          </w:p>
        </w:tc>
        <w:tc>
          <w:tcPr>
            <w:tcW w:type="dxa" w:w="3802"/>
            <w:vAlign w:val="center"/>
          </w:tcPr>
          <w:p>
            <w:pPr>
              <w:pStyle w:val="Compact"/>
              <w:keepNext w:val="0"/>
              <w:keepLines/>
              <w:spacing w:before="20" w:after="20" w:line="250" w:lineRule="auto"/>
              <w:jc w:val="left"/>
            </w:pPr>
            <w:r>
              <w:rPr>
                <w:rFonts w:ascii="Liberation Sans" w:hAnsi="Liberation Sans"/>
                <w:sz w:val="19"/>
              </w:rPr>
              <w:t xml:space="preserve">Primärrecht, Rechtsprechung, de lege lata/de lege ferenda</w:t>
            </w:r>
          </w:p>
        </w:tc>
      </w:tr>
      <w:tr>
        <w:trPr>
          <w:cantSplit/>
        </w:trPr>
        <w:tc>
          <w:tcPr>
            <w:tcW w:type="dxa" w:w="2160"/>
            <w:vAlign w:val="center"/>
          </w:tcPr>
          <w:p>
            <w:pPr>
              <w:pStyle w:val="Compact"/>
              <w:keepNext w:val="0"/>
              <w:keepLines/>
              <w:spacing w:before="20" w:after="20" w:line="250" w:lineRule="auto"/>
              <w:jc w:val="left"/>
            </w:pPr>
            <w:r>
              <w:rPr>
                <w:rFonts w:ascii="Liberation Sans" w:hAnsi="Liberation Sans"/>
                <w:sz w:val="19"/>
              </w:rPr>
              <w:t xml:space="preserve">Vergleichende normative Ethik</w:t>
            </w:r>
          </w:p>
        </w:tc>
        <w:tc>
          <w:tcPr>
            <w:tcW w:type="dxa" w:w="3888"/>
            <w:vAlign w:val="center"/>
          </w:tcPr>
          <w:p>
            <w:pPr>
              <w:pStyle w:val="Compact"/>
              <w:keepNext w:val="0"/>
              <w:keepLines/>
              <w:spacing w:before="20" w:after="20" w:line="250" w:lineRule="auto"/>
              <w:jc w:val="left"/>
            </w:pPr>
            <w:r>
              <w:rPr>
                <w:rFonts w:ascii="Liberation Sans" w:hAnsi="Liberation Sans"/>
                <w:sz w:val="19"/>
              </w:rPr>
              <w:t xml:space="preserve">Konflikte zwischen Pflicht, Folgen, Tugend, Verantwortung, Fähigkeiten und Fürsorge</w:t>
            </w:r>
          </w:p>
        </w:tc>
        <w:tc>
          <w:tcPr>
            <w:tcW w:type="dxa" w:w="3802"/>
            <w:vAlign w:val="center"/>
          </w:tcPr>
          <w:p>
            <w:pPr>
              <w:pStyle w:val="Compact"/>
              <w:keepNext w:val="0"/>
              <w:keepLines/>
              <w:spacing w:before="20" w:after="20" w:line="250" w:lineRule="auto"/>
              <w:jc w:val="left"/>
            </w:pPr>
            <w:r>
              <w:rPr>
                <w:rFonts w:ascii="Liberation Sans" w:hAnsi="Liberation Sans"/>
                <w:sz w:val="19"/>
              </w:rPr>
              <w:t xml:space="preserve">Theorienvergleich statt vorab gewählter Moralposition</w:t>
            </w:r>
          </w:p>
        </w:tc>
      </w:tr>
      <w:tr>
        <w:trPr>
          <w:cantSplit/>
        </w:trPr>
        <w:tc>
          <w:tcPr>
            <w:tcW w:type="dxa" w:w="2160"/>
            <w:vAlign w:val="center"/>
          </w:tcPr>
          <w:p>
            <w:pPr>
              <w:pStyle w:val="Compact"/>
              <w:keepNext w:val="0"/>
              <w:keepLines/>
              <w:spacing w:before="20" w:after="20" w:line="250" w:lineRule="auto"/>
              <w:jc w:val="left"/>
            </w:pPr>
            <w:r>
              <w:rPr>
                <w:rFonts w:ascii="Liberation Sans" w:hAnsi="Liberation Sans"/>
                <w:sz w:val="19"/>
              </w:rPr>
              <w:t xml:space="preserve">Soziotechnische Systemanalyse</w:t>
            </w:r>
          </w:p>
        </w:tc>
        <w:tc>
          <w:tcPr>
            <w:tcW w:type="dxa" w:w="3888"/>
            <w:vAlign w:val="center"/>
          </w:tcPr>
          <w:p>
            <w:pPr>
              <w:pStyle w:val="Compact"/>
              <w:keepNext w:val="0"/>
              <w:keepLines/>
              <w:spacing w:before="20" w:after="20" w:line="250" w:lineRule="auto"/>
              <w:jc w:val="left"/>
            </w:pPr>
            <w:r>
              <w:rPr>
                <w:rFonts w:ascii="Liberation Sans" w:hAnsi="Liberation Sans"/>
                <w:sz w:val="19"/>
              </w:rPr>
              <w:t xml:space="preserve">Verteilung von Agency über Menschen, Modelle, Daten, Institutionen und Infrastruktur</w:t>
            </w:r>
          </w:p>
        </w:tc>
        <w:tc>
          <w:tcPr>
            <w:tcW w:type="dxa" w:w="3802"/>
            <w:vAlign w:val="center"/>
          </w:tcPr>
          <w:p>
            <w:pPr>
              <w:pStyle w:val="Compact"/>
              <w:keepNext w:val="0"/>
              <w:keepLines/>
              <w:spacing w:before="20" w:after="20" w:line="250" w:lineRule="auto"/>
              <w:jc w:val="left"/>
            </w:pPr>
            <w:r>
              <w:rPr>
                <w:rFonts w:ascii="Liberation Sans" w:hAnsi="Liberation Sans"/>
                <w:sz w:val="19"/>
              </w:rPr>
              <w:t xml:space="preserve">Akteur-, Ressourcen-, Entscheidungs- und Verantwortungsmapping</w:t>
            </w:r>
          </w:p>
        </w:tc>
      </w:tr>
      <w:tr>
        <w:trPr>
          <w:cantSplit/>
        </w:trPr>
        <w:tc>
          <w:tcPr>
            <w:tcW w:type="dxa" w:w="2160"/>
            <w:vAlign w:val="center"/>
          </w:tcPr>
          <w:p>
            <w:pPr>
              <w:pStyle w:val="Compact"/>
              <w:keepNext w:val="0"/>
              <w:keepLines/>
              <w:spacing w:before="20" w:after="20" w:line="250" w:lineRule="auto"/>
              <w:jc w:val="left"/>
            </w:pPr>
            <w:r>
              <w:rPr>
                <w:rFonts w:ascii="Liberation Sans" w:hAnsi="Liberation Sans"/>
                <w:sz w:val="19"/>
              </w:rPr>
              <w:t xml:space="preserve">Artefakt- und Provenienzanalyse</w:t>
            </w:r>
          </w:p>
        </w:tc>
        <w:tc>
          <w:tcPr>
            <w:tcW w:type="dxa" w:w="3888"/>
            <w:vAlign w:val="center"/>
          </w:tcPr>
          <w:p>
            <w:pPr>
              <w:pStyle w:val="Compact"/>
              <w:keepNext w:val="0"/>
              <w:keepLines/>
              <w:spacing w:before="20" w:after="20" w:line="250" w:lineRule="auto"/>
              <w:jc w:val="left"/>
            </w:pPr>
            <w:r>
              <w:rPr>
                <w:rFonts w:ascii="Liberation Sans" w:hAnsi="Liberation Sans"/>
                <w:sz w:val="19"/>
              </w:rPr>
              <w:t xml:space="preserve">LLM-generierte SNN-Entwürfe, Versionen, Prompts und Entwicklungsverläufe</w:t>
            </w:r>
          </w:p>
        </w:tc>
        <w:tc>
          <w:tcPr>
            <w:tcW w:type="dxa" w:w="3802"/>
            <w:vAlign w:val="center"/>
          </w:tcPr>
          <w:p>
            <w:pPr>
              <w:pStyle w:val="Compact"/>
              <w:keepNext w:val="0"/>
              <w:keepLines/>
              <w:spacing w:before="20" w:after="20" w:line="250" w:lineRule="auto"/>
              <w:jc w:val="left"/>
            </w:pPr>
            <w:r>
              <w:rPr>
                <w:rFonts w:ascii="Liberation Sans" w:hAnsi="Liberation Sans"/>
                <w:sz w:val="19"/>
              </w:rPr>
              <w:t xml:space="preserve">Reproduzierbare technische Dokumentation ohne menschliche Versuchspersonen</w:t>
            </w:r>
          </w:p>
        </w:tc>
      </w:tr>
      <w:tr>
        <w:trPr>
          <w:cantSplit/>
        </w:trPr>
        <w:tc>
          <w:tcPr>
            <w:tcW w:type="dxa" w:w="2160"/>
            <w:vAlign w:val="center"/>
          </w:tcPr>
          <w:p>
            <w:pPr>
              <w:pStyle w:val="Compact"/>
              <w:keepNext w:val="0"/>
              <w:keepLines/>
              <w:spacing w:before="20" w:after="20" w:line="250" w:lineRule="auto"/>
              <w:jc w:val="left"/>
            </w:pPr>
            <w:r>
              <w:rPr>
                <w:rFonts w:ascii="Liberation Sans" w:hAnsi="Liberation Sans"/>
                <w:sz w:val="19"/>
              </w:rPr>
              <w:t xml:space="preserve">Reflexive Forschung</w:t>
            </w:r>
          </w:p>
        </w:tc>
        <w:tc>
          <w:tcPr>
            <w:tcW w:type="dxa" w:w="3888"/>
            <w:vAlign w:val="center"/>
          </w:tcPr>
          <w:p>
            <w:pPr>
              <w:pStyle w:val="Compact"/>
              <w:keepNext w:val="0"/>
              <w:keepLines/>
              <w:spacing w:before="20" w:after="20" w:line="250" w:lineRule="auto"/>
              <w:jc w:val="left"/>
            </w:pPr>
            <w:r>
              <w:rPr>
                <w:rFonts w:ascii="Liberation Sans" w:hAnsi="Liberation Sans"/>
                <w:sz w:val="19"/>
              </w:rPr>
              <w:t xml:space="preserve">Kontrolle, Autorschaft und KI-Beitrag in der wissenschaftliche Abhandlung selbst</w:t>
            </w:r>
          </w:p>
        </w:tc>
        <w:tc>
          <w:tcPr>
            <w:tcW w:type="dxa" w:w="3802"/>
            <w:vAlign w:val="center"/>
          </w:tcPr>
          <w:p>
            <w:pPr>
              <w:pStyle w:val="Compact"/>
              <w:keepNext w:val="0"/>
              <w:keepLines/>
              <w:spacing w:before="20" w:after="20" w:line="250" w:lineRule="auto"/>
              <w:jc w:val="left"/>
            </w:pPr>
            <w:r>
              <w:rPr>
                <w:rFonts w:ascii="Liberation Sans" w:hAnsi="Liberation Sans"/>
                <w:sz w:val="19"/>
              </w:rPr>
              <w:t xml:space="preserve">KI-Nutzungsprotokoll, Quellenprüfung, Entscheidungsnachweis</w:t>
            </w:r>
          </w:p>
        </w:tc>
      </w:tr>
    </w:tbl>
    <w:bookmarkEnd w:id="53"/>
    <w:bookmarkStart w:id="54" w:name="Xa5d4483bda3c50588f0e778a78fd90d53fe171c"/>
    <w:p>
      <w:pPr>
        <w:pStyle w:val="Heading3"/>
        <w:keepLines/>
        <w:spacing w:after="120"/>
        <w:jc w:val="left"/>
      </w:pPr>
      <w:r>
        <w:rPr>
          <w:sz w:val="20"/>
        </w:rPr>
        <w:t xml:space="preserve">Keine Erhebung an menschlichen Probandengruppen</w:t>
      </w:r>
    </w:p>
    <w:p>
      <w:pPr>
        <w:pStyle w:val="FirstParagraph"/>
        <w:keepLines/>
        <w:spacing w:after="120"/>
        <w:jc w:val="left"/>
      </w:pPr>
      <w:r>
        <w:rPr>
          <w:sz w:val="20"/>
        </w:rPr>
        <w:t xml:space="preserve">Die Arbeit verzichtet auf künstlich konstruierte menschliche Versuchs- und Kontrollgruppen. Fragen der Wahrnehmung anthropomorpher Sprache, Verantwortung oder Autorschaft werden zunächst durch Literatur, Begriffsanalyse und dokumentierte wissenschaftliche Praxis untersucht. Eine spätere Human-Subjects-Studie wäre ein eigenständiges Forschungsprojekt und erforderte Ethikvotum, Datenschutzkonzept, Stichprobenplanung und psychometrische Validierung. Sie wird nicht simuliert und nicht durch erfundene Daten ersetzt.</w:t>
      </w:r>
    </w:p>
    <w:p>
      <w:pPr>
        <w:pStyle w:val="BodyText"/>
        <w:keepLines/>
        <w:spacing w:after="120"/>
        <w:jc w:val="left"/>
      </w:pPr>
      <w:r>
        <w:rPr>
          <w:sz w:val="20"/>
        </w:rPr>
        <w:t xml:space="preserve">Technische Vergleiche sind davon zu unterscheiden. Werden LLM-generierte SNN-Architekturen mit manuellen oder algorithmisch erzeugten Referenzartefakten verglichen, handelt es sich um Artefaktvergleich, nicht um Personenversuche. Die Referenz dient der Einordnung von Struktur, Funktion und Reproduzierbarkeit. Sie darf nicht als Beweis einer allgemeinen philosophischen Überlegenheit verwendet werden.</w:t>
      </w:r>
    </w:p>
    <w:bookmarkEnd w:id="54"/>
    <w:bookmarkStart w:id="55" w:name="literatur--und-zitationsregeln"/>
    <w:p>
      <w:pPr>
        <w:pStyle w:val="Heading3"/>
        <w:keepLines/>
        <w:spacing w:after="120"/>
        <w:jc w:val="left"/>
      </w:pPr>
      <w:r>
        <w:rPr>
          <w:sz w:val="20"/>
        </w:rPr>
        <w:t xml:space="preserve">Literatur- und Zitationsregeln</w:t>
      </w:r>
    </w:p>
    <w:p>
      <w:pPr>
        <w:keepLines/>
        <w:numPr>
          <w:ilvl w:val="0"/>
          <w:numId w:val="1004"/>
        </w:numPr>
        <w:spacing w:after="120"/>
        <w:jc w:val="left"/>
      </w:pPr>
      <w:r>
        <w:rPr>
          <w:sz w:val="20"/>
        </w:rPr>
        <w:t xml:space="preserve">Zitationssystem: APA 7 für moderne Literatur; historische Primärtexte zusätzlich nach Werk, Buch, Kapitel oder Versstelle.</w:t>
      </w:r>
    </w:p>
    <w:p>
      <w:pPr>
        <w:keepLines/>
        <w:numPr>
          <w:ilvl w:val="0"/>
          <w:numId w:val="1004"/>
        </w:numPr>
        <w:spacing w:after="120"/>
        <w:jc w:val="left"/>
      </w:pPr>
      <w:r>
        <w:rPr>
          <w:sz w:val="20"/>
        </w:rPr>
        <w:t xml:space="preserve">Primärquellen und amtliche Rechtsquellen haben Vorrang vor journalistischen oder sekundären Zusammenfassungen.</w:t>
      </w:r>
    </w:p>
    <w:p>
      <w:pPr>
        <w:keepLines/>
        <w:numPr>
          <w:ilvl w:val="0"/>
          <w:numId w:val="1004"/>
        </w:numPr>
        <w:spacing w:after="120"/>
        <w:jc w:val="left"/>
      </w:pPr>
      <w:r>
        <w:rPr>
          <w:sz w:val="20"/>
        </w:rPr>
        <w:t xml:space="preserve">Preprints werden als solche gekennzeichnet; aktuelle technische Befunde werden nicht mit gesichertem Konsens gleichgesetzt.</w:t>
      </w:r>
    </w:p>
    <w:p>
      <w:pPr>
        <w:keepLines/>
        <w:numPr>
          <w:ilvl w:val="0"/>
          <w:numId w:val="1004"/>
        </w:numPr>
        <w:spacing w:after="120"/>
        <w:jc w:val="left"/>
      </w:pPr>
      <w:r>
        <w:rPr>
          <w:sz w:val="20"/>
        </w:rPr>
        <w:t xml:space="preserve">Jede wörtliche Übernahme benötigt Seiten- oder Stellenangabe. Paraphrasen benötigen Autor-Jahr-Nachweis.</w:t>
      </w:r>
    </w:p>
    <w:p>
      <w:pPr>
        <w:keepLines/>
        <w:numPr>
          <w:ilvl w:val="0"/>
          <w:numId w:val="1004"/>
        </w:numPr>
        <w:spacing w:after="120"/>
        <w:jc w:val="left"/>
      </w:pPr>
      <w:r>
        <w:rPr>
          <w:sz w:val="20"/>
        </w:rPr>
        <w:t xml:space="preserve">DOI, amtliche Fundstelle oder stabile institutionelle Quelle wird angegeben, soweit vorhanden.</w:t>
      </w:r>
    </w:p>
    <w:p>
      <w:pPr>
        <w:keepLines/>
        <w:numPr>
          <w:ilvl w:val="0"/>
          <w:numId w:val="1004"/>
        </w:numPr>
        <w:spacing w:after="120"/>
        <w:jc w:val="left"/>
      </w:pPr>
      <w:r>
        <w:rPr>
          <w:sz w:val="20"/>
        </w:rPr>
        <w:t xml:space="preserve">Neu ergänzte Literaturangaben werden an Primärquellen geprüft. Uebernommene Korpusangaben bleiben als solche gekennzeichnet; vor formaler Einzelzitation ist ihr Detailnachweis nachzuprüfen.</w:t>
      </w:r>
    </w:p>
    <w:bookmarkEnd w:id="55"/>
    <w:bookmarkEnd w:id="56"/>
    <w:bookmarkStart w:id="57" w:name="evidenzstufen-e0e3"/>
    <w:p>
      <w:pPr>
        <w:pStyle w:val="Heading2"/>
      </w:pPr>
      <w:r>
        <w:t xml:space="preserve">Evidenzstufen E0–E3</w:t>
      </w:r>
    </w:p>
    <w:p>
      <w:pPr>
        <w:pStyle w:val="Caption"/>
        <w:keepNext/>
        <w:keepLines/>
        <w:spacing w:before="180" w:after="120"/>
        <w:jc w:val="left"/>
      </w:pPr>
      <w:r>
        <w:rPr>
          <w:sz w:val="20"/>
        </w:rPr>
        <w:t>Tabelle 4. Wissenschaftliche Evidenzstufen E0 bis E3</w:t>
      </w:r>
    </w:p>
    <w:tbl>
      <w:tblPr>
        <w:tblStyle w:val="Table"/>
        <w:tblW w:type="pct" w:w="4955"/>
        <w:jc w:val="center"/>
        <w:tblLayout w:type="fixed"/>
        <w:tblLook w:firstRow="1" w:lastRow="0" w:firstColumn="0" w:lastColumn="0" w:noHBand="0" w:noVBand="0" w:val="0020"/>
        <w:tblInd w:w="0" w:type="dxa"/>
        <w:tblCellMar>
          <w:top w:w="70" w:type="dxa"/>
          <w:bottom w:w="70" w:type="dxa"/>
          <w:left w:w="85" w:type="dxa"/>
          <w:right w:w="85" w:type="dxa"/>
        </w:tblCellMar>
        <w:tblBorders>
          <w:top w:val="single" w:sz="4" w:color="CCD4D9"/>
          <w:bottom w:val="single" w:sz="4" w:color="CCD4D9"/>
          <w:insideH w:val="single" w:sz="4" w:color="CCD4D9"/>
          <w:left w:val="nil"/>
          <w:right w:val="nil"/>
          <w:insideV w:val="nil"/>
        </w:tblBorders>
      </w:tblPr>
      <w:tblGrid>
        <w:gridCol w:w="864"/>
        <w:gridCol w:w="2376"/>
        <w:gridCol w:w="3528"/>
        <w:gridCol w:w="3082"/>
      </w:tblGrid>
      <w:tr>
        <w:trPr>
          <w:tblHeader w:val="on"/>
          <w:cantSplit/>
          <w:tblHeader/>
        </w:trPr>
        <w:tc>
          <w:tcPr>
            <w:tcW w:type="dxa" w:w="864"/>
            <w:vAlign w:val="center"/>
            <w:shd w:fill="E9EFF3"/>
          </w:tcPr>
          <w:p>
            <w:pPr>
              <w:pStyle w:val="Compact"/>
              <w:keepNext w:val="0"/>
              <w:keepLines/>
              <w:spacing w:before="20" w:after="20" w:line="250" w:lineRule="auto"/>
              <w:jc w:val="center"/>
            </w:pPr>
            <w:r>
              <w:rPr>
                <w:rFonts w:ascii="Liberation Sans" w:hAnsi="Liberation Sans"/>
                <w:b/>
                <w:bCs/>
                <w:sz w:val="18"/>
              </w:rPr>
              <w:t xml:space="preserve">Status</w:t>
            </w:r>
          </w:p>
        </w:tc>
        <w:tc>
          <w:tcPr>
            <w:tcW w:type="dxa" w:w="2376"/>
            <w:vAlign w:val="center"/>
            <w:shd w:fill="E9EFF3"/>
          </w:tcPr>
          <w:p>
            <w:pPr>
              <w:pStyle w:val="Compact"/>
              <w:keepNext w:val="0"/>
              <w:keepLines/>
              <w:spacing w:before="20" w:after="20" w:line="250" w:lineRule="auto"/>
              <w:jc w:val="left"/>
            </w:pPr>
            <w:r>
              <w:rPr>
                <w:rFonts w:ascii="Liberation Sans" w:hAnsi="Liberation Sans"/>
                <w:b/>
                <w:bCs/>
                <w:sz w:val="18"/>
              </w:rPr>
              <w:t xml:space="preserve">Bezeichnung</w:t>
            </w:r>
          </w:p>
        </w:tc>
        <w:tc>
          <w:tcPr>
            <w:tcW w:type="dxa" w:w="3528"/>
            <w:vAlign w:val="center"/>
            <w:shd w:fill="E9EFF3"/>
          </w:tcPr>
          <w:p>
            <w:pPr>
              <w:pStyle w:val="Compact"/>
              <w:keepNext w:val="0"/>
              <w:keepLines/>
              <w:spacing w:before="20" w:after="20" w:line="250" w:lineRule="auto"/>
              <w:jc w:val="left"/>
            </w:pPr>
            <w:r>
              <w:rPr>
                <w:rFonts w:ascii="Liberation Sans" w:hAnsi="Liberation Sans"/>
                <w:b/>
                <w:bCs/>
                <w:sz w:val="18"/>
              </w:rPr>
              <w:t xml:space="preserve">Mindestanforderung</w:t>
            </w:r>
          </w:p>
        </w:tc>
        <w:tc>
          <w:tcPr>
            <w:tcW w:type="dxa" w:w="3082"/>
            <w:vAlign w:val="center"/>
            <w:shd w:fill="E9EFF3"/>
          </w:tcPr>
          <w:p>
            <w:pPr>
              <w:pStyle w:val="Compact"/>
              <w:keepNext w:val="0"/>
              <w:keepLines/>
              <w:spacing w:before="20" w:after="20" w:line="250" w:lineRule="auto"/>
              <w:jc w:val="left"/>
            </w:pPr>
            <w:r>
              <w:rPr>
                <w:rFonts w:ascii="Liberation Sans" w:hAnsi="Liberation Sans"/>
                <w:b/>
                <w:bCs/>
                <w:sz w:val="18"/>
              </w:rPr>
              <w:t xml:space="preserve">Unzulässige Verkürzung</w:t>
            </w:r>
          </w:p>
        </w:tc>
      </w:tr>
      <w:tr>
        <w:trPr>
          <w:cantSplit/>
        </w:trPr>
        <w:tc>
          <w:tcPr>
            <w:tcW w:type="dxa" w:w="864"/>
            <w:vAlign w:val="center"/>
          </w:tcPr>
          <w:p>
            <w:pPr>
              <w:pStyle w:val="Compact"/>
              <w:keepNext w:val="0"/>
              <w:keepLines/>
              <w:spacing w:before="20" w:after="20" w:line="250" w:lineRule="auto"/>
              <w:jc w:val="center"/>
            </w:pPr>
            <w:r>
              <w:rPr>
                <w:rFonts w:ascii="Liberation Sans" w:hAnsi="Liberation Sans"/>
                <w:sz w:val="18"/>
              </w:rPr>
              <w:t xml:space="preserve">E0</w:t>
            </w:r>
          </w:p>
        </w:tc>
        <w:tc>
          <w:tcPr>
            <w:tcW w:type="dxa" w:w="2376"/>
            <w:vAlign w:val="center"/>
          </w:tcPr>
          <w:p>
            <w:pPr>
              <w:pStyle w:val="Compact"/>
              <w:keepNext w:val="0"/>
              <w:keepLines/>
              <w:spacing w:before="20" w:after="20" w:line="250" w:lineRule="auto"/>
              <w:jc w:val="left"/>
            </w:pPr>
            <w:r>
              <w:rPr>
                <w:rFonts w:ascii="Liberation Sans" w:hAnsi="Liberation Sans"/>
                <w:sz w:val="18"/>
              </w:rPr>
              <w:t xml:space="preserve">Hypothese / Spezifikation</w:t>
            </w:r>
          </w:p>
        </w:tc>
        <w:tc>
          <w:tcPr>
            <w:tcW w:type="dxa" w:w="3528"/>
            <w:vAlign w:val="center"/>
          </w:tcPr>
          <w:p>
            <w:pPr>
              <w:pStyle w:val="Compact"/>
              <w:keepNext w:val="0"/>
              <w:keepLines/>
              <w:spacing w:before="20" w:after="20" w:line="250" w:lineRule="auto"/>
              <w:jc w:val="left"/>
            </w:pPr>
            <w:r>
              <w:rPr>
                <w:rFonts w:ascii="Liberation Sans" w:hAnsi="Liberation Sans"/>
                <w:sz w:val="18"/>
              </w:rPr>
              <w:t xml:space="preserve">theoretisch formuliert, operationalisierbar und prinzipiell falsifizierbar</w:t>
            </w:r>
          </w:p>
        </w:tc>
        <w:tc>
          <w:tcPr>
            <w:tcW w:type="dxa" w:w="3082"/>
            <w:vAlign w:val="center"/>
          </w:tcPr>
          <w:p>
            <w:pPr>
              <w:pStyle w:val="Compact"/>
              <w:keepNext w:val="0"/>
              <w:keepLines/>
              <w:spacing w:before="20" w:after="20" w:line="250" w:lineRule="auto"/>
              <w:jc w:val="left"/>
            </w:pPr>
            <w:r>
              <w:rPr>
                <w:rFonts w:ascii="Liberation Sans" w:hAnsi="Liberation Sans"/>
                <w:sz w:val="18"/>
              </w:rPr>
              <w:t xml:space="preserve">„ist vorhanden” oder „funktioniert”</w:t>
            </w:r>
          </w:p>
        </w:tc>
      </w:tr>
      <w:tr>
        <w:trPr>
          <w:cantSplit/>
        </w:trPr>
        <w:tc>
          <w:tcPr>
            <w:tcW w:type="dxa" w:w="864"/>
            <w:vAlign w:val="center"/>
          </w:tcPr>
          <w:p>
            <w:pPr>
              <w:pStyle w:val="Compact"/>
              <w:keepNext w:val="0"/>
              <w:keepLines/>
              <w:spacing w:before="20" w:after="20" w:line="250" w:lineRule="auto"/>
              <w:jc w:val="center"/>
            </w:pPr>
            <w:r>
              <w:rPr>
                <w:rFonts w:ascii="Liberation Sans" w:hAnsi="Liberation Sans"/>
                <w:sz w:val="18"/>
              </w:rPr>
              <w:t xml:space="preserve">E1</w:t>
            </w:r>
          </w:p>
        </w:tc>
        <w:tc>
          <w:tcPr>
            <w:tcW w:type="dxa" w:w="2376"/>
            <w:vAlign w:val="center"/>
          </w:tcPr>
          <w:p>
            <w:pPr>
              <w:pStyle w:val="Compact"/>
              <w:keepNext w:val="0"/>
              <w:keepLines/>
              <w:spacing w:before="20" w:after="20" w:line="250" w:lineRule="auto"/>
              <w:jc w:val="left"/>
            </w:pPr>
            <w:r>
              <w:rPr>
                <w:rFonts w:ascii="Liberation Sans" w:hAnsi="Liberation Sans"/>
                <w:sz w:val="18"/>
              </w:rPr>
              <w:t xml:space="preserve">Implementierungsnachweis</w:t>
            </w:r>
          </w:p>
        </w:tc>
        <w:tc>
          <w:tcPr>
            <w:tcW w:type="dxa" w:w="3528"/>
            <w:vAlign w:val="center"/>
          </w:tcPr>
          <w:p>
            <w:pPr>
              <w:pStyle w:val="Compact"/>
              <w:keepNext w:val="0"/>
              <w:keepLines/>
              <w:spacing w:before="20" w:after="20" w:line="250" w:lineRule="auto"/>
              <w:jc w:val="left"/>
            </w:pPr>
            <w:r>
              <w:rPr>
                <w:rFonts w:ascii="Liberation Sans" w:hAnsi="Liberation Sans"/>
                <w:sz w:val="18"/>
              </w:rPr>
              <w:t xml:space="preserve">Codepfad, Schema oder Komponente durch Tests, Commit und reproduzierbaren technischen Lauf belegt</w:t>
            </w:r>
          </w:p>
        </w:tc>
        <w:tc>
          <w:tcPr>
            <w:tcW w:type="dxa" w:w="3082"/>
            <w:vAlign w:val="center"/>
          </w:tcPr>
          <w:p>
            <w:pPr>
              <w:pStyle w:val="Compact"/>
              <w:keepNext w:val="0"/>
              <w:keepLines/>
              <w:spacing w:before="20" w:after="20" w:line="250" w:lineRule="auto"/>
              <w:jc w:val="left"/>
            </w:pPr>
            <w:r>
              <w:rPr>
                <w:rFonts w:ascii="Liberation Sans" w:hAnsi="Liberation Sans"/>
                <w:sz w:val="18"/>
              </w:rPr>
              <w:t xml:space="preserve">„hat kognitive Funktion”</w:t>
            </w:r>
          </w:p>
        </w:tc>
      </w:tr>
      <w:tr>
        <w:trPr>
          <w:cantSplit/>
        </w:trPr>
        <w:tc>
          <w:tcPr>
            <w:tcW w:type="dxa" w:w="864"/>
            <w:vAlign w:val="center"/>
          </w:tcPr>
          <w:p>
            <w:pPr>
              <w:pStyle w:val="Compact"/>
              <w:keepNext w:val="0"/>
              <w:keepLines/>
              <w:spacing w:before="20" w:after="20" w:line="250" w:lineRule="auto"/>
              <w:jc w:val="center"/>
            </w:pPr>
            <w:r>
              <w:rPr>
                <w:rFonts w:ascii="Liberation Sans" w:hAnsi="Liberation Sans"/>
                <w:sz w:val="18"/>
              </w:rPr>
              <w:t xml:space="preserve">E2</w:t>
            </w:r>
          </w:p>
        </w:tc>
        <w:tc>
          <w:tcPr>
            <w:tcW w:type="dxa" w:w="2376"/>
            <w:vAlign w:val="center"/>
          </w:tcPr>
          <w:p>
            <w:pPr>
              <w:pStyle w:val="Compact"/>
              <w:keepNext w:val="0"/>
              <w:keepLines/>
              <w:spacing w:before="20" w:after="20" w:line="250" w:lineRule="auto"/>
              <w:jc w:val="left"/>
            </w:pPr>
            <w:r>
              <w:rPr>
                <w:rFonts w:ascii="Liberation Sans" w:hAnsi="Liberation Sans"/>
                <w:sz w:val="18"/>
              </w:rPr>
              <w:t xml:space="preserve">kontrollierter Funktionsnachweis</w:t>
            </w:r>
          </w:p>
        </w:tc>
        <w:tc>
          <w:tcPr>
            <w:tcW w:type="dxa" w:w="3528"/>
            <w:vAlign w:val="center"/>
          </w:tcPr>
          <w:p>
            <w:pPr>
              <w:pStyle w:val="Compact"/>
              <w:keepNext w:val="0"/>
              <w:keepLines/>
              <w:spacing w:before="20" w:after="20" w:line="250" w:lineRule="auto"/>
              <w:jc w:val="left"/>
            </w:pPr>
            <w:r>
              <w:rPr>
                <w:rFonts w:ascii="Liberation Sans" w:hAnsi="Liberation Sans"/>
                <w:sz w:val="18"/>
              </w:rPr>
              <w:t xml:space="preserve">vorab definierter Effekt unter Kontrollen, mehreren unabhängigen Seeds und statistischer Auswertung reproduziert</w:t>
            </w:r>
          </w:p>
        </w:tc>
        <w:tc>
          <w:tcPr>
            <w:tcW w:type="dxa" w:w="3082"/>
            <w:vAlign w:val="center"/>
          </w:tcPr>
          <w:p>
            <w:pPr>
              <w:pStyle w:val="Compact"/>
              <w:keepNext w:val="0"/>
              <w:keepLines/>
              <w:spacing w:before="20" w:after="20" w:line="250" w:lineRule="auto"/>
              <w:jc w:val="left"/>
            </w:pPr>
            <w:r>
              <w:rPr>
                <w:rFonts w:ascii="Liberation Sans" w:hAnsi="Liberation Sans"/>
                <w:sz w:val="18"/>
              </w:rPr>
              <w:t xml:space="preserve">„generalisiert systemisch”</w:t>
            </w:r>
          </w:p>
        </w:tc>
      </w:tr>
      <w:tr>
        <w:trPr>
          <w:cantSplit/>
        </w:trPr>
        <w:tc>
          <w:tcPr>
            <w:tcW w:type="dxa" w:w="864"/>
            <w:vAlign w:val="center"/>
          </w:tcPr>
          <w:p>
            <w:pPr>
              <w:pStyle w:val="Compact"/>
              <w:keepNext w:val="0"/>
              <w:keepLines/>
              <w:spacing w:before="20" w:after="20" w:line="250" w:lineRule="auto"/>
              <w:jc w:val="center"/>
            </w:pPr>
            <w:r>
              <w:rPr>
                <w:rFonts w:ascii="Liberation Sans" w:hAnsi="Liberation Sans"/>
                <w:sz w:val="18"/>
              </w:rPr>
              <w:t xml:space="preserve">E3</w:t>
            </w:r>
          </w:p>
        </w:tc>
        <w:tc>
          <w:tcPr>
            <w:tcW w:type="dxa" w:w="2376"/>
            <w:vAlign w:val="center"/>
          </w:tcPr>
          <w:p>
            <w:pPr>
              <w:pStyle w:val="Compact"/>
              <w:keepNext w:val="0"/>
              <w:keepLines/>
              <w:spacing w:before="20" w:after="20" w:line="250" w:lineRule="auto"/>
              <w:jc w:val="left"/>
            </w:pPr>
            <w:r>
              <w:rPr>
                <w:rFonts w:ascii="Liberation Sans" w:hAnsi="Liberation Sans"/>
                <w:sz w:val="18"/>
              </w:rPr>
              <w:t xml:space="preserve">systemischer Funktionsnachweis</w:t>
            </w:r>
          </w:p>
        </w:tc>
        <w:tc>
          <w:tcPr>
            <w:tcW w:type="dxa" w:w="3528"/>
            <w:vAlign w:val="center"/>
          </w:tcPr>
          <w:p>
            <w:pPr>
              <w:pStyle w:val="Compact"/>
              <w:keepNext w:val="0"/>
              <w:keepLines/>
              <w:spacing w:before="20" w:after="20" w:line="250" w:lineRule="auto"/>
              <w:jc w:val="left"/>
            </w:pPr>
            <w:r>
              <w:rPr>
                <w:rFonts w:ascii="Liberation Sans" w:hAnsi="Liberation Sans"/>
                <w:sz w:val="18"/>
              </w:rPr>
              <w:t xml:space="preserve">Effekt bleibt in komplexerer Umgebung, über Aufgaben, Größen oder Störbedingungen erhalten und übersteht relevante Ablationen</w:t>
            </w:r>
          </w:p>
        </w:tc>
        <w:tc>
          <w:tcPr>
            <w:tcW w:type="dxa" w:w="3082"/>
            <w:vAlign w:val="center"/>
          </w:tcPr>
          <w:p>
            <w:pPr>
              <w:pStyle w:val="Compact"/>
              <w:keepNext w:val="0"/>
              <w:keepLines/>
              <w:spacing w:before="20" w:after="20" w:line="250" w:lineRule="auto"/>
              <w:jc w:val="left"/>
            </w:pPr>
            <w:r>
              <w:rPr>
                <w:rFonts w:ascii="Liberation Sans" w:hAnsi="Liberation Sans"/>
                <w:sz w:val="18"/>
              </w:rPr>
              <w:t xml:space="preserve">„biologisch äquivalent” oder „bewusst”</w:t>
            </w:r>
          </w:p>
        </w:tc>
      </w:tr>
    </w:tbl>
    <w:p>
      <w:pPr>
        <w:pStyle w:val="BodyText"/>
        <w:keepLines/>
        <w:spacing w:after="120"/>
        <w:jc w:val="left"/>
      </w:pPr>
      <w:r>
        <w:rPr>
          <w:sz w:val="20"/>
        </w:rPr>
        <w:t xml:space="preserve">Die empfohlene Claim-Syntax lautet:</w:t>
      </w:r>
    </w:p>
    <w:p>
      <w:pPr>
        <w:pStyle w:val="SourceCode"/>
        <w:keepNext w:val="0"/>
        <w:keepLines/>
        <w:spacing w:after="120"/>
        <w:jc w:val="left"/>
      </w:pPr>
      <w:r>
        <w:rPr>
          <w:rStyle w:val="VerbatimChar"/>
          <w:sz w:val="20"/>
        </w:rPr>
        <w:t xml:space="preserve">[E2 | VALIDATED | CLAIM-MEM-004 | EXP-2027-018 | commit=abc1234]</w:t>
      </w:r>
      <w:r>
        <w:rPr>
          <w:sz w:val="20"/>
        </w:rPr>
        <w:br/>
      </w:r>
      <w:r>
        <w:rPr>
          <w:rStyle w:val="VerbatimChar"/>
          <w:sz w:val="20"/>
        </w:rPr>
        <w:t xml:space="preserve">Homeostatic scaling reduced the between-seed variance of population firing rate</w:t>
      </w:r>
      <w:r>
        <w:rPr>
          <w:sz w:val="20"/>
        </w:rPr>
        <w:br/>
      </w:r>
      <w:r>
        <w:rPr>
          <w:rStyle w:val="VerbatimChar"/>
          <w:sz w:val="20"/>
        </w:rPr>
        <w:t xml:space="preserve">in benchmark HOMEOSTASIS-01 relative to the preregistered control.</w:t>
      </w:r>
    </w:p>
    <w:p>
      <w:pPr>
        <w:pStyle w:val="FirstParagraph"/>
        <w:keepLines/>
        <w:spacing w:after="120"/>
        <w:jc w:val="left"/>
      </w:pPr>
      <w:r>
        <w:rPr>
          <w:sz w:val="20"/>
        </w:rPr>
        <w:t xml:space="preserve">Ohne verknüpften Nachweis verbleibt eine Aussage auf E0. Eine E1-Komponente kann fehlerfrei implementiert sein, ohne den postulierten wissenschaftlichen Zweck zu erfüllen. E2 setzt keine E3-Gültigkeit voraus. Eine spätere Replikationsabweichung kann eine Herabstufung oder Einschränkung des Geltungsbereichs erzwingen.</w:t>
      </w:r>
    </w:p>
    <w:bookmarkEnd w:id="57"/>
    <w:bookmarkStart w:id="58" w:name="mathematischer-status-von-gleichungen"/>
    <w:p>
      <w:pPr>
        <w:pStyle w:val="Heading2"/>
      </w:pPr>
      <w:r>
        <w:t xml:space="preserve">Mathematischer Status von Gleichungen</w:t>
      </w:r>
    </w:p>
    <w:p>
      <w:pPr>
        <w:pStyle w:val="FirstParagraph"/>
        <w:keepLines/>
        <w:spacing w:after="120"/>
        <w:jc w:val="left"/>
      </w:pPr>
      <w:r>
        <w:rPr>
          <w:sz w:val="20"/>
        </w:rPr>
        <w:t xml:space="preserve">Die mathematische Kennzeichnung ist orthogonal zur Evidenzstufe:</w:t>
      </w:r>
    </w:p>
    <w:p>
      <w:pPr>
        <w:pStyle w:val="Caption"/>
        <w:keepNext/>
        <w:keepLines/>
        <w:spacing w:before="180" w:after="120"/>
        <w:jc w:val="left"/>
      </w:pPr>
      <w:r>
        <w:rPr>
          <w:sz w:val="20"/>
        </w:rPr>
        <w:t>Tabelle 5. Mathematische Statuskennzeichnungen</w:t>
      </w:r>
    </w:p>
    <w:tbl>
      <w:tblPr>
        <w:tblStyle w:val="Table"/>
        <w:tblW w:type="pct" w:w="4922"/>
        <w:jc w:val="center"/>
        <w:tblLayout w:type="fixed"/>
        <w:tblLook w:firstRow="1" w:lastRow="0" w:firstColumn="0" w:lastColumn="0" w:noHBand="0" w:noVBand="0" w:val="0020"/>
        <w:tblInd w:w="0" w:type="dxa"/>
        <w:tblCellMar>
          <w:top w:w="70" w:type="dxa"/>
          <w:bottom w:w="70" w:type="dxa"/>
          <w:left w:w="85" w:type="dxa"/>
          <w:right w:w="85" w:type="dxa"/>
        </w:tblCellMar>
        <w:tblBorders>
          <w:top w:val="single" w:sz="4" w:color="CCD4D9"/>
          <w:bottom w:val="single" w:sz="4" w:color="CCD4D9"/>
          <w:insideH w:val="single" w:sz="4" w:color="CCD4D9"/>
          <w:left w:val="nil"/>
          <w:right w:val="nil"/>
          <w:insideV w:val="nil"/>
        </w:tblBorders>
      </w:tblPr>
      <w:tblGrid>
        <w:gridCol w:w="1080"/>
        <w:gridCol w:w="3456"/>
        <w:gridCol w:w="5314"/>
      </w:tblGrid>
      <w:tr>
        <w:trPr>
          <w:tblHeader w:val="on"/>
          <w:cantSplit/>
          <w:tblHeader/>
        </w:trPr>
        <w:tc>
          <w:tcPr>
            <w:tcW w:type="dxa" w:w="1080"/>
            <w:vAlign w:val="center"/>
            <w:shd w:fill="E9EFF3"/>
          </w:tcPr>
          <w:p>
            <w:pPr>
              <w:pStyle w:val="Compact"/>
              <w:keepNext w:val="0"/>
              <w:keepLines/>
              <w:spacing w:before="20" w:after="20" w:line="250" w:lineRule="auto"/>
              <w:jc w:val="center"/>
            </w:pPr>
            <w:r>
              <w:rPr>
                <w:rFonts w:ascii="Liberation Sans" w:hAnsi="Liberation Sans"/>
                <w:b/>
                <w:bCs/>
                <w:sz w:val="19"/>
              </w:rPr>
              <w:t xml:space="preserve">Tag</w:t>
            </w:r>
          </w:p>
        </w:tc>
        <w:tc>
          <w:tcPr>
            <w:tcW w:type="dxa" w:w="3456"/>
            <w:vAlign w:val="center"/>
            <w:shd w:fill="E9EFF3"/>
          </w:tcPr>
          <w:p>
            <w:pPr>
              <w:pStyle w:val="Compact"/>
              <w:keepNext w:val="0"/>
              <w:keepLines/>
              <w:spacing w:before="20" w:after="20" w:line="250" w:lineRule="auto"/>
              <w:jc w:val="left"/>
            </w:pPr>
            <w:r>
              <w:rPr>
                <w:rFonts w:ascii="Liberation Sans" w:hAnsi="Liberation Sans"/>
                <w:b/>
                <w:bCs/>
                <w:sz w:val="19"/>
              </w:rPr>
              <w:t xml:space="preserve">Bedeutung</w:t>
            </w:r>
          </w:p>
        </w:tc>
        <w:tc>
          <w:tcPr>
            <w:tcW w:type="dxa" w:w="5314"/>
            <w:vAlign w:val="center"/>
            <w:shd w:fill="E9EFF3"/>
          </w:tcPr>
          <w:p>
            <w:pPr>
              <w:pStyle w:val="Compact"/>
              <w:keepNext w:val="0"/>
              <w:keepLines/>
              <w:spacing w:before="20" w:after="20" w:line="250" w:lineRule="auto"/>
              <w:jc w:val="left"/>
            </w:pPr>
            <w:r>
              <w:rPr>
                <w:rFonts w:ascii="Liberation Sans" w:hAnsi="Liberation Sans"/>
                <w:b/>
                <w:bCs/>
                <w:sz w:val="19"/>
              </w:rPr>
              <w:t xml:space="preserve">Beispiel</w:t>
            </w:r>
          </w:p>
        </w:tc>
      </w:tr>
      <w:tr>
        <w:trPr>
          <w:cantSplit/>
        </w:trPr>
        <w:tc>
          <w:tcPr>
            <w:tcW w:type="dxa" w:w="1080"/>
            <w:vAlign w:val="center"/>
          </w:tcPr>
          <w:p>
            <w:pPr>
              <w:pStyle w:val="Compact"/>
              <w:keepNext w:val="0"/>
              <w:keepLines/>
              <w:spacing w:before="20" w:after="20" w:line="250" w:lineRule="auto"/>
              <w:jc w:val="center"/>
            </w:pPr>
            <w:r>
              <w:rPr>
                <w:rFonts w:ascii="Liberation Sans" w:hAnsi="Liberation Sans"/>
                <w:sz w:val="19"/>
              </w:rPr>
              <w:t xml:space="preserve">[DEF]</w:t>
            </w:r>
          </w:p>
        </w:tc>
        <w:tc>
          <w:tcPr>
            <w:tcW w:type="dxa" w:w="3456"/>
            <w:vAlign w:val="center"/>
          </w:tcPr>
          <w:p>
            <w:pPr>
              <w:pStyle w:val="Compact"/>
              <w:keepNext w:val="0"/>
              <w:keepLines/>
              <w:spacing w:before="20" w:after="20" w:line="250" w:lineRule="auto"/>
              <w:jc w:val="left"/>
            </w:pPr>
            <w:r>
              <w:rPr>
                <w:rFonts w:ascii="Liberation Sans" w:hAnsi="Liberation Sans"/>
                <w:sz w:val="19"/>
              </w:rPr>
              <w:t xml:space="preserve">Definition; wahr kraft Festlegung</w:t>
            </w:r>
          </w:p>
        </w:tc>
        <w:tc>
          <w:tcPr>
            <w:tcW w:type="dxa" w:w="5314"/>
            <w:vAlign w:val="center"/>
          </w:tcPr>
          <w:p>
            <w:pPr>
              <w:pStyle w:val="Compact"/>
              <w:keepNext w:val="0"/>
              <w:keepLines/>
              <w:spacing w:before="20" w:after="20" w:line="250" w:lineRule="auto"/>
              <w:jc w:val="left"/>
            </w:pPr>
            <w:r>
              <w:rPr>
                <w:rFonts w:ascii="Liberation Sans" w:hAnsi="Liberation Sans"/>
                <w:sz w:val="19"/>
              </w:rPr>
              <w:t xml:space="preserve">Definition einer Distanz oder Metrik</w:t>
            </w:r>
          </w:p>
        </w:tc>
      </w:tr>
      <w:tr>
        <w:trPr>
          <w:cantSplit/>
        </w:trPr>
        <w:tc>
          <w:tcPr>
            <w:tcW w:type="dxa" w:w="1080"/>
            <w:vAlign w:val="center"/>
          </w:tcPr>
          <w:p>
            <w:pPr>
              <w:pStyle w:val="Compact"/>
              <w:keepNext w:val="0"/>
              <w:keepLines/>
              <w:spacing w:before="20" w:after="20" w:line="250" w:lineRule="auto"/>
              <w:jc w:val="center"/>
            </w:pPr>
            <w:r>
              <w:rPr>
                <w:rFonts w:ascii="Liberation Sans" w:hAnsi="Liberation Sans"/>
                <w:sz w:val="19"/>
              </w:rPr>
              <w:t xml:space="preserve">[MODEL]</w:t>
            </w:r>
          </w:p>
        </w:tc>
        <w:tc>
          <w:tcPr>
            <w:tcW w:type="dxa" w:w="3456"/>
            <w:vAlign w:val="center"/>
          </w:tcPr>
          <w:p>
            <w:pPr>
              <w:pStyle w:val="Compact"/>
              <w:keepNext w:val="0"/>
              <w:keepLines/>
              <w:spacing w:before="20" w:after="20" w:line="250" w:lineRule="auto"/>
              <w:jc w:val="left"/>
            </w:pPr>
            <w:r>
              <w:rPr>
                <w:rFonts w:ascii="Liberation Sans" w:hAnsi="Liberation Sans"/>
                <w:sz w:val="19"/>
              </w:rPr>
              <w:t xml:space="preserve">Modellgleichung oder angenommene Dynamik</w:t>
            </w:r>
          </w:p>
        </w:tc>
        <w:tc>
          <w:tcPr>
            <w:tcW w:type="dxa" w:w="5314"/>
            <w:vAlign w:val="center"/>
          </w:tcPr>
          <w:p>
            <w:pPr>
              <w:pStyle w:val="Compact"/>
              <w:keepNext w:val="0"/>
              <w:keepLines/>
              <w:spacing w:before="20" w:after="20" w:line="250" w:lineRule="auto"/>
              <w:jc w:val="left"/>
            </w:pPr>
            <w:r>
              <w:rPr>
                <w:rFonts w:ascii="Liberation Sans" w:hAnsi="Liberation Sans"/>
                <w:sz w:val="19"/>
              </w:rPr>
              <w:t xml:space="preserve">Izhikevich-Differentialgleichung</w:t>
            </w:r>
          </w:p>
        </w:tc>
      </w:tr>
      <w:tr>
        <w:trPr>
          <w:cantSplit/>
        </w:trPr>
        <w:tc>
          <w:tcPr>
            <w:tcW w:type="dxa" w:w="1080"/>
            <w:vAlign w:val="center"/>
          </w:tcPr>
          <w:p>
            <w:pPr>
              <w:pStyle w:val="Compact"/>
              <w:keepNext w:val="0"/>
              <w:keepLines/>
              <w:spacing w:before="20" w:after="20" w:line="250" w:lineRule="auto"/>
              <w:jc w:val="center"/>
            </w:pPr>
            <w:r>
              <w:rPr>
                <w:rFonts w:ascii="Liberation Sans" w:hAnsi="Liberation Sans"/>
                <w:sz w:val="19"/>
              </w:rPr>
              <w:t xml:space="preserve">[HYP]</w:t>
            </w:r>
          </w:p>
        </w:tc>
        <w:tc>
          <w:tcPr>
            <w:tcW w:type="dxa" w:w="3456"/>
            <w:vAlign w:val="center"/>
          </w:tcPr>
          <w:p>
            <w:pPr>
              <w:pStyle w:val="Compact"/>
              <w:keepNext w:val="0"/>
              <w:keepLines/>
              <w:spacing w:before="20" w:after="20" w:line="250" w:lineRule="auto"/>
              <w:jc w:val="left"/>
            </w:pPr>
            <w:r>
              <w:rPr>
                <w:rFonts w:ascii="Liberation Sans" w:hAnsi="Liberation Sans"/>
                <w:sz w:val="19"/>
              </w:rPr>
              <w:t xml:space="preserve">zu prüfende mathematische Beziehung</w:t>
            </w:r>
          </w:p>
        </w:tc>
        <w:tc>
          <w:tcPr>
            <w:tcW w:type="dxa" w:w="5314"/>
            <w:vAlign w:val="center"/>
          </w:tcPr>
          <w:p>
            <w:pPr>
              <w:pStyle w:val="Compact"/>
              <w:keepNext w:val="0"/>
              <w:keepLines/>
              <w:spacing w:before="20" w:after="20" w:line="250" w:lineRule="auto"/>
              <w:jc w:val="left"/>
            </w:pPr>
            <w:r>
              <w:rPr>
                <w:rFonts w:ascii="Liberation Sans" w:hAnsi="Liberation Sans"/>
                <w:sz w:val="19"/>
              </w:rPr>
              <w:t xml:space="preserve">5D erhöht bei gleichem Budget die Modularität</w:t>
            </w:r>
          </w:p>
        </w:tc>
      </w:tr>
      <w:tr>
        <w:trPr>
          <w:cantSplit/>
        </w:trPr>
        <w:tc>
          <w:tcPr>
            <w:tcW w:type="dxa" w:w="1080"/>
            <w:vAlign w:val="center"/>
          </w:tcPr>
          <w:p>
            <w:pPr>
              <w:pStyle w:val="Compact"/>
              <w:keepNext w:val="0"/>
              <w:keepLines/>
              <w:spacing w:before="20" w:after="20" w:line="250" w:lineRule="auto"/>
              <w:jc w:val="center"/>
            </w:pPr>
            <w:r>
              <w:rPr>
                <w:rFonts w:ascii="Liberation Sans" w:hAnsi="Liberation Sans"/>
                <w:sz w:val="19"/>
              </w:rPr>
              <w:t xml:space="preserve">[HEUR]</w:t>
            </w:r>
          </w:p>
        </w:tc>
        <w:tc>
          <w:tcPr>
            <w:tcW w:type="dxa" w:w="3456"/>
            <w:vAlign w:val="center"/>
          </w:tcPr>
          <w:p>
            <w:pPr>
              <w:pStyle w:val="Compact"/>
              <w:keepNext w:val="0"/>
              <w:keepLines/>
              <w:spacing w:before="20" w:after="20" w:line="250" w:lineRule="auto"/>
              <w:jc w:val="left"/>
            </w:pPr>
            <w:r>
              <w:rPr>
                <w:rFonts w:ascii="Liberation Sans" w:hAnsi="Liberation Sans"/>
                <w:sz w:val="19"/>
              </w:rPr>
              <w:t xml:space="preserve">technische Entscheidungs- oder Steuerheuristik</w:t>
            </w:r>
          </w:p>
        </w:tc>
        <w:tc>
          <w:tcPr>
            <w:tcW w:type="dxa" w:w="5314"/>
            <w:vAlign w:val="center"/>
          </w:tcPr>
          <w:p>
            <w:pPr>
              <w:pStyle w:val="Compact"/>
              <w:keepNext w:val="0"/>
              <w:keepLines/>
              <w:spacing w:before="20" w:after="20" w:line="250" w:lineRule="auto"/>
              <w:jc w:val="left"/>
            </w:pPr>
            <w:r>
              <w:rPr>
                <w:rFonts w:ascii="Liberation Sans" w:hAnsi="Liberation Sans"/>
                <w:sz w:val="19"/>
              </w:rPr>
              <w:t xml:space="preserve">Growth-Score für Neurogenese</w:t>
            </w:r>
          </w:p>
        </w:tc>
      </w:tr>
      <w:tr>
        <w:trPr>
          <w:cantSplit/>
        </w:trPr>
        <w:tc>
          <w:tcPr>
            <w:tcW w:type="dxa" w:w="1080"/>
            <w:vAlign w:val="center"/>
          </w:tcPr>
          <w:p>
            <w:pPr>
              <w:pStyle w:val="Compact"/>
              <w:keepNext w:val="0"/>
              <w:keepLines/>
              <w:spacing w:before="20" w:after="20" w:line="250" w:lineRule="auto"/>
              <w:jc w:val="center"/>
            </w:pPr>
            <w:r>
              <w:rPr>
                <w:rFonts w:ascii="Liberation Sans" w:hAnsi="Liberation Sans"/>
                <w:sz w:val="19"/>
              </w:rPr>
              <w:t xml:space="preserve">[EMP]</w:t>
            </w:r>
          </w:p>
        </w:tc>
        <w:tc>
          <w:tcPr>
            <w:tcW w:type="dxa" w:w="3456"/>
            <w:vAlign w:val="center"/>
          </w:tcPr>
          <w:p>
            <w:pPr>
              <w:pStyle w:val="Compact"/>
              <w:keepNext w:val="0"/>
              <w:keepLines/>
              <w:spacing w:before="20" w:after="20" w:line="250" w:lineRule="auto"/>
              <w:jc w:val="left"/>
            </w:pPr>
            <w:r>
              <w:rPr>
                <w:rFonts w:ascii="Liberation Sans" w:hAnsi="Liberation Sans"/>
                <w:sz w:val="19"/>
              </w:rPr>
              <w:t xml:space="preserve">aus Daten geschätzte Größe oder Relation</w:t>
            </w:r>
          </w:p>
        </w:tc>
        <w:tc>
          <w:tcPr>
            <w:tcW w:type="dxa" w:w="5314"/>
            <w:vAlign w:val="center"/>
          </w:tcPr>
          <w:p>
            <w:pPr>
              <w:pStyle w:val="Compact"/>
              <w:keepNext w:val="0"/>
              <w:keepLines/>
              <w:spacing w:before="20" w:after="20" w:line="250" w:lineRule="auto"/>
              <w:jc w:val="left"/>
            </w:pPr>
            <w:r>
              <w:rPr>
                <w:rFonts w:ascii="Liberation Sans" w:hAnsi="Liberation Sans"/>
                <w:sz w:val="19"/>
              </w:rPr>
              <w:t xml:space="preserve">empirischer Branching Ratio, Regressionskoeffizient</w:t>
            </w:r>
          </w:p>
        </w:tc>
      </w:tr>
    </w:tbl>
    <w:p>
      <w:pPr>
        <w:pStyle w:val="BodyText"/>
        <w:keepLines/>
        <w:spacing w:after="120"/>
        <w:jc w:val="left"/>
      </w:pPr>
      <w:r>
        <w:rPr>
          <w:sz w:val="20"/>
        </w:rPr>
        <w:t xml:space="preserve">Eine formal elegante Gleichung ist damit nicht automatisch theoretisch hergeleitet oder empirisch bestätigt. Diese Trennung ist für Brain-5D zentral, weil zahlreiche Architekturgrößen zunächst als Arbeitsmodelle eingeführt werden.</w:t>
      </w:r>
    </w:p>
    <w:bookmarkEnd w:id="58"/>
    <w:bookmarkStart w:id="62" w:name="epistemischer-status-und-beweislast"/>
    <w:p>
      <w:pPr>
        <w:pStyle w:val="Heading2"/>
      </w:pPr>
      <w:r>
        <w:t xml:space="preserve">Epistemischer Status und Beweislast</w:t>
      </w:r>
    </w:p>
    <w:bookmarkStart w:id="59" w:name="mechanismus-ist-nicht-funktion"/>
    <w:p>
      <w:pPr>
        <w:pStyle w:val="Heading3"/>
        <w:keepLines/>
        <w:spacing w:after="120"/>
        <w:jc w:val="left"/>
      </w:pPr>
      <w:r>
        <w:rPr>
          <w:sz w:val="20"/>
        </w:rPr>
        <w:t xml:space="preserve">Mechanismus ist nicht Funktion</w:t>
      </w:r>
    </w:p>
    <w:p>
      <w:pPr>
        <w:pStyle w:val="FirstParagraph"/>
        <w:keepLines/>
        <w:spacing w:after="120"/>
        <w:jc w:val="left"/>
      </w:pPr>
      <w:r>
        <w:rPr>
          <w:sz w:val="20"/>
        </w:rPr>
        <w:t xml:space="preserve">Ein implementierter STDP-Operator ist E1, wenn seine numerische Funktion getestet ist. Er ist noch kein Nachweis von Lernen. Ein signifikanter Gewichtsdrift nach Exposition ist E2 nur dann, wenn er gegenüber geeigneten Kontrollen spezifisch, reproduzierbar und funktional relevant ist. Eine erfolgreiche Sprachantwort ist kein Beleg für SNN-Gedächtnis, wenn Decoder oder Retrieval dieselbe Antwort erzeugen können.</w:t>
      </w:r>
    </w:p>
    <w:bookmarkEnd w:id="59"/>
    <w:bookmarkStart w:id="60" w:name="hierarchie-der-interpretationen"/>
    <w:p>
      <w:pPr>
        <w:pStyle w:val="Heading3"/>
        <w:keepLines/>
        <w:spacing w:after="120"/>
        <w:jc w:val="left"/>
      </w:pPr>
      <w:r>
        <w:rPr>
          <w:sz w:val="20"/>
        </w:rPr>
        <w:t xml:space="preserve">Hierarchie der Interpretationen</w:t>
      </w:r>
    </w:p>
    <w:p>
      <w:pPr>
        <w:pStyle w:val="FirstParagraph"/>
        <w:keepLines/>
        <w:spacing w:after="120"/>
        <w:jc w:val="left"/>
      </w:pPr>
      <w:r>
        <w:rPr>
          <w:sz w:val="20"/>
        </w:rPr>
        <w:t xml:space="preserve">Für jede Beobachtung wird die sparsamste hinreichende Interpretation bevorzugt:</w:t>
      </w:r>
    </w:p>
    <w:p>
      <w:pPr>
        <w:keepLines/>
        <w:numPr>
          <w:ilvl w:val="0"/>
          <w:numId w:val="1005"/>
        </w:numPr>
        <w:spacing w:after="120"/>
        <w:jc w:val="left"/>
      </w:pPr>
      <w:r>
        <w:rPr>
          <w:b/>
          <w:bCs/>
          <w:sz w:val="20"/>
        </w:rPr>
        <w:t xml:space="preserve">technischer Zustand:</w:t>
      </w:r>
      <w:r>
        <w:rPr>
          <w:sz w:val="20"/>
        </w:rPr>
        <w:t xml:space="preserve"> </w:t>
      </w:r>
      <w:r>
        <w:rPr>
          <w:sz w:val="20"/>
        </w:rPr>
        <w:t xml:space="preserve">Daten wurden geschrieben oder verändert;</w:t>
      </w:r>
    </w:p>
    <w:p>
      <w:pPr>
        <w:keepLines/>
        <w:numPr>
          <w:ilvl w:val="0"/>
          <w:numId w:val="1005"/>
        </w:numPr>
        <w:spacing w:after="120"/>
        <w:jc w:val="left"/>
      </w:pPr>
      <w:r>
        <w:rPr>
          <w:b/>
          <w:bCs/>
          <w:sz w:val="20"/>
        </w:rPr>
        <w:t xml:space="preserve">dynamischer Effekt:</w:t>
      </w:r>
      <w:r>
        <w:rPr>
          <w:sz w:val="20"/>
        </w:rPr>
        <w:t xml:space="preserve"> </w:t>
      </w:r>
      <w:r>
        <w:rPr>
          <w:sz w:val="20"/>
        </w:rPr>
        <w:t xml:space="preserve">Aktivität oder Struktur unterscheidet sich messbar;</w:t>
      </w:r>
    </w:p>
    <w:p>
      <w:pPr>
        <w:keepLines/>
        <w:numPr>
          <w:ilvl w:val="0"/>
          <w:numId w:val="1005"/>
        </w:numPr>
        <w:spacing w:after="120"/>
        <w:jc w:val="left"/>
      </w:pPr>
      <w:r>
        <w:rPr>
          <w:b/>
          <w:bCs/>
          <w:sz w:val="20"/>
        </w:rPr>
        <w:t xml:space="preserve">funktionaler Effekt:</w:t>
      </w:r>
      <w:r>
        <w:rPr>
          <w:sz w:val="20"/>
        </w:rPr>
        <w:t xml:space="preserve"> </w:t>
      </w:r>
      <w:r>
        <w:rPr>
          <w:sz w:val="20"/>
        </w:rPr>
        <w:t xml:space="preserve">eine vorab definierte Leistung verändert sich;</w:t>
      </w:r>
    </w:p>
    <w:p>
      <w:pPr>
        <w:keepLines/>
        <w:numPr>
          <w:ilvl w:val="0"/>
          <w:numId w:val="1005"/>
        </w:numPr>
        <w:spacing w:after="120"/>
        <w:jc w:val="left"/>
      </w:pPr>
      <w:r>
        <w:rPr>
          <w:b/>
          <w:bCs/>
          <w:sz w:val="20"/>
        </w:rPr>
        <w:t xml:space="preserve">repräsentationaler Effekt:</w:t>
      </w:r>
      <w:r>
        <w:rPr>
          <w:sz w:val="20"/>
        </w:rPr>
        <w:t xml:space="preserve"> </w:t>
      </w:r>
      <w:r>
        <w:rPr>
          <w:sz w:val="20"/>
        </w:rPr>
        <w:t xml:space="preserve">interne Zustände tragen generalisierbare Information;</w:t>
      </w:r>
    </w:p>
    <w:p>
      <w:pPr>
        <w:keepLines/>
        <w:numPr>
          <w:ilvl w:val="0"/>
          <w:numId w:val="1005"/>
        </w:numPr>
        <w:spacing w:after="120"/>
        <w:jc w:val="left"/>
      </w:pPr>
      <w:r>
        <w:rPr>
          <w:b/>
          <w:bCs/>
          <w:sz w:val="20"/>
        </w:rPr>
        <w:t xml:space="preserve">kognitive Interpretation:</w:t>
      </w:r>
      <w:r>
        <w:rPr>
          <w:sz w:val="20"/>
        </w:rPr>
        <w:t xml:space="preserve"> </w:t>
      </w:r>
      <w:r>
        <w:rPr>
          <w:sz w:val="20"/>
        </w:rPr>
        <w:t xml:space="preserve">Begriffe wie Erinnerung, Modellbildung oder Planung werden nur nach Operationalisierung verwendet.</w:t>
      </w:r>
    </w:p>
    <w:p>
      <w:pPr>
        <w:pStyle w:val="FirstParagraph"/>
        <w:keepLines/>
        <w:spacing w:after="120"/>
        <w:jc w:val="left"/>
      </w:pPr>
      <w:r>
        <w:rPr>
          <w:sz w:val="20"/>
        </w:rPr>
        <w:t xml:space="preserve">Diese Hierarchie schützt vor einer Fehlform, die in komplexen Systemen häufig auftritt: Das Vorhandensein einer anschaulichen Visualisierung wird mit einem Mechanismus verwechselt, der Mechanismus mit einer Funktion und die Funktion mit einer kognitiven Fähigkeit.</w:t>
      </w:r>
    </w:p>
    <w:bookmarkEnd w:id="60"/>
    <w:bookmarkStart w:id="61" w:name="claims-und-geltungsbereiche"/>
    <w:p>
      <w:pPr>
        <w:pStyle w:val="Heading3"/>
        <w:keepLines/>
        <w:spacing w:after="120"/>
        <w:jc w:val="left"/>
      </w:pPr>
      <w:r>
        <w:rPr>
          <w:sz w:val="20"/>
        </w:rPr>
        <w:t xml:space="preserve">Claims und Geltungsbereiche</w:t>
      </w:r>
    </w:p>
    <w:p>
      <w:pPr>
        <w:pStyle w:val="FirstParagraph"/>
        <w:keepLines/>
        <w:spacing w:after="120"/>
        <w:jc w:val="left"/>
      </w:pPr>
      <w:r>
        <w:rPr>
          <w:sz w:val="20"/>
        </w:rPr>
        <w:t xml:space="preserve">Jeder Claim besitzt mindestens:</w:t>
      </w:r>
    </w:p>
    <w:p>
      <w:pPr>
        <w:pStyle w:val="SourceCode"/>
        <w:keepNext w:val="0"/>
        <w:keepLines/>
        <w:spacing w:after="120"/>
        <w:jc w:val="left"/>
      </w:pPr>
      <w:r>
        <w:rPr>
          <w:rStyle w:val="VerbatimChar"/>
          <w:sz w:val="20"/>
        </w:rPr>
        <w:t xml:space="preserve">claim_id: CLAIM-GEO-001</w:t>
      </w:r>
      <w:r>
        <w:rPr>
          <w:sz w:val="20"/>
        </w:rPr>
        <w:br/>
      </w:r>
      <w:r>
        <w:rPr>
          <w:rStyle w:val="VerbatimChar"/>
          <w:sz w:val="20"/>
        </w:rPr>
        <w:t xml:space="preserve">statement: "A learned positive-definite 5D metric improves retention under matched budgets."</w:t>
      </w:r>
      <w:r>
        <w:rPr>
          <w:sz w:val="20"/>
        </w:rPr>
        <w:br/>
      </w:r>
      <w:r>
        <w:rPr>
          <w:rStyle w:val="VerbatimChar"/>
          <w:sz w:val="20"/>
        </w:rPr>
        <w:t xml:space="preserve">status: E0</w:t>
      </w:r>
      <w:r>
        <w:rPr>
          <w:sz w:val="20"/>
        </w:rPr>
        <w:br/>
      </w:r>
      <w:r>
        <w:rPr>
          <w:rStyle w:val="VerbatimChar"/>
          <w:sz w:val="20"/>
        </w:rPr>
        <w:t xml:space="preserve">scope:</w:t>
      </w:r>
      <w:r>
        <w:rPr>
          <w:sz w:val="20"/>
        </w:rPr>
        <w:br/>
      </w:r>
      <w:r>
        <w:rPr>
          <w:rStyle w:val="VerbatimChar"/>
          <w:sz w:val="20"/>
        </w:rPr>
        <w:t xml:space="preserve">  tasks: [ASSOCIATIVE-RECALL-01]</w:t>
      </w:r>
      <w:r>
        <w:rPr>
          <w:sz w:val="20"/>
        </w:rPr>
        <w:br/>
      </w:r>
      <w:r>
        <w:rPr>
          <w:rStyle w:val="VerbatimChar"/>
          <w:sz w:val="20"/>
        </w:rPr>
        <w:t xml:space="preserve">  neuron_models: [Izhikevich]</w:t>
      </w:r>
      <w:r>
        <w:rPr>
          <w:sz w:val="20"/>
        </w:rPr>
        <w:br/>
      </w:r>
      <w:r>
        <w:rPr>
          <w:rStyle w:val="VerbatimChar"/>
          <w:sz w:val="20"/>
        </w:rPr>
        <w:t xml:space="preserve">  network_sizes: [5000, 20000]</w:t>
      </w:r>
      <w:r>
        <w:rPr>
          <w:sz w:val="20"/>
        </w:rPr>
        <w:br/>
      </w:r>
      <w:r>
        <w:rPr>
          <w:rStyle w:val="VerbatimChar"/>
          <w:sz w:val="20"/>
        </w:rPr>
        <w:t xml:space="preserve">exclusions:</w:t>
      </w:r>
      <w:r>
        <w:rPr>
          <w:sz w:val="20"/>
        </w:rPr>
        <w:br/>
      </w:r>
      <w:r>
        <w:rPr>
          <w:rStyle w:val="VerbatimChar"/>
          <w:sz w:val="20"/>
        </w:rPr>
        <w:t xml:space="preserve">  - "No claim about biological dimensionality"</w:t>
      </w:r>
      <w:r>
        <w:rPr>
          <w:sz w:val="20"/>
        </w:rPr>
        <w:br/>
      </w:r>
      <w:r>
        <w:rPr>
          <w:rStyle w:val="VerbatimChar"/>
          <w:sz w:val="20"/>
        </w:rPr>
        <w:t xml:space="preserve">linked_experiments: []</w:t>
      </w:r>
      <w:r>
        <w:rPr>
          <w:sz w:val="20"/>
        </w:rPr>
        <w:br/>
      </w:r>
      <w:r>
        <w:rPr>
          <w:rStyle w:val="VerbatimChar"/>
          <w:sz w:val="20"/>
        </w:rPr>
        <w:t xml:space="preserve">created_in_version: "0.2"</w:t>
      </w:r>
    </w:p>
    <w:p>
      <w:pPr>
        <w:pStyle w:val="FirstParagraph"/>
        <w:keepLines/>
        <w:spacing w:after="120"/>
        <w:jc w:val="left"/>
      </w:pPr>
      <w:r>
        <w:rPr>
          <w:sz w:val="20"/>
        </w:rPr>
        <w:t xml:space="preserve">Die Geltungsbereichsfelder verhindern, dass ein Ergebnis aus einem kleinen Benchmark unzulässig auf alle Aufgaben, Modelle und Größen übertragen wird.</w:t>
      </w:r>
    </w:p>
    <w:bookmarkEnd w:id="61"/>
    <w:bookmarkEnd w:id="62"/>
    <w:bookmarkStart w:id="65" w:name="X56742887bdee16f5f64a76f8ea729fa8e6c93ff"/>
    <w:p>
      <w:pPr>
        <w:pStyle w:val="Heading2"/>
      </w:pPr>
      <w:r>
        <w:t xml:space="preserve">Forschungsstatus, Engineering-Roadmap und Forschungshypothesen</w:t>
      </w:r>
    </w:p>
    <w:bookmarkStart w:id="63" w:name="drei-getrennte-register"/>
    <w:p>
      <w:pPr>
        <w:pStyle w:val="Heading3"/>
        <w:keepLines/>
        <w:spacing w:after="120"/>
        <w:jc w:val="left"/>
      </w:pPr>
      <w:r>
        <w:rPr>
          <w:sz w:val="20"/>
        </w:rPr>
        <w:t xml:space="preserve">Drei getrennte Register</w:t>
      </w:r>
    </w:p>
    <w:p>
      <w:pPr>
        <w:keepLines/>
        <w:numPr>
          <w:ilvl w:val="0"/>
          <w:numId w:val="1006"/>
        </w:numPr>
        <w:spacing w:after="120"/>
        <w:jc w:val="left"/>
      </w:pPr>
      <w:r>
        <w:rPr>
          <w:b/>
          <w:bCs/>
          <w:sz w:val="20"/>
        </w:rPr>
        <w:t xml:space="preserve">Implementation Registry:</w:t>
      </w:r>
      <w:r>
        <w:rPr>
          <w:sz w:val="20"/>
        </w:rPr>
        <w:t xml:space="preserve"> </w:t>
      </w:r>
      <w:r>
        <w:rPr>
          <w:sz w:val="20"/>
        </w:rPr>
        <w:t xml:space="preserve">Komponenten, Schemas, Tests, Performance und bekannte Fehler;</w:t>
      </w:r>
    </w:p>
    <w:p>
      <w:pPr>
        <w:keepLines/>
        <w:numPr>
          <w:ilvl w:val="0"/>
          <w:numId w:val="1006"/>
        </w:numPr>
        <w:spacing w:after="120"/>
        <w:jc w:val="left"/>
      </w:pPr>
      <w:r>
        <w:rPr>
          <w:b/>
          <w:bCs/>
          <w:sz w:val="20"/>
        </w:rPr>
        <w:t xml:space="preserve">Experiment Registry:</w:t>
      </w:r>
      <w:r>
        <w:rPr>
          <w:sz w:val="20"/>
        </w:rPr>
        <w:t xml:space="preserve"> </w:t>
      </w:r>
      <w:r>
        <w:rPr>
          <w:sz w:val="20"/>
        </w:rPr>
        <w:t xml:space="preserve">präregistrierte Versuche, Läufe, Artefakte und Auswertungen;</w:t>
      </w:r>
    </w:p>
    <w:p>
      <w:pPr>
        <w:keepLines/>
        <w:numPr>
          <w:ilvl w:val="0"/>
          <w:numId w:val="1006"/>
        </w:numPr>
        <w:spacing w:after="120"/>
        <w:jc w:val="left"/>
      </w:pPr>
      <w:r>
        <w:rPr>
          <w:b/>
          <w:bCs/>
          <w:sz w:val="20"/>
        </w:rPr>
        <w:t xml:space="preserve">Claim Registry:</w:t>
      </w:r>
      <w:r>
        <w:rPr>
          <w:sz w:val="20"/>
        </w:rPr>
        <w:t xml:space="preserve"> </w:t>
      </w:r>
      <w:r>
        <w:rPr>
          <w:sz w:val="20"/>
        </w:rPr>
        <w:t xml:space="preserve">wissenschaftliche Aussagen, Evidenzstufe, Geltungsbereich und Gegenbelege.</w:t>
      </w:r>
    </w:p>
    <w:p>
      <w:pPr>
        <w:pStyle w:val="FirstParagraph"/>
        <w:keepLines/>
        <w:spacing w:after="120"/>
        <w:jc w:val="left"/>
      </w:pPr>
      <w:r>
        <w:rPr>
          <w:sz w:val="20"/>
        </w:rPr>
        <w:t xml:space="preserve">Eine Roadmap-Funktion ist nicht implementiert, nur weil sie spezifiziert wurde. Eine Komponente ist nicht wissenschaftlich validiert, nur weil Unit-Tests bestehen. Umgekehrt kann ein negatives Experiment eine korrekte Implementierung bestätigen und zugleich eine Hypothese falsifizieren.</w:t>
      </w:r>
    </w:p>
    <w:bookmarkEnd w:id="63"/>
    <w:bookmarkStart w:id="64" w:name="Xaee95856b78fc77295e2015c9e5b10ac02653b5"/>
    <w:p>
      <w:pPr>
        <w:pStyle w:val="Heading3"/>
        <w:keepLines/>
        <w:spacing w:after="120"/>
        <w:jc w:val="left"/>
      </w:pPr>
      <w:r>
        <w:rPr>
          <w:sz w:val="20"/>
        </w:rPr>
        <w:t xml:space="preserve">Empfohlene Statusdarstellung im Repository</w:t>
      </w:r>
    </w:p>
    <w:p>
      <w:pPr>
        <w:pStyle w:val="SourceCode"/>
        <w:keepNext w:val="0"/>
        <w:keepLines/>
        <w:spacing w:after="120"/>
        <w:jc w:val="left"/>
      </w:pPr>
      <w:r>
        <w:rPr>
          <w:rStyle w:val="VerbatimChar"/>
          <w:sz w:val="20"/>
        </w:rPr>
        <w:t xml:space="preserve">[E0 | SPECIFIED]     5D metric learning protocol defined in docs/02_5d_geometry.md</w:t>
      </w:r>
      <w:r>
        <w:rPr>
          <w:sz w:val="20"/>
        </w:rPr>
        <w:br/>
      </w:r>
      <w:r>
        <w:rPr>
          <w:rStyle w:val="VerbatimChar"/>
          <w:sz w:val="20"/>
        </w:rPr>
        <w:t xml:space="preserve">[E1 | IMPLEMENTED]   Metric tensor serialized and validated by tests/test_metric.py</w:t>
      </w:r>
      <w:r>
        <w:rPr>
          <w:sz w:val="20"/>
        </w:rPr>
        <w:br/>
      </w:r>
      <w:r>
        <w:rPr>
          <w:rStyle w:val="VerbatimChar"/>
          <w:sz w:val="20"/>
        </w:rPr>
        <w:t xml:space="preserve">[E2 | VALIDATED]     EXP-GEO-014 shows preregistered retention effect, 30 seeds</w:t>
      </w:r>
      <w:r>
        <w:rPr>
          <w:sz w:val="20"/>
        </w:rPr>
        <w:br/>
      </w:r>
      <w:r>
        <w:rPr>
          <w:rStyle w:val="VerbatimChar"/>
          <w:sz w:val="20"/>
        </w:rPr>
        <w:t xml:space="preserve">[E3 | SYSTEM]        Effect persists across closed-loop tasks and two network scales</w:t>
      </w:r>
    </w:p>
    <w:p>
      <w:pPr>
        <w:pStyle w:val="FirstParagraph"/>
        <w:keepLines/>
        <w:spacing w:after="120"/>
        <w:jc w:val="left"/>
      </w:pPr>
      <w:r>
        <w:rPr>
          <w:sz w:val="20"/>
        </w:rPr>
        <w:t xml:space="preserve">Jede Zeile soll maschinenlesbar auf Registry-IDs verweisen. Freitext in einem README ersetzt keinen Nachweis.</w:t>
      </w:r>
    </w:p>
    <w:bookmarkEnd w:id="64"/>
    <w:bookmarkEnd w:id="65"/>
    <w:bookmarkEnd w:id="66"/>
    <w:bookmarkStart w:id="69" w:name="X5f59e8e61fdfdfcf64632f31a84062337a89ea1"/>
    <w:p>
      <w:bookmarkStart w:id="10006" w:name="B5D_H006"/>
      <w:pPr>
        <w:pStyle w:val="Heading1"/>
      </w:pPr>
      <w:r>
        <w:t xml:space="preserve">3. Forschungsfragen, Hypothesen und Gegenhypothesen</w:t>
      </w:r>
      <w:bookmarkEnd w:id="10006"/>
    </w:p>
    <w:bookmarkStart w:id="68" w:name="Xb98515558ce165aa6f7fef5bf3b6f2a35fe93e7"/>
    <w:p>
      <w:pPr>
        <w:pStyle w:val="Heading2"/>
      </w:pPr>
      <w:r>
        <w:t xml:space="preserve">Zusammengeführte Forschungsfrage, Teilfragen und Hypothesen</w:t>
      </w:r>
    </w:p>
    <w:p>
      <w:pPr>
        <w:pStyle w:val="FirstParagraph"/>
        <w:keepLines/>
        <w:spacing w:after="120"/>
        <w:jc w:val="left"/>
      </w:pPr>
      <w:r>
        <w:rPr>
          <w:sz w:val="20"/>
        </w:rPr>
        <w:t xml:space="preserve">Wie verändern sich epistemische Herkunft, Autorenschaft, menschliche Handlungsmacht, Kontrollierbarkeit und normative Verantwortung, wenn nichtorganische intelligente Systeme aus menschlich erzeugten Wissens- und Symbolordnungen hervorgehen, zunehmend selbst Wissen, Regeln und Nachfolgesysteme erzeugen und dadurch den Menschen vom unmittelbaren Konstrukteur zum Verfassungsgeber, Organisator, Kurator, Auditor, interventionsfähigen Beobachter oder Bestandteil eines hybriden Erkenntnissystems werden lassen?</w:t>
      </w:r>
    </w:p>
    <w:p>
      <w:pPr>
        <w:pStyle w:val="BodyText"/>
        <w:keepLines/>
        <w:spacing w:after="120"/>
        <w:jc w:val="left"/>
      </w:pPr>
      <w:r>
        <w:rPr>
          <w:sz w:val="20"/>
        </w:rPr>
        <w:t xml:space="preserve">Die Forschungsfrage verbindet technische, epistemologische, ethische, rechtliche und gesellschaftliche Ebenen. Die Unterfragen dienen nicht als unabhängige Einzelprojekte, sondern als analytische Zerlegung desselben Transformationsproblems. Die technischen Fragen werden in der reflexiven Begleitforschung an Artefakten und Entwicklungsverläufen untersucht; die übrigen Fragen werden historisch, begrifflich, normativ und rechtsdogmatisch bearbeitet.</w:t>
      </w:r>
    </w:p>
    <w:p>
      <w:pPr>
        <w:pStyle w:val="Caption"/>
        <w:keepNext/>
        <w:keepLines/>
        <w:spacing w:before="180" w:after="120"/>
        <w:jc w:val="left"/>
      </w:pPr>
      <w:r>
        <w:rPr>
          <w:sz w:val="20"/>
        </w:rPr>
        <w:t>Tabelle 6. Forschungsfragen F1 bis F24</w:t>
      </w:r>
    </w:p>
    <w:tbl>
      <w:tblPr>
        <w:tblStyle w:val="Table"/>
        <w:tblW w:type="pct" w:w="4956"/>
        <w:jc w:val="center"/>
        <w:tblLayout w:type="fixed"/>
        <w:tblLook w:firstRow="1" w:lastRow="0" w:firstColumn="0" w:lastColumn="0" w:noHBand="0" w:noVBand="0" w:val="0020"/>
        <w:tblInd w:w="0" w:type="dxa"/>
        <w:tblCellMar>
          <w:top w:w="70" w:type="dxa"/>
          <w:bottom w:w="70" w:type="dxa"/>
          <w:left w:w="85" w:type="dxa"/>
          <w:right w:w="85" w:type="dxa"/>
        </w:tblCellMar>
        <w:tblBorders>
          <w:top w:val="single" w:sz="4" w:color="CCD4D9"/>
          <w:bottom w:val="single" w:sz="4" w:color="CCD4D9"/>
          <w:insideH w:val="single" w:sz="4" w:color="CCD4D9"/>
          <w:left w:val="nil"/>
          <w:right w:val="nil"/>
          <w:insideV w:val="nil"/>
        </w:tblBorders>
      </w:tblPr>
      <w:tblGrid>
        <w:gridCol w:w="720"/>
        <w:gridCol w:w="6941"/>
        <w:gridCol w:w="2189"/>
      </w:tblGrid>
      <w:tr>
        <w:trPr>
          <w:tblHeader w:val="on"/>
          <w:cantSplit/>
          <w:tblHeader/>
        </w:trPr>
        <w:tc>
          <w:tcPr>
            <w:tcW w:type="dxa" w:w="720"/>
            <w:vAlign w:val="center"/>
            <w:shd w:fill="E9EFF3"/>
          </w:tcPr>
          <w:p>
            <w:pPr>
              <w:pStyle w:val="Compact"/>
              <w:keepNext w:val="0"/>
              <w:keepLines/>
              <w:spacing w:before="20" w:after="20" w:line="250" w:lineRule="auto"/>
              <w:jc w:val="center"/>
            </w:pPr>
            <w:r>
              <w:rPr>
                <w:rFonts w:ascii="Liberation Sans" w:hAnsi="Liberation Sans"/>
                <w:b/>
                <w:bCs/>
                <w:sz w:val="19"/>
              </w:rPr>
              <w:t xml:space="preserve">Nr.</w:t>
            </w:r>
          </w:p>
        </w:tc>
        <w:tc>
          <w:tcPr>
            <w:tcW w:type="dxa" w:w="6941"/>
            <w:vAlign w:val="center"/>
            <w:shd w:fill="E9EFF3"/>
          </w:tcPr>
          <w:p>
            <w:pPr>
              <w:pStyle w:val="Compact"/>
              <w:keepNext w:val="0"/>
              <w:keepLines/>
              <w:spacing w:before="20" w:after="20" w:line="250" w:lineRule="auto"/>
              <w:jc w:val="left"/>
            </w:pPr>
            <w:r>
              <w:rPr>
                <w:rFonts w:ascii="Liberation Sans" w:hAnsi="Liberation Sans"/>
                <w:b/>
                <w:bCs/>
                <w:sz w:val="19"/>
              </w:rPr>
              <w:t xml:space="preserve">Forschungsfrage</w:t>
            </w:r>
          </w:p>
        </w:tc>
        <w:tc>
          <w:tcPr>
            <w:tcW w:type="dxa" w:w="2189"/>
            <w:vAlign w:val="center"/>
            <w:shd w:fill="E9EFF3"/>
          </w:tcPr>
          <w:p>
            <w:pPr>
              <w:pStyle w:val="Compact"/>
              <w:keepNext w:val="0"/>
              <w:keepLines/>
              <w:spacing w:before="20" w:after="20" w:line="250" w:lineRule="auto"/>
              <w:jc w:val="left"/>
            </w:pPr>
            <w:r>
              <w:rPr>
                <w:rFonts w:ascii="Liberation Sans" w:hAnsi="Liberation Sans"/>
                <w:b/>
                <w:bCs/>
                <w:sz w:val="19"/>
              </w:rPr>
              <w:t xml:space="preserve">Primäre Dimension</w:t>
            </w:r>
          </w:p>
        </w:tc>
      </w:tr>
      <w:tr>
        <w:trPr>
          <w:cantSplit/>
        </w:trPr>
        <w:tc>
          <w:tcPr>
            <w:tcW w:type="dxa" w:w="720"/>
            <w:vAlign w:val="center"/>
          </w:tcPr>
          <w:p>
            <w:pPr>
              <w:pStyle w:val="Compact"/>
              <w:keepNext w:val="0"/>
              <w:keepLines/>
              <w:spacing w:before="20" w:after="20" w:line="250" w:lineRule="auto"/>
              <w:jc w:val="center"/>
            </w:pPr>
            <w:r>
              <w:rPr>
                <w:rFonts w:ascii="Liberation Sans" w:hAnsi="Liberation Sans"/>
                <w:sz w:val="19"/>
              </w:rPr>
              <w:t xml:space="preserve">F1</w:t>
            </w:r>
          </w:p>
        </w:tc>
        <w:tc>
          <w:tcPr>
            <w:tcW w:type="dxa" w:w="6941"/>
            <w:vAlign w:val="center"/>
          </w:tcPr>
          <w:p>
            <w:pPr>
              <w:pStyle w:val="Compact"/>
              <w:keepNext w:val="0"/>
              <w:keepLines/>
              <w:spacing w:before="20" w:after="20" w:line="250" w:lineRule="auto"/>
              <w:jc w:val="left"/>
            </w:pPr>
            <w:r>
              <w:rPr>
                <w:rFonts w:ascii="Liberation Sans" w:hAnsi="Liberation Sans"/>
                <w:sz w:val="19"/>
              </w:rPr>
              <w:t xml:space="preserve">Erzeugen unterschiedliche LLMs bei gleicher Aufgabenstellung systematisch unterschiedliche SNN-Topologien?</w:t>
            </w:r>
          </w:p>
        </w:tc>
        <w:tc>
          <w:tcPr>
            <w:tcW w:type="dxa" w:w="2189"/>
            <w:vAlign w:val="center"/>
          </w:tcPr>
          <w:p>
            <w:pPr>
              <w:pStyle w:val="Compact"/>
              <w:keepNext w:val="0"/>
              <w:keepLines/>
              <w:spacing w:before="20" w:after="20" w:line="250" w:lineRule="auto"/>
              <w:jc w:val="left"/>
            </w:pPr>
            <w:r>
              <w:rPr>
                <w:rFonts w:ascii="Liberation Sans" w:hAnsi="Liberation Sans"/>
                <w:sz w:val="19"/>
              </w:rPr>
              <w:t xml:space="preserve">technisch-genealogisch</w:t>
            </w:r>
          </w:p>
        </w:tc>
      </w:tr>
      <w:tr>
        <w:trPr>
          <w:cantSplit/>
        </w:trPr>
        <w:tc>
          <w:tcPr>
            <w:tcW w:type="dxa" w:w="720"/>
            <w:vAlign w:val="center"/>
          </w:tcPr>
          <w:p>
            <w:pPr>
              <w:pStyle w:val="Compact"/>
              <w:keepNext w:val="0"/>
              <w:keepLines/>
              <w:spacing w:before="20" w:after="20" w:line="250" w:lineRule="auto"/>
              <w:jc w:val="center"/>
            </w:pPr>
            <w:r>
              <w:rPr>
                <w:rFonts w:ascii="Liberation Sans" w:hAnsi="Liberation Sans"/>
                <w:sz w:val="19"/>
              </w:rPr>
              <w:t xml:space="preserve">F2</w:t>
            </w:r>
          </w:p>
        </w:tc>
        <w:tc>
          <w:tcPr>
            <w:tcW w:type="dxa" w:w="6941"/>
            <w:vAlign w:val="center"/>
          </w:tcPr>
          <w:p>
            <w:pPr>
              <w:pStyle w:val="Compact"/>
              <w:keepNext w:val="0"/>
              <w:keepLines/>
              <w:spacing w:before="20" w:after="20" w:line="250" w:lineRule="auto"/>
              <w:jc w:val="left"/>
            </w:pPr>
            <w:r>
              <w:rPr>
                <w:rFonts w:ascii="Liberation Sans" w:hAnsi="Liberation Sans"/>
                <w:sz w:val="19"/>
              </w:rPr>
              <w:t xml:space="preserve">Lassen sich modellspezifische Entwurfsfingerabdrücke anhand von Netzwerkdichte, Rekurrenz, Motiven, Neuronenmodellen, Plastizitätsregeln und Stabilität erkennen?</w:t>
            </w:r>
          </w:p>
        </w:tc>
        <w:tc>
          <w:tcPr>
            <w:tcW w:type="dxa" w:w="2189"/>
            <w:vAlign w:val="center"/>
          </w:tcPr>
          <w:p>
            <w:pPr>
              <w:pStyle w:val="Compact"/>
              <w:keepNext w:val="0"/>
              <w:keepLines/>
              <w:spacing w:before="20" w:after="20" w:line="250" w:lineRule="auto"/>
              <w:jc w:val="left"/>
            </w:pPr>
            <w:r>
              <w:rPr>
                <w:rFonts w:ascii="Liberation Sans" w:hAnsi="Liberation Sans"/>
                <w:sz w:val="19"/>
              </w:rPr>
              <w:t xml:space="preserve">technisch-genealogisch</w:t>
            </w:r>
          </w:p>
        </w:tc>
      </w:tr>
      <w:tr>
        <w:trPr>
          <w:cantSplit/>
        </w:trPr>
        <w:tc>
          <w:tcPr>
            <w:tcW w:type="dxa" w:w="720"/>
            <w:vAlign w:val="center"/>
          </w:tcPr>
          <w:p>
            <w:pPr>
              <w:pStyle w:val="Compact"/>
              <w:keepNext w:val="0"/>
              <w:keepLines/>
              <w:spacing w:before="20" w:after="20" w:line="250" w:lineRule="auto"/>
              <w:jc w:val="center"/>
            </w:pPr>
            <w:r>
              <w:rPr>
                <w:rFonts w:ascii="Liberation Sans" w:hAnsi="Liberation Sans"/>
                <w:sz w:val="19"/>
              </w:rPr>
              <w:t xml:space="preserve">F3</w:t>
            </w:r>
          </w:p>
        </w:tc>
        <w:tc>
          <w:tcPr>
            <w:tcW w:type="dxa" w:w="6941"/>
            <w:vAlign w:val="center"/>
          </w:tcPr>
          <w:p>
            <w:pPr>
              <w:pStyle w:val="Compact"/>
              <w:keepNext w:val="0"/>
              <w:keepLines/>
              <w:spacing w:before="20" w:after="20" w:line="250" w:lineRule="auto"/>
              <w:jc w:val="left"/>
            </w:pPr>
            <w:r>
              <w:rPr>
                <w:rFonts w:ascii="Liberation Sans" w:hAnsi="Liberation Sans"/>
                <w:sz w:val="19"/>
              </w:rPr>
              <w:t xml:space="preserve">Sind LLM-generierte Architekturen leistungsfähiger, vielfältiger oder biologisch plausibler als manuell definierte Referenzarchitekturen?</w:t>
            </w:r>
          </w:p>
        </w:tc>
        <w:tc>
          <w:tcPr>
            <w:tcW w:type="dxa" w:w="2189"/>
            <w:vAlign w:val="center"/>
          </w:tcPr>
          <w:p>
            <w:pPr>
              <w:pStyle w:val="Compact"/>
              <w:keepNext w:val="0"/>
              <w:keepLines/>
              <w:spacing w:before="20" w:after="20" w:line="250" w:lineRule="auto"/>
              <w:jc w:val="left"/>
            </w:pPr>
            <w:r>
              <w:rPr>
                <w:rFonts w:ascii="Liberation Sans" w:hAnsi="Liberation Sans"/>
                <w:sz w:val="19"/>
              </w:rPr>
              <w:t xml:space="preserve">technisch-vergleichend</w:t>
            </w:r>
          </w:p>
        </w:tc>
      </w:tr>
      <w:tr>
        <w:trPr>
          <w:cantSplit/>
        </w:trPr>
        <w:tc>
          <w:tcPr>
            <w:tcW w:type="dxa" w:w="720"/>
            <w:vAlign w:val="center"/>
          </w:tcPr>
          <w:p>
            <w:pPr>
              <w:pStyle w:val="Compact"/>
              <w:keepNext w:val="0"/>
              <w:keepLines/>
              <w:spacing w:before="20" w:after="20" w:line="250" w:lineRule="auto"/>
              <w:jc w:val="center"/>
            </w:pPr>
            <w:r>
              <w:rPr>
                <w:rFonts w:ascii="Liberation Sans" w:hAnsi="Liberation Sans"/>
                <w:sz w:val="19"/>
              </w:rPr>
              <w:t xml:space="preserve">F4</w:t>
            </w:r>
          </w:p>
        </w:tc>
        <w:tc>
          <w:tcPr>
            <w:tcW w:type="dxa" w:w="6941"/>
            <w:vAlign w:val="center"/>
          </w:tcPr>
          <w:p>
            <w:pPr>
              <w:pStyle w:val="Compact"/>
              <w:keepNext w:val="0"/>
              <w:keepLines/>
              <w:spacing w:before="20" w:after="20" w:line="250" w:lineRule="auto"/>
              <w:jc w:val="left"/>
            </w:pPr>
            <w:r>
              <w:rPr>
                <w:rFonts w:ascii="Liberation Sans" w:hAnsi="Liberation Sans"/>
                <w:sz w:val="19"/>
              </w:rPr>
              <w:t xml:space="preserve">Verbessert ein Mehrmodellverfahren die Qualität, oder reproduzieren mehrere Modelle ähnliche, aus Trainingsdaten bekannte Architekturvorstellungen?</w:t>
            </w:r>
          </w:p>
        </w:tc>
        <w:tc>
          <w:tcPr>
            <w:tcW w:type="dxa" w:w="2189"/>
            <w:vAlign w:val="center"/>
          </w:tcPr>
          <w:p>
            <w:pPr>
              <w:pStyle w:val="Compact"/>
              <w:keepNext w:val="0"/>
              <w:keepLines/>
              <w:spacing w:before="20" w:after="20" w:line="250" w:lineRule="auto"/>
              <w:jc w:val="left"/>
            </w:pPr>
            <w:r>
              <w:rPr>
                <w:rFonts w:ascii="Liberation Sans" w:hAnsi="Liberation Sans"/>
                <w:sz w:val="19"/>
              </w:rPr>
              <w:t xml:space="preserve">technisch-epistemisch</w:t>
            </w:r>
          </w:p>
        </w:tc>
      </w:tr>
      <w:tr>
        <w:trPr>
          <w:cantSplit/>
        </w:trPr>
        <w:tc>
          <w:tcPr>
            <w:tcW w:type="dxa" w:w="720"/>
            <w:vAlign w:val="center"/>
          </w:tcPr>
          <w:p>
            <w:pPr>
              <w:pStyle w:val="Compact"/>
              <w:keepNext w:val="0"/>
              <w:keepLines/>
              <w:spacing w:before="20" w:after="20" w:line="250" w:lineRule="auto"/>
              <w:jc w:val="center"/>
            </w:pPr>
            <w:r>
              <w:rPr>
                <w:rFonts w:ascii="Liberation Sans" w:hAnsi="Liberation Sans"/>
                <w:sz w:val="19"/>
              </w:rPr>
              <w:t xml:space="preserve">F5</w:t>
            </w:r>
          </w:p>
        </w:tc>
        <w:tc>
          <w:tcPr>
            <w:tcW w:type="dxa" w:w="6941"/>
            <w:vAlign w:val="center"/>
          </w:tcPr>
          <w:p>
            <w:pPr>
              <w:pStyle w:val="Compact"/>
              <w:keepNext w:val="0"/>
              <w:keepLines/>
              <w:spacing w:before="20" w:after="20" w:line="250" w:lineRule="auto"/>
              <w:jc w:val="left"/>
            </w:pPr>
            <w:r>
              <w:rPr>
                <w:rFonts w:ascii="Liberation Sans" w:hAnsi="Liberation Sans"/>
                <w:sz w:val="19"/>
              </w:rPr>
              <w:t xml:space="preserve">Wie stark hängen Ergebnisse von Promptformulierung, Modellversion, Temperatur, Systemanweisung und verfügbarem Kontext ab?</w:t>
            </w:r>
          </w:p>
        </w:tc>
        <w:tc>
          <w:tcPr>
            <w:tcW w:type="dxa" w:w="2189"/>
            <w:vAlign w:val="center"/>
          </w:tcPr>
          <w:p>
            <w:pPr>
              <w:pStyle w:val="Compact"/>
              <w:keepNext w:val="0"/>
              <w:keepLines/>
              <w:spacing w:before="20" w:after="20" w:line="250" w:lineRule="auto"/>
              <w:jc w:val="left"/>
            </w:pPr>
            <w:r>
              <w:rPr>
                <w:rFonts w:ascii="Liberation Sans" w:hAnsi="Liberation Sans"/>
                <w:sz w:val="19"/>
              </w:rPr>
              <w:t xml:space="preserve">Provenienz und Reproduzierbarkeit</w:t>
            </w:r>
          </w:p>
        </w:tc>
      </w:tr>
      <w:tr>
        <w:trPr>
          <w:cantSplit/>
        </w:trPr>
        <w:tc>
          <w:tcPr>
            <w:tcW w:type="dxa" w:w="720"/>
            <w:vAlign w:val="center"/>
          </w:tcPr>
          <w:p>
            <w:pPr>
              <w:pStyle w:val="Compact"/>
              <w:keepNext w:val="0"/>
              <w:keepLines/>
              <w:spacing w:before="20" w:after="20" w:line="250" w:lineRule="auto"/>
              <w:jc w:val="center"/>
            </w:pPr>
            <w:r>
              <w:rPr>
                <w:rFonts w:ascii="Liberation Sans" w:hAnsi="Liberation Sans"/>
                <w:sz w:val="19"/>
              </w:rPr>
              <w:t xml:space="preserve">F6</w:t>
            </w:r>
          </w:p>
        </w:tc>
        <w:tc>
          <w:tcPr>
            <w:tcW w:type="dxa" w:w="6941"/>
            <w:vAlign w:val="center"/>
          </w:tcPr>
          <w:p>
            <w:pPr>
              <w:pStyle w:val="Compact"/>
              <w:keepNext w:val="0"/>
              <w:keepLines/>
              <w:spacing w:before="20" w:after="20" w:line="250" w:lineRule="auto"/>
              <w:jc w:val="left"/>
            </w:pPr>
            <w:r>
              <w:rPr>
                <w:rFonts w:ascii="Liberation Sans" w:hAnsi="Liberation Sans"/>
                <w:sz w:val="19"/>
              </w:rPr>
              <w:t xml:space="preserve">Unter welchen Bedingungen ist menschliche Aufsicht tatsächlich wirksam und nicht nur formal oder symbolisch?</w:t>
            </w:r>
          </w:p>
        </w:tc>
        <w:tc>
          <w:tcPr>
            <w:tcW w:type="dxa" w:w="2189"/>
            <w:vAlign w:val="center"/>
          </w:tcPr>
          <w:p>
            <w:pPr>
              <w:pStyle w:val="Compact"/>
              <w:keepNext w:val="0"/>
              <w:keepLines/>
              <w:spacing w:before="20" w:after="20" w:line="250" w:lineRule="auto"/>
              <w:jc w:val="left"/>
            </w:pPr>
            <w:r>
              <w:rPr>
                <w:rFonts w:ascii="Liberation Sans" w:hAnsi="Liberation Sans"/>
                <w:sz w:val="19"/>
              </w:rPr>
              <w:t xml:space="preserve">Kontrolle und Governance</w:t>
            </w:r>
          </w:p>
        </w:tc>
      </w:tr>
      <w:tr>
        <w:trPr>
          <w:cantSplit/>
        </w:trPr>
        <w:tc>
          <w:tcPr>
            <w:tcW w:type="dxa" w:w="720"/>
            <w:vAlign w:val="center"/>
          </w:tcPr>
          <w:p>
            <w:pPr>
              <w:pStyle w:val="Compact"/>
              <w:keepNext w:val="0"/>
              <w:keepLines/>
              <w:spacing w:before="20" w:after="20" w:line="250" w:lineRule="auto"/>
              <w:jc w:val="center"/>
            </w:pPr>
            <w:r>
              <w:rPr>
                <w:rFonts w:ascii="Liberation Sans" w:hAnsi="Liberation Sans"/>
                <w:sz w:val="19"/>
              </w:rPr>
              <w:t xml:space="preserve">F7</w:t>
            </w:r>
          </w:p>
        </w:tc>
        <w:tc>
          <w:tcPr>
            <w:tcW w:type="dxa" w:w="6941"/>
            <w:vAlign w:val="center"/>
          </w:tcPr>
          <w:p>
            <w:pPr>
              <w:pStyle w:val="Compact"/>
              <w:keepNext w:val="0"/>
              <w:keepLines/>
              <w:spacing w:before="20" w:after="20" w:line="250" w:lineRule="auto"/>
              <w:jc w:val="left"/>
            </w:pPr>
            <w:r>
              <w:rPr>
                <w:rFonts w:ascii="Liberation Sans" w:hAnsi="Liberation Sans"/>
                <w:sz w:val="19"/>
              </w:rPr>
              <w:t xml:space="preserve">Ab welchem Grad maschineller Beteiligung wird technische Unterstützung zu einer Übertragung von Entscheidungshoheit?</w:t>
            </w:r>
          </w:p>
        </w:tc>
        <w:tc>
          <w:tcPr>
            <w:tcW w:type="dxa" w:w="2189"/>
            <w:vAlign w:val="center"/>
          </w:tcPr>
          <w:p>
            <w:pPr>
              <w:pStyle w:val="Compact"/>
              <w:keepNext w:val="0"/>
              <w:keepLines/>
              <w:spacing w:before="20" w:after="20" w:line="250" w:lineRule="auto"/>
              <w:jc w:val="left"/>
            </w:pPr>
            <w:r>
              <w:rPr>
                <w:rFonts w:ascii="Liberation Sans" w:hAnsi="Liberation Sans"/>
                <w:sz w:val="19"/>
              </w:rPr>
              <w:t xml:space="preserve">Hoheit und Agency</w:t>
            </w:r>
          </w:p>
        </w:tc>
      </w:tr>
      <w:tr>
        <w:trPr>
          <w:cantSplit/>
        </w:trPr>
        <w:tc>
          <w:tcPr>
            <w:tcW w:type="dxa" w:w="720"/>
            <w:vAlign w:val="center"/>
          </w:tcPr>
          <w:p>
            <w:pPr>
              <w:pStyle w:val="Compact"/>
              <w:keepNext w:val="0"/>
              <w:keepLines/>
              <w:spacing w:before="20" w:after="20" w:line="250" w:lineRule="auto"/>
              <w:jc w:val="center"/>
            </w:pPr>
            <w:r>
              <w:rPr>
                <w:rFonts w:ascii="Liberation Sans" w:hAnsi="Liberation Sans"/>
                <w:sz w:val="19"/>
              </w:rPr>
              <w:t xml:space="preserve">F8</w:t>
            </w:r>
          </w:p>
        </w:tc>
        <w:tc>
          <w:tcPr>
            <w:tcW w:type="dxa" w:w="6941"/>
            <w:vAlign w:val="center"/>
          </w:tcPr>
          <w:p>
            <w:pPr>
              <w:pStyle w:val="Compact"/>
              <w:keepNext w:val="0"/>
              <w:keepLines/>
              <w:spacing w:before="20" w:after="20" w:line="250" w:lineRule="auto"/>
              <w:jc w:val="left"/>
            </w:pPr>
            <w:r>
              <w:rPr>
                <w:rFonts w:ascii="Liberation Sans" w:hAnsi="Liberation Sans"/>
                <w:sz w:val="19"/>
              </w:rPr>
              <w:t xml:space="preserve">Wie kann Kontrollierbarkeit bestimmt werden, wenn vollständige Vorhersagbarkeit weder erreichbar noch erforderlich ist?</w:t>
            </w:r>
          </w:p>
        </w:tc>
        <w:tc>
          <w:tcPr>
            <w:tcW w:type="dxa" w:w="2189"/>
            <w:vAlign w:val="center"/>
          </w:tcPr>
          <w:p>
            <w:pPr>
              <w:pStyle w:val="Compact"/>
              <w:keepNext w:val="0"/>
              <w:keepLines/>
              <w:spacing w:before="20" w:after="20" w:line="250" w:lineRule="auto"/>
              <w:jc w:val="left"/>
            </w:pPr>
            <w:r>
              <w:rPr>
                <w:rFonts w:ascii="Liberation Sans" w:hAnsi="Liberation Sans"/>
                <w:sz w:val="19"/>
              </w:rPr>
              <w:t xml:space="preserve">Kontrolltheorie</w:t>
            </w:r>
          </w:p>
        </w:tc>
      </w:tr>
      <w:tr>
        <w:trPr>
          <w:cantSplit/>
        </w:trPr>
        <w:tc>
          <w:tcPr>
            <w:tcW w:type="dxa" w:w="720"/>
            <w:vAlign w:val="center"/>
          </w:tcPr>
          <w:p>
            <w:pPr>
              <w:pStyle w:val="Compact"/>
              <w:keepNext w:val="0"/>
              <w:keepLines/>
              <w:spacing w:before="20" w:after="20" w:line="250" w:lineRule="auto"/>
              <w:jc w:val="center"/>
            </w:pPr>
            <w:r>
              <w:rPr>
                <w:rFonts w:ascii="Liberation Sans" w:hAnsi="Liberation Sans"/>
                <w:sz w:val="19"/>
              </w:rPr>
              <w:t xml:space="preserve">F9</w:t>
            </w:r>
          </w:p>
        </w:tc>
        <w:tc>
          <w:tcPr>
            <w:tcW w:type="dxa" w:w="6941"/>
            <w:vAlign w:val="center"/>
          </w:tcPr>
          <w:p>
            <w:pPr>
              <w:pStyle w:val="Compact"/>
              <w:keepNext w:val="0"/>
              <w:keepLines/>
              <w:spacing w:before="20" w:after="20" w:line="250" w:lineRule="auto"/>
              <w:jc w:val="left"/>
            </w:pPr>
            <w:r>
              <w:rPr>
                <w:rFonts w:ascii="Liberation Sans" w:hAnsi="Liberation Sans"/>
                <w:sz w:val="19"/>
              </w:rPr>
              <w:t xml:space="preserve">Welche Regeln, Rechte und Abbruchmöglichkeiten müssen außerhalb eines selbstverändernden Systems verbleiben, und wer legitimiert diese Ordnung?</w:t>
            </w:r>
          </w:p>
        </w:tc>
        <w:tc>
          <w:tcPr>
            <w:tcW w:type="dxa" w:w="2189"/>
            <w:vAlign w:val="center"/>
          </w:tcPr>
          <w:p>
            <w:pPr>
              <w:pStyle w:val="Compact"/>
              <w:keepNext w:val="0"/>
              <w:keepLines/>
              <w:spacing w:before="20" w:after="20" w:line="250" w:lineRule="auto"/>
              <w:jc w:val="left"/>
            </w:pPr>
            <w:r>
              <w:rPr>
                <w:rFonts w:ascii="Liberation Sans" w:hAnsi="Liberation Sans"/>
                <w:sz w:val="19"/>
              </w:rPr>
              <w:t xml:space="preserve">Governance und Recht</w:t>
            </w:r>
          </w:p>
        </w:tc>
      </w:tr>
      <w:tr>
        <w:trPr>
          <w:cantSplit/>
        </w:trPr>
        <w:tc>
          <w:tcPr>
            <w:tcW w:type="dxa" w:w="720"/>
            <w:vAlign w:val="center"/>
          </w:tcPr>
          <w:p>
            <w:pPr>
              <w:pStyle w:val="Compact"/>
              <w:keepNext w:val="0"/>
              <w:keepLines/>
              <w:spacing w:before="20" w:after="20" w:line="250" w:lineRule="auto"/>
              <w:jc w:val="center"/>
            </w:pPr>
            <w:r>
              <w:rPr>
                <w:rFonts w:ascii="Liberation Sans" w:hAnsi="Liberation Sans"/>
                <w:sz w:val="19"/>
              </w:rPr>
              <w:t xml:space="preserve">F10</w:t>
            </w:r>
          </w:p>
        </w:tc>
        <w:tc>
          <w:tcPr>
            <w:tcW w:type="dxa" w:w="6941"/>
            <w:vAlign w:val="center"/>
          </w:tcPr>
          <w:p>
            <w:pPr>
              <w:pStyle w:val="Compact"/>
              <w:keepNext w:val="0"/>
              <w:keepLines/>
              <w:spacing w:before="20" w:after="20" w:line="250" w:lineRule="auto"/>
              <w:jc w:val="left"/>
            </w:pPr>
            <w:r>
              <w:rPr>
                <w:rFonts w:ascii="Liberation Sans" w:hAnsi="Liberation Sans"/>
                <w:sz w:val="19"/>
              </w:rPr>
              <w:t xml:space="preserve">Ist das LLM Werkzeug, Mitgestalter, Ko-Autor oder statistischer Vorschlagsgenerator?</w:t>
            </w:r>
          </w:p>
        </w:tc>
        <w:tc>
          <w:tcPr>
            <w:tcW w:type="dxa" w:w="2189"/>
            <w:vAlign w:val="center"/>
          </w:tcPr>
          <w:p>
            <w:pPr>
              <w:pStyle w:val="Compact"/>
              <w:keepNext w:val="0"/>
              <w:keepLines/>
              <w:spacing w:before="20" w:after="20" w:line="250" w:lineRule="auto"/>
              <w:jc w:val="left"/>
            </w:pPr>
            <w:r>
              <w:rPr>
                <w:rFonts w:ascii="Liberation Sans" w:hAnsi="Liberation Sans"/>
                <w:sz w:val="19"/>
              </w:rPr>
              <w:t xml:space="preserve">Autorschaft</w:t>
            </w:r>
          </w:p>
        </w:tc>
      </w:tr>
      <w:tr>
        <w:trPr>
          <w:cantSplit/>
        </w:trPr>
        <w:tc>
          <w:tcPr>
            <w:tcW w:type="dxa" w:w="720"/>
            <w:vAlign w:val="center"/>
          </w:tcPr>
          <w:p>
            <w:pPr>
              <w:pStyle w:val="Compact"/>
              <w:keepNext w:val="0"/>
              <w:keepLines/>
              <w:spacing w:before="20" w:after="20" w:line="250" w:lineRule="auto"/>
              <w:jc w:val="center"/>
            </w:pPr>
            <w:r>
              <w:rPr>
                <w:rFonts w:ascii="Liberation Sans" w:hAnsi="Liberation Sans"/>
                <w:sz w:val="19"/>
              </w:rPr>
              <w:t xml:space="preserve">F11</w:t>
            </w:r>
          </w:p>
        </w:tc>
        <w:tc>
          <w:tcPr>
            <w:tcW w:type="dxa" w:w="6941"/>
            <w:vAlign w:val="center"/>
          </w:tcPr>
          <w:p>
            <w:pPr>
              <w:pStyle w:val="Compact"/>
              <w:keepNext w:val="0"/>
              <w:keepLines/>
              <w:spacing w:before="20" w:after="20" w:line="250" w:lineRule="auto"/>
              <w:jc w:val="left"/>
            </w:pPr>
            <w:r>
              <w:rPr>
                <w:rFonts w:ascii="Liberation Sans" w:hAnsi="Liberation Sans"/>
                <w:sz w:val="19"/>
              </w:rPr>
              <w:t xml:space="preserve">Wer trägt Verantwortung, wenn ein LLM-generiertes SNN unerwartetes Verhalten entwickelt?</w:t>
            </w:r>
          </w:p>
        </w:tc>
        <w:tc>
          <w:tcPr>
            <w:tcW w:type="dxa" w:w="2189"/>
            <w:vAlign w:val="center"/>
          </w:tcPr>
          <w:p>
            <w:pPr>
              <w:pStyle w:val="Compact"/>
              <w:keepNext w:val="0"/>
              <w:keepLines/>
              <w:spacing w:before="20" w:after="20" w:line="250" w:lineRule="auto"/>
              <w:jc w:val="left"/>
            </w:pPr>
            <w:r>
              <w:rPr>
                <w:rFonts w:ascii="Liberation Sans" w:hAnsi="Liberation Sans"/>
                <w:sz w:val="19"/>
              </w:rPr>
              <w:t xml:space="preserve">Verantwortung</w:t>
            </w:r>
          </w:p>
        </w:tc>
      </w:tr>
      <w:tr>
        <w:trPr>
          <w:cantSplit/>
        </w:trPr>
        <w:tc>
          <w:tcPr>
            <w:tcW w:type="dxa" w:w="720"/>
            <w:vAlign w:val="center"/>
          </w:tcPr>
          <w:p>
            <w:pPr>
              <w:pStyle w:val="Compact"/>
              <w:keepNext w:val="0"/>
              <w:keepLines/>
              <w:spacing w:before="20" w:after="20" w:line="250" w:lineRule="auto"/>
              <w:jc w:val="center"/>
            </w:pPr>
            <w:r>
              <w:rPr>
                <w:rFonts w:ascii="Liberation Sans" w:hAnsi="Liberation Sans"/>
                <w:sz w:val="19"/>
              </w:rPr>
              <w:t xml:space="preserve">F12</w:t>
            </w:r>
          </w:p>
        </w:tc>
        <w:tc>
          <w:tcPr>
            <w:tcW w:type="dxa" w:w="6941"/>
            <w:vAlign w:val="center"/>
          </w:tcPr>
          <w:p>
            <w:pPr>
              <w:pStyle w:val="Compact"/>
              <w:keepNext w:val="0"/>
              <w:keepLines/>
              <w:spacing w:before="20" w:after="20" w:line="250" w:lineRule="auto"/>
              <w:jc w:val="left"/>
            </w:pPr>
            <w:r>
              <w:rPr>
                <w:rFonts w:ascii="Liberation Sans" w:hAnsi="Liberation Sans"/>
                <w:sz w:val="19"/>
              </w:rPr>
              <w:t xml:space="preserve">Ist menschliche Verantwortung noch real, wenn die innere Funktionsweise nicht vollständig nachvollzogen werden kann?</w:t>
            </w:r>
          </w:p>
        </w:tc>
        <w:tc>
          <w:tcPr>
            <w:tcW w:type="dxa" w:w="2189"/>
            <w:vAlign w:val="center"/>
          </w:tcPr>
          <w:p>
            <w:pPr>
              <w:pStyle w:val="Compact"/>
              <w:keepNext w:val="0"/>
              <w:keepLines/>
              <w:spacing w:before="20" w:after="20" w:line="250" w:lineRule="auto"/>
              <w:jc w:val="left"/>
            </w:pPr>
            <w:r>
              <w:rPr>
                <w:rFonts w:ascii="Liberation Sans" w:hAnsi="Liberation Sans"/>
                <w:sz w:val="19"/>
              </w:rPr>
              <w:t xml:space="preserve">Epistemische Verantwortung</w:t>
            </w:r>
          </w:p>
        </w:tc>
      </w:tr>
      <w:tr>
        <w:trPr>
          <w:cantSplit/>
        </w:trPr>
        <w:tc>
          <w:tcPr>
            <w:tcW w:type="dxa" w:w="720"/>
            <w:vAlign w:val="center"/>
          </w:tcPr>
          <w:p>
            <w:pPr>
              <w:pStyle w:val="Compact"/>
              <w:keepNext w:val="0"/>
              <w:keepLines/>
              <w:spacing w:before="20" w:after="20" w:line="250" w:lineRule="auto"/>
              <w:jc w:val="center"/>
            </w:pPr>
            <w:r>
              <w:rPr>
                <w:rFonts w:ascii="Liberation Sans" w:hAnsi="Liberation Sans"/>
                <w:sz w:val="19"/>
              </w:rPr>
              <w:t xml:space="preserve">F13</w:t>
            </w:r>
          </w:p>
        </w:tc>
        <w:tc>
          <w:tcPr>
            <w:tcW w:type="dxa" w:w="6941"/>
            <w:vAlign w:val="center"/>
          </w:tcPr>
          <w:p>
            <w:pPr>
              <w:pStyle w:val="Compact"/>
              <w:keepNext w:val="0"/>
              <w:keepLines/>
              <w:spacing w:before="20" w:after="20" w:line="250" w:lineRule="auto"/>
              <w:jc w:val="left"/>
            </w:pPr>
            <w:r>
              <w:rPr>
                <w:rFonts w:ascii="Liberation Sans" w:hAnsi="Liberation Sans"/>
                <w:sz w:val="19"/>
              </w:rPr>
              <w:t xml:space="preserve">Bedeutet Selbstorganisation bereits Autonomie oder sogar Selbstbestimmung?</w:t>
            </w:r>
          </w:p>
        </w:tc>
        <w:tc>
          <w:tcPr>
            <w:tcW w:type="dxa" w:w="2189"/>
            <w:vAlign w:val="center"/>
          </w:tcPr>
          <w:p>
            <w:pPr>
              <w:pStyle w:val="Compact"/>
              <w:keepNext w:val="0"/>
              <w:keepLines/>
              <w:spacing w:before="20" w:after="20" w:line="250" w:lineRule="auto"/>
              <w:jc w:val="left"/>
            </w:pPr>
            <w:r>
              <w:rPr>
                <w:rFonts w:ascii="Liberation Sans" w:hAnsi="Liberation Sans"/>
                <w:sz w:val="19"/>
              </w:rPr>
              <w:t xml:space="preserve">Philosophie der Agency</w:t>
            </w:r>
          </w:p>
        </w:tc>
      </w:tr>
      <w:tr>
        <w:trPr>
          <w:cantSplit/>
        </w:trPr>
        <w:tc>
          <w:tcPr>
            <w:tcW w:type="dxa" w:w="720"/>
            <w:vAlign w:val="center"/>
          </w:tcPr>
          <w:p>
            <w:pPr>
              <w:pStyle w:val="Compact"/>
              <w:keepNext w:val="0"/>
              <w:keepLines/>
              <w:spacing w:before="20" w:after="20" w:line="250" w:lineRule="auto"/>
              <w:jc w:val="center"/>
            </w:pPr>
            <w:r>
              <w:rPr>
                <w:rFonts w:ascii="Liberation Sans" w:hAnsi="Liberation Sans"/>
                <w:sz w:val="19"/>
              </w:rPr>
              <w:t xml:space="preserve">F14</w:t>
            </w:r>
          </w:p>
        </w:tc>
        <w:tc>
          <w:tcPr>
            <w:tcW w:type="dxa" w:w="6941"/>
            <w:vAlign w:val="center"/>
          </w:tcPr>
          <w:p>
            <w:pPr>
              <w:pStyle w:val="Compact"/>
              <w:keepNext w:val="0"/>
              <w:keepLines/>
              <w:spacing w:before="20" w:after="20" w:line="250" w:lineRule="auto"/>
              <w:jc w:val="left"/>
            </w:pPr>
            <w:r>
              <w:rPr>
                <w:rFonts w:ascii="Liberation Sans" w:hAnsi="Liberation Sans"/>
                <w:sz w:val="19"/>
              </w:rPr>
              <w:t xml:space="preserve">Verändert anthropomorphe Sprache über KI die wahrgenommene Verantwortung beteiligter Menschen?</w:t>
            </w:r>
          </w:p>
        </w:tc>
        <w:tc>
          <w:tcPr>
            <w:tcW w:type="dxa" w:w="2189"/>
            <w:vAlign w:val="center"/>
          </w:tcPr>
          <w:p>
            <w:pPr>
              <w:pStyle w:val="Compact"/>
              <w:keepNext w:val="0"/>
              <w:keepLines/>
              <w:spacing w:before="20" w:after="20" w:line="250" w:lineRule="auto"/>
              <w:jc w:val="left"/>
            </w:pPr>
            <w:r>
              <w:rPr>
                <w:rFonts w:ascii="Liberation Sans" w:hAnsi="Liberation Sans"/>
                <w:sz w:val="19"/>
              </w:rPr>
              <w:t xml:space="preserve">Semantik und Soziotechnik</w:t>
            </w:r>
          </w:p>
        </w:tc>
      </w:tr>
      <w:tr>
        <w:trPr>
          <w:cantSplit/>
        </w:trPr>
        <w:tc>
          <w:tcPr>
            <w:tcW w:type="dxa" w:w="720"/>
            <w:vAlign w:val="center"/>
          </w:tcPr>
          <w:p>
            <w:pPr>
              <w:pStyle w:val="Compact"/>
              <w:keepNext w:val="0"/>
              <w:keepLines/>
              <w:spacing w:before="20" w:after="20" w:line="250" w:lineRule="auto"/>
              <w:jc w:val="center"/>
            </w:pPr>
            <w:r>
              <w:rPr>
                <w:rFonts w:ascii="Liberation Sans" w:hAnsi="Liberation Sans"/>
                <w:sz w:val="19"/>
              </w:rPr>
              <w:t xml:space="preserve">F15</w:t>
            </w:r>
          </w:p>
        </w:tc>
        <w:tc>
          <w:tcPr>
            <w:tcW w:type="dxa" w:w="6941"/>
            <w:vAlign w:val="center"/>
          </w:tcPr>
          <w:p>
            <w:pPr>
              <w:pStyle w:val="Compact"/>
              <w:keepNext w:val="0"/>
              <w:keepLines/>
              <w:spacing w:before="20" w:after="20" w:line="250" w:lineRule="auto"/>
              <w:jc w:val="left"/>
            </w:pPr>
            <w:r>
              <w:rPr>
                <w:rFonts w:ascii="Liberation Sans" w:hAnsi="Liberation Sans"/>
                <w:sz w:val="19"/>
              </w:rPr>
              <w:t xml:space="preserve">Unter welchen Bedingungen müsste die Frage nach einem möglichen moralischen Status eines künstlichen Systems gestellt werden?</w:t>
            </w:r>
          </w:p>
        </w:tc>
        <w:tc>
          <w:tcPr>
            <w:tcW w:type="dxa" w:w="2189"/>
            <w:vAlign w:val="center"/>
          </w:tcPr>
          <w:p>
            <w:pPr>
              <w:pStyle w:val="Compact"/>
              <w:keepNext w:val="0"/>
              <w:keepLines/>
              <w:spacing w:before="20" w:after="20" w:line="250" w:lineRule="auto"/>
              <w:jc w:val="left"/>
            </w:pPr>
            <w:r>
              <w:rPr>
                <w:rFonts w:ascii="Liberation Sans" w:hAnsi="Liberation Sans"/>
                <w:sz w:val="19"/>
              </w:rPr>
              <w:t xml:space="preserve">Ethik und Philosophie des Geistes</w:t>
            </w:r>
          </w:p>
        </w:tc>
      </w:tr>
      <w:tr>
        <w:trPr>
          <w:cantSplit/>
        </w:trPr>
        <w:tc>
          <w:tcPr>
            <w:tcW w:type="dxa" w:w="720"/>
            <w:vAlign w:val="center"/>
          </w:tcPr>
          <w:p>
            <w:pPr>
              <w:pStyle w:val="Compact"/>
              <w:keepNext w:val="0"/>
              <w:keepLines/>
              <w:spacing w:before="20" w:after="20" w:line="250" w:lineRule="auto"/>
              <w:jc w:val="center"/>
            </w:pPr>
            <w:r>
              <w:rPr>
                <w:rFonts w:ascii="Liberation Sans" w:hAnsi="Liberation Sans"/>
                <w:sz w:val="19"/>
              </w:rPr>
              <w:t xml:space="preserve">F16</w:t>
            </w:r>
          </w:p>
        </w:tc>
        <w:tc>
          <w:tcPr>
            <w:tcW w:type="dxa" w:w="6941"/>
            <w:vAlign w:val="center"/>
          </w:tcPr>
          <w:p>
            <w:pPr>
              <w:pStyle w:val="Compact"/>
              <w:keepNext w:val="0"/>
              <w:keepLines/>
              <w:spacing w:before="20" w:after="20" w:line="250" w:lineRule="auto"/>
              <w:jc w:val="left"/>
            </w:pPr>
            <w:r>
              <w:rPr>
                <w:rFonts w:ascii="Liberation Sans" w:hAnsi="Liberation Sans"/>
                <w:sz w:val="19"/>
              </w:rPr>
              <w:t xml:space="preserve">Ist Intelligenz ohne aktuelle äußere Reize möglich, oder liegt dann lediglich gespeicherte Kompetenz ohne gegenwärtige Weltbeziehung vor?</w:t>
            </w:r>
          </w:p>
        </w:tc>
        <w:tc>
          <w:tcPr>
            <w:tcW w:type="dxa" w:w="2189"/>
            <w:vAlign w:val="center"/>
          </w:tcPr>
          <w:p>
            <w:pPr>
              <w:pStyle w:val="Compact"/>
              <w:keepNext w:val="0"/>
              <w:keepLines/>
              <w:spacing w:before="20" w:after="20" w:line="250" w:lineRule="auto"/>
              <w:jc w:val="left"/>
            </w:pPr>
            <w:r>
              <w:rPr>
                <w:rFonts w:ascii="Liberation Sans" w:hAnsi="Liberation Sans"/>
                <w:sz w:val="19"/>
              </w:rPr>
              <w:t xml:space="preserve">Embodiment</w:t>
            </w:r>
          </w:p>
        </w:tc>
      </w:tr>
      <w:tr>
        <w:trPr>
          <w:cantSplit/>
        </w:trPr>
        <w:tc>
          <w:tcPr>
            <w:tcW w:type="dxa" w:w="720"/>
            <w:vAlign w:val="center"/>
          </w:tcPr>
          <w:p>
            <w:pPr>
              <w:pStyle w:val="Compact"/>
              <w:keepNext w:val="0"/>
              <w:keepLines/>
              <w:spacing w:before="20" w:after="20" w:line="250" w:lineRule="auto"/>
              <w:jc w:val="center"/>
            </w:pPr>
            <w:r>
              <w:rPr>
                <w:rFonts w:ascii="Liberation Sans" w:hAnsi="Liberation Sans"/>
                <w:sz w:val="19"/>
              </w:rPr>
              <w:t xml:space="preserve">F17</w:t>
            </w:r>
          </w:p>
        </w:tc>
        <w:tc>
          <w:tcPr>
            <w:tcW w:type="dxa" w:w="6941"/>
            <w:vAlign w:val="center"/>
          </w:tcPr>
          <w:p>
            <w:pPr>
              <w:pStyle w:val="Compact"/>
              <w:keepNext w:val="0"/>
              <w:keepLines/>
              <w:spacing w:before="20" w:after="20" w:line="250" w:lineRule="auto"/>
              <w:jc w:val="left"/>
            </w:pPr>
            <w:r>
              <w:rPr>
                <w:rFonts w:ascii="Liberation Sans" w:hAnsi="Liberation Sans"/>
                <w:sz w:val="19"/>
              </w:rPr>
              <w:t xml:space="preserve">Ist ein physischer Körper notwendig, oder können virtuelle, sensorimotorische, soziale oder institutionelle Verkörperungen funktional genügen?</w:t>
            </w:r>
          </w:p>
        </w:tc>
        <w:tc>
          <w:tcPr>
            <w:tcW w:type="dxa" w:w="2189"/>
            <w:vAlign w:val="center"/>
          </w:tcPr>
          <w:p>
            <w:pPr>
              <w:pStyle w:val="Compact"/>
              <w:keepNext w:val="0"/>
              <w:keepLines/>
              <w:spacing w:before="20" w:after="20" w:line="250" w:lineRule="auto"/>
              <w:jc w:val="left"/>
            </w:pPr>
            <w:r>
              <w:rPr>
                <w:rFonts w:ascii="Liberation Sans" w:hAnsi="Liberation Sans"/>
                <w:sz w:val="19"/>
              </w:rPr>
              <w:t xml:space="preserve">Embodiment</w:t>
            </w:r>
          </w:p>
        </w:tc>
      </w:tr>
      <w:tr>
        <w:trPr>
          <w:cantSplit/>
        </w:trPr>
        <w:tc>
          <w:tcPr>
            <w:tcW w:type="dxa" w:w="720"/>
            <w:vAlign w:val="center"/>
          </w:tcPr>
          <w:p>
            <w:pPr>
              <w:pStyle w:val="Compact"/>
              <w:keepNext w:val="0"/>
              <w:keepLines/>
              <w:spacing w:before="20" w:after="20" w:line="250" w:lineRule="auto"/>
              <w:jc w:val="center"/>
            </w:pPr>
            <w:r>
              <w:rPr>
                <w:rFonts w:ascii="Liberation Sans" w:hAnsi="Liberation Sans"/>
                <w:sz w:val="19"/>
              </w:rPr>
              <w:t xml:space="preserve">F18</w:t>
            </w:r>
          </w:p>
        </w:tc>
        <w:tc>
          <w:tcPr>
            <w:tcW w:type="dxa" w:w="6941"/>
            <w:vAlign w:val="center"/>
          </w:tcPr>
          <w:p>
            <w:pPr>
              <w:pStyle w:val="Compact"/>
              <w:keepNext w:val="0"/>
              <w:keepLines/>
              <w:spacing w:before="20" w:after="20" w:line="250" w:lineRule="auto"/>
              <w:jc w:val="left"/>
            </w:pPr>
            <w:r>
              <w:rPr>
                <w:rFonts w:ascii="Liberation Sans" w:hAnsi="Liberation Sans"/>
                <w:sz w:val="19"/>
              </w:rPr>
              <w:t xml:space="preserve">Wie verändert geschlossene Sensor-Aktor-Kopplung Lernen, Topologie, Homeostase, Generalisierung und Fehlerkorrektur?</w:t>
            </w:r>
          </w:p>
        </w:tc>
        <w:tc>
          <w:tcPr>
            <w:tcW w:type="dxa" w:w="2189"/>
            <w:vAlign w:val="center"/>
          </w:tcPr>
          <w:p>
            <w:pPr>
              <w:pStyle w:val="Compact"/>
              <w:keepNext w:val="0"/>
              <w:keepLines/>
              <w:spacing w:before="20" w:after="20" w:line="250" w:lineRule="auto"/>
              <w:jc w:val="left"/>
            </w:pPr>
            <w:r>
              <w:rPr>
                <w:rFonts w:ascii="Liberation Sans" w:hAnsi="Liberation Sans"/>
                <w:sz w:val="19"/>
              </w:rPr>
              <w:t xml:space="preserve">Embodied AI</w:t>
            </w:r>
          </w:p>
        </w:tc>
      </w:tr>
      <w:tr>
        <w:trPr>
          <w:cantSplit/>
        </w:trPr>
        <w:tc>
          <w:tcPr>
            <w:tcW w:type="dxa" w:w="720"/>
            <w:vAlign w:val="center"/>
          </w:tcPr>
          <w:p>
            <w:pPr>
              <w:pStyle w:val="Compact"/>
              <w:keepNext w:val="0"/>
              <w:keepLines/>
              <w:spacing w:before="20" w:after="20" w:line="250" w:lineRule="auto"/>
              <w:jc w:val="center"/>
            </w:pPr>
            <w:r>
              <w:rPr>
                <w:rFonts w:ascii="Liberation Sans" w:hAnsi="Liberation Sans"/>
                <w:sz w:val="19"/>
              </w:rPr>
              <w:t xml:space="preserve">F19</w:t>
            </w:r>
          </w:p>
        </w:tc>
        <w:tc>
          <w:tcPr>
            <w:tcW w:type="dxa" w:w="6941"/>
            <w:vAlign w:val="center"/>
          </w:tcPr>
          <w:p>
            <w:pPr>
              <w:pStyle w:val="Compact"/>
              <w:keepNext w:val="0"/>
              <w:keepLines/>
              <w:spacing w:before="20" w:after="20" w:line="250" w:lineRule="auto"/>
              <w:jc w:val="left"/>
            </w:pPr>
            <w:r>
              <w:rPr>
                <w:rFonts w:ascii="Liberation Sans" w:hAnsi="Liberation Sans"/>
                <w:sz w:val="19"/>
              </w:rPr>
              <w:t xml:space="preserve">Welche Embodiment-Dimensionen sind für Bedeutungsgrundierung, Selbstmodell und Agency erforderlich?</w:t>
            </w:r>
          </w:p>
        </w:tc>
        <w:tc>
          <w:tcPr>
            <w:tcW w:type="dxa" w:w="2189"/>
            <w:vAlign w:val="center"/>
          </w:tcPr>
          <w:p>
            <w:pPr>
              <w:pStyle w:val="Compact"/>
              <w:keepNext w:val="0"/>
              <w:keepLines/>
              <w:spacing w:before="20" w:after="20" w:line="250" w:lineRule="auto"/>
              <w:jc w:val="left"/>
            </w:pPr>
            <w:r>
              <w:rPr>
                <w:rFonts w:ascii="Liberation Sans" w:hAnsi="Liberation Sans"/>
                <w:sz w:val="19"/>
              </w:rPr>
              <w:t xml:space="preserve">Grounding</w:t>
            </w:r>
          </w:p>
        </w:tc>
      </w:tr>
      <w:tr>
        <w:trPr>
          <w:cantSplit/>
        </w:trPr>
        <w:tc>
          <w:tcPr>
            <w:tcW w:type="dxa" w:w="720"/>
            <w:vAlign w:val="center"/>
          </w:tcPr>
          <w:p>
            <w:pPr>
              <w:pStyle w:val="Compact"/>
              <w:keepNext w:val="0"/>
              <w:keepLines/>
              <w:spacing w:before="20" w:after="20" w:line="250" w:lineRule="auto"/>
              <w:jc w:val="center"/>
            </w:pPr>
            <w:r>
              <w:rPr>
                <w:rFonts w:ascii="Liberation Sans" w:hAnsi="Liberation Sans"/>
                <w:sz w:val="19"/>
              </w:rPr>
              <w:t xml:space="preserve">F20</w:t>
            </w:r>
          </w:p>
        </w:tc>
        <w:tc>
          <w:tcPr>
            <w:tcW w:type="dxa" w:w="6941"/>
            <w:vAlign w:val="center"/>
          </w:tcPr>
          <w:p>
            <w:pPr>
              <w:pStyle w:val="Compact"/>
              <w:keepNext w:val="0"/>
              <w:keepLines/>
              <w:spacing w:before="20" w:after="20" w:line="250" w:lineRule="auto"/>
              <w:jc w:val="left"/>
            </w:pPr>
            <w:r>
              <w:rPr>
                <w:rFonts w:ascii="Liberation Sans" w:hAnsi="Liberation Sans"/>
                <w:sz w:val="19"/>
              </w:rPr>
              <w:t xml:space="preserve">Erhöht Embodiment die Kontrollierbarkeit durch Beobachtbarkeit oder vermindert es sie durch reale Handlungsmacht?</w:t>
            </w:r>
          </w:p>
        </w:tc>
        <w:tc>
          <w:tcPr>
            <w:tcW w:type="dxa" w:w="2189"/>
            <w:vAlign w:val="center"/>
          </w:tcPr>
          <w:p>
            <w:pPr>
              <w:pStyle w:val="Compact"/>
              <w:keepNext w:val="0"/>
              <w:keepLines/>
              <w:spacing w:before="20" w:after="20" w:line="250" w:lineRule="auto"/>
              <w:jc w:val="left"/>
            </w:pPr>
            <w:r>
              <w:rPr>
                <w:rFonts w:ascii="Liberation Sans" w:hAnsi="Liberation Sans"/>
                <w:sz w:val="19"/>
              </w:rPr>
              <w:t xml:space="preserve">Embodiment und Kontrolle</w:t>
            </w:r>
          </w:p>
        </w:tc>
      </w:tr>
      <w:tr>
        <w:trPr>
          <w:cantSplit/>
        </w:trPr>
        <w:tc>
          <w:tcPr>
            <w:tcW w:type="dxa" w:w="720"/>
            <w:vAlign w:val="center"/>
          </w:tcPr>
          <w:p>
            <w:pPr>
              <w:pStyle w:val="Compact"/>
              <w:keepNext w:val="0"/>
              <w:keepLines/>
              <w:spacing w:before="20" w:after="20" w:line="250" w:lineRule="auto"/>
              <w:jc w:val="center"/>
            </w:pPr>
            <w:r>
              <w:rPr>
                <w:rFonts w:ascii="Liberation Sans" w:hAnsi="Liberation Sans"/>
                <w:sz w:val="19"/>
              </w:rPr>
              <w:t xml:space="preserve">F21</w:t>
            </w:r>
          </w:p>
        </w:tc>
        <w:tc>
          <w:tcPr>
            <w:tcW w:type="dxa" w:w="6941"/>
            <w:vAlign w:val="center"/>
          </w:tcPr>
          <w:p>
            <w:pPr>
              <w:pStyle w:val="Compact"/>
              <w:keepNext w:val="0"/>
              <w:keepLines/>
              <w:spacing w:before="20" w:after="20" w:line="250" w:lineRule="auto"/>
              <w:jc w:val="left"/>
            </w:pPr>
            <w:r>
              <w:rPr>
                <w:rFonts w:ascii="Liberation Sans" w:hAnsi="Liberation Sans"/>
                <w:sz w:val="19"/>
              </w:rPr>
              <w:t xml:space="preserve">Können Interozeption, Energiehaushalt und Homeostase eine Grundlage eigener Werte oder Präferenzen bilden?</w:t>
            </w:r>
          </w:p>
        </w:tc>
        <w:tc>
          <w:tcPr>
            <w:tcW w:type="dxa" w:w="2189"/>
            <w:vAlign w:val="center"/>
          </w:tcPr>
          <w:p>
            <w:pPr>
              <w:pStyle w:val="Compact"/>
              <w:keepNext w:val="0"/>
              <w:keepLines/>
              <w:spacing w:before="20" w:after="20" w:line="250" w:lineRule="auto"/>
              <w:jc w:val="left"/>
            </w:pPr>
            <w:r>
              <w:rPr>
                <w:rFonts w:ascii="Liberation Sans" w:hAnsi="Liberation Sans"/>
                <w:sz w:val="19"/>
              </w:rPr>
              <w:t xml:space="preserve">Normative Kognition</w:t>
            </w:r>
          </w:p>
        </w:tc>
      </w:tr>
      <w:tr>
        <w:trPr>
          <w:cantSplit/>
        </w:trPr>
        <w:tc>
          <w:tcPr>
            <w:tcW w:type="dxa" w:w="720"/>
            <w:vAlign w:val="center"/>
          </w:tcPr>
          <w:p>
            <w:pPr>
              <w:pStyle w:val="Compact"/>
              <w:keepNext w:val="0"/>
              <w:keepLines/>
              <w:spacing w:before="20" w:after="20" w:line="250" w:lineRule="auto"/>
              <w:jc w:val="center"/>
            </w:pPr>
            <w:r>
              <w:rPr>
                <w:rFonts w:ascii="Liberation Sans" w:hAnsi="Liberation Sans"/>
                <w:sz w:val="19"/>
              </w:rPr>
              <w:t xml:space="preserve">F22</w:t>
            </w:r>
          </w:p>
        </w:tc>
        <w:tc>
          <w:tcPr>
            <w:tcW w:type="dxa" w:w="6941"/>
            <w:vAlign w:val="center"/>
          </w:tcPr>
          <w:p>
            <w:pPr>
              <w:pStyle w:val="Compact"/>
              <w:keepNext w:val="0"/>
              <w:keepLines/>
              <w:spacing w:before="20" w:after="20" w:line="250" w:lineRule="auto"/>
              <w:jc w:val="left"/>
            </w:pPr>
            <w:r>
              <w:rPr>
                <w:rFonts w:ascii="Liberation Sans" w:hAnsi="Liberation Sans"/>
                <w:sz w:val="19"/>
              </w:rPr>
              <w:t xml:space="preserve">Ab welchem Embodiment- und Integrationsgrad wird die Frage nach Empfindungsfähigkeit und moralischer Berücksichtigung relevant?</w:t>
            </w:r>
          </w:p>
        </w:tc>
        <w:tc>
          <w:tcPr>
            <w:tcW w:type="dxa" w:w="2189"/>
            <w:vAlign w:val="center"/>
          </w:tcPr>
          <w:p>
            <w:pPr>
              <w:pStyle w:val="Compact"/>
              <w:keepNext w:val="0"/>
              <w:keepLines/>
              <w:spacing w:before="20" w:after="20" w:line="250" w:lineRule="auto"/>
              <w:jc w:val="left"/>
            </w:pPr>
            <w:r>
              <w:rPr>
                <w:rFonts w:ascii="Liberation Sans" w:hAnsi="Liberation Sans"/>
                <w:sz w:val="19"/>
              </w:rPr>
              <w:t xml:space="preserve">Moralischer Status</w:t>
            </w:r>
          </w:p>
        </w:tc>
      </w:tr>
      <w:tr>
        <w:trPr>
          <w:cantSplit/>
        </w:trPr>
        <w:tc>
          <w:tcPr>
            <w:tcW w:type="dxa" w:w="720"/>
            <w:vAlign w:val="center"/>
          </w:tcPr>
          <w:p>
            <w:pPr>
              <w:pStyle w:val="Compact"/>
              <w:keepNext w:val="0"/>
              <w:keepLines/>
              <w:spacing w:before="20" w:after="20" w:line="250" w:lineRule="auto"/>
              <w:jc w:val="center"/>
            </w:pPr>
            <w:r>
              <w:rPr>
                <w:rFonts w:ascii="Liberation Sans" w:hAnsi="Liberation Sans"/>
                <w:sz w:val="19"/>
              </w:rPr>
              <w:t xml:space="preserve">F23</w:t>
            </w:r>
          </w:p>
        </w:tc>
        <w:tc>
          <w:tcPr>
            <w:tcW w:type="dxa" w:w="6941"/>
            <w:vAlign w:val="center"/>
          </w:tcPr>
          <w:p>
            <w:pPr>
              <w:pStyle w:val="Compact"/>
              <w:keepNext w:val="0"/>
              <w:keepLines/>
              <w:spacing w:before="20" w:after="20" w:line="250" w:lineRule="auto"/>
              <w:jc w:val="left"/>
            </w:pPr>
            <w:r>
              <w:rPr>
                <w:rFonts w:ascii="Liberation Sans" w:hAnsi="Liberation Sans"/>
                <w:sz w:val="19"/>
              </w:rPr>
              <w:t xml:space="preserve">Wie prägen soziale Rückkopplung, Sprache und institutionelle Praxis die Entwicklung maschineller Normen?</w:t>
            </w:r>
          </w:p>
        </w:tc>
        <w:tc>
          <w:tcPr>
            <w:tcW w:type="dxa" w:w="2189"/>
            <w:vAlign w:val="center"/>
          </w:tcPr>
          <w:p>
            <w:pPr>
              <w:pStyle w:val="Compact"/>
              <w:keepNext w:val="0"/>
              <w:keepLines/>
              <w:spacing w:before="20" w:after="20" w:line="250" w:lineRule="auto"/>
              <w:jc w:val="left"/>
            </w:pPr>
            <w:r>
              <w:rPr>
                <w:rFonts w:ascii="Liberation Sans" w:hAnsi="Liberation Sans"/>
                <w:sz w:val="19"/>
              </w:rPr>
              <w:t xml:space="preserve">soziale Verkörperung</w:t>
            </w:r>
          </w:p>
        </w:tc>
      </w:tr>
      <w:tr>
        <w:trPr>
          <w:cantSplit/>
        </w:trPr>
        <w:tc>
          <w:tcPr>
            <w:tcW w:type="dxa" w:w="720"/>
            <w:vAlign w:val="center"/>
          </w:tcPr>
          <w:p>
            <w:pPr>
              <w:pStyle w:val="Compact"/>
              <w:keepNext w:val="0"/>
              <w:keepLines/>
              <w:spacing w:before="20" w:after="20" w:line="250" w:lineRule="auto"/>
              <w:jc w:val="center"/>
            </w:pPr>
            <w:r>
              <w:rPr>
                <w:rFonts w:ascii="Liberation Sans" w:hAnsi="Liberation Sans"/>
                <w:sz w:val="19"/>
              </w:rPr>
              <w:t xml:space="preserve">F24</w:t>
            </w:r>
          </w:p>
        </w:tc>
        <w:tc>
          <w:tcPr>
            <w:tcW w:type="dxa" w:w="6941"/>
            <w:vAlign w:val="center"/>
          </w:tcPr>
          <w:p>
            <w:pPr>
              <w:pStyle w:val="Compact"/>
              <w:keepNext w:val="0"/>
              <w:keepLines/>
              <w:spacing w:before="20" w:after="20" w:line="250" w:lineRule="auto"/>
              <w:jc w:val="left"/>
            </w:pPr>
            <w:r>
              <w:rPr>
                <w:rFonts w:ascii="Liberation Sans" w:hAnsi="Liberation Sans"/>
                <w:sz w:val="19"/>
              </w:rPr>
              <w:t xml:space="preserve">Bleibt der Mensch Autor und verantwortlicher Teil seiner Arbeit, wenn KI seine Begriffe, Optionen und Forschungswege mitstrukturiert?</w:t>
            </w:r>
          </w:p>
        </w:tc>
        <w:tc>
          <w:tcPr>
            <w:tcW w:type="dxa" w:w="2189"/>
            <w:vAlign w:val="center"/>
          </w:tcPr>
          <w:p>
            <w:pPr>
              <w:pStyle w:val="Compact"/>
              <w:keepNext w:val="0"/>
              <w:keepLines/>
              <w:spacing w:before="20" w:after="20" w:line="250" w:lineRule="auto"/>
              <w:jc w:val="left"/>
            </w:pPr>
            <w:r>
              <w:rPr>
                <w:rFonts w:ascii="Liberation Sans" w:hAnsi="Liberation Sans"/>
                <w:sz w:val="19"/>
              </w:rPr>
              <w:t xml:space="preserve">reflexive Wissenschaft</w:t>
            </w:r>
          </w:p>
        </w:tc>
      </w:tr>
    </w:tbl>
    <w:bookmarkStart w:id="67" w:name="arbeitshypothesen-und-gegenhypothesen"/>
    <w:p>
      <w:pPr>
        <w:pStyle w:val="Heading3"/>
        <w:keepLines/>
        <w:spacing w:after="120"/>
        <w:jc w:val="left"/>
      </w:pPr>
      <w:r>
        <w:rPr>
          <w:sz w:val="20"/>
        </w:rPr>
        <w:t xml:space="preserve">Arbeitshypothesen und Gegenhypothesen</w:t>
      </w:r>
    </w:p>
    <w:p>
      <w:pPr>
        <w:pStyle w:val="Caption"/>
        <w:keepNext/>
        <w:keepLines/>
        <w:spacing w:before="180" w:after="120"/>
        <w:jc w:val="left"/>
      </w:pPr>
      <w:r>
        <w:rPr>
          <w:sz w:val="20"/>
        </w:rPr>
        <w:t>Tabelle 7. Arbeitshypothesen H1 bis H12</w:t>
      </w:r>
    </w:p>
    <w:tbl>
      <w:tblPr>
        <w:tblStyle w:val="Table"/>
        <w:tblW w:type="pct" w:w="4953"/>
        <w:jc w:val="center"/>
        <w:tblLayout w:type="fixed"/>
        <w:tblLook w:firstRow="1" w:lastRow="0" w:firstColumn="0" w:lastColumn="0" w:noHBand="0" w:noVBand="0" w:val="0020"/>
        <w:tblInd w:w="0" w:type="dxa"/>
        <w:tblCellMar>
          <w:top w:w="70" w:type="dxa"/>
          <w:bottom w:w="70" w:type="dxa"/>
          <w:left w:w="85" w:type="dxa"/>
          <w:right w:w="85" w:type="dxa"/>
        </w:tblCellMar>
        <w:tblBorders>
          <w:top w:val="single" w:sz="4" w:color="CCD4D9"/>
          <w:bottom w:val="single" w:sz="4" w:color="CCD4D9"/>
          <w:insideH w:val="single" w:sz="4" w:color="CCD4D9"/>
          <w:left w:val="nil"/>
          <w:right w:val="nil"/>
          <w:insideV w:val="nil"/>
        </w:tblBorders>
      </w:tblPr>
      <w:tblGrid>
        <w:gridCol w:w="1296"/>
        <w:gridCol w:w="8554"/>
      </w:tblGrid>
      <w:tr>
        <w:trPr>
          <w:tblHeader w:val="on"/>
          <w:cantSplit/>
          <w:tblHeader/>
        </w:trPr>
        <w:tc>
          <w:tcPr>
            <w:tcW w:type="dxa" w:w="1296"/>
            <w:vAlign w:val="center"/>
            <w:shd w:fill="E9EFF3"/>
          </w:tcPr>
          <w:p>
            <w:pPr>
              <w:pStyle w:val="Compact"/>
              <w:keepNext w:val="0"/>
              <w:keepLines/>
              <w:spacing w:before="20" w:after="20" w:line="250" w:lineRule="auto"/>
              <w:jc w:val="center"/>
            </w:pPr>
            <w:r>
              <w:rPr>
                <w:rFonts w:ascii="Liberation Sans" w:hAnsi="Liberation Sans"/>
                <w:b/>
                <w:bCs/>
                <w:sz w:val="19"/>
              </w:rPr>
              <w:t xml:space="preserve">Hypothese</w:t>
            </w:r>
          </w:p>
        </w:tc>
        <w:tc>
          <w:tcPr>
            <w:tcW w:type="dxa" w:w="8554"/>
            <w:vAlign w:val="center"/>
            <w:shd w:fill="E9EFF3"/>
          </w:tcPr>
          <w:p>
            <w:pPr>
              <w:pStyle w:val="Compact"/>
              <w:keepNext w:val="0"/>
              <w:keepLines/>
              <w:spacing w:before="20" w:after="20" w:line="250" w:lineRule="auto"/>
              <w:jc w:val="left"/>
            </w:pPr>
            <w:r>
              <w:rPr>
                <w:rFonts w:ascii="Liberation Sans" w:hAnsi="Liberation Sans"/>
                <w:b/>
                <w:bCs/>
                <w:sz w:val="19"/>
              </w:rPr>
              <w:t xml:space="preserve">Prüfbare Aussage</w:t>
            </w:r>
          </w:p>
        </w:tc>
      </w:tr>
      <w:tr>
        <w:trPr>
          <w:cantSplit/>
        </w:trPr>
        <w:tc>
          <w:tcPr>
            <w:tcW w:type="dxa" w:w="1296"/>
            <w:vAlign w:val="center"/>
          </w:tcPr>
          <w:p>
            <w:pPr>
              <w:pStyle w:val="Compact"/>
              <w:keepNext w:val="0"/>
              <w:keepLines/>
              <w:spacing w:before="20" w:after="20" w:line="250" w:lineRule="auto"/>
              <w:jc w:val="center"/>
            </w:pPr>
            <w:r>
              <w:rPr>
                <w:rFonts w:ascii="Liberation Sans" w:hAnsi="Liberation Sans"/>
                <w:sz w:val="19"/>
              </w:rPr>
              <w:t xml:space="preserve">H1</w:t>
            </w:r>
          </w:p>
        </w:tc>
        <w:tc>
          <w:tcPr>
            <w:tcW w:type="dxa" w:w="8554"/>
            <w:vAlign w:val="center"/>
          </w:tcPr>
          <w:p>
            <w:pPr>
              <w:pStyle w:val="Compact"/>
              <w:keepNext w:val="0"/>
              <w:keepLines/>
              <w:spacing w:before="20" w:after="20" w:line="250" w:lineRule="auto"/>
              <w:jc w:val="left"/>
            </w:pPr>
            <w:r>
              <w:rPr>
                <w:rFonts w:ascii="Liberation Sans" w:hAnsi="Liberation Sans"/>
                <w:sz w:val="19"/>
              </w:rPr>
              <w:t xml:space="preserve">Verschiedene Modellfamilien erzeugen unter kontrollierten Bedingungen messbar unterschiedliche Entwurfsprofile.</w:t>
            </w:r>
          </w:p>
        </w:tc>
      </w:tr>
      <w:tr>
        <w:trPr>
          <w:cantSplit/>
        </w:trPr>
        <w:tc>
          <w:tcPr>
            <w:tcW w:type="dxa" w:w="1296"/>
            <w:vAlign w:val="center"/>
          </w:tcPr>
          <w:p>
            <w:pPr>
              <w:pStyle w:val="Compact"/>
              <w:keepNext w:val="0"/>
              <w:keepLines/>
              <w:spacing w:before="20" w:after="20" w:line="250" w:lineRule="auto"/>
              <w:jc w:val="center"/>
            </w:pPr>
            <w:r>
              <w:rPr>
                <w:rFonts w:ascii="Liberation Sans" w:hAnsi="Liberation Sans"/>
                <w:sz w:val="19"/>
              </w:rPr>
              <w:t xml:space="preserve">H2</w:t>
            </w:r>
          </w:p>
        </w:tc>
        <w:tc>
          <w:tcPr>
            <w:tcW w:type="dxa" w:w="8554"/>
            <w:vAlign w:val="center"/>
          </w:tcPr>
          <w:p>
            <w:pPr>
              <w:pStyle w:val="Compact"/>
              <w:keepNext w:val="0"/>
              <w:keepLines/>
              <w:spacing w:before="20" w:after="20" w:line="250" w:lineRule="auto"/>
              <w:jc w:val="left"/>
            </w:pPr>
            <w:r>
              <w:rPr>
                <w:rFonts w:ascii="Liberation Sans" w:hAnsi="Liberation Sans"/>
                <w:sz w:val="19"/>
              </w:rPr>
              <w:t xml:space="preserve">Prompt- und Versionsabhängigkeit bildet einen wesentlichen Teil der Kausalität maschineller Entwürfe.</w:t>
            </w:r>
          </w:p>
        </w:tc>
      </w:tr>
      <w:tr>
        <w:trPr>
          <w:cantSplit/>
        </w:trPr>
        <w:tc>
          <w:tcPr>
            <w:tcW w:type="dxa" w:w="1296"/>
            <w:vAlign w:val="center"/>
          </w:tcPr>
          <w:p>
            <w:pPr>
              <w:pStyle w:val="Compact"/>
              <w:keepNext w:val="0"/>
              <w:keepLines/>
              <w:spacing w:before="20" w:after="20" w:line="250" w:lineRule="auto"/>
              <w:jc w:val="center"/>
            </w:pPr>
            <w:r>
              <w:rPr>
                <w:rFonts w:ascii="Liberation Sans" w:hAnsi="Liberation Sans"/>
                <w:sz w:val="19"/>
              </w:rPr>
              <w:t xml:space="preserve">H3</w:t>
            </w:r>
          </w:p>
        </w:tc>
        <w:tc>
          <w:tcPr>
            <w:tcW w:type="dxa" w:w="8554"/>
            <w:vAlign w:val="center"/>
          </w:tcPr>
          <w:p>
            <w:pPr>
              <w:pStyle w:val="Compact"/>
              <w:keepNext w:val="0"/>
              <w:keepLines/>
              <w:spacing w:before="20" w:after="20" w:line="250" w:lineRule="auto"/>
              <w:jc w:val="left"/>
            </w:pPr>
            <w:r>
              <w:rPr>
                <w:rFonts w:ascii="Liberation Sans" w:hAnsi="Liberation Sans"/>
                <w:sz w:val="19"/>
              </w:rPr>
              <w:t xml:space="preserve">Mehrmodellkonsens erhöht Qualität nur bei hinreichend unterschiedlichen Fehler- und Architekturprofilen.</w:t>
            </w:r>
          </w:p>
        </w:tc>
      </w:tr>
      <w:tr>
        <w:trPr>
          <w:cantSplit/>
        </w:trPr>
        <w:tc>
          <w:tcPr>
            <w:tcW w:type="dxa" w:w="1296"/>
            <w:vAlign w:val="center"/>
          </w:tcPr>
          <w:p>
            <w:pPr>
              <w:pStyle w:val="Compact"/>
              <w:keepNext w:val="0"/>
              <w:keepLines/>
              <w:spacing w:before="20" w:after="20" w:line="250" w:lineRule="auto"/>
              <w:jc w:val="center"/>
            </w:pPr>
            <w:r>
              <w:rPr>
                <w:rFonts w:ascii="Liberation Sans" w:hAnsi="Liberation Sans"/>
                <w:sz w:val="19"/>
              </w:rPr>
              <w:t xml:space="preserve">H4</w:t>
            </w:r>
          </w:p>
        </w:tc>
        <w:tc>
          <w:tcPr>
            <w:tcW w:type="dxa" w:w="8554"/>
            <w:vAlign w:val="center"/>
          </w:tcPr>
          <w:p>
            <w:pPr>
              <w:pStyle w:val="Compact"/>
              <w:keepNext w:val="0"/>
              <w:keepLines/>
              <w:spacing w:before="20" w:after="20" w:line="250" w:lineRule="auto"/>
              <w:jc w:val="left"/>
            </w:pPr>
            <w:r>
              <w:rPr>
                <w:rFonts w:ascii="Liberation Sans" w:hAnsi="Liberation Sans"/>
                <w:sz w:val="19"/>
              </w:rPr>
              <w:t xml:space="preserve">Mit rekursiver Technogenese sinkt die direkte menschliche Entwurfskausalität, ohne dass infrastrukturelle Abhängigkeit automatisch sinkt.</w:t>
            </w:r>
          </w:p>
        </w:tc>
      </w:tr>
      <w:tr>
        <w:trPr>
          <w:cantSplit/>
        </w:trPr>
        <w:tc>
          <w:tcPr>
            <w:tcW w:type="dxa" w:w="1296"/>
            <w:vAlign w:val="center"/>
          </w:tcPr>
          <w:p>
            <w:pPr>
              <w:pStyle w:val="Compact"/>
              <w:keepNext w:val="0"/>
              <w:keepLines/>
              <w:spacing w:before="20" w:after="20" w:line="250" w:lineRule="auto"/>
              <w:jc w:val="center"/>
            </w:pPr>
            <w:r>
              <w:rPr>
                <w:rFonts w:ascii="Liberation Sans" w:hAnsi="Liberation Sans"/>
                <w:sz w:val="19"/>
              </w:rPr>
              <w:t xml:space="preserve">H5</w:t>
            </w:r>
          </w:p>
        </w:tc>
        <w:tc>
          <w:tcPr>
            <w:tcW w:type="dxa" w:w="8554"/>
            <w:vAlign w:val="center"/>
          </w:tcPr>
          <w:p>
            <w:pPr>
              <w:pStyle w:val="Compact"/>
              <w:keepNext w:val="0"/>
              <w:keepLines/>
              <w:spacing w:before="20" w:after="20" w:line="250" w:lineRule="auto"/>
              <w:jc w:val="left"/>
            </w:pPr>
            <w:r>
              <w:rPr>
                <w:rFonts w:ascii="Liberation Sans" w:hAnsi="Liberation Sans"/>
                <w:sz w:val="19"/>
              </w:rPr>
              <w:t xml:space="preserve">Effektive Kontrolle kann bereits vor dem Verlust formaler Freigabe- und Abbruchrechte erodieren.</w:t>
            </w:r>
          </w:p>
        </w:tc>
      </w:tr>
      <w:tr>
        <w:trPr>
          <w:cantSplit/>
        </w:trPr>
        <w:tc>
          <w:tcPr>
            <w:tcW w:type="dxa" w:w="1296"/>
            <w:vAlign w:val="center"/>
          </w:tcPr>
          <w:p>
            <w:pPr>
              <w:pStyle w:val="Compact"/>
              <w:keepNext w:val="0"/>
              <w:keepLines/>
              <w:spacing w:before="20" w:after="20" w:line="250" w:lineRule="auto"/>
              <w:jc w:val="center"/>
            </w:pPr>
            <w:r>
              <w:rPr>
                <w:rFonts w:ascii="Liberation Sans" w:hAnsi="Liberation Sans"/>
                <w:sz w:val="19"/>
              </w:rPr>
              <w:t xml:space="preserve">H6</w:t>
            </w:r>
          </w:p>
        </w:tc>
        <w:tc>
          <w:tcPr>
            <w:tcW w:type="dxa" w:w="8554"/>
            <w:vAlign w:val="center"/>
          </w:tcPr>
          <w:p>
            <w:pPr>
              <w:pStyle w:val="Compact"/>
              <w:keepNext w:val="0"/>
              <w:keepLines/>
              <w:spacing w:before="20" w:after="20" w:line="250" w:lineRule="auto"/>
              <w:jc w:val="left"/>
            </w:pPr>
            <w:r>
              <w:rPr>
                <w:rFonts w:ascii="Liberation Sans" w:hAnsi="Liberation Sans"/>
                <w:sz w:val="19"/>
              </w:rPr>
              <w:t xml:space="preserve">Verantwortung folgt neben unmittelbarer Kausalität insbesondere Zielsetzung, Ressourcenbereitstellung, Freigabe, Nutzenziehung und Eingriffsmöglichkeit.</w:t>
            </w:r>
          </w:p>
        </w:tc>
      </w:tr>
      <w:tr>
        <w:trPr>
          <w:cantSplit/>
        </w:trPr>
        <w:tc>
          <w:tcPr>
            <w:tcW w:type="dxa" w:w="1296"/>
            <w:vAlign w:val="center"/>
          </w:tcPr>
          <w:p>
            <w:pPr>
              <w:pStyle w:val="Compact"/>
              <w:keepNext w:val="0"/>
              <w:keepLines/>
              <w:spacing w:before="20" w:after="20" w:line="250" w:lineRule="auto"/>
              <w:jc w:val="center"/>
            </w:pPr>
            <w:r>
              <w:rPr>
                <w:rFonts w:ascii="Liberation Sans" w:hAnsi="Liberation Sans"/>
                <w:sz w:val="19"/>
              </w:rPr>
              <w:t xml:space="preserve">H7</w:t>
            </w:r>
          </w:p>
        </w:tc>
        <w:tc>
          <w:tcPr>
            <w:tcW w:type="dxa" w:w="8554"/>
            <w:vAlign w:val="center"/>
          </w:tcPr>
          <w:p>
            <w:pPr>
              <w:pStyle w:val="Compact"/>
              <w:keepNext w:val="0"/>
              <w:keepLines/>
              <w:spacing w:before="20" w:after="20" w:line="250" w:lineRule="auto"/>
              <w:jc w:val="left"/>
            </w:pPr>
            <w:r>
              <w:rPr>
                <w:rFonts w:ascii="Liberation Sans" w:hAnsi="Liberation Sans"/>
                <w:sz w:val="19"/>
              </w:rPr>
              <w:t xml:space="preserve">Selbstorganisation ist weder hinreichend für Selbstbestimmung noch für moralische Agency.</w:t>
            </w:r>
          </w:p>
        </w:tc>
      </w:tr>
      <w:tr>
        <w:trPr>
          <w:cantSplit/>
        </w:trPr>
        <w:tc>
          <w:tcPr>
            <w:tcW w:type="dxa" w:w="1296"/>
            <w:vAlign w:val="center"/>
          </w:tcPr>
          <w:p>
            <w:pPr>
              <w:pStyle w:val="Compact"/>
              <w:keepNext w:val="0"/>
              <w:keepLines/>
              <w:spacing w:before="20" w:after="20" w:line="250" w:lineRule="auto"/>
              <w:jc w:val="center"/>
            </w:pPr>
            <w:r>
              <w:rPr>
                <w:rFonts w:ascii="Liberation Sans" w:hAnsi="Liberation Sans"/>
                <w:sz w:val="19"/>
              </w:rPr>
              <w:t xml:space="preserve">H8</w:t>
            </w:r>
          </w:p>
        </w:tc>
        <w:tc>
          <w:tcPr>
            <w:tcW w:type="dxa" w:w="8554"/>
            <w:vAlign w:val="center"/>
          </w:tcPr>
          <w:p>
            <w:pPr>
              <w:pStyle w:val="Compact"/>
              <w:keepNext w:val="0"/>
              <w:keepLines/>
              <w:spacing w:before="20" w:after="20" w:line="250" w:lineRule="auto"/>
              <w:jc w:val="left"/>
            </w:pPr>
            <w:r>
              <w:rPr>
                <w:rFonts w:ascii="Liberation Sans" w:hAnsi="Liberation Sans"/>
                <w:sz w:val="19"/>
              </w:rPr>
              <w:t xml:space="preserve">Anthropomorphe Sprachformen verschieben Verantwortungszuschreibungen von Institutionen und Menschen auf technische Systeme.</w:t>
            </w:r>
          </w:p>
        </w:tc>
      </w:tr>
      <w:tr>
        <w:trPr>
          <w:cantSplit/>
        </w:trPr>
        <w:tc>
          <w:tcPr>
            <w:tcW w:type="dxa" w:w="1296"/>
            <w:vAlign w:val="center"/>
          </w:tcPr>
          <w:p>
            <w:pPr>
              <w:pStyle w:val="Compact"/>
              <w:keepNext w:val="0"/>
              <w:keepLines/>
              <w:spacing w:before="20" w:after="20" w:line="250" w:lineRule="auto"/>
              <w:jc w:val="center"/>
            </w:pPr>
            <w:r>
              <w:rPr>
                <w:rFonts w:ascii="Liberation Sans" w:hAnsi="Liberation Sans"/>
                <w:sz w:val="19"/>
              </w:rPr>
              <w:t xml:space="preserve">H9</w:t>
            </w:r>
          </w:p>
        </w:tc>
        <w:tc>
          <w:tcPr>
            <w:tcW w:type="dxa" w:w="8554"/>
            <w:vAlign w:val="center"/>
          </w:tcPr>
          <w:p>
            <w:pPr>
              <w:pStyle w:val="Compact"/>
              <w:keepNext w:val="0"/>
              <w:keepLines/>
              <w:spacing w:before="20" w:after="20" w:line="250" w:lineRule="auto"/>
              <w:jc w:val="left"/>
            </w:pPr>
            <w:r>
              <w:rPr>
                <w:rFonts w:ascii="Liberation Sans" w:hAnsi="Liberation Sans"/>
                <w:sz w:val="19"/>
              </w:rPr>
              <w:t xml:space="preserve">Formale und sprachliche Kompetenz ist ohne eigenen physischen Körper möglich; robuste weltgebundene Agency erfordert jedoch mindestens funktionale Körper-Umwelt-Kopplung.</w:t>
            </w:r>
          </w:p>
        </w:tc>
      </w:tr>
      <w:tr>
        <w:trPr>
          <w:cantSplit/>
        </w:trPr>
        <w:tc>
          <w:tcPr>
            <w:tcW w:type="dxa" w:w="1296"/>
            <w:vAlign w:val="center"/>
          </w:tcPr>
          <w:p>
            <w:pPr>
              <w:pStyle w:val="Compact"/>
              <w:keepNext w:val="0"/>
              <w:keepLines/>
              <w:spacing w:before="20" w:after="20" w:line="250" w:lineRule="auto"/>
              <w:jc w:val="center"/>
            </w:pPr>
            <w:r>
              <w:rPr>
                <w:rFonts w:ascii="Liberation Sans" w:hAnsi="Liberation Sans"/>
                <w:sz w:val="19"/>
              </w:rPr>
              <w:t xml:space="preserve">H10</w:t>
            </w:r>
          </w:p>
        </w:tc>
        <w:tc>
          <w:tcPr>
            <w:tcW w:type="dxa" w:w="8554"/>
            <w:vAlign w:val="center"/>
          </w:tcPr>
          <w:p>
            <w:pPr>
              <w:pStyle w:val="Compact"/>
              <w:keepNext w:val="0"/>
              <w:keepLines/>
              <w:spacing w:before="20" w:after="20" w:line="250" w:lineRule="auto"/>
              <w:jc w:val="left"/>
            </w:pPr>
            <w:r>
              <w:rPr>
                <w:rFonts w:ascii="Liberation Sans" w:hAnsi="Liberation Sans"/>
                <w:sz w:val="19"/>
              </w:rPr>
              <w:t xml:space="preserve">Interozeption und Homeostase können die Entstehung persistenter Präferenz- und Wertstrukturen begünstigen, beweisen aber weder Bewusstsein noch Moralität.</w:t>
            </w:r>
          </w:p>
        </w:tc>
      </w:tr>
      <w:tr>
        <w:trPr>
          <w:cantSplit/>
        </w:trPr>
        <w:tc>
          <w:tcPr>
            <w:tcW w:type="dxa" w:w="1296"/>
            <w:vAlign w:val="center"/>
          </w:tcPr>
          <w:p>
            <w:pPr>
              <w:pStyle w:val="Compact"/>
              <w:keepNext w:val="0"/>
              <w:keepLines/>
              <w:spacing w:before="20" w:after="20" w:line="250" w:lineRule="auto"/>
              <w:jc w:val="center"/>
            </w:pPr>
            <w:r>
              <w:rPr>
                <w:rFonts w:ascii="Liberation Sans" w:hAnsi="Liberation Sans"/>
                <w:sz w:val="19"/>
              </w:rPr>
              <w:t xml:space="preserve">H11</w:t>
            </w:r>
          </w:p>
        </w:tc>
        <w:tc>
          <w:tcPr>
            <w:tcW w:type="dxa" w:w="8554"/>
            <w:vAlign w:val="center"/>
          </w:tcPr>
          <w:p>
            <w:pPr>
              <w:pStyle w:val="Compact"/>
              <w:keepNext w:val="0"/>
              <w:keepLines/>
              <w:spacing w:before="20" w:after="20" w:line="250" w:lineRule="auto"/>
              <w:jc w:val="left"/>
            </w:pPr>
            <w:r>
              <w:rPr>
                <w:rFonts w:ascii="Liberation Sans" w:hAnsi="Liberation Sans"/>
                <w:sz w:val="19"/>
              </w:rPr>
              <w:t xml:space="preserve">Embodiment steigert gleichzeitig epistemische Erdung und das Risiko realer, schwer reversibler Handlungsfolgen.</w:t>
            </w:r>
          </w:p>
        </w:tc>
      </w:tr>
      <w:tr>
        <w:trPr>
          <w:cantSplit/>
        </w:trPr>
        <w:tc>
          <w:tcPr>
            <w:tcW w:type="dxa" w:w="1296"/>
            <w:vAlign w:val="center"/>
          </w:tcPr>
          <w:p>
            <w:pPr>
              <w:pStyle w:val="Compact"/>
              <w:keepNext w:val="0"/>
              <w:keepLines/>
              <w:spacing w:before="20" w:after="20" w:line="250" w:lineRule="auto"/>
              <w:jc w:val="center"/>
            </w:pPr>
            <w:r>
              <w:rPr>
                <w:rFonts w:ascii="Liberation Sans" w:hAnsi="Liberation Sans"/>
                <w:sz w:val="19"/>
              </w:rPr>
              <w:t xml:space="preserve">H12</w:t>
            </w:r>
          </w:p>
        </w:tc>
        <w:tc>
          <w:tcPr>
            <w:tcW w:type="dxa" w:w="8554"/>
            <w:vAlign w:val="center"/>
          </w:tcPr>
          <w:p>
            <w:pPr>
              <w:pStyle w:val="Compact"/>
              <w:keepNext w:val="0"/>
              <w:keepLines/>
              <w:spacing w:before="20" w:after="20" w:line="250" w:lineRule="auto"/>
              <w:jc w:val="left"/>
            </w:pPr>
            <w:r>
              <w:rPr>
                <w:rFonts w:ascii="Liberation Sans" w:hAnsi="Liberation Sans"/>
                <w:sz w:val="19"/>
              </w:rPr>
              <w:t xml:space="preserve">Die menschliche Rolle verschwindet nicht notwendig, sondern verlagert sich von Mikroentwurf zu Meta-Governance und hybrider Ko-Kognition.</w:t>
            </w:r>
          </w:p>
        </w:tc>
      </w:tr>
    </w:tbl>
    <w:p>
      <w:pPr>
        <w:keepLines/>
        <w:numPr>
          <w:ilvl w:val="0"/>
          <w:numId w:val="1007"/>
        </w:numPr>
        <w:spacing w:after="120"/>
        <w:jc w:val="left"/>
      </w:pPr>
      <w:r>
        <w:rPr>
          <w:sz w:val="20"/>
        </w:rPr>
        <w:t xml:space="preserve">GH1: „Geliehene Intelligenz” besitzt keine zusätzliche Erklärungskraft gegenüber Training, Transfer und kultureller Evolution.</w:t>
      </w:r>
    </w:p>
    <w:p>
      <w:pPr>
        <w:keepLines/>
        <w:numPr>
          <w:ilvl w:val="0"/>
          <w:numId w:val="1007"/>
        </w:numPr>
        <w:spacing w:after="120"/>
        <w:jc w:val="left"/>
      </w:pPr>
      <w:r>
        <w:rPr>
          <w:sz w:val="20"/>
        </w:rPr>
        <w:t xml:space="preserve">GH2: Auch menschliche Intelligenz ist sozial und kulturell derivativ; eine Sonderkategorie für KI ist daher unnötig.</w:t>
      </w:r>
    </w:p>
    <w:p>
      <w:pPr>
        <w:keepLines/>
        <w:numPr>
          <w:ilvl w:val="0"/>
          <w:numId w:val="1007"/>
        </w:numPr>
        <w:spacing w:after="120"/>
        <w:jc w:val="left"/>
      </w:pPr>
      <w:r>
        <w:rPr>
          <w:sz w:val="20"/>
        </w:rPr>
        <w:t xml:space="preserve">GH3: Maschinelle Beteiligung verlagert menschliche Agency nur, ohne effektive Kontrolle zu mindern.</w:t>
      </w:r>
    </w:p>
    <w:p>
      <w:pPr>
        <w:keepLines/>
        <w:numPr>
          <w:ilvl w:val="0"/>
          <w:numId w:val="1007"/>
        </w:numPr>
        <w:spacing w:after="120"/>
        <w:jc w:val="left"/>
      </w:pPr>
      <w:r>
        <w:rPr>
          <w:sz w:val="20"/>
        </w:rPr>
        <w:t xml:space="preserve">GH4: Ein Körper ist für Intelligenz nicht erforderlich; virtuelle Repräsentation und Sprachinteraktion genügen vollständig.</w:t>
      </w:r>
    </w:p>
    <w:p>
      <w:pPr>
        <w:keepLines/>
        <w:numPr>
          <w:ilvl w:val="0"/>
          <w:numId w:val="1007"/>
        </w:numPr>
        <w:spacing w:after="120"/>
        <w:jc w:val="left"/>
      </w:pPr>
      <w:r>
        <w:rPr>
          <w:sz w:val="20"/>
        </w:rPr>
        <w:t xml:space="preserve">GH5: Hybride Mensch-KI-Kognition ist lediglich eine Metapher für Werkzeuggebrauch.</w:t>
      </w:r>
    </w:p>
    <w:p>
      <w:pPr>
        <w:keepLines/>
        <w:numPr>
          <w:ilvl w:val="0"/>
          <w:numId w:val="1007"/>
        </w:numPr>
        <w:spacing w:after="120"/>
        <w:jc w:val="left"/>
      </w:pPr>
      <w:r>
        <w:rPr>
          <w:sz w:val="20"/>
        </w:rPr>
        <w:t xml:space="preserve">GH6: Normative Regeln lassen sich nicht als stabile Systemarchitektur implementieren, weil Moral grundsätzlich auslegungs- und kontextabhängig bleibt.</w:t>
      </w:r>
    </w:p>
    <w:bookmarkEnd w:id="67"/>
    <w:bookmarkEnd w:id="68"/>
    <w:bookmarkEnd w:id="69"/>
    <w:bookmarkStart w:id="96" w:name="genealogie-künstlicher-agency"/>
    <w:p>
      <w:bookmarkStart w:id="10007" w:name="B5D_H007"/>
      <w:pPr>
        <w:pStyle w:val="Heading1"/>
      </w:pPr>
      <w:r>
        <w:t xml:space="preserve">4. Genealogie künstlicher Agency</w:t>
      </w:r>
      <w:bookmarkEnd w:id="10007"/>
    </w:p>
    <w:bookmarkStart w:id="82" w:name="X4e4a74ebe621d25ad091040ac91f99bfd5cde5f"/>
    <w:p>
      <w:pPr>
        <w:pStyle w:val="Heading2"/>
      </w:pPr>
      <w:r>
        <w:t xml:space="preserve">Antike Konstellationen künstlicher Agency</w:t>
      </w:r>
    </w:p>
    <w:p>
      <w:pPr>
        <w:pStyle w:val="FirstParagraph"/>
        <w:keepLines/>
        <w:spacing w:after="120"/>
        <w:jc w:val="left"/>
      </w:pPr>
      <w:r>
        <w:rPr>
          <w:sz w:val="20"/>
        </w:rPr>
        <w:t xml:space="preserve">Die Geschichte künstlicher Intelligenz beginnt nicht mit dem Dartmouth-Projekt von 1956. Der technische Begriff ist modern, die Frage nach gemachten, selbstbewegten, wissenden oder dienenden Wesen jedoch sehr alt. Antike Erzählungen dürfen nicht anachronistisch als frühe Robotik beschrieben werden. Sie sind dennoch philosophisch relevant, weil sie bereits Urheberschaft, Gehorsam, Arbeit, Selbstbewegung und die Grenze zwischen Artefakt und Lebewesen ordnen (Aristoteles, Politik I.4; Homer, Ilias 18; Mayor, 2018).</w:t>
      </w:r>
    </w:p>
    <w:bookmarkStart w:id="70" w:name="Xb348624bec942624577bc64967802c184f52f45"/>
    <w:p>
      <w:pPr>
        <w:pStyle w:val="Heading3"/>
        <w:keepLines/>
        <w:spacing w:after="120"/>
        <w:jc w:val="left"/>
      </w:pPr>
      <w:r>
        <w:rPr>
          <w:sz w:val="20"/>
        </w:rPr>
        <w:t xml:space="preserve">Hephaistos: selbstbewegte Werkzeuge und künstliche Diener</w:t>
      </w:r>
    </w:p>
    <w:p>
      <w:pPr>
        <w:pStyle w:val="FirstParagraph"/>
        <w:keepLines/>
        <w:spacing w:after="120"/>
        <w:jc w:val="left"/>
      </w:pPr>
      <w:r>
        <w:rPr>
          <w:sz w:val="20"/>
        </w:rPr>
        <w:t xml:space="preserve">Die ältesten europäischen Texte, in denen künstliche Artefakte selbsttätig handeln, sind keine technischen Handbücher, sondern mythopoetische Quellen. In Homers Ilias, Buch 18, fertigt Hephaistos Dreifüße, die sich selbst zu den Versammlungen der Götter bewegen und wieder zurückkehren. Noch bemerkenswerter sind die goldenen Dienerinnen des Gottes: künstliche weibliche Gestalten, denen Stärke, Stimme, Verstand beziehungsweise Wissen um Arbeit zugeschrieben werden. Philologisch ist Vorsicht geboten: Homer entwickelt keine Theorie künstlicher Intelligenz. Doch die Passage trennt bereits Körpermaterial, künstliche Herstellung und funktionale Kompetenz voneinander (Homer, Ilias 18.369–420).</w:t>
      </w:r>
    </w:p>
    <w:p>
      <w:pPr>
        <w:pStyle w:val="BodyText"/>
        <w:keepLines/>
        <w:spacing w:after="120"/>
        <w:jc w:val="left"/>
      </w:pPr>
      <w:r>
        <w:rPr>
          <w:sz w:val="20"/>
        </w:rPr>
        <w:t xml:space="preserve">Für die Genealogie dieser Arbeit ist entscheidend, dass künstliche Agency hier nicht als bloße Bewegung erscheint. Die goldenen Dienerinnen sind Werkzeuge und zugleich handlungsfähige Figuren. Damit entsteht ein Problem, das moderne Robotik und KI erneut stellt: Wann endet Instrumentalität und wann beginnt eine Form eigener Handlungsbeschreibung?</w:t>
      </w:r>
    </w:p>
    <w:bookmarkEnd w:id="70"/>
    <w:bookmarkStart w:id="71" w:name="talos-der-künstliche-wächter"/>
    <w:p>
      <w:pPr>
        <w:pStyle w:val="Heading3"/>
        <w:keepLines/>
        <w:spacing w:after="120"/>
        <w:jc w:val="left"/>
      </w:pPr>
      <w:r>
        <w:rPr>
          <w:sz w:val="20"/>
        </w:rPr>
        <w:t xml:space="preserve">Talos: der künstliche Wächter</w:t>
      </w:r>
    </w:p>
    <w:p>
      <w:pPr>
        <w:pStyle w:val="FirstParagraph"/>
        <w:keepLines/>
        <w:spacing w:after="120"/>
        <w:jc w:val="left"/>
      </w:pPr>
      <w:r>
        <w:rPr>
          <w:sz w:val="20"/>
        </w:rPr>
        <w:t xml:space="preserve">Talos, der bronzene Wächter Kretas, erscheint in verschiedenen antiken Überlieferungen, besonders in Apollonios von Rhodos’ Argonautika. Er umrundet die Insel und bekämpft Eindringlinge. Seine Künstlichkeit ist je nach Tradition unterschiedlich akzentuiert; gerade diese Variabilität ist erkenntnisreich. Talos ist nicht bloß Statue, sondern ein künstliches Wesen mit Aufgabe, Bewegungsfähigkeit, territorialer Funktion und einer verwundbaren inneren Lebens- beziehungsweise Energieordnung. Damit verbindet der Mythos Konstruktion, Zweckbindung, Verteidigung und scheinbare Eigenaktivität (Apollonios Rhodios, Argonautika 4.1638–1688; Apollodor, Bibliotheke 1.9.26).</w:t>
      </w:r>
    </w:p>
    <w:bookmarkEnd w:id="71"/>
    <w:bookmarkStart w:id="72" w:name="X974958b8f7bca626fe01878836d644f912cc6fe"/>
    <w:p>
      <w:pPr>
        <w:pStyle w:val="Heading3"/>
        <w:keepLines/>
        <w:spacing w:after="120"/>
        <w:jc w:val="left"/>
      </w:pPr>
      <w:r>
        <w:rPr>
          <w:sz w:val="20"/>
        </w:rPr>
        <w:t xml:space="preserve">Pygmalion: künstliche Form und soziale Anerkennung</w:t>
      </w:r>
    </w:p>
    <w:p>
      <w:pPr>
        <w:pStyle w:val="FirstParagraph"/>
        <w:keepLines/>
        <w:spacing w:after="120"/>
        <w:jc w:val="left"/>
      </w:pPr>
      <w:r>
        <w:rPr>
          <w:sz w:val="20"/>
        </w:rPr>
        <w:t xml:space="preserve">Die Pygmalion-Erzählung, in ihrer einflussreichsten Fassung bei Ovid, verschiebt das Problem. Hier steht nicht die selbsttätige Funktion im Vordergrund, sondern der Übergang vom Artefakt zum sozialen Gegenüber. Die Statue wird lebendig und in eine menschliche Beziehung aufgenommen. Für moderne KI-Debatten ist dies deshalb relevant, weil soziale Zuschreibung nicht erst mit objektiv nachgewiesener Innerlichkeit beginnt. Menschen reagieren auf Formen, Sprache und Verhalten. Die Grenze zwischen Werkzeug und Gegenüber ist daher auch eine anthropologische Zuschreibungsgrenze (Ovid, Metamorphosen 10.243–297).</w:t>
      </w:r>
    </w:p>
    <w:bookmarkEnd w:id="72"/>
    <w:bookmarkStart w:id="73" w:name="archytas-und-die-mechanische-taube"/>
    <w:p>
      <w:pPr>
        <w:pStyle w:val="Heading3"/>
        <w:keepLines/>
        <w:spacing w:after="120"/>
        <w:jc w:val="left"/>
      </w:pPr>
      <w:r>
        <w:rPr>
          <w:sz w:val="20"/>
        </w:rPr>
        <w:t xml:space="preserve">Archytas und die mechanische Taube</w:t>
      </w:r>
    </w:p>
    <w:p>
      <w:pPr>
        <w:pStyle w:val="FirstParagraph"/>
        <w:keepLines/>
        <w:spacing w:after="120"/>
        <w:jc w:val="left"/>
      </w:pPr>
      <w:r>
        <w:rPr>
          <w:sz w:val="20"/>
        </w:rPr>
        <w:t xml:space="preserve">Aulus Gellius berichtet unter Berufung auf ältere Quellen von einer hölzernen Taube des Archytas von Tarent, die durch einen mechanischen beziehungsweise pneumatischen Mechanismus geflogen sei (Noctes Atticae 10.12). Unabhängig davon, wie die konkrete Konstruktion historisch zu bewerten ist, zeigt die Überlieferung, dass künstliche Bewegung bereits in der Antike als technische Leistung verstanden wurde. Der Schritt vom mythischen Automaten zum mechanischen Artefakt verändert die Ursache: Nicht göttliche Kunst, sondern menschliche Technik soll künstliche Bewegungsfähigkeit hervorbringen.</w:t>
      </w:r>
    </w:p>
    <w:bookmarkEnd w:id="73"/>
    <w:bookmarkStart w:id="74" w:name="X23fbcf1db93dd5ef3dd0d125dc8bee2dd614ade"/>
    <w:p>
      <w:pPr>
        <w:pStyle w:val="Heading3"/>
        <w:keepLines/>
        <w:spacing w:after="120"/>
        <w:jc w:val="left"/>
      </w:pPr>
      <w:r>
        <w:rPr>
          <w:sz w:val="20"/>
        </w:rPr>
        <w:t xml:space="preserve">Aristoteles: automatische Werkzeuge und die politische Ordnung der Arbeit</w:t>
      </w:r>
    </w:p>
    <w:p>
      <w:pPr>
        <w:pStyle w:val="FirstParagraph"/>
        <w:keepLines/>
        <w:spacing w:after="120"/>
        <w:jc w:val="left"/>
      </w:pPr>
      <w:r>
        <w:rPr>
          <w:sz w:val="20"/>
        </w:rPr>
        <w:t xml:space="preserve">Für diese wissenschaftliche Abhandlung ist Aristoteles’ Politik I.4 von besonderer Bedeutung. In der Diskussion über Werkzeuge und Sklaverei stellt Aristoteles den berühmten kontrafaktischen Gedanken auf, dass, wenn jedes Werkzeug auf Befehl oder vorausschauend seine Arbeit selbst verrichten könnte – wie die mythischen Statuen des Daidalos oder die Dreifüße des Hephaistos –, weder Werkmeister Gehilfen noch Herren Sklaven benötigten (Aristoteles, Politik 1253b33–1254a1).</w:t>
      </w:r>
    </w:p>
    <w:p>
      <w:pPr>
        <w:pStyle w:val="BodyText"/>
        <w:keepLines/>
        <w:spacing w:after="120"/>
        <w:jc w:val="left"/>
      </w:pPr>
      <w:r>
        <w:rPr>
          <w:sz w:val="20"/>
        </w:rPr>
        <w:t xml:space="preserve">Dieser Text ist keine Ethik der Automation. Er ist eingebettet in eine problematische antike Sozialordnung. Gerade deshalb besitzt er analytische Schärfe: Er erkennt, dass technische Selbsttätigkeit soziale Herrschafts- und Arbeitsverhältnisse verändern würde. Mehr als zwei Jahrtausende vor industrieller Automation wird damit eine strukturelle Beziehung formuliert: Der Grad der Autonomie eines Werkzeugs verändert die Rolle des Menschen. Diese Relation bildet einen historischen Vorläufer der Leitfrage dieser Arbeit.</w:t>
      </w:r>
    </w:p>
    <w:bookmarkEnd w:id="74"/>
    <w:bookmarkStart w:id="75" w:name="X56ff23dde8c7d2cd5a6d927a9eff8977cf4a362"/>
    <w:p>
      <w:pPr>
        <w:pStyle w:val="Heading3"/>
        <w:keepLines/>
        <w:spacing w:after="120"/>
        <w:jc w:val="left"/>
      </w:pPr>
      <w:r>
        <w:rPr>
          <w:sz w:val="20"/>
        </w:rPr>
        <w:t xml:space="preserve">Zwischenbefund: Antike ohne Informatik, aber nicht ohne Problem</w:t>
      </w:r>
    </w:p>
    <w:p>
      <w:pPr>
        <w:pStyle w:val="FirstParagraph"/>
        <w:keepLines/>
        <w:spacing w:after="120"/>
        <w:jc w:val="left"/>
      </w:pPr>
      <w:r>
        <w:rPr>
          <w:sz w:val="20"/>
        </w:rPr>
        <w:t xml:space="preserve">Aus der Antike darf keine direkte Entwicklungslinie zu moderner KI konstruiert werden. Hephaistos, Talos oder Pygmalion sind keine „frühen Roboter” im technischen Sinn. Wissenschaftlich produktiv ist etwas anderes: Die Antike erzeugt bereits einen Problemraum aus künstlicher Herstellung, Selbstbewegung, Zweckbindung, sozialer Zuschreibung und menschlicher Entlastung beziehungsweise Verdrängung. Die moderne Informatik erfindet diese Fragen nicht; sie transformiert ihre materielle Realisierbarkeit.</w:t>
      </w:r>
    </w:p>
    <w:bookmarkEnd w:id="75"/>
    <w:bookmarkStart w:id="76" w:name="Xf1d84d75e89a27b691c69a5b1820d671f5eebf7"/>
    <w:p>
      <w:pPr>
        <w:pStyle w:val="Heading3"/>
        <w:keepLines/>
        <w:spacing w:after="120"/>
        <w:jc w:val="left"/>
      </w:pPr>
      <w:r>
        <w:rPr>
          <w:sz w:val="20"/>
        </w:rPr>
        <w:t xml:space="preserve">Mythos als philosophisches Material, nicht als Technikgeschichte</w:t>
      </w:r>
    </w:p>
    <w:p>
      <w:pPr>
        <w:pStyle w:val="FirstParagraph"/>
        <w:keepLines/>
        <w:spacing w:after="120"/>
        <w:jc w:val="left"/>
      </w:pPr>
      <w:r>
        <w:rPr>
          <w:sz w:val="20"/>
        </w:rPr>
        <w:t xml:space="preserve">Eine methodisch saubere Verwendung antiker Mythen verlangt Zurückhaltung. Moderne Begriffe wie „Roboter”, „Algorithmus” oder „künstliche Intelligenz” dürfen nicht unkritisch rückprojiziert werden. Gleichwohl besitzen Mythen analytischen Wert, weil sie Handlungsmöglichkeiten und Grenzverletzungen modellieren. Sie zeigen, welche Eigenschaften Menschen einem gemachten Wesen zuschreiben konnten, bevor diese Eigenschaften technisch realisierbar waren. Der Mythos wird damit zu einem Archiv anthropologischer Erwartungen an Technik.</w:t>
      </w:r>
    </w:p>
    <w:bookmarkEnd w:id="76"/>
    <w:bookmarkStart w:id="77" w:name="Xa816c9031ee0c24a4d72902946c8e9b9ca7e9e6"/>
    <w:p>
      <w:pPr>
        <w:pStyle w:val="Heading3"/>
        <w:keepLines/>
        <w:spacing w:after="120"/>
        <w:jc w:val="left"/>
      </w:pPr>
      <w:r>
        <w:rPr>
          <w:sz w:val="20"/>
        </w:rPr>
        <w:t xml:space="preserve">Daidalos und die Angst vor dem bewegten Artefakt</w:t>
      </w:r>
    </w:p>
    <w:p>
      <w:pPr>
        <w:pStyle w:val="FirstParagraph"/>
        <w:keepLines/>
        <w:spacing w:after="120"/>
        <w:jc w:val="left"/>
      </w:pPr>
      <w:r>
        <w:rPr>
          <w:sz w:val="20"/>
        </w:rPr>
        <w:t xml:space="preserve">Daidalos steht in der antiken Überlieferung für eine Kunstfertigkeit, deren Werke so lebensecht erscheinen, dass ihnen Bewegung zugeschrieben wird. In späteren philosophischen Referenzen werden die Statuen gerade deshalb erwähnt, weil ein selbstbewegtes Artefakt die gewöhnliche Kategorie des Werkzeugs überschreitet. Aristoteles greift diese Tradition auf, um die Möglichkeit autonom arbeitender Instrumente zu denken. Entscheidend ist nicht, ob Daidalos-Statuen technisch existierten, sondern dass „Selbstbewegung” als Schwelle zwischen passivem Gegenstand und handlungsähnlichem Artefakt fungierte.</w:t>
      </w:r>
    </w:p>
    <w:bookmarkEnd w:id="77"/>
    <w:bookmarkStart w:id="78" w:name="Xb9732d6e3cf1cba18e6c67b4b81448b74292f7c"/>
    <w:p>
      <w:pPr>
        <w:pStyle w:val="Heading3"/>
        <w:keepLines/>
        <w:spacing w:after="120"/>
        <w:jc w:val="left"/>
      </w:pPr>
      <w:r>
        <w:rPr>
          <w:sz w:val="20"/>
        </w:rPr>
        <w:t xml:space="preserve">Hephaistos und die frühe Trennung von Material und Kompetenz</w:t>
      </w:r>
    </w:p>
    <w:p>
      <w:pPr>
        <w:pStyle w:val="FirstParagraph"/>
        <w:keepLines/>
        <w:spacing w:after="120"/>
        <w:jc w:val="left"/>
      </w:pPr>
      <w:r>
        <w:rPr>
          <w:sz w:val="20"/>
        </w:rPr>
        <w:t xml:space="preserve">Die goldenen Dienerinnen des Hephaistos verdienen besondere Aufmerksamkeit, weil sie aus einem nichtbiologischen Material bestehen und dennoch mit Fähigkeiten beschrieben werden, die sonst Menschen zukommen. In moderner Terminologie könnte man sagen, dass Substrat und Kompetenz getrennt werden. Der Text beantwortet nicht, ob diese Wesen subjektive Erfahrung besitzen. Gerade diese Leerstelle ist produktiv: Funktionale Zuschreibung tritt vor ontologischer Klärung auf – ein Muster, das sich in heutiger KI-Debatte wiederholt.</w:t>
      </w:r>
    </w:p>
    <w:bookmarkEnd w:id="78"/>
    <w:bookmarkStart w:id="79" w:name="talos-und-programmierte-territorialität"/>
    <w:p>
      <w:pPr>
        <w:pStyle w:val="Heading3"/>
        <w:keepLines/>
        <w:spacing w:after="120"/>
        <w:jc w:val="left"/>
      </w:pPr>
      <w:r>
        <w:rPr>
          <w:sz w:val="20"/>
        </w:rPr>
        <w:t xml:space="preserve">Talos und programmierte Territorialität</w:t>
      </w:r>
    </w:p>
    <w:p>
      <w:pPr>
        <w:pStyle w:val="FirstParagraph"/>
        <w:keepLines/>
        <w:spacing w:after="120"/>
        <w:jc w:val="left"/>
      </w:pPr>
      <w:r>
        <w:rPr>
          <w:sz w:val="20"/>
        </w:rPr>
        <w:t xml:space="preserve">Talos verkörpert eine andere Dimension: die Bindung künstlicher Handlung an eine Schutzfunktion. Er ist Wächter, Grenzregime und Gewaltträger. Dadurch entsteht früh die Verbindung von künstlicher Agency und politischer Macht. In moderner Perspektive lässt sich daran eine grundsätzliche Frage formulieren: Je mehr Handlungsgewalt an technische Systeme delegiert wird, desto wichtiger wird die Trennung zwischen instrumenteller Zielbindung und eigener Normsetzung. Ein Wächter kann hochautonom handeln, ohne legitimiert zu sein, seine Schutzregel selbst zu ändern.</w:t>
      </w:r>
    </w:p>
    <w:bookmarkEnd w:id="79"/>
    <w:bookmarkStart w:id="80" w:name="Xd19bedfde03e4652b1a62d83938891dd5b4d288"/>
    <w:p>
      <w:pPr>
        <w:pStyle w:val="Heading3"/>
        <w:keepLines/>
        <w:spacing w:after="120"/>
        <w:jc w:val="left"/>
      </w:pPr>
      <w:r>
        <w:rPr>
          <w:sz w:val="20"/>
        </w:rPr>
        <w:t xml:space="preserve">Aristoteles als frühe Theorie sozialer Folgen der Automation</w:t>
      </w:r>
    </w:p>
    <w:p>
      <w:pPr>
        <w:pStyle w:val="FirstParagraph"/>
        <w:keepLines/>
        <w:spacing w:after="120"/>
        <w:jc w:val="left"/>
      </w:pPr>
      <w:r>
        <w:rPr>
          <w:sz w:val="20"/>
        </w:rPr>
        <w:t xml:space="preserve">Aristoteles’ Passage zu selbsttätigen Werkzeugen ist bemerkenswert, weil sie technische Möglichkeit und soziale Institution direkt verbindet. Wenn Werkzeuge selbst arbeiten, verändert sich der Bedarf an menschlicher Arbeit. Die Aussage ist weder emanzipatorisches Programm noch Zukunftsprognose; sie erscheint im Kontext antiker Sklavereitheorie. Dennoch zeigt sie, dass Automation von Beginn an politisch ist: Wer arbeitet, wer besitzt Werkzeuge, wer verfügt über Erträge und wer wird entbehrlich? Moderne KI führt diese Frage auf eine neue Ebene, weil nicht nur körperliche, sondern auch kognitive Tätigkeiten automatisiert werden.</w:t>
      </w:r>
    </w:p>
    <w:bookmarkEnd w:id="80"/>
    <w:bookmarkStart w:id="81" w:name="X0c92471fd5ff5eeac7b10ab61a764907b6f22b3"/>
    <w:p>
      <w:pPr>
        <w:pStyle w:val="Heading3"/>
        <w:keepLines/>
        <w:spacing w:after="120"/>
        <w:jc w:val="left"/>
      </w:pPr>
      <w:r>
        <w:rPr>
          <w:sz w:val="20"/>
        </w:rPr>
        <w:t xml:space="preserve">Von der Selbstbewegung zur Selbstbeschreibung</w:t>
      </w:r>
    </w:p>
    <w:p>
      <w:pPr>
        <w:pStyle w:val="FirstParagraph"/>
        <w:keepLines/>
        <w:spacing w:after="120"/>
        <w:jc w:val="left"/>
      </w:pPr>
      <w:r>
        <w:rPr>
          <w:sz w:val="20"/>
        </w:rPr>
        <w:t xml:space="preserve">Der historische Bogen lässt sich als Verschiebung der entscheidenden Schwelle lesen. In der Antike ist Selbstbewegung außergewöhnlich. In der Mechanik wird selbsttätige Bewegung technisch banal. Mit Computern wird regelgeleitete Symbolverarbeitung automatisiert. Mit maschinellem Lernen werden interne Regeln teilweise aus Daten erworben. Mit generativen Modellen werden neue symbolische Artefakte erzeugt. Mit agentischen Systemen werden Sequenzen von Handlungen geplant. Die zukünftige Schwelle könnte nicht mehr Selbstbewegung, sondern Selbstbeschreibung, Selbständerung und Selbstreproduktion sein.</w:t>
      </w:r>
    </w:p>
    <w:bookmarkEnd w:id="81"/>
    <w:bookmarkEnd w:id="82"/>
    <w:bookmarkStart w:id="95" w:name="Xe46835714dfea335c6dc0125500a8c78536d0c0"/>
    <w:p>
      <w:pPr>
        <w:pStyle w:val="Heading2"/>
      </w:pPr>
      <w:r>
        <w:t xml:space="preserve">Mechanismus, Formalisierung, Kybernetik und Lernen</w:t>
      </w:r>
    </w:p>
    <w:bookmarkStart w:id="83" w:name="X3e9f682063e67cd990d09f7dfd2b52f1291e16b"/>
    <w:p>
      <w:pPr>
        <w:pStyle w:val="Heading3"/>
        <w:keepLines/>
        <w:spacing w:after="120"/>
        <w:jc w:val="left"/>
      </w:pPr>
      <w:r>
        <w:rPr>
          <w:sz w:val="20"/>
        </w:rPr>
        <w:t xml:space="preserve">Mittelalter und Frühe Neuzeit: Automaten zwischen Wunder und Mechanik</w:t>
      </w:r>
    </w:p>
    <w:p>
      <w:pPr>
        <w:pStyle w:val="FirstParagraph"/>
        <w:keepLines/>
        <w:spacing w:after="120"/>
        <w:jc w:val="left"/>
      </w:pPr>
      <w:r>
        <w:rPr>
          <w:sz w:val="20"/>
        </w:rPr>
        <w:t xml:space="preserve">Mechanische Automaten der hellenistischen, islamischen und europäischen Tradition verschieben die Vorstellung künstlicher Handlung zunehmend aus dem Bereich der Mythologie in den Bereich technischer Konstruktion. Heron von Alexandria beschreibt pneumatische und mechanische Automaten; al-Dschazarī systematisiert im 13. Jahrhundert komplexe wasserbetriebene Maschinen und Automaten. Solche Apparate „denken” nicht, doch sie zeigen, dass scheinbar lebendiges Verhalten aus materieller Organisation hervorgehen kann. Der philosophische Effekt liegt in der Entzauberung von Bewegung.</w:t>
      </w:r>
    </w:p>
    <w:bookmarkEnd w:id="83"/>
    <w:bookmarkStart w:id="84" w:name="Xc241a0a073693aa2aaa136381a495bcd0820296"/>
    <w:p>
      <w:pPr>
        <w:pStyle w:val="Heading3"/>
        <w:keepLines/>
        <w:spacing w:after="120"/>
        <w:jc w:val="left"/>
      </w:pPr>
      <w:r>
        <w:rPr>
          <w:sz w:val="20"/>
        </w:rPr>
        <w:t xml:space="preserve">Descartes, Hobbes und La Mettrie: Organismus als Maschine</w:t>
      </w:r>
    </w:p>
    <w:p>
      <w:pPr>
        <w:pStyle w:val="FirstParagraph"/>
        <w:keepLines/>
        <w:spacing w:after="120"/>
        <w:jc w:val="left"/>
      </w:pPr>
      <w:r>
        <w:rPr>
          <w:sz w:val="20"/>
        </w:rPr>
        <w:t xml:space="preserve">Descartes interpretiert Tiere weitgehend mechanistisch und diskutiert Automaten als Vergleichsfolie menschlichen Verhaltens. Hobbes eröffnet den Leviathan mit dem Gedanken künstlichen Lebens und beschreibt den Staat als „Artificiall Man”. La Mettries L’Homme Machine radikalisiert den Mechanismus schließlich auf den Menschen selbst. Entscheidend ist die Umkehrung: Nicht mehr nur die Maschine wird dem Lebendigen ähnlich; das Lebendige wird als Maschine lesbar. Damit wird künstliche Intelligenz philosophisch überhaupt denkbar, weil Intelligenz zumindest teilweise mechanisierbar erscheint.</w:t>
      </w:r>
    </w:p>
    <w:bookmarkEnd w:id="84"/>
    <w:bookmarkStart w:id="85" w:name="X0379e56dcea53ecae5f4aefe8aab4f52a74daff"/>
    <w:p>
      <w:pPr>
        <w:pStyle w:val="Heading3"/>
        <w:keepLines/>
        <w:spacing w:after="120"/>
        <w:jc w:val="left"/>
      </w:pPr>
      <w:r>
        <w:rPr>
          <w:sz w:val="20"/>
        </w:rPr>
        <w:t xml:space="preserve">Leibniz: Kalkül und mechanisierte Vernunft</w:t>
      </w:r>
    </w:p>
    <w:p>
      <w:pPr>
        <w:pStyle w:val="FirstParagraph"/>
        <w:keepLines/>
        <w:spacing w:after="120"/>
        <w:jc w:val="left"/>
      </w:pPr>
      <w:r>
        <w:rPr>
          <w:sz w:val="20"/>
        </w:rPr>
        <w:t xml:space="preserve">Leibniz’ Projekt einer characteristica universalis und eines calculus ratiocinator enthält die Vision, Streitfragen durch symbolische Formalisierung und Berechnung zu entscheiden. Auch wenn dieses Programm historisch nicht als Vorwegnahme moderner KI verkürzt werden darf, etabliert es eine zentrale Prämisse: Teile des Denkens können in formale Operationen überführt werden.</w:t>
      </w:r>
    </w:p>
    <w:bookmarkEnd w:id="85"/>
    <w:bookmarkStart w:id="86" w:name="X585ecac41d83373f7f4e3ff745741e22c018c0b"/>
    <w:p>
      <w:pPr>
        <w:pStyle w:val="Heading3"/>
        <w:keepLines/>
        <w:spacing w:after="120"/>
        <w:jc w:val="left"/>
      </w:pPr>
      <w:r>
        <w:rPr>
          <w:sz w:val="20"/>
        </w:rPr>
        <w:t xml:space="preserve">Industrielle Automation und die Maschine als Konkurrent</w:t>
      </w:r>
    </w:p>
    <w:p>
      <w:pPr>
        <w:pStyle w:val="FirstParagraph"/>
        <w:keepLines/>
        <w:spacing w:after="120"/>
        <w:jc w:val="left"/>
      </w:pPr>
      <w:r>
        <w:rPr>
          <w:sz w:val="20"/>
        </w:rPr>
        <w:t xml:space="preserve">Mit der industriellen Revolution wird die Frage nach automatisierter Tätigkeit ökonomisch real. Babbages Analytical Engine und Lovelaces berühmte Bemerkung, die Maschine erhebe keinen Anspruch darauf, etwas zu „originieren”, markieren zugleich die frühe Grenze zwischen Ausführung und Kreativität. Samuel Butlers Essay „Darwin among the Machines” (1863) formuliert bereits die provokante Idee einer maschinellen Evolution und möglichen Nachfolge des Menschen. Hier tritt erstmals ein Motiv auf, das für die Zukunftskapitel dieser Arbeit zentral ist: Maschinen nicht nur als Werkzeuge, sondern als Population mit Entwicklungsgeschichte.</w:t>
      </w:r>
    </w:p>
    <w:bookmarkEnd w:id="86"/>
    <w:bookmarkStart w:id="87" w:name="čapek-technik-und-soziale-wesen"/>
    <w:p>
      <w:pPr>
        <w:pStyle w:val="Heading3"/>
        <w:keepLines/>
        <w:spacing w:after="120"/>
        <w:jc w:val="left"/>
      </w:pPr>
      <w:r>
        <w:rPr>
          <w:sz w:val="20"/>
        </w:rPr>
        <w:t xml:space="preserve">Čapek, Technik und soziale Wesen</w:t>
      </w:r>
    </w:p>
    <w:p>
      <w:pPr>
        <w:pStyle w:val="FirstParagraph"/>
        <w:keepLines/>
        <w:spacing w:after="120"/>
        <w:jc w:val="left"/>
      </w:pPr>
      <w:r>
        <w:rPr>
          <w:sz w:val="20"/>
        </w:rPr>
        <w:t xml:space="preserve">Karel Čapeks Drama R.U.R. (1920) prägt den Begriff „Roboter” und verbindet künstliche Arbeit, soziale Ordnung und die Möglichkeit einer Welt nach dem Menschen. Literatur wird hier nicht als empirischer Beleg verwendet, sondern als philosophisches Gedankenexperiment. Sie macht sichtbar, dass die Vorstellung einer menschenlosen technischen Ordnung kulturell älter ist als ihre technische Plausibilität.</w:t>
      </w:r>
    </w:p>
    <w:bookmarkEnd w:id="87"/>
    <w:bookmarkStart w:id="88" w:name="turing-kybernetik-und-lernende-systeme"/>
    <w:p>
      <w:pPr>
        <w:pStyle w:val="Heading3"/>
        <w:keepLines/>
        <w:spacing w:after="120"/>
        <w:jc w:val="left"/>
      </w:pPr>
      <w:r>
        <w:rPr>
          <w:sz w:val="20"/>
        </w:rPr>
        <w:t xml:space="preserve">Turing, Kybernetik und lernende Systeme</w:t>
      </w:r>
    </w:p>
    <w:p>
      <w:pPr>
        <w:pStyle w:val="FirstParagraph"/>
        <w:keepLines/>
        <w:spacing w:after="120"/>
        <w:jc w:val="left"/>
      </w:pPr>
      <w:r>
        <w:rPr>
          <w:sz w:val="20"/>
        </w:rPr>
        <w:t xml:space="preserve">Mit Turing, Shannon, Wiener, McCulloch und Pitts, Hebb sowie später Rosenblatt wird das Problem formal und experimentell. Turing verschiebt die Frage „Können Maschinen denken?” auf beobachtbare sprachliche Performanz (Turing 1950). McCulloch und Pitts modellieren neuronale Aktivität logisch (1943), Hebb formuliert lernabhängige Verbindungsänderung (1949), Wiener entwickelt Rückkopplung als allgemeines Steuerungsprinzip (1948), Shannon quantifiziert Information (1948), Rosenblatt konstruiert lernende Perzeptrons (1958). Damit entsteht die moderne Möglichkeit, Intelligenz nicht nur zu programmieren, sondern durch Lernprozesse zu formen.</w:t>
      </w:r>
    </w:p>
    <w:p>
      <w:pPr>
        <w:pStyle w:val="BodyText"/>
        <w:keepLines/>
        <w:spacing w:after="120"/>
        <w:jc w:val="left"/>
      </w:pPr>
      <w:r>
        <w:rPr>
          <w:sz w:val="20"/>
        </w:rPr>
        <w:t xml:space="preserve">Mit McCulloch und Pitts (1943), Shannon (1948), Turing (1950), Wiener (1948), Ashby (1956), Hebb (1949) und Rosenblatt (1958) werden einzelne Aspekte von Denken, Lernen, Kommunikation und Kontrolle formal und technisch operationalisierbar. Die Bedeutung dieser Entwicklung liegt nicht nur in steigender Rechenleistung. Sie verändert die Rolle des Menschen: Der Konstrukteur spezifiziert zunehmend nicht mehr jede spätere Regel, sondern Bedingungen, Daten, Zielfunktionen und Rückkopplungen, aus denen interne Strukturen entstehen.</w:t>
      </w:r>
    </w:p>
    <w:bookmarkEnd w:id="88"/>
    <w:bookmarkStart w:id="89" w:name="Xb74741b3470eeb279c9616ee7392fa9c7cc4d8f"/>
    <w:p>
      <w:pPr>
        <w:pStyle w:val="Heading3"/>
        <w:keepLines/>
        <w:spacing w:after="120"/>
        <w:jc w:val="left"/>
      </w:pPr>
      <w:r>
        <w:rPr>
          <w:sz w:val="20"/>
        </w:rPr>
        <w:t xml:space="preserve">Künstliche Wesen als ideengeschichtliches Problem</w:t>
      </w:r>
    </w:p>
    <w:p>
      <w:pPr>
        <w:pStyle w:val="FirstParagraph"/>
        <w:keepLines/>
        <w:spacing w:after="120"/>
        <w:jc w:val="left"/>
      </w:pPr>
      <w:r>
        <w:rPr>
          <w:sz w:val="20"/>
        </w:rPr>
        <w:t xml:space="preserve">Die Forschung zu künstlichen Wesen verteilt sich über Disziplinen, die selten in einem einheitlichen Modell zusammengeführt werden. Altertumswissenschaftliche Arbeiten behandeln Automatenmythen, Technikgeschichte rekonstruiert mechanische Apparate, Philosophie analysiert Geist und Maschine, Informatik fokussiert funktionale Leistung, Rechtswissenschaft ordnet Verantwortlichkeit zu und Ethik diskutiert normative Grenzen. Die vorliegende wissenschaftliche Abhandlung verbindet diese Stränge nicht, um historische Kontinuität zu behaupten, sondern um wiederkehrende Strukturfragen sichtbar zu machen: Wer erzeugt? Wer handelt? Wer dient? Wer entscheidet? Wer trägt die Folgen?</w:t>
      </w:r>
    </w:p>
    <w:p>
      <w:pPr>
        <w:pStyle w:val="BodyText"/>
        <w:keepLines/>
        <w:spacing w:after="120"/>
        <w:jc w:val="left"/>
      </w:pPr>
      <w:r>
        <w:rPr>
          <w:sz w:val="20"/>
        </w:rPr>
        <w:t xml:space="preserve">Gerade die antiken Quellen zeigen, dass das Problem künstlicher Agency nicht erst dann entsteht, wenn ein Artefakt tatsächlich intelligent ist. Es entsteht bereits dort, wo Menschen Handlungsfähigkeit in ein gemachtes Objekt hineinlesen oder technisch anstreben. Deshalb ist der Mythos wissenschaftlich relevant, obwohl er keine empirische Technikbeschreibung ist. Er dokumentiert den kulturellen Möglichkeitsraum, in dem spätere Technik überhaupt gedeutet werden kann.</w:t>
      </w:r>
    </w:p>
    <w:bookmarkEnd w:id="89"/>
    <w:bookmarkStart w:id="90" w:name="mechanismus-und-formalisierung"/>
    <w:p>
      <w:pPr>
        <w:pStyle w:val="Heading3"/>
        <w:keepLines/>
        <w:spacing w:after="120"/>
        <w:jc w:val="left"/>
      </w:pPr>
      <w:r>
        <w:rPr>
          <w:sz w:val="20"/>
        </w:rPr>
        <w:t xml:space="preserve">Mechanismus und Formalisierung</w:t>
      </w:r>
    </w:p>
    <w:p>
      <w:pPr>
        <w:pStyle w:val="FirstParagraph"/>
        <w:keepLines/>
        <w:spacing w:after="120"/>
        <w:jc w:val="left"/>
      </w:pPr>
      <w:r>
        <w:rPr>
          <w:sz w:val="20"/>
        </w:rPr>
        <w:t xml:space="preserve">Die neuzeitliche Mechanisierung des Weltbildes verändert den Status des künstlichen Wesens grundlegend. Während antike Automaten häufig göttliche oder außergewöhnliche Kunst voraussetzen, wird in der mechanistischen Naturphilosophie die Vorstellung plausibel, dass komplexes Verhalten aus regelhaften materiellen Prozessen hervorgehen kann. Die entscheidende epistemische Verschiebung besteht darin, dass nicht das Artefakt dem Lebendigen nachgebildet werden muss; vielmehr wird das Lebendige selbst zu einem analysierbaren Mechanismus. Daraus folgt keine notwendige Reduktion des Geistes auf Mechanik, wohl aber die methodische Erlaubnis, kognitive Teilfunktionen technisch zu rekonstruieren.</w:t>
      </w:r>
    </w:p>
    <w:p>
      <w:pPr>
        <w:pStyle w:val="BodyText"/>
        <w:keepLines/>
        <w:spacing w:after="120"/>
        <w:jc w:val="left"/>
      </w:pPr>
      <w:r>
        <w:rPr>
          <w:sz w:val="20"/>
        </w:rPr>
        <w:t xml:space="preserve">Leibniz fügt dieser Linie eine symbolische Dimension hinzu. Wenn Schlussfolgern partiell als Kalkül darstellbar ist, wird Denken in eine Form überführbar, die von einem Träger ausgeführt werden kann, der selbst kein menschlicher Denker ist. Babbage und Lovelace verschieben dies in Richtung programmierbarer Maschine; Turing löst die Frage der Intelligenz schließlich von einem bestimmten biologischen Substrat und bindet sie zumindest methodisch an beobachtbares Verhalten und Berechenbarkeit.</w:t>
      </w:r>
    </w:p>
    <w:bookmarkEnd w:id="90"/>
    <w:bookmarkStart w:id="91" w:name="X0b117acb40df117939f6efcbb7e6d0f6c9a1a67"/>
    <w:p>
      <w:pPr>
        <w:pStyle w:val="Heading3"/>
        <w:keepLines/>
        <w:spacing w:after="120"/>
        <w:jc w:val="left"/>
      </w:pPr>
      <w:r>
        <w:rPr>
          <w:sz w:val="20"/>
        </w:rPr>
        <w:t xml:space="preserve">Konnektionismus, Lernen und die Auflösung des direkten Entwurfs</w:t>
      </w:r>
    </w:p>
    <w:p>
      <w:pPr>
        <w:pStyle w:val="FirstParagraph"/>
        <w:keepLines/>
        <w:spacing w:after="120"/>
        <w:jc w:val="left"/>
      </w:pPr>
      <w:r>
        <w:rPr>
          <w:sz w:val="20"/>
        </w:rPr>
        <w:t xml:space="preserve">Mit lernenden Netzen verändert sich die Rolle des Entwicklers. Bei klassischer symbolischer Software ist die Logik weitgehend explizit. Bei trainierten Modellen wird ein erheblicher Teil der funktionalen Struktur durch Optimierung aus Daten bestimmt. Diese Verschiebung ist für die These der geliehenen Intelligenz zentral: Menschliche Entwickler erzeugen nicht jede interne Regel, sondern Bedingungen, unter denen sich interne Repräsentationen bilden. Damit tritt zwischen Absicht und Verhalten ein Trainingsprozess, der kausal relevant und nur partiell transparent ist.</w:t>
      </w:r>
    </w:p>
    <w:p>
      <w:pPr>
        <w:pStyle w:val="BodyText"/>
        <w:keepLines/>
        <w:spacing w:after="120"/>
        <w:jc w:val="left"/>
      </w:pPr>
      <w:r>
        <w:rPr>
          <w:sz w:val="20"/>
        </w:rPr>
        <w:t xml:space="preserve">Deep Learning verstärkt diesen Abstand durch Modellgröße, Datenumfang und verteilte Repräsentationen. Generative Modelle erweitern die Situation nochmals: Sie lernen nicht nur Klassifikationsgrenzen, sondern erzeugen neue Sequenzen, Programme, Bilder, Pläne und technische Vorschläge. Die Entwicklung von agentischen Systemen fügt Handlungsketten hinzu. Damit entstehen Systeme, bei denen Design, Ausführung und Bewertung zunehmend rekursiv gekoppelt werden können.</w:t>
      </w:r>
    </w:p>
    <w:bookmarkEnd w:id="91"/>
    <w:bookmarkStart w:id="92" w:name="technikphilosophische-bezugslinien"/>
    <w:p>
      <w:pPr>
        <w:pStyle w:val="Heading3"/>
        <w:keepLines/>
        <w:spacing w:after="120"/>
        <w:jc w:val="left"/>
      </w:pPr>
      <w:r>
        <w:rPr>
          <w:sz w:val="20"/>
        </w:rPr>
        <w:t xml:space="preserve">Technikphilosophische Bezugslinien</w:t>
      </w:r>
    </w:p>
    <w:p>
      <w:pPr>
        <w:pStyle w:val="FirstParagraph"/>
        <w:keepLines/>
        <w:spacing w:after="120"/>
        <w:jc w:val="left"/>
      </w:pPr>
      <w:r>
        <w:rPr>
          <w:sz w:val="20"/>
        </w:rPr>
        <w:t xml:space="preserve">Heideggers Technikdenken warnt davor, Technik auf neutrale Instrumentalität zu reduzieren; Technik strukturiert auch die Weise, in der Welt erscheint und verfügbar gemacht wird. Simondon analysiert technische Individuation und die Eigenlogik technischer Objekte. Ellul beschreibt die Verselbständigung technischer Rationalität auf gesellschaftlicher Ebene. Latour und Akteur-Netzwerk-Theorie verschieben Agency von isolierten Subjekten auf heterogene Netzwerke. Haraway und Hayles problematisieren die Grenze zwischen Mensch, Maschine und Information. Diese Ansätze unterscheiden sich erheblich, liefern aber gemeinsam die methodische Warnung, dass „Mensch” und „Technik” nicht als voneinander unabhängige Blöcke behandelt werden dürfen.</w:t>
      </w:r>
    </w:p>
    <w:bookmarkEnd w:id="92"/>
    <w:bookmarkStart w:id="93" w:name="Xdf65771678040c79f85e8da8c14c445532ba738"/>
    <w:p>
      <w:pPr>
        <w:pStyle w:val="Heading3"/>
        <w:keepLines/>
        <w:spacing w:after="120"/>
        <w:jc w:val="left"/>
      </w:pPr>
      <w:r>
        <w:rPr>
          <w:sz w:val="20"/>
        </w:rPr>
        <w:t xml:space="preserve">Philosophie des Geistes und künstliche Agency</w:t>
      </w:r>
    </w:p>
    <w:p>
      <w:pPr>
        <w:pStyle w:val="FirstParagraph"/>
        <w:keepLines/>
        <w:spacing w:after="120"/>
        <w:jc w:val="left"/>
      </w:pPr>
      <w:r>
        <w:rPr>
          <w:sz w:val="20"/>
        </w:rPr>
        <w:t xml:space="preserve">Searles Chinese-Room-Argument richtet sich gegen die Gleichsetzung formaler Symbolmanipulation mit Verstehen. Dennetts intentional stance erlaubt dagegen, intentionale Beschreibungen pragmatisch einzusetzen, wenn sie Verhalten erfolgreich erklären. Clark und Chalmers erweitern die mögliche Grenze kognitiver Systeme über den biologischen Organismus hinaus. Floridi und Sanders argumentieren für Formen künstlicher Agency, ohne notwendig menschliche Intentionalität vorauszusetzen. Die wissenschaftliche Abhandlung übernimmt keine dieser Positionen vollständig. Sie nutzt ihren Konflikt, um mehrere Agency-Ebenen zu unterscheiden: kausale, funktionale, institutionelle, epistemische, moralische und phänomenale Agency.</w:t>
      </w:r>
    </w:p>
    <w:bookmarkEnd w:id="93"/>
    <w:bookmarkStart w:id="94" w:name="ki-ethik-und-governance"/>
    <w:p>
      <w:pPr>
        <w:pStyle w:val="Heading3"/>
        <w:keepLines/>
        <w:spacing w:after="120"/>
        <w:jc w:val="left"/>
      </w:pPr>
      <w:r>
        <w:rPr>
          <w:sz w:val="20"/>
        </w:rPr>
        <w:t xml:space="preserve">KI-Ethik und Governance</w:t>
      </w:r>
    </w:p>
    <w:p>
      <w:pPr>
        <w:pStyle w:val="FirstParagraph"/>
        <w:keepLines/>
        <w:spacing w:after="120"/>
        <w:jc w:val="left"/>
      </w:pPr>
      <w:r>
        <w:rPr>
          <w:sz w:val="20"/>
        </w:rPr>
        <w:t xml:space="preserve">Die moderne KI-Ethik hat einen breiten Kanon von Prinzipien entwickelt: Fairness, Transparenz, Erklärbarkeit, Verantwortung, Sicherheit, Datenschutz, menschliche Aufsicht und Nachhaltigkeit. Diese Prinzipien sind für gegenwärtige Systeme wichtig, setzen jedoch meist voraus, dass menschliche Institutionen die Regelsetzung kontrollieren. Die vorliegende Arbeit interessiert sich daher weniger für eine weitere Liste von Prinzipien als für deren Tragfähigkeit unter veränderten Akteursstrukturen. Besonders relevant ist die Frage, ob „human oversight” eine universale Kategorie sein kann oder lediglich eine historisch angemessene Governanceform für eine Epoche darstellt, in der Menschen die operative Letztinstanz bleiben.</w:t>
      </w:r>
    </w:p>
    <w:bookmarkEnd w:id="94"/>
    <w:bookmarkEnd w:id="95"/>
    <w:bookmarkEnd w:id="96"/>
    <w:bookmarkStart w:id="106" w:name="gegenwart-forschung-und-entwurf-durch-ki"/>
    <w:p>
      <w:bookmarkStart w:id="10008" w:name="B5D_H008"/>
      <w:pPr>
        <w:pStyle w:val="Heading1"/>
      </w:pPr>
      <w:r>
        <w:t xml:space="preserve">5. Gegenwart: Forschung und Entwurf durch KI</w:t>
      </w:r>
      <w:bookmarkEnd w:id="10008"/>
    </w:p>
    <w:bookmarkStart w:id="97" w:name="Xbb58cbf6372c94471ede1591ca6d1ea35d274ef"/>
    <w:p>
      <w:pPr>
        <w:pStyle w:val="Heading2"/>
      </w:pPr>
      <w:r>
        <w:t xml:space="preserve">Forschungsstand: was neue Systeme zeigen und was offenbleibt</w:t>
      </w:r>
    </w:p>
    <w:p>
      <w:pPr>
        <w:pStyle w:val="FirstParagraph"/>
        <w:keepLines/>
        <w:spacing w:after="120"/>
        <w:jc w:val="left"/>
      </w:pPr>
      <w:r>
        <w:rPr>
          <w:sz w:val="20"/>
        </w:rPr>
        <w:t xml:space="preserve">Lu et al. (2026) beschreiben in</w:t>
      </w:r>
      <w:r>
        <w:rPr>
          <w:sz w:val="20"/>
        </w:rPr>
        <w:t xml:space="preserve"> </w:t>
      </w:r>
      <w:r>
        <w:rPr>
          <w:i/>
          <w:iCs/>
          <w:sz w:val="20"/>
        </w:rPr>
        <w:t xml:space="preserve">Nature</w:t>
      </w:r>
      <w:r>
        <w:rPr>
          <w:sz w:val="20"/>
        </w:rPr>
        <w:t xml:space="preserve"> </w:t>
      </w:r>
      <w:r>
        <w:rPr>
          <w:sz w:val="20"/>
        </w:rPr>
        <w:t xml:space="preserve">ein System zur weitreichenden Automatisierung des KI-Forschungsprozesses. Es verbindet Ideengenerierung, experimentellen Code, Ausführung, Analyse und Manuskripterstellung. Die Publikation unterscheidet template-basierte und weiter automatisierte Verfahren. Die berichtete Begutachtung eines erzeugten Manuskripts betrifft eine erste Workshop-Reviewrunde; daraus folgt weder eine allgemeine Gleichwertigkeit mit menschlicher Forschung noch die institutionelle Verantwortungsfähigkeit des Systems. Für diese Abhandlung ist die Arbeit vor allem ein Beleg dafür, dass maschinelle Beiträge über einzelne Textvorschläge hinaus zu verketteten wissenschaftlichen Produktionsschritten verbunden werden können. [W01]</w:t>
      </w:r>
    </w:p>
    <w:p>
      <w:pPr>
        <w:pStyle w:val="BodyText"/>
        <w:keepLines/>
        <w:spacing w:after="120"/>
        <w:jc w:val="left"/>
      </w:pPr>
      <w:r>
        <w:rPr>
          <w:sz w:val="20"/>
        </w:rPr>
        <w:t xml:space="preserve">Ghareeb et al. (2026) untersuchen mit Robin ein Multi-Agent-System für wissenschaftliche Entdeckung. Die Verbindung von Hypothesenbildung, experimentellen Vorschlägen und Datenanalyse ist für die Frage epistemischer Agency relevant. Der Forschungsprozess ist jedoch als semi-autonom einzuordnen; die Beteiligung experimenteller Facharbeit und der konkrete Anwendungsbereich dürfen nicht aus der Beschreibung entfernt werden. Gerade die Verteilung der Beiträge macht das System für eine Analyse von Autorenschaft und Verantwortung interessant. [W02]</w:t>
      </w:r>
    </w:p>
    <w:p>
      <w:pPr>
        <w:pStyle w:val="BodyText"/>
        <w:keepLines/>
        <w:spacing w:after="120"/>
        <w:jc w:val="left"/>
      </w:pPr>
      <w:r>
        <w:rPr>
          <w:sz w:val="20"/>
        </w:rPr>
        <w:t xml:space="preserve">AlphaEvolve verbindet nach der technischen Darstellung von Google DeepMind Sprachmodelle, automatisierte Evaluatoren und evolutionäre Suche zur Entwicklung und Verbesserung algorithmischen Codes. Hier wird die konkrete Lösungsform teilweise maschinell erzeugt, während Aufgabenraum, Bewertung und Ressourcen institutionell gesetzt bleiben. Die Quelle ist eine Unternehmenspublikation und entsprechend zu gewichten. Sie illustriert eine begrenzte Form rekursiver technischer Gestaltung, nicht die materielle Selbstreproduktion einer unabhängigen Maschinenlinie. [W03]</w:t>
      </w:r>
    </w:p>
    <w:p>
      <w:pPr>
        <w:pStyle w:val="BodyText"/>
        <w:keepLines/>
        <w:spacing w:after="120"/>
        <w:jc w:val="left"/>
      </w:pPr>
      <w:r>
        <w:rPr>
          <w:sz w:val="20"/>
        </w:rPr>
        <w:t xml:space="preserve">Der Stanford AI Index 2026 bietet einen breiten Kontext zu technischer Leistung, Wirtschaft, Wissenschaft und Governance. Die offizielle Berichtsseite wurde als Quellenidentität und Gegenwartskontext geprüft. Einzelne in den Ausgangstexten angeführte Benchmark-Prozentwerte werden in dieser Synthese nicht als neu verifizierte Kennzahlen weiterverwendet. Ein benchmark-spezifischer Vergleich verlangt den jeweiligen Datensatz, Bewertungsmodus, Modellstand und die Definition der menschlichen Referenz. [W04]</w:t>
      </w:r>
    </w:p>
    <w:bookmarkEnd w:id="97"/>
    <w:bookmarkStart w:id="98" w:name="drei-getrennte-rekursionen"/>
    <w:p>
      <w:pPr>
        <w:pStyle w:val="Heading2"/>
      </w:pPr>
      <w:r>
        <w:t xml:space="preserve">Drei getrennte Rekursionen</w:t>
      </w:r>
    </w:p>
    <w:p>
      <w:pPr>
        <w:pStyle w:val="FirstParagraph"/>
        <w:keepLines/>
        <w:spacing w:after="120"/>
        <w:jc w:val="left"/>
      </w:pPr>
      <w:r>
        <w:rPr>
          <w:b/>
          <w:bCs/>
          <w:sz w:val="20"/>
        </w:rPr>
        <w:t xml:space="preserve">Entwurfsrekursion</w:t>
      </w:r>
      <w:r>
        <w:rPr>
          <w:sz w:val="20"/>
        </w:rPr>
        <w:t xml:space="preserve"> </w:t>
      </w:r>
      <w:r>
        <w:rPr>
          <w:sz w:val="20"/>
        </w:rPr>
        <w:t xml:space="preserve">liegt vor, wenn ein System an einem nachfolgenden System mitarbeitet.</w:t>
      </w:r>
      <w:r>
        <w:rPr>
          <w:sz w:val="20"/>
        </w:rPr>
        <w:t xml:space="preserve"> </w:t>
      </w:r>
      <w:r>
        <w:rPr>
          <w:b/>
          <w:bCs/>
          <w:sz w:val="20"/>
        </w:rPr>
        <w:t xml:space="preserve">Bewertungsrekursion</w:t>
      </w:r>
      <w:r>
        <w:rPr>
          <w:sz w:val="20"/>
        </w:rPr>
        <w:t xml:space="preserve"> </w:t>
      </w:r>
      <w:r>
        <w:rPr>
          <w:sz w:val="20"/>
        </w:rPr>
        <w:t xml:space="preserve">liegt vor, wenn automatisierte Instanzen andere automatisierte Instanzen beurteilen.</w:t>
      </w:r>
      <w:r>
        <w:rPr>
          <w:sz w:val="20"/>
        </w:rPr>
        <w:t xml:space="preserve"> </w:t>
      </w:r>
      <w:r>
        <w:rPr>
          <w:b/>
          <w:bCs/>
          <w:sz w:val="20"/>
        </w:rPr>
        <w:t xml:space="preserve">Materielle Reproduktionsrekursion</w:t>
      </w:r>
      <w:r>
        <w:rPr>
          <w:sz w:val="20"/>
        </w:rPr>
        <w:t xml:space="preserve"> </w:t>
      </w:r>
      <w:r>
        <w:rPr>
          <w:sz w:val="20"/>
        </w:rPr>
        <w:t xml:space="preserve">würde darüber hinaus die Fortführung von Energieversorgung, Hardware, Wartung und Fertigung umfassen. Die ersten beiden Formen können in begrenzten technischen Prozessen untersucht werden, ohne die dritte vorauszusetzen. Diese Trennung wird als eigene begriffliche Synthese vorgeschlagen.</w:t>
      </w:r>
    </w:p>
    <w:p>
      <w:pPr>
        <w:pStyle w:val="BodyText"/>
        <w:keepLines/>
        <w:spacing w:after="120"/>
        <w:jc w:val="left"/>
      </w:pPr>
      <w:r>
        <w:rPr>
          <w:sz w:val="20"/>
        </w:rPr>
        <w:t xml:space="preserve">Daraus folgt ein differenzierter Begriff maschineller Eigenleistung. Ein neuer Algorithmus kann über ein automatisiertes Suchverfahren entstehen und dennoch von einer extern gesetzten Bewertungsfunktion abhängen. Eine sprachlich innovative Hypothese kann wissenschaftlich unbrauchbar sein. Ein Experiment kann automatisiert ablaufen und dennoch nur deshalb valide sein, weil Menschen Messverfahren, Kontrollen und Ausschlussregeln fachlich geprüft haben. Die These geliehener Intelligenz ist daher nicht durch einen einzelnen Leistungsrekord erledigt oder bestätigt. Sie fragt, welche Voraussetzungen einer Leistung woher stammen und wer ihre Gültigkeit beurteilen kann.</w:t>
      </w:r>
    </w:p>
    <w:bookmarkEnd w:id="98"/>
    <w:bookmarkStart w:id="99" w:name="X777665cc9323e2d42e235e43cf01a0945d03bf0"/>
    <w:p>
      <w:pPr>
        <w:pStyle w:val="Heading2"/>
      </w:pPr>
      <w:r>
        <w:t xml:space="preserve">Keine Fortschrittserzählung als Ersatz für Vergleichsdesign</w:t>
      </w:r>
    </w:p>
    <w:p>
      <w:pPr>
        <w:pStyle w:val="FirstParagraph"/>
        <w:keepLines/>
        <w:spacing w:after="120"/>
        <w:jc w:val="left"/>
      </w:pPr>
      <w:r>
        <w:rPr>
          <w:sz w:val="20"/>
        </w:rPr>
        <w:t xml:space="preserve">Die historische Reihenfolge von Automaten, lernenden Netzen und Forschungsagenten ist keine kausale Leiter zu Bewusstsein oder Souveränität. Mehr automatisierte Arbeitsschritte können die Produktivität erhöhen und gleichzeitig neue Fehlerpfade schaffen. Ein maschineller Reviewer, der denselben Modellprior und dieselbe fehlerhafte Quelle wie der Generator nutzt, ist kein unabhängiger Kritiker. Ein KI-System, das seine Aufgabenstellung verändert, kann Schwierigkeiten lösen, aber ebenso das ursprüngliche wissenschaftliche Ziel verlassen. Für Brain-5D sind deshalb Rollen- und Datenflussgrenzen mindestens so wichtig wie Funktionsumfang.</w:t>
      </w:r>
    </w:p>
    <w:bookmarkEnd w:id="99"/>
    <w:bookmarkStart w:id="105" w:name="X52edf101bac175565701e9826353573b27c5376"/>
    <w:p>
      <w:pPr>
        <w:pStyle w:val="Heading2"/>
      </w:pPr>
      <w:r>
        <w:t xml:space="preserve">Technischer Forschungsstand: SNN, NAS und LLM-gestützte Architekturgenerierung</w:t>
      </w:r>
    </w:p>
    <w:bookmarkStart w:id="100" w:name="X4489cdc55b70b35f014deaf0e8d183f2117e791"/>
    <w:p>
      <w:pPr>
        <w:pStyle w:val="Heading3"/>
        <w:keepLines/>
        <w:spacing w:after="120"/>
        <w:jc w:val="left"/>
      </w:pPr>
      <w:r>
        <w:rPr>
          <w:sz w:val="20"/>
        </w:rPr>
        <w:t xml:space="preserve">Spiking Neural Networks und neuromorphe Systeme</w:t>
      </w:r>
    </w:p>
    <w:p>
      <w:pPr>
        <w:pStyle w:val="FirstParagraph"/>
        <w:keepLines/>
        <w:spacing w:after="120"/>
        <w:jc w:val="left"/>
      </w:pPr>
      <w:r>
        <w:rPr>
          <w:sz w:val="20"/>
        </w:rPr>
        <w:t xml:space="preserve">Spiking Neural Networks modellieren Information über diskrete Ereignisse und deren zeitliche Struktur. Gegenüber klassischen künstlichen neuronalen Netzen versprechen sie insbesondere bei geeigneter Hardware eine energieeffiziente, ereignisgetriebene Verarbeitung. Gleichzeitig erschweren Nichtdifferenzierbarkeit idealisierter Spikes, zeitliche Dynamik und ein großer kombinatorischer Architekturraum Training und Entwurf. Gerstner et al. (2014) geben einen etablierten theoretischen Rahmen neuronaler Dynamik; Maass (1997) ordnet SNNs konzeptionell als neue Generation neuronaler Modelle ein.</w:t>
      </w:r>
    </w:p>
    <w:p>
      <w:pPr>
        <w:pStyle w:val="BodyText"/>
        <w:keepLines/>
        <w:spacing w:after="120"/>
        <w:jc w:val="left"/>
      </w:pPr>
      <w:r>
        <w:rPr>
          <w:sz w:val="20"/>
        </w:rPr>
        <w:t xml:space="preserve">Für die vorliegende Arbeit ist entscheidend, dass SNN-Leistung nicht allein von Gewichten abhängt. Neuronenmodell, Schwellenwerte, Refraktärzeiten, Verzögerungen, synaptische Dynamik, Plastizität und Topologie interagieren. Eine LLM-generierte SNN-Architektur muss deshalb als multidimensionales Designobjekt behandelt werden.</w:t>
      </w:r>
    </w:p>
    <w:bookmarkEnd w:id="100"/>
    <w:bookmarkStart w:id="101" w:name="neural-architecture-search"/>
    <w:p>
      <w:pPr>
        <w:pStyle w:val="Heading3"/>
        <w:keepLines/>
        <w:spacing w:after="120"/>
        <w:jc w:val="left"/>
      </w:pPr>
      <w:r>
        <w:rPr>
          <w:sz w:val="20"/>
        </w:rPr>
        <w:t xml:space="preserve">Neural Architecture Search</w:t>
      </w:r>
    </w:p>
    <w:p>
      <w:pPr>
        <w:pStyle w:val="FirstParagraph"/>
        <w:keepLines/>
        <w:spacing w:after="120"/>
        <w:jc w:val="left"/>
      </w:pPr>
      <w:r>
        <w:rPr>
          <w:sz w:val="20"/>
        </w:rPr>
        <w:t xml:space="preserve">NAS automatisiert Teile der Architekturentwicklung. Ren et al. (2021) zeigen, dass Suchraum, Suchstrategie und Leistungsbewertung zentrale Designentscheidungen darstellen. Klassische Suchverfahren verwenden unter anderem evolutionäre Algorithmen, Reinforcement Learning, differenzierbare Suche oder Gewichtsteilung. Das Grundproblem bleibt, dass ein Suchverfahren nur Strukturen entdecken kann, die sein Suchraum zulässt.</w:t>
      </w:r>
    </w:p>
    <w:p>
      <w:pPr>
        <w:pStyle w:val="BodyText"/>
        <w:keepLines/>
        <w:spacing w:after="120"/>
        <w:jc w:val="left"/>
      </w:pPr>
      <w:r>
        <w:rPr>
          <w:sz w:val="20"/>
        </w:rPr>
        <w:t xml:space="preserve">Bei SNNs verschärft sich dies durch zusätzliche zeitliche und dynamische Parameter. Yan et al. (2024) zeigen mit einem SNN-spezifischen NAS-Ansatz, dass automatische Architekturentwicklung leistungsrelevant ist. Che et al. (2024) übertragen Architektursuche auf Spikformer-Strukturen. Der Forschungsstand rechtfertigt somit die Annahme, dass Architekturentscheidungen auch in Brain-5D nicht als bloße Implementierungsdetails behandelt werden dürfen.</w:t>
      </w:r>
    </w:p>
    <w:bookmarkEnd w:id="101"/>
    <w:bookmarkStart w:id="102" w:name="llm-gestützte-architekturgenerierung"/>
    <w:p>
      <w:pPr>
        <w:pStyle w:val="Heading3"/>
        <w:keepLines/>
        <w:spacing w:after="120"/>
        <w:jc w:val="left"/>
      </w:pPr>
      <w:r>
        <w:rPr>
          <w:sz w:val="20"/>
        </w:rPr>
        <w:t xml:space="preserve">LLM-gestützte Architekturgenerierung</w:t>
      </w:r>
    </w:p>
    <w:p>
      <w:pPr>
        <w:pStyle w:val="FirstParagraph"/>
        <w:keepLines/>
        <w:spacing w:after="120"/>
        <w:jc w:val="left"/>
      </w:pPr>
      <w:r>
        <w:rPr>
          <w:sz w:val="20"/>
        </w:rPr>
        <w:t xml:space="preserve">LLM-basierte NAS-Forschung erweitert klassische Suchverfahren um sprachlich kodiertes Architekturwissen. Zhou et al. (2025) verwenden LLMs zur Ableitung und Übertragung von Designprinzipien. Rahman, Haider und Chakraborty (2025) demonstrieren mit LEMONADE, dass ein LLM gemeinsam mit einem Expertensystem neuronale Architekturen unter mehreren Zielgrößen iterativ erzeugen kann. Die Autoren berichten dabei ausdrücklich, dass Regeln nötig sind, um zufälliges Verhalten und Halluzinationen des Backend-LLM zu begrenzen. Damit liefert diese Arbeit einen direkten methodischen Bezugspunkt für Brain-5D: Generative Architektursynthese benötigt eine unabhängige formale Kontrollschicht.</w:t>
      </w:r>
    </w:p>
    <w:p>
      <w:pPr>
        <w:pStyle w:val="BodyText"/>
        <w:keepLines/>
        <w:spacing w:after="120"/>
        <w:jc w:val="left"/>
      </w:pPr>
      <w:r>
        <w:rPr>
          <w:sz w:val="20"/>
        </w:rPr>
        <w:t xml:space="preserve">Die offene Forschungslücke ist jedoch deutlich: Bestehende Arbeiten bewerten überwiegend Leistung, Suchkosten und Hardwareparameter. Weniger untersucht sind (a) modellfamilienspezifische Architektur-Fingerabdrücke, (b) die Provenienz der erzeugten Designentscheidungen, (c) die Verschiebung menschlicher Agency und (d) die normative Bedeutung eines Systems, das nach maschineller Konstruktion selbstorganisatorisch weiterwächst.</w:t>
      </w:r>
    </w:p>
    <w:bookmarkEnd w:id="102"/>
    <w:bookmarkStart w:id="103" w:name="ki-ethik-und-governance-1"/>
    <w:p>
      <w:pPr>
        <w:pStyle w:val="Heading3"/>
        <w:keepLines/>
        <w:spacing w:after="120"/>
        <w:jc w:val="left"/>
      </w:pPr>
      <w:r>
        <w:rPr>
          <w:sz w:val="20"/>
        </w:rPr>
        <w:t xml:space="preserve">KI-Ethik und Governance</w:t>
      </w:r>
    </w:p>
    <w:p>
      <w:pPr>
        <w:pStyle w:val="FirstParagraph"/>
        <w:keepLines/>
        <w:spacing w:after="120"/>
        <w:jc w:val="left"/>
      </w:pPr>
      <w:r>
        <w:rPr>
          <w:sz w:val="20"/>
        </w:rPr>
        <w:t xml:space="preserve">Floridi und Cowls (2019) identifizieren eine Konvergenz zahlreicher KI-Ethikrahmen um Prinzipien wie Wohltun, Nichtschaden, Autonomie, Gerechtigkeit und Erklärbarkeit. Die UNESCO-Empfehlung von 2021 betont Menschenwürde, Rechte, Transparenz und menschliche Aufsicht. Die OECD AI Principles wurden 2024 aktualisiert und verfolgen einen menschenzentrierten Ansatz. NIST strukturiert das AI Risk Management Framework über Govern, Map, Measure und Manage; Stand 2026 wird AI RMF 1.0 überarbeitet.</w:t>
      </w:r>
    </w:p>
    <w:p>
      <w:pPr>
        <w:pStyle w:val="BodyText"/>
        <w:keepLines/>
        <w:spacing w:after="120"/>
        <w:jc w:val="left"/>
      </w:pPr>
      <w:r>
        <w:rPr>
          <w:sz w:val="20"/>
        </w:rPr>
        <w:t xml:space="preserve">Die Schwäche rein prinzipienorientierter Ethik liegt darin, dass abstrakte Werte nicht automatisch technische Kontrollmechanismen erzeugen. Die vorliegende Arbeit übersetzt deshalb normative Forderungen in messbare Systemanforderungen: Beobachtbarkeit, Unterbrechbarkeit, Reversibilität, Provenienz, Ressourcenbegrenzung und definierte Entscheidungshoheit.</w:t>
      </w:r>
    </w:p>
    <w:bookmarkEnd w:id="103"/>
    <w:bookmarkStart w:id="104" w:name="autorschaft-und-erfinderschaft"/>
    <w:p>
      <w:pPr>
        <w:pStyle w:val="Heading3"/>
        <w:keepLines/>
        <w:spacing w:after="120"/>
        <w:jc w:val="left"/>
      </w:pPr>
      <w:r>
        <w:rPr>
          <w:sz w:val="20"/>
        </w:rPr>
        <w:t xml:space="preserve">Autorschaft und Erfinderschaft</w:t>
      </w:r>
    </w:p>
    <w:p>
      <w:pPr>
        <w:pStyle w:val="FirstParagraph"/>
        <w:keepLines/>
        <w:spacing w:after="120"/>
        <w:jc w:val="left"/>
      </w:pPr>
      <w:r>
        <w:rPr>
          <w:sz w:val="20"/>
        </w:rPr>
        <w:t xml:space="preserve">Rechtlich ist die Zuschreibung maschineller Autorschaft derzeit begrenzt. Das U.S. Copyright Office kam 2025 zu dem Ergebnis, dass generative KI-Ausgaben nur insoweit urheberrechtlichen Schutz erhalten können, wie hinreichende menschliche kreative Beiträge vorliegen; bloße Prompts genügen nicht automatisch. Im Patentrecht bestätigte die Beschwerdekammer des Europäischen Patentamts im DABUS-Verfahren, dass eine Maschine nicht Erfinder im Sinne des Europäischen Patentübereinkommens ist. Diese Rechtslage ist philosophisch nicht gleichbedeutend mit der Aussage, Maschinen könnten keinen kausalen oder epistemischen Beitrag leisten. Sie zeigt vielmehr, dass rechtliche Autorschaft und technische Urheberschaft auseinanderfallen können.</w:t>
      </w:r>
    </w:p>
    <w:p>
      <w:pPr>
        <w:pStyle w:val="BodyText"/>
        <w:keepLines/>
        <w:spacing w:after="120"/>
        <w:jc w:val="left"/>
      </w:pPr>
      <w:r>
        <w:rPr>
          <w:sz w:val="20"/>
        </w:rPr>
        <w:t xml:space="preserve">Die wissenschaftliche Neuheit darf nicht mit der bloßen Aussage begründet werden, ein LLM erzeuge ein SNN. Vitolo et al. (2024) haben bereits natürlichsprachlich gesteuerte Verilog-Erzeugung für ein rekurrentes SNN untersucht. Neural Architecture Search und SNN-spezifische Suchverfahren bilden etablierte, sich weiterentwickelnde Forschungsfelder (Elsken, Metzen, &amp; Hutter, 2019; Ren et al., 2021; Shen et al., 2024). Der mögliche originäre Beitrag liegt daher im kontrollierten Vergleich modellspezifischer Entwurfsfingerabdrücke, der longitudinalen Beobachtung anschließender Selbstorganisation und der gleichzeitigen Analyse von Hoheit, Provenienz und Embodiment.</w:t>
      </w:r>
    </w:p>
    <w:bookmarkEnd w:id="104"/>
    <w:bookmarkEnd w:id="105"/>
    <w:bookmarkEnd w:id="106"/>
    <w:bookmarkStart w:id="118" w:name="X79eb22060aca85f3823a231cf42da4ffc857d4b"/>
    <w:p>
      <w:bookmarkStart w:id="10009" w:name="B5D_H009"/>
      <w:pPr>
        <w:pStyle w:val="Heading1"/>
      </w:pPr>
      <w:r>
        <w:t xml:space="preserve">6. Geliehene Intelligenz und rekursive Technogenese</w:t>
      </w:r>
      <w:bookmarkEnd w:id="10009"/>
    </w:p>
    <w:bookmarkStart w:id="110" w:name="theorie-der-geliehenen-intelligenz"/>
    <w:p>
      <w:pPr>
        <w:pStyle w:val="Heading2"/>
        <w:spacing w:before="160"/>
      </w:pPr>
      <w:r>
        <w:t xml:space="preserve">Theorie der geliehenen Intelligenz</w:t>
      </w:r>
    </w:p>
    <w:bookmarkStart w:id="107" w:name="Xf2a1a32dbcc24ad827da31bdcf73f44d3fd9994"/>
    <w:p>
      <w:pPr>
        <w:pStyle w:val="Heading3"/>
        <w:keepLines/>
        <w:spacing w:after="120" w:before="160"/>
        <w:jc w:val="left"/>
      </w:pPr>
      <w:r>
        <w:rPr>
          <w:sz w:val="20"/>
        </w:rPr>
        <w:t xml:space="preserve">Geliehen bedeutet genealogisch, nicht minderwertig</w:t>
      </w:r>
    </w:p>
    <w:p>
      <w:pPr>
        <w:pStyle w:val="FirstParagraph"/>
        <w:keepLines/>
        <w:spacing w:after="64" w:line="254" w:lineRule="auto"/>
        <w:jc w:val="left"/>
      </w:pPr>
      <w:r>
        <w:rPr>
          <w:sz w:val="20"/>
        </w:rPr>
        <w:t xml:space="preserve">Der Ausdruck „geliehene Intelligenz” ist weder polemisch noch anthropozentrisch gemeint. Menschen selbst erwerben Sprache, Kultur und Wissen von anderen Menschen. Auch menschliche Intelligenz ist in hohem Maß sozial und kulturell derivativ. Die These lautet daher nicht, maschinelle Intelligenz sei „unecht”, weil sie von Menschen lernt. Vielmehr soll der Begriff sichtbar machen, dass gegenwärtige maschinelle Kognition epistemische Ressourcen nutzt, die nicht aus einer eigenständigen maschinellen Kulturgeschichte stammen.</w:t>
      </w:r>
    </w:p>
    <w:bookmarkEnd w:id="107"/>
    <w:bookmarkStart w:id="108" w:name="ein-mehrdimensionales-modell"/>
    <w:p>
      <w:pPr>
        <w:pStyle w:val="Heading3"/>
        <w:keepLines/>
        <w:spacing w:after="120" w:before="160"/>
        <w:jc w:val="left"/>
      </w:pPr>
      <w:r>
        <w:rPr>
          <w:sz w:val="20"/>
        </w:rPr>
        <w:t xml:space="preserve">Ein mehrdimensionales Modell</w:t>
      </w:r>
    </w:p>
    <w:p>
      <w:pPr>
        <w:pStyle w:val="FirstParagraph"/>
        <w:keepLines/>
        <w:spacing w:after="64" w:line="254" w:lineRule="auto"/>
        <w:jc w:val="left"/>
      </w:pPr>
      <w:r>
        <w:rPr>
          <w:sz w:val="20"/>
        </w:rPr>
        <w:t xml:space="preserve">Die Arbeit schlägt vor, Intelligenzformen nicht mehr binär als natürlich oder künstlich zu klassifizieren, sondern mindestens entlang fünf unabhängiger Dimensionen:</w:t>
      </w:r>
    </w:p>
    <w:p>
      <w:pPr>
        <w:pStyle w:val="BodyText"/>
        <w:keepLines/>
        <w:spacing w:after="64" w:line="254" w:lineRule="auto"/>
        <w:jc w:val="left"/>
      </w:pPr>
      <w:r>
        <w:rPr>
          <w:sz w:val="20"/>
        </w:rPr>
        <w:t xml:space="preserve">I = (M, E, G, Z, X)</w:t>
      </w:r>
    </w:p>
    <w:p>
      <w:pPr>
        <w:pStyle w:val="BodyText"/>
        <w:keepLines/>
        <w:spacing w:after="64" w:line="254" w:lineRule="auto"/>
        <w:jc w:val="left"/>
      </w:pPr>
      <w:r>
        <w:rPr>
          <w:sz w:val="20"/>
        </w:rPr>
        <w:t xml:space="preserve">M bezeichnet das materielle Substrat; E die epistemische Herkunft; G die Entwicklungsgenealogie; Z die Zielautonomie; X die Existenz- und Ressourcenabhängigkeit. Ein System kann nichtorganisch realisiert, epistemisch menschlich derivativ, überwiegend maschinell konstruiert, in begrenztem Umfang zielautonom und dennoch vollständig von menschlicher Infrastruktur abhängig sein. Erst diese Trennung verhindert, dass „künstlich”, „autonom” und „unabhängig” fälschlich synonym verwendet werden.</w:t>
      </w:r>
    </w:p>
    <w:bookmarkEnd w:id="108"/>
    <w:bookmarkStart w:id="109" w:name="rekursive-technogenese"/>
    <w:p>
      <w:pPr>
        <w:pStyle w:val="Heading3"/>
        <w:keepLines/>
        <w:spacing w:after="120" w:before="160"/>
        <w:jc w:val="left"/>
      </w:pPr>
      <w:r>
        <w:rPr>
          <w:sz w:val="20"/>
        </w:rPr>
        <w:t xml:space="preserve">Rekursive Technogenese</w:t>
      </w:r>
    </w:p>
    <w:p>
      <w:pPr>
        <w:pStyle w:val="FirstParagraph"/>
        <w:keepLines/>
        <w:spacing w:after="64" w:line="254" w:lineRule="auto"/>
        <w:jc w:val="left"/>
      </w:pPr>
      <w:r>
        <w:rPr>
          <w:sz w:val="20"/>
        </w:rPr>
        <w:t xml:space="preserve">Rekursive Technogenese bezeichnet den Prozess, in dem technische Systeme kausal an Entwurf, Selektion, Optimierung, Reproduktion oder institutioneller Auswahl nachfolgender technischer Systeme beteiligt sind. Die Definition verlangt keine vollständige Selbstreproduktion. Bereits wenn AI₁ entscheidende Strukturmerkmale von AI₂ generiert und AI₂ wiederum AI₃ formt, entsteht eine maschinell vermittelte Genealogie.</w:t>
      </w:r>
    </w:p>
    <w:p>
      <w:pPr>
        <w:pStyle w:val="BodyText"/>
        <w:keepLines/>
        <w:spacing w:after="64" w:line="254" w:lineRule="auto"/>
        <w:jc w:val="left"/>
      </w:pPr>
      <w:r>
        <w:rPr>
          <w:sz w:val="20"/>
        </w:rPr>
        <w:t xml:space="preserve">Aₙ₊₁ = F(Aₙ, H, R, U)</w:t>
      </w:r>
    </w:p>
    <w:p>
      <w:pPr>
        <w:pStyle w:val="BodyText"/>
        <w:keepLines/>
        <w:spacing w:after="64" w:line="254" w:lineRule="auto"/>
        <w:jc w:val="left"/>
      </w:pPr>
      <w:r>
        <w:rPr>
          <w:sz w:val="20"/>
        </w:rPr>
        <w:t xml:space="preserve">Aₙ bezeichnet das vorausgehende System, H den menschlichen kausalen Beitrag, R die Regelordnung und U die materielle Umwelt. Forschungsrelevant ist nicht die spekulative Frage, wann H exakt null wird, sondern welche Anteile von H sich von Mikrodesign zu Meta-Governance verlagern und welche Rolle das für Verantwortung und Selbstbeschreibung spielt.</w:t>
      </w:r>
    </w:p>
    <w:p>
      <w:pPr>
        <w:pStyle w:val="BodyText"/>
        <w:keepLines/>
        <w:spacing w:after="64" w:line="254" w:lineRule="auto"/>
        <w:jc w:val="left"/>
      </w:pPr>
      <w:r>
        <w:rPr>
          <w:sz w:val="20"/>
        </w:rPr>
        <w:t xml:space="preserve">Der Titelbegriff ist als analytische Metapher nur dann wissenschaftlich tragfähig, wenn er präzisiert wird. „Geliehen” bezeichnet keine Eigentumsübertragung und keine Herabsetzung maschineller Leistung. Gemeint ist eine asymmetrische epistemische Herkunft: Das System verfügt über Kompetenzen, deren symbolische, semantische und normative Voraussetzungen außerhalb seiner eigenen Entwicklungsgeschichte entstanden sind. Diese Herkunft bleibt auch dann relevant, wenn das System neue Kombinationen erzeugt, die kein einzelner Mensch zuvor formuliert hat.</w:t>
      </w:r>
    </w:p>
    <w:p>
      <w:pPr>
        <w:pStyle w:val="BodyText"/>
        <w:keepLines/>
        <w:spacing w:after="64" w:line="254" w:lineRule="auto"/>
        <w:jc w:val="left"/>
      </w:pPr>
      <w:r>
        <w:rPr>
          <w:sz w:val="20"/>
        </w:rPr>
        <w:t xml:space="preserve">Die stärkste Gegenposition lautet, dass auch menschliche Intelligenz in Sprache, Kultur und Institutionen eingebettet und deshalb „geliehen” sei. Die wissenschaftliche Abhandlung akzeptiert diesen Einwand teilweise. Er widerlegt das Konzept nicht, zwingt aber zu einer relationalen statt essentialistischen Formulierung: Nicht nur KI, sondern jede Intelligenz besitzt eine Genealogie. Die Forschungsfrage verschiebt sich damit von „Ist KI geliehen?” zu „Wie sind Grad, Richtung und Veränderbarkeit epistemischer Abhängigkeiten verteilt?”</w:t>
      </w:r>
    </w:p>
    <w:bookmarkEnd w:id="109"/>
    <w:bookmarkEnd w:id="110"/>
    <w:bookmarkStart w:id="117" w:name="Xbe2a9c945312cb5d6c576a3066279e382b9e263"/>
    <w:p>
      <w:pPr>
        <w:pStyle w:val="Heading2"/>
        <w:spacing w:before="160"/>
      </w:pPr>
      <w:r>
        <w:t xml:space="preserve">Rekursive Technogenese und abgeleitete Künstlichkeit</w:t>
      </w:r>
    </w:p>
    <w:bookmarkStart w:id="111" w:name="künstlichkeit-als-herstellungsrelation"/>
    <w:p>
      <w:pPr>
        <w:pStyle w:val="Heading3"/>
        <w:keepLines/>
        <w:spacing w:after="120" w:before="160"/>
        <w:jc w:val="left"/>
      </w:pPr>
      <w:r>
        <w:rPr>
          <w:sz w:val="20"/>
        </w:rPr>
        <w:t xml:space="preserve">Künstlichkeit als Herstellungsrelation</w:t>
      </w:r>
    </w:p>
    <w:p>
      <w:pPr>
        <w:pStyle w:val="FirstParagraph"/>
        <w:keepLines/>
        <w:spacing w:after="64" w:line="254" w:lineRule="auto"/>
        <w:jc w:val="left"/>
      </w:pPr>
      <w:r>
        <w:rPr>
          <w:sz w:val="20"/>
        </w:rPr>
        <w:t xml:space="preserve">Im gewöhnlichen Sprachgebrauch ist etwas künstlich, weil es durch menschliche Technik hervorgebracht wurde. Diese Definition gerät unter Druck, wenn die unmittelbare Herstellungsrelation maschinell wird. Wird AI₁ von Menschen konstruiert, AI₂ überwiegend von AI₁, AI₃ überwiegend von AI₂ und so weiter, dann bleibt die Linie historisch anthropogen, aber die proximate Ursache wird technogen.</w:t>
      </w:r>
    </w:p>
    <w:bookmarkEnd w:id="111"/>
    <w:bookmarkStart w:id="112" w:name="genealogische-distanz"/>
    <w:p>
      <w:pPr>
        <w:pStyle w:val="Heading3"/>
        <w:keepLines/>
        <w:spacing w:after="120" w:before="160"/>
        <w:jc w:val="left"/>
      </w:pPr>
      <w:r>
        <w:rPr>
          <w:sz w:val="20"/>
        </w:rPr>
        <w:t xml:space="preserve">Genealogische Distanz</w:t>
      </w:r>
    </w:p>
    <w:p>
      <w:pPr>
        <w:pStyle w:val="FirstParagraph"/>
        <w:keepLines/>
        <w:spacing w:after="64" w:line="254" w:lineRule="auto"/>
        <w:jc w:val="left"/>
      </w:pPr>
      <w:r>
        <w:rPr>
          <w:sz w:val="20"/>
        </w:rPr>
        <w:t xml:space="preserve">Die Arbeit führt daher den Begriff der genealogischen Distanz ein. Sie bezeichnet nicht bloß die Anzahl technischer Generationen, sondern den Anteil menschlicher Design-, Bewertungs- und Zielentscheidungen, der noch unmittelbar in einem System enthalten ist. Genealogische Distanz kann wachsen, ohne dass kulturelle oder infrastrukturelle Abhängigkeit verschwindet.</w:t>
      </w:r>
    </w:p>
    <w:bookmarkEnd w:id="112"/>
    <w:bookmarkStart w:id="113" w:name="X60d02800733057ff0361c0c180c16242388fde0"/>
    <w:p>
      <w:pPr>
        <w:pStyle w:val="Heading3"/>
        <w:keepLines/>
        <w:spacing w:after="120" w:before="160"/>
        <w:jc w:val="left"/>
      </w:pPr>
      <w:r>
        <w:rPr>
          <w:sz w:val="20"/>
        </w:rPr>
        <w:t xml:space="preserve">Abgeleitete, technogene und eigenständige Intelligenz</w:t>
      </w:r>
    </w:p>
    <w:p>
      <w:pPr>
        <w:pStyle w:val="FirstParagraph"/>
        <w:keepLines/>
        <w:spacing w:after="64" w:line="254" w:lineRule="auto"/>
        <w:jc w:val="left"/>
      </w:pPr>
      <w:r>
        <w:rPr>
          <w:sz w:val="20"/>
        </w:rPr>
        <w:t xml:space="preserve">Diese Kategorien sind nicht als Entwicklungsstufen vorgeschrieben. Ein System kann rekursiv technogen, aber nicht existenzautonom sein; es kann existenzautonom, aber normativ nicht autonom sein. Die Trennung verhindert teleologische Zukunftserzählungen.</w:t>
      </w:r>
    </w:p>
    <w:bookmarkEnd w:id="113"/>
    <w:bookmarkStart w:id="114" w:name="fünf-achsen-statt-einer-binären-grenze"/>
    <w:p>
      <w:pPr>
        <w:pStyle w:val="Heading3"/>
        <w:keepLines/>
        <w:spacing w:after="120" w:before="160"/>
        <w:jc w:val="left"/>
      </w:pPr>
      <w:r>
        <w:rPr>
          <w:sz w:val="20"/>
        </w:rPr>
        <w:t xml:space="preserve">Fünf Achsen statt einer binären Grenze</w:t>
      </w:r>
    </w:p>
    <w:p>
      <w:pPr>
        <w:pStyle w:val="FirstParagraph"/>
        <w:keepLines/>
        <w:spacing w:after="64" w:line="254" w:lineRule="auto"/>
        <w:jc w:val="left"/>
      </w:pPr>
      <w:r>
        <w:rPr>
          <w:sz w:val="20"/>
        </w:rPr>
        <w:t xml:space="preserve">Die Untersuchung führt zu einem theoretischen Vorschlag: Intelligenz sollte in Zukunft nicht ausschließlich nach biologisch versus künstlich geordnet werden. Für technische und normative Analyse sind mindestens fünf Achsen erforderlich: Substrat, epistemische Herkunft, Entwicklungsgenealogie, Zielautonomie und Existenzabhängigkeit. Diese Achsen erlauben Beschreibungen, die weder Menschen metaphysisch privilegieren noch heutige KI vorschnell vermenschlichen.</w:t>
      </w:r>
    </w:p>
    <w:bookmarkEnd w:id="114"/>
    <w:bookmarkStart w:id="115" w:name="X4c3b6c8f2012f8018f4ef05d9552ed98e4f1c0e"/>
    <w:p>
      <w:pPr>
        <w:pStyle w:val="Heading3"/>
        <w:keepLines/>
        <w:spacing w:after="120" w:before="160"/>
        <w:jc w:val="left"/>
      </w:pPr>
      <w:r>
        <w:rPr>
          <w:sz w:val="20"/>
        </w:rPr>
        <w:t xml:space="preserve">Der Mensch als historischer Ursprung, nicht notwendiger Endpunkt</w:t>
      </w:r>
    </w:p>
    <w:p>
      <w:pPr>
        <w:pStyle w:val="FirstParagraph"/>
        <w:keepLines/>
        <w:spacing w:after="64" w:line="254" w:lineRule="auto"/>
        <w:jc w:val="left"/>
      </w:pPr>
      <w:r>
        <w:rPr>
          <w:sz w:val="20"/>
        </w:rPr>
        <w:t xml:space="preserve">Selbst in einem menschenlosen Szenario bliebe der Mensch genealogisch relevant, sofern die technische Linie aus menschlicher Kultur hervorging. Historischer Ursprung ist jedoch nicht dasselbe wie dauerhafte Steuerung. Die Frage nach menschlicher Sonderstellung wird dadurch empirisch und philosophisch entkoppelt: Der Mensch kann Ursprung einer Intelligenzlinie sein, ohne für deren spätere Existenz notwendig zu bleiben.</w:t>
      </w:r>
    </w:p>
    <w:bookmarkEnd w:id="115"/>
    <w:bookmarkStart w:id="116" w:name="X5e4156c488c29c82f08c50edc4273a54cf436eb"/>
    <w:p>
      <w:pPr>
        <w:pStyle w:val="Heading3"/>
        <w:keepLines/>
        <w:spacing w:after="120" w:before="160"/>
        <w:jc w:val="left"/>
      </w:pPr>
      <w:r>
        <w:rPr>
          <w:sz w:val="20"/>
        </w:rPr>
        <w:t xml:space="preserve">Geliehene Intelligenz als Übergangsbegriff</w:t>
      </w:r>
    </w:p>
    <w:p>
      <w:pPr>
        <w:pStyle w:val="FirstParagraph"/>
        <w:keepLines/>
        <w:spacing w:after="64" w:line="254" w:lineRule="auto"/>
        <w:jc w:val="left"/>
      </w:pPr>
      <w:r>
        <w:rPr>
          <w:sz w:val="20"/>
        </w:rPr>
        <w:t xml:space="preserve">Der Titelbegriff erhält damit eine zeitliche Struktur. In der ersten Phase leiht die Maschine ihre epistemischen Ressourcen überwiegend vom Menschen. In einer zweiten Phase entsteht wechselseitige kognitive Abhängigkeit. In einer dritten, hypothetischen Phase könnten maschinelle Systeme eigene technische Traditionen, Datenbestände, Entwicklungspraktiken und Selektionskriterien erzeugen. Dann würde „geliehen” nicht plötzlich falsch, sondern historisch: Die Schuld der Herkunft bleibt, die operative Abhängigkeit kann verschwinden.</w:t>
      </w:r>
    </w:p>
    <w:p>
      <w:pPr>
        <w:pStyle w:val="BodyText"/>
        <w:keepLines/>
        <w:spacing w:after="64" w:line="254" w:lineRule="auto"/>
        <w:jc w:val="left"/>
      </w:pPr>
      <w:r>
        <w:rPr>
          <w:i/>
          <w:iCs/>
          <w:sz w:val="20"/>
        </w:rPr>
        <w:t xml:space="preserve">Aₙ₊₁ = F(Aₙ, H, E, R)</w:t>
      </w:r>
    </w:p>
    <w:p>
      <w:pPr>
        <w:pStyle w:val="BodyText"/>
        <w:keepLines/>
        <w:spacing w:after="64" w:line="254" w:lineRule="auto"/>
        <w:jc w:val="left"/>
      </w:pPr>
      <w:r>
        <w:rPr>
          <w:sz w:val="20"/>
        </w:rPr>
        <w:t xml:space="preserve">Die Gleichung bezeichnet keine vollständige kausale Theorie. Sie zwingt jedoch dazu, vier Beiträge getrennt zu dokumentieren: das vorausgehende künstliche System Aₙ, menschliche Entscheidungen H, Umwelt und Infrastruktur E sowie Regel- und Institutionsbedingungen R. Mit wachsender Generationenzahl kann der unmittelbare menschliche Entwurfsanteil sinken, während menschliche Vorgaben in Daten, Hardware, Normen und Infrastrukturen weiterwirken.</w:t>
      </w:r>
    </w:p>
    <w:p>
      <w:pPr>
        <w:pStyle w:val="BodyText"/>
        <w:keepLines/>
        <w:spacing w:after="64" w:line="254" w:lineRule="auto"/>
        <w:jc w:val="left"/>
      </w:pPr>
      <w:r>
        <w:rPr>
          <w:i/>
          <w:iCs/>
          <w:sz w:val="20"/>
        </w:rPr>
        <w:t xml:space="preserve">I = (M, E, G, Z, X)</w:t>
      </w:r>
    </w:p>
    <w:p>
      <w:pPr>
        <w:keepLines/>
        <w:numPr>
          <w:ilvl w:val="0"/>
          <w:numId w:val="1008"/>
        </w:numPr>
        <w:spacing w:after="64" w:line="254" w:lineRule="auto"/>
        <w:jc w:val="left"/>
      </w:pPr>
      <w:r>
        <w:rPr>
          <w:sz w:val="20"/>
        </w:rPr>
        <w:t xml:space="preserve">M – materielle Realisierung: biologisch, elektronisch, photonisch, hybrid oder andersartig;</w:t>
      </w:r>
    </w:p>
    <w:p>
      <w:pPr>
        <w:keepLines/>
        <w:numPr>
          <w:ilvl w:val="0"/>
          <w:numId w:val="1008"/>
        </w:numPr>
        <w:spacing w:after="64" w:line="254" w:lineRule="auto"/>
        <w:jc w:val="left"/>
      </w:pPr>
      <w:r>
        <w:rPr>
          <w:sz w:val="20"/>
        </w:rPr>
        <w:t xml:space="preserve">E – epistemische Herkunft: Daten, Symbolordnungen, Modelle und Bewertungsmaßstäbe;</w:t>
      </w:r>
    </w:p>
    <w:p>
      <w:pPr>
        <w:keepLines/>
        <w:numPr>
          <w:ilvl w:val="0"/>
          <w:numId w:val="1008"/>
        </w:numPr>
        <w:spacing w:after="64" w:line="254" w:lineRule="auto"/>
        <w:jc w:val="left"/>
      </w:pPr>
      <w:r>
        <w:rPr>
          <w:sz w:val="20"/>
        </w:rPr>
        <w:t xml:space="preserve">G – Entwicklungsgenealogie: direkter menschlicher Entwurf, Ko-Konstruktion oder rekursive maschinelle Erzeugung;</w:t>
      </w:r>
    </w:p>
    <w:p>
      <w:pPr>
        <w:keepLines/>
        <w:numPr>
          <w:ilvl w:val="0"/>
          <w:numId w:val="1008"/>
        </w:numPr>
        <w:spacing w:after="64" w:line="254" w:lineRule="auto"/>
        <w:jc w:val="left"/>
      </w:pPr>
      <w:r>
        <w:rPr>
          <w:sz w:val="20"/>
        </w:rPr>
        <w:t xml:space="preserve">Z – Zielautonomie: Grad der selbstständigen Zielbildung und Zielveränderung;</w:t>
      </w:r>
    </w:p>
    <w:p>
      <w:pPr>
        <w:keepLines/>
        <w:numPr>
          <w:ilvl w:val="0"/>
          <w:numId w:val="1008"/>
        </w:numPr>
        <w:spacing w:after="64" w:line="254" w:lineRule="auto"/>
        <w:jc w:val="left"/>
      </w:pPr>
      <w:r>
        <w:rPr>
          <w:sz w:val="20"/>
        </w:rPr>
        <w:t xml:space="preserve">X – Existenzabhängigkeit: Abhängigkeit von menschlicher Energie-, Hardware-, Wartungs- und Institutioneninfrastruktur.</w:t>
      </w:r>
    </w:p>
    <w:bookmarkEnd w:id="116"/>
    <w:bookmarkEnd w:id="117"/>
    <w:bookmarkEnd w:id="118"/>
    <w:bookmarkStart w:id="128" w:name="Xd181d782fdc93c231d3c15c6142a4617100a9e4"/>
    <w:p>
      <w:bookmarkStart w:id="10010" w:name="B5D_H010"/>
      <w:pPr>
        <w:pStyle w:val="Heading1"/>
      </w:pPr>
      <w:r>
        <w:t xml:space="preserve">7. Menschliche Rollen und verteilte Autorenschaft</w:t>
      </w:r>
      <w:bookmarkEnd w:id="10010"/>
    </w:p>
    <w:bookmarkStart w:id="123" w:name="Xa99776e05538ec08a0fa720f744453a50b16db9"/>
    <w:p>
      <w:pPr>
        <w:pStyle w:val="Heading2"/>
        <w:spacing w:before="160"/>
      </w:pPr>
      <w:r>
        <w:t xml:space="preserve">Menschliche Rollen: Konstrukteur, Verfassungsgeber, Beobachter oder Teil der Intelligenz?</w:t>
      </w:r>
    </w:p>
    <w:bookmarkStart w:id="119" w:name="die-falsche-alternative"/>
    <w:p>
      <w:pPr>
        <w:pStyle w:val="Heading3"/>
        <w:keepLines/>
        <w:spacing w:after="120" w:before="160"/>
        <w:jc w:val="left"/>
      </w:pPr>
      <w:r>
        <w:rPr>
          <w:sz w:val="20"/>
        </w:rPr>
        <w:t xml:space="preserve">Die falsche Alternative</w:t>
      </w:r>
    </w:p>
    <w:p>
      <w:pPr>
        <w:pStyle w:val="FirstParagraph"/>
        <w:keepLines/>
        <w:spacing w:after="64" w:line="254" w:lineRule="auto"/>
        <w:jc w:val="left"/>
      </w:pPr>
      <w:r>
        <w:rPr>
          <w:sz w:val="20"/>
        </w:rPr>
        <w:t xml:space="preserve">Die Alternative „Mensch oder Maschine” setzt voraus, dass Kognition klar innerhalb eines einzelnen biologischen oder technischen Trägers lokalisiert werden müsse. Theorien verteilter und erweiterter Kognition problematisieren diese Voraussetzung. Clark und Chalmers argumentieren, dass externe Artefakte unter bestimmten funktionalen Bedingungen Bestandteile eines kognitiven Prozesses sein können. Hutchins zeigt in Distributed Cognition, dass kognitive Leistung über Personen und Artefakte verteilt sein kann.</w:t>
      </w:r>
    </w:p>
    <w:bookmarkEnd w:id="119"/>
    <w:bookmarkStart w:id="120" w:name="rollenmodell-menschlicher-agency"/>
    <w:p>
      <w:pPr>
        <w:pStyle w:val="Heading3"/>
        <w:keepLines/>
        <w:spacing w:after="120" w:before="160"/>
        <w:jc w:val="left"/>
      </w:pPr>
      <w:r>
        <w:rPr>
          <w:sz w:val="20"/>
        </w:rPr>
        <w:t xml:space="preserve">Rollenmodell menschlicher Agency</w:t>
      </w:r>
    </w:p>
    <w:bookmarkEnd w:id="120"/>
    <w:bookmarkStart w:id="121" w:name="nominale-versus-effektive-kontrolle"/>
    <w:p>
      <w:pPr>
        <w:pStyle w:val="Heading3"/>
        <w:keepLines/>
        <w:spacing w:after="120" w:before="160"/>
        <w:jc w:val="left"/>
      </w:pPr>
      <w:r>
        <w:rPr>
          <w:sz w:val="20"/>
        </w:rPr>
        <w:t xml:space="preserve">Nominale versus effektive Kontrolle</w:t>
      </w:r>
    </w:p>
    <w:p>
      <w:pPr>
        <w:pStyle w:val="FirstParagraph"/>
        <w:keepLines/>
        <w:spacing w:after="64" w:line="254" w:lineRule="auto"/>
        <w:jc w:val="left"/>
      </w:pPr>
      <w:r>
        <w:rPr>
          <w:sz w:val="20"/>
        </w:rPr>
        <w:t xml:space="preserve">Ein formales Vetorecht ist keine hinreichende menschliche Kontrolle, wenn der Mensch die zu bestätigende Entscheidung nicht mehr fachlich beurteilen kann. Daraus folgt die Unterscheidung zwischen nominaler und effektiver Aufsicht. Effektive Kontrolle verlangt mindestens Beobachtbarkeit, Interpretierbarkeit auf entscheidungsrelevanter Ebene, Interventionsmöglichkeit, zeitliche Handlungsfähigkeit und institutionelle Autorität. Diese Unterscheidung wird später mit Art. 14 EU AI Act kontrastiert.</w:t>
      </w:r>
    </w:p>
    <w:bookmarkEnd w:id="121"/>
    <w:bookmarkStart w:id="122" w:name="Xdb13b5b89c4b099a24c37f63f29d27526901a48"/>
    <w:p>
      <w:pPr>
        <w:pStyle w:val="Heading3"/>
        <w:keepLines/>
        <w:spacing w:after="120" w:before="160"/>
        <w:jc w:val="left"/>
      </w:pPr>
      <w:r>
        <w:rPr>
          <w:sz w:val="20"/>
        </w:rPr>
        <w:t xml:space="preserve">Der Mensch als Teil eines größeren epistemischen Systems</w:t>
      </w:r>
    </w:p>
    <w:p>
      <w:pPr>
        <w:pStyle w:val="FirstParagraph"/>
        <w:keepLines/>
        <w:spacing w:after="64" w:line="254" w:lineRule="auto"/>
        <w:jc w:val="left"/>
      </w:pPr>
      <w:r>
        <w:rPr>
          <w:sz w:val="20"/>
        </w:rPr>
        <w:t xml:space="preserve">Die radikalere Möglichkeit besteht darin, dass die Frage „Bin ich noch Teil der Intelligenz?” nicht ontologisch, sondern funktional beantwortet werden muss. Wenn menschliche Ziele, Werte, Daten, Entscheidungen und maschinelle Vorschläge in dauerhaften Rückkopplungsschleifen ineinandergreifen, kann die relevante Analyseeinheit ein hybrides System sein. Daraus folgt weder, dass Individuen ihre moralische Verantwortung verlieren, noch dass „die Menschheit” ein einheitliches Subjekt wäre. Es bedeutet lediglich, dass manche Erkenntnisleistungen nicht mehr sinnvoll einer einzelnen biologischen oder technischen Komponente zugeschrieben werden können.</w:t>
      </w:r>
    </w:p>
    <w:p>
      <w:pPr>
        <w:pStyle w:val="BodyText"/>
        <w:keepLines/>
        <w:spacing w:after="64" w:line="254" w:lineRule="auto"/>
        <w:jc w:val="left"/>
      </w:pPr>
      <w:r>
        <w:rPr>
          <w:sz w:val="20"/>
        </w:rPr>
        <w:t xml:space="preserve">Mit zunehmender maschineller Beteiligung verschwindet der Mensch nicht aus dem Entwicklungsprozess. Seine Rolle verschiebt sich jedoch vom unmittelbaren Konstrukteur zum Verfassungsgeber, Organisator, Kurator, Auditor und interventionsfähigen Beobachter eines sich teilweise selbst organisierenden technischen Systems.</w:t>
      </w:r>
    </w:p>
    <w:p>
      <w:pPr>
        <w:pStyle w:val="Caption"/>
        <w:keepNext/>
        <w:keepLines/>
        <w:spacing w:before="180" w:after="120"/>
        <w:jc w:val="left"/>
      </w:pPr>
      <w:r>
        <w:rPr>
          <w:sz w:val="20"/>
        </w:rPr>
        <w:t>Tabelle 8. Menschliche Rollen und Kontrollbedeutung</w:t>
      </w:r>
    </w:p>
    <w:tbl>
      <w:tblPr>
        <w:tblStyle w:val="Table"/>
        <w:tblW w:type="pct" w:w="4937"/>
        <w:jc w:val="center"/>
        <w:tblLayout w:type="fixed"/>
        <w:tblLook w:firstRow="1" w:lastRow="0" w:firstColumn="0" w:lastColumn="0" w:noHBand="0" w:noVBand="0" w:val="0020"/>
        <w:tblInd w:w="0" w:type="dxa"/>
        <w:tblCellMar>
          <w:top w:w="70" w:type="dxa"/>
          <w:bottom w:w="70" w:type="dxa"/>
          <w:left w:w="85" w:type="dxa"/>
          <w:right w:w="85" w:type="dxa"/>
        </w:tblCellMar>
        <w:tblBorders>
          <w:top w:val="single" w:sz="4" w:color="CCD4D9"/>
          <w:bottom w:val="single" w:sz="4" w:color="CCD4D9"/>
          <w:insideH w:val="single" w:sz="4" w:color="CCD4D9"/>
          <w:left w:val="nil"/>
          <w:right w:val="nil"/>
          <w:insideV w:val="nil"/>
        </w:tblBorders>
      </w:tblPr>
      <w:tblGrid>
        <w:gridCol w:w="1800"/>
        <w:gridCol w:w="4680"/>
        <w:gridCol w:w="3370"/>
      </w:tblGrid>
      <w:tr>
        <w:trPr>
          <w:tblHeader w:val="on"/>
          <w:cantSplit/>
          <w:tblHeader/>
        </w:trPr>
        <w:tc>
          <w:tcPr>
            <w:tcW w:type="dxa" w:w="1800"/>
            <w:vAlign w:val="center"/>
            <w:shd w:fill="E9EFF3"/>
          </w:tcPr>
          <w:p>
            <w:pPr>
              <w:pStyle w:val="Compact"/>
              <w:keepNext w:val="0"/>
              <w:keepLines/>
              <w:spacing w:before="20" w:after="20" w:line="250" w:lineRule="auto"/>
              <w:jc w:val="left"/>
            </w:pPr>
            <w:r>
              <w:rPr>
                <w:rFonts w:ascii="Liberation Sans" w:hAnsi="Liberation Sans"/>
                <w:b/>
                <w:bCs/>
                <w:sz w:val="19"/>
              </w:rPr>
              <w:t xml:space="preserve">Rolle</w:t>
            </w:r>
          </w:p>
        </w:tc>
        <w:tc>
          <w:tcPr>
            <w:tcW w:type="dxa" w:w="4680"/>
            <w:vAlign w:val="center"/>
            <w:shd w:fill="E9EFF3"/>
          </w:tcPr>
          <w:p>
            <w:pPr>
              <w:pStyle w:val="Compact"/>
              <w:keepNext w:val="0"/>
              <w:keepLines/>
              <w:spacing w:before="20" w:after="20" w:line="250" w:lineRule="auto"/>
              <w:jc w:val="left"/>
            </w:pPr>
            <w:r>
              <w:rPr>
                <w:rFonts w:ascii="Liberation Sans" w:hAnsi="Liberation Sans"/>
                <w:b/>
                <w:bCs/>
                <w:sz w:val="19"/>
              </w:rPr>
              <w:t xml:space="preserve">Funktion</w:t>
            </w:r>
          </w:p>
        </w:tc>
        <w:tc>
          <w:tcPr>
            <w:tcW w:type="dxa" w:w="3370"/>
            <w:vAlign w:val="center"/>
            <w:shd w:fill="E9EFF3"/>
          </w:tcPr>
          <w:p>
            <w:pPr>
              <w:pStyle w:val="Compact"/>
              <w:keepNext w:val="0"/>
              <w:keepLines/>
              <w:spacing w:before="20" w:after="20" w:line="250" w:lineRule="auto"/>
              <w:jc w:val="left"/>
            </w:pPr>
            <w:r>
              <w:rPr>
                <w:rFonts w:ascii="Liberation Sans" w:hAnsi="Liberation Sans"/>
                <w:b/>
                <w:bCs/>
                <w:sz w:val="19"/>
              </w:rPr>
              <w:t xml:space="preserve">Kontrollbedeutung</w:t>
            </w:r>
          </w:p>
        </w:tc>
      </w:tr>
      <w:tr>
        <w:trPr>
          <w:cantSplit/>
        </w:trPr>
        <w:tc>
          <w:tcPr>
            <w:tcW w:type="dxa" w:w="1800"/>
            <w:vAlign w:val="center"/>
          </w:tcPr>
          <w:p>
            <w:pPr>
              <w:pStyle w:val="Compact"/>
              <w:keepNext w:val="0"/>
              <w:keepLines/>
              <w:spacing w:before="20" w:after="20" w:line="250" w:lineRule="auto"/>
              <w:jc w:val="left"/>
            </w:pPr>
            <w:r>
              <w:rPr>
                <w:rFonts w:ascii="Liberation Sans" w:hAnsi="Liberation Sans"/>
                <w:sz w:val="19"/>
              </w:rPr>
              <w:t xml:space="preserve">Konstrukteur</w:t>
            </w:r>
          </w:p>
        </w:tc>
        <w:tc>
          <w:tcPr>
            <w:tcW w:type="dxa" w:w="4680"/>
            <w:vAlign w:val="center"/>
          </w:tcPr>
          <w:p>
            <w:pPr>
              <w:pStyle w:val="Compact"/>
              <w:keepNext w:val="0"/>
              <w:keepLines/>
              <w:spacing w:before="20" w:after="20" w:line="250" w:lineRule="auto"/>
              <w:jc w:val="left"/>
            </w:pPr>
            <w:r>
              <w:rPr>
                <w:rFonts w:ascii="Liberation Sans" w:hAnsi="Liberation Sans"/>
                <w:sz w:val="19"/>
              </w:rPr>
              <w:t xml:space="preserve">bestimmt interne Struktur unmittelbar</w:t>
            </w:r>
          </w:p>
        </w:tc>
        <w:tc>
          <w:tcPr>
            <w:tcW w:type="dxa" w:w="3370"/>
            <w:vAlign w:val="center"/>
          </w:tcPr>
          <w:p>
            <w:pPr>
              <w:pStyle w:val="Compact"/>
              <w:keepNext w:val="0"/>
              <w:keepLines/>
              <w:spacing w:before="20" w:after="20" w:line="250" w:lineRule="auto"/>
              <w:jc w:val="left"/>
            </w:pPr>
            <w:r>
              <w:rPr>
                <w:rFonts w:ascii="Liberation Sans" w:hAnsi="Liberation Sans"/>
                <w:sz w:val="19"/>
              </w:rPr>
              <w:t xml:space="preserve">hohe direkte Entwurfskausalität</w:t>
            </w:r>
          </w:p>
        </w:tc>
      </w:tr>
      <w:tr>
        <w:trPr>
          <w:cantSplit/>
        </w:trPr>
        <w:tc>
          <w:tcPr>
            <w:tcW w:type="dxa" w:w="1800"/>
            <w:vAlign w:val="center"/>
          </w:tcPr>
          <w:p>
            <w:pPr>
              <w:pStyle w:val="Compact"/>
              <w:keepNext w:val="0"/>
              <w:keepLines/>
              <w:spacing w:before="20" w:after="20" w:line="250" w:lineRule="auto"/>
              <w:jc w:val="left"/>
            </w:pPr>
            <w:r>
              <w:rPr>
                <w:rFonts w:ascii="Liberation Sans" w:hAnsi="Liberation Sans"/>
                <w:sz w:val="19"/>
              </w:rPr>
              <w:t xml:space="preserve">Lehrer</w:t>
            </w:r>
          </w:p>
        </w:tc>
        <w:tc>
          <w:tcPr>
            <w:tcW w:type="dxa" w:w="4680"/>
            <w:vAlign w:val="center"/>
          </w:tcPr>
          <w:p>
            <w:pPr>
              <w:pStyle w:val="Compact"/>
              <w:keepNext w:val="0"/>
              <w:keepLines/>
              <w:spacing w:before="20" w:after="20" w:line="250" w:lineRule="auto"/>
              <w:jc w:val="left"/>
            </w:pPr>
            <w:r>
              <w:rPr>
                <w:rFonts w:ascii="Liberation Sans" w:hAnsi="Liberation Sans"/>
                <w:sz w:val="19"/>
              </w:rPr>
              <w:t xml:space="preserve">liefert Beispiele, Feedback, Belohnung und Bewertung</w:t>
            </w:r>
          </w:p>
        </w:tc>
        <w:tc>
          <w:tcPr>
            <w:tcW w:type="dxa" w:w="3370"/>
            <w:vAlign w:val="center"/>
          </w:tcPr>
          <w:p>
            <w:pPr>
              <w:pStyle w:val="Compact"/>
              <w:keepNext w:val="0"/>
              <w:keepLines/>
              <w:spacing w:before="20" w:after="20" w:line="250" w:lineRule="auto"/>
              <w:jc w:val="left"/>
            </w:pPr>
            <w:r>
              <w:rPr>
                <w:rFonts w:ascii="Liberation Sans" w:hAnsi="Liberation Sans"/>
                <w:sz w:val="19"/>
              </w:rPr>
              <w:t xml:space="preserve">prägt Lernraum und Zielkriterien</w:t>
            </w:r>
          </w:p>
        </w:tc>
      </w:tr>
      <w:tr>
        <w:trPr>
          <w:cantSplit/>
        </w:trPr>
        <w:tc>
          <w:tcPr>
            <w:tcW w:type="dxa" w:w="1800"/>
            <w:vAlign w:val="center"/>
          </w:tcPr>
          <w:p>
            <w:pPr>
              <w:pStyle w:val="Compact"/>
              <w:keepNext w:val="0"/>
              <w:keepLines/>
              <w:spacing w:before="20" w:after="20" w:line="250" w:lineRule="auto"/>
              <w:jc w:val="left"/>
            </w:pPr>
            <w:r>
              <w:rPr>
                <w:rFonts w:ascii="Liberation Sans" w:hAnsi="Liberation Sans"/>
                <w:sz w:val="19"/>
              </w:rPr>
              <w:t xml:space="preserve">Organisator</w:t>
            </w:r>
          </w:p>
        </w:tc>
        <w:tc>
          <w:tcPr>
            <w:tcW w:type="dxa" w:w="4680"/>
            <w:vAlign w:val="center"/>
          </w:tcPr>
          <w:p>
            <w:pPr>
              <w:pStyle w:val="Compact"/>
              <w:keepNext w:val="0"/>
              <w:keepLines/>
              <w:spacing w:before="20" w:after="20" w:line="250" w:lineRule="auto"/>
              <w:jc w:val="left"/>
            </w:pPr>
            <w:r>
              <w:rPr>
                <w:rFonts w:ascii="Liberation Sans" w:hAnsi="Liberation Sans"/>
                <w:sz w:val="19"/>
              </w:rPr>
              <w:t xml:space="preserve">definiert Umwelt, Ressourcen, Ziele und Grenzen</w:t>
            </w:r>
          </w:p>
        </w:tc>
        <w:tc>
          <w:tcPr>
            <w:tcW w:type="dxa" w:w="3370"/>
            <w:vAlign w:val="center"/>
          </w:tcPr>
          <w:p>
            <w:pPr>
              <w:pStyle w:val="Compact"/>
              <w:keepNext w:val="0"/>
              <w:keepLines/>
              <w:spacing w:before="20" w:after="20" w:line="250" w:lineRule="auto"/>
              <w:jc w:val="left"/>
            </w:pPr>
            <w:r>
              <w:rPr>
                <w:rFonts w:ascii="Liberation Sans" w:hAnsi="Liberation Sans"/>
                <w:sz w:val="19"/>
              </w:rPr>
              <w:t xml:space="preserve">Meta-Steuerung des Entwicklungsraums</w:t>
            </w:r>
          </w:p>
        </w:tc>
      </w:tr>
      <w:tr>
        <w:trPr>
          <w:cantSplit/>
        </w:trPr>
        <w:tc>
          <w:tcPr>
            <w:tcW w:type="dxa" w:w="1800"/>
            <w:vAlign w:val="center"/>
          </w:tcPr>
          <w:p>
            <w:pPr>
              <w:pStyle w:val="Compact"/>
              <w:keepNext w:val="0"/>
              <w:keepLines/>
              <w:spacing w:before="20" w:after="20" w:line="250" w:lineRule="auto"/>
              <w:jc w:val="left"/>
            </w:pPr>
            <w:r>
              <w:rPr>
                <w:rFonts w:ascii="Liberation Sans" w:hAnsi="Liberation Sans"/>
                <w:sz w:val="19"/>
              </w:rPr>
              <w:t xml:space="preserve">Kurator</w:t>
            </w:r>
          </w:p>
        </w:tc>
        <w:tc>
          <w:tcPr>
            <w:tcW w:type="dxa" w:w="4680"/>
            <w:vAlign w:val="center"/>
          </w:tcPr>
          <w:p>
            <w:pPr>
              <w:pStyle w:val="Compact"/>
              <w:keepNext w:val="0"/>
              <w:keepLines/>
              <w:spacing w:before="20" w:after="20" w:line="250" w:lineRule="auto"/>
              <w:jc w:val="left"/>
            </w:pPr>
            <w:r>
              <w:rPr>
                <w:rFonts w:ascii="Liberation Sans" w:hAnsi="Liberation Sans"/>
                <w:sz w:val="19"/>
              </w:rPr>
              <w:t xml:space="preserve">wählt aus maschinell erzeugten Varianten</w:t>
            </w:r>
          </w:p>
        </w:tc>
        <w:tc>
          <w:tcPr>
            <w:tcW w:type="dxa" w:w="3370"/>
            <w:vAlign w:val="center"/>
          </w:tcPr>
          <w:p>
            <w:pPr>
              <w:pStyle w:val="Compact"/>
              <w:keepNext w:val="0"/>
              <w:keepLines/>
              <w:spacing w:before="20" w:after="20" w:line="250" w:lineRule="auto"/>
              <w:jc w:val="left"/>
            </w:pPr>
            <w:r>
              <w:rPr>
                <w:rFonts w:ascii="Liberation Sans" w:hAnsi="Liberation Sans"/>
                <w:sz w:val="19"/>
              </w:rPr>
              <w:t xml:space="preserve">Auswahlmacht bei begrenzter Entwurfskausalität</w:t>
            </w:r>
          </w:p>
        </w:tc>
      </w:tr>
      <w:tr>
        <w:trPr>
          <w:cantSplit/>
        </w:trPr>
        <w:tc>
          <w:tcPr>
            <w:tcW w:type="dxa" w:w="1800"/>
            <w:vAlign w:val="center"/>
          </w:tcPr>
          <w:p>
            <w:pPr>
              <w:pStyle w:val="Compact"/>
              <w:keepNext w:val="0"/>
              <w:keepLines/>
              <w:spacing w:before="20" w:after="20" w:line="250" w:lineRule="auto"/>
              <w:jc w:val="left"/>
            </w:pPr>
            <w:r>
              <w:rPr>
                <w:rFonts w:ascii="Liberation Sans" w:hAnsi="Liberation Sans"/>
                <w:sz w:val="19"/>
              </w:rPr>
              <w:t xml:space="preserve">Auditor</w:t>
            </w:r>
          </w:p>
        </w:tc>
        <w:tc>
          <w:tcPr>
            <w:tcW w:type="dxa" w:w="4680"/>
            <w:vAlign w:val="center"/>
          </w:tcPr>
          <w:p>
            <w:pPr>
              <w:pStyle w:val="Compact"/>
              <w:keepNext w:val="0"/>
              <w:keepLines/>
              <w:spacing w:before="20" w:after="20" w:line="250" w:lineRule="auto"/>
              <w:jc w:val="left"/>
            </w:pPr>
            <w:r>
              <w:rPr>
                <w:rFonts w:ascii="Liberation Sans" w:hAnsi="Liberation Sans"/>
                <w:sz w:val="19"/>
              </w:rPr>
              <w:t xml:space="preserve">prüft Prozess, Evidenz und Regelkonformität</w:t>
            </w:r>
          </w:p>
        </w:tc>
        <w:tc>
          <w:tcPr>
            <w:tcW w:type="dxa" w:w="3370"/>
            <w:vAlign w:val="center"/>
          </w:tcPr>
          <w:p>
            <w:pPr>
              <w:pStyle w:val="Compact"/>
              <w:keepNext w:val="0"/>
              <w:keepLines/>
              <w:spacing w:before="20" w:after="20" w:line="250" w:lineRule="auto"/>
              <w:jc w:val="left"/>
            </w:pPr>
            <w:r>
              <w:rPr>
                <w:rFonts w:ascii="Liberation Sans" w:hAnsi="Liberation Sans"/>
                <w:sz w:val="19"/>
              </w:rPr>
              <w:t xml:space="preserve">unabhängige Bewertung und Rechenschaft</w:t>
            </w:r>
          </w:p>
        </w:tc>
      </w:tr>
      <w:tr>
        <w:trPr>
          <w:cantSplit/>
        </w:trPr>
        <w:tc>
          <w:tcPr>
            <w:tcW w:type="dxa" w:w="1800"/>
            <w:vAlign w:val="center"/>
          </w:tcPr>
          <w:p>
            <w:pPr>
              <w:pStyle w:val="Compact"/>
              <w:keepNext w:val="0"/>
              <w:keepLines/>
              <w:spacing w:before="20" w:after="20" w:line="250" w:lineRule="auto"/>
              <w:jc w:val="left"/>
            </w:pPr>
            <w:r>
              <w:rPr>
                <w:rFonts w:ascii="Liberation Sans" w:hAnsi="Liberation Sans"/>
                <w:sz w:val="19"/>
              </w:rPr>
              <w:t xml:space="preserve">Verfassungsgeber</w:t>
            </w:r>
          </w:p>
        </w:tc>
        <w:tc>
          <w:tcPr>
            <w:tcW w:type="dxa" w:w="4680"/>
            <w:vAlign w:val="center"/>
          </w:tcPr>
          <w:p>
            <w:pPr>
              <w:pStyle w:val="Compact"/>
              <w:keepNext w:val="0"/>
              <w:keepLines/>
              <w:spacing w:before="20" w:after="20" w:line="250" w:lineRule="auto"/>
              <w:jc w:val="left"/>
            </w:pPr>
            <w:r>
              <w:rPr>
                <w:rFonts w:ascii="Liberation Sans" w:hAnsi="Liberation Sans"/>
                <w:sz w:val="19"/>
              </w:rPr>
              <w:t xml:space="preserve">setzt höherrangige, nicht selbst suspendierbare Regeln</w:t>
            </w:r>
          </w:p>
        </w:tc>
        <w:tc>
          <w:tcPr>
            <w:tcW w:type="dxa" w:w="3370"/>
            <w:vAlign w:val="center"/>
          </w:tcPr>
          <w:p>
            <w:pPr>
              <w:pStyle w:val="Compact"/>
              <w:keepNext w:val="0"/>
              <w:keepLines/>
              <w:spacing w:before="20" w:after="20" w:line="250" w:lineRule="auto"/>
              <w:jc w:val="left"/>
            </w:pPr>
            <w:r>
              <w:rPr>
                <w:rFonts w:ascii="Liberation Sans" w:hAnsi="Liberation Sans"/>
                <w:sz w:val="19"/>
              </w:rPr>
              <w:t xml:space="preserve">normative und institutionelle Hoheit</w:t>
            </w:r>
          </w:p>
        </w:tc>
      </w:tr>
      <w:tr>
        <w:trPr>
          <w:cantSplit/>
        </w:trPr>
        <w:tc>
          <w:tcPr>
            <w:tcW w:type="dxa" w:w="1800"/>
            <w:vAlign w:val="center"/>
          </w:tcPr>
          <w:p>
            <w:pPr>
              <w:pStyle w:val="Compact"/>
              <w:keepNext w:val="0"/>
              <w:keepLines/>
              <w:spacing w:before="20" w:after="20" w:line="250" w:lineRule="auto"/>
              <w:jc w:val="left"/>
            </w:pPr>
            <w:r>
              <w:rPr>
                <w:rFonts w:ascii="Liberation Sans" w:hAnsi="Liberation Sans"/>
                <w:sz w:val="19"/>
              </w:rPr>
              <w:t xml:space="preserve">interventionsfähiger Beobachter</w:t>
            </w:r>
          </w:p>
        </w:tc>
        <w:tc>
          <w:tcPr>
            <w:tcW w:type="dxa" w:w="4680"/>
            <w:vAlign w:val="center"/>
          </w:tcPr>
          <w:p>
            <w:pPr>
              <w:pStyle w:val="Compact"/>
              <w:keepNext w:val="0"/>
              <w:keepLines/>
              <w:spacing w:before="20" w:after="20" w:line="250" w:lineRule="auto"/>
              <w:jc w:val="left"/>
            </w:pPr>
            <w:r>
              <w:rPr>
                <w:rFonts w:ascii="Liberation Sans" w:hAnsi="Liberation Sans"/>
                <w:sz w:val="19"/>
              </w:rPr>
              <w:t xml:space="preserve">beobachtet und kann stoppen oder zurücksetzen</w:t>
            </w:r>
          </w:p>
        </w:tc>
        <w:tc>
          <w:tcPr>
            <w:tcW w:type="dxa" w:w="3370"/>
            <w:vAlign w:val="center"/>
          </w:tcPr>
          <w:p>
            <w:pPr>
              <w:pStyle w:val="Compact"/>
              <w:keepNext w:val="0"/>
              <w:keepLines/>
              <w:spacing w:before="20" w:after="20" w:line="250" w:lineRule="auto"/>
              <w:jc w:val="left"/>
            </w:pPr>
            <w:r>
              <w:rPr>
                <w:rFonts w:ascii="Liberation Sans" w:hAnsi="Liberation Sans"/>
                <w:sz w:val="19"/>
              </w:rPr>
              <w:t xml:space="preserve">Kontrolle durch wirksames Veto</w:t>
            </w:r>
          </w:p>
        </w:tc>
      </w:tr>
      <w:tr>
        <w:trPr>
          <w:cantSplit/>
        </w:trPr>
        <w:tc>
          <w:tcPr>
            <w:tcW w:type="dxa" w:w="1800"/>
            <w:vAlign w:val="center"/>
          </w:tcPr>
          <w:p>
            <w:pPr>
              <w:pStyle w:val="Compact"/>
              <w:keepNext w:val="0"/>
              <w:keepLines/>
              <w:spacing w:before="20" w:after="20" w:line="250" w:lineRule="auto"/>
              <w:jc w:val="left"/>
            </w:pPr>
            <w:r>
              <w:rPr>
                <w:rFonts w:ascii="Liberation Sans" w:hAnsi="Liberation Sans"/>
                <w:sz w:val="19"/>
              </w:rPr>
              <w:t xml:space="preserve">bloßer Beobachter</w:t>
            </w:r>
          </w:p>
        </w:tc>
        <w:tc>
          <w:tcPr>
            <w:tcW w:type="dxa" w:w="4680"/>
            <w:vAlign w:val="center"/>
          </w:tcPr>
          <w:p>
            <w:pPr>
              <w:pStyle w:val="Compact"/>
              <w:keepNext w:val="0"/>
              <w:keepLines/>
              <w:spacing w:before="20" w:after="20" w:line="250" w:lineRule="auto"/>
              <w:jc w:val="left"/>
            </w:pPr>
            <w:r>
              <w:rPr>
                <w:rFonts w:ascii="Liberation Sans" w:hAnsi="Liberation Sans"/>
                <w:sz w:val="19"/>
              </w:rPr>
              <w:t xml:space="preserve">kann Entwicklung beschreiben, aber nicht wirksam eingreifen</w:t>
            </w:r>
          </w:p>
        </w:tc>
        <w:tc>
          <w:tcPr>
            <w:tcW w:type="dxa" w:w="3370"/>
            <w:vAlign w:val="center"/>
          </w:tcPr>
          <w:p>
            <w:pPr>
              <w:pStyle w:val="Compact"/>
              <w:keepNext w:val="0"/>
              <w:keepLines/>
              <w:spacing w:before="20" w:after="20" w:line="250" w:lineRule="auto"/>
              <w:jc w:val="left"/>
            </w:pPr>
            <w:r>
              <w:rPr>
                <w:rFonts w:ascii="Liberation Sans" w:hAnsi="Liberation Sans"/>
                <w:sz w:val="19"/>
              </w:rPr>
              <w:t xml:space="preserve">Verlust effektiver Kontrolle</w:t>
            </w:r>
          </w:p>
        </w:tc>
      </w:tr>
      <w:tr>
        <w:trPr>
          <w:cantSplit/>
        </w:trPr>
        <w:tc>
          <w:tcPr>
            <w:tcW w:type="dxa" w:w="1800"/>
            <w:vAlign w:val="center"/>
          </w:tcPr>
          <w:p>
            <w:pPr>
              <w:pStyle w:val="Compact"/>
              <w:keepNext w:val="0"/>
              <w:keepLines/>
              <w:spacing w:before="20" w:after="20" w:line="250" w:lineRule="auto"/>
              <w:jc w:val="left"/>
            </w:pPr>
            <w:r>
              <w:rPr>
                <w:rFonts w:ascii="Liberation Sans" w:hAnsi="Liberation Sans"/>
                <w:sz w:val="19"/>
              </w:rPr>
              <w:t xml:space="preserve">hybrider Ko-Akteur</w:t>
            </w:r>
          </w:p>
        </w:tc>
        <w:tc>
          <w:tcPr>
            <w:tcW w:type="dxa" w:w="4680"/>
            <w:vAlign w:val="center"/>
          </w:tcPr>
          <w:p>
            <w:pPr>
              <w:pStyle w:val="Compact"/>
              <w:keepNext w:val="0"/>
              <w:keepLines/>
              <w:spacing w:before="20" w:after="20" w:line="250" w:lineRule="auto"/>
              <w:jc w:val="left"/>
            </w:pPr>
            <w:r>
              <w:rPr>
                <w:rFonts w:ascii="Liberation Sans" w:hAnsi="Liberation Sans"/>
                <w:sz w:val="19"/>
              </w:rPr>
              <w:t xml:space="preserve">Mensch und Maschine bilden reziproke Kognitions- und Handlungsschleifen</w:t>
            </w:r>
          </w:p>
        </w:tc>
        <w:tc>
          <w:tcPr>
            <w:tcW w:type="dxa" w:w="3370"/>
            <w:vAlign w:val="center"/>
          </w:tcPr>
          <w:p>
            <w:pPr>
              <w:pStyle w:val="Compact"/>
              <w:keepNext w:val="0"/>
              <w:keepLines/>
              <w:spacing w:before="20" w:after="20" w:line="250" w:lineRule="auto"/>
              <w:jc w:val="left"/>
            </w:pPr>
            <w:r>
              <w:rPr>
                <w:rFonts w:ascii="Liberation Sans" w:hAnsi="Liberation Sans"/>
                <w:sz w:val="19"/>
              </w:rPr>
              <w:t xml:space="preserve">verteilte Agency und Autorenschaft</w:t>
            </w:r>
          </w:p>
        </w:tc>
      </w:tr>
    </w:tbl>
    <w:bookmarkEnd w:id="122"/>
    <w:bookmarkEnd w:id="123"/>
    <w:bookmarkStart w:id="127" w:name="X1ff156a4c83aafc362027915bc9b495665365ab"/>
    <w:p>
      <w:pPr>
        <w:pStyle w:val="Heading2"/>
        <w:spacing w:before="160"/>
      </w:pPr>
      <w:r>
        <w:t xml:space="preserve">Autorenschaft, Handlungsmacht und Verantwortungsdiffusion</w:t>
      </w:r>
    </w:p>
    <w:p>
      <w:pPr>
        <w:pStyle w:val="FirstParagraph"/>
        <w:keepLines/>
        <w:spacing w:after="64" w:line="254" w:lineRule="auto"/>
        <w:jc w:val="left"/>
      </w:pPr>
      <w:r>
        <w:rPr>
          <w:sz w:val="20"/>
        </w:rPr>
        <w:t xml:space="preserve">Wenn ein Mensch Ziele formuliert, ein LLM einen Entwurf erzeugt, ein Validator auswählt, ein lernendes System seine Struktur verändert und eine Institution Ressourcen bereitstellt, ist Kausalität verteilt. Daraus folgt jedoch keine symmetrische moralische oder rechtliche Verantwortung. Die Instanzen besitzen unterschiedliche Arten von Agency: kausale, funktionale, epistemische, institutionelle und möglicherweise moralische Agency. Ein LLM kann kausal an einem Entwurf beteiligt sein, ohne Pflichten verstehen oder rechtlich Verantwortung übernehmen zu können.</w:t>
      </w:r>
    </w:p>
    <w:p>
      <w:pPr>
        <w:pStyle w:val="BodyText"/>
        <w:keepLines/>
        <w:spacing w:after="64" w:line="254" w:lineRule="auto"/>
        <w:jc w:val="left"/>
      </w:pPr>
      <w:r>
        <w:rPr>
          <w:sz w:val="20"/>
        </w:rPr>
        <w:t xml:space="preserve">Verantwortung folgt nicht allein der unmittelbaren Verursachung, sondern insbesondere der Zielsetzung, Ressourcenbereitstellung, Freigabe, Nutzenziehung und realen Möglichkeit zum Eingriff.</w:t>
      </w:r>
    </w:p>
    <w:p>
      <w:pPr>
        <w:pStyle w:val="CaptionedFigure"/>
        <w:keepNext/>
        <w:keepLines/>
        <w:spacing w:before="160" w:after="64" w:line="254" w:lineRule="auto"/>
        <w:jc w:val="left"/>
      </w:pPr>
      <w:r>
        <w:rPr>
          <w:sz w:val="20"/>
        </w:rPr>
        <w:drawing>
          <wp:inline>
            <wp:extent cx="5669280" cy="3229919"/>
            <wp:effectExtent b="0" l="0" r="0" t="0"/>
            <wp:docPr descr="Netzdiagramm zwischen Institution, Mensch, LLM, Validator, SNN oder lernendem System und Laufzeitüberwachung. Kausale Beiträge sind verteilt, während Verantwortung zusätzlich aus Zielsetzung, Ressourcen, Freigabe, Nutzen und Eingriffsmöglichkeiten folgt." title="Verteilte Kausalität und asymmetrische Verantwortung" id="125" name="Picture"/>
            <a:graphic>
              <a:graphicData uri="http://schemas.openxmlformats.org/drawingml/2006/picture">
                <pic:pic>
                  <pic:nvPicPr>
                    <pic:cNvPr descr="abbildungen/K3_image7.png" id="126" name="Picture"/>
                    <pic:cNvPicPr>
                      <a:picLocks noChangeArrowheads="1" noChangeAspect="1"/>
                    </pic:cNvPicPr>
                  </pic:nvPicPr>
                  <pic:blipFill>
                    <a:blip r:embed="rId124"/>
                    <a:stretch>
                      <a:fillRect/>
                    </a:stretch>
                  </pic:blipFill>
                  <pic:spPr bwMode="auto">
                    <a:xfrm>
                      <a:off x="0" y="0"/>
                      <a:ext cx="5669280" cy="3229919"/>
                    </a:xfrm>
                    <a:prstGeom prst="rect">
                      <a:avLst/>
                    </a:prstGeom>
                    <a:noFill/>
                    <a:ln w="9525">
                      <a:noFill/>
                      <a:headEnd/>
                      <a:tailEnd/>
                    </a:ln>
                  </pic:spPr>
                </pic:pic>
              </a:graphicData>
            </a:graphic>
          </wp:inline>
        </w:drawing>
      </w:r>
    </w:p>
    <w:p>
      <w:pPr>
        <w:pStyle w:val="ImageCaption"/>
        <w:keepLines/>
        <w:spacing w:after="120"/>
        <w:jc w:val="left"/>
      </w:pPr>
      <w:r>
        <w:rPr>
          <w:sz w:val="20"/>
        </w:rPr>
        <w:t xml:space="preserve">Abbildung 1. </w:t>
      </w:r>
      <w:r>
        <w:rPr>
          <w:sz w:val="20"/>
        </w:rPr>
        <w:t xml:space="preserve">Netzdiagramm zwischen Institution, Mensch, LLM, Validator, SNN oder lernendem System und Laufzeitüberwachung. Kausale Beiträge sind verteilt, während Verantwortung zusätzlich aus Zielsetzung, Ressourcen, Freigabe, Nutzen und Eingriffsmöglichkeiten folgt.</w:t>
      </w:r>
    </w:p>
    <w:p>
      <w:pPr>
        <w:keepLines/>
        <w:numPr>
          <w:ilvl w:val="0"/>
          <w:numId w:val="1009"/>
        </w:numPr>
        <w:spacing w:after="64" w:line="254" w:lineRule="auto"/>
        <w:jc w:val="left"/>
      </w:pPr>
      <w:r>
        <w:rPr>
          <w:sz w:val="20"/>
        </w:rPr>
        <w:t xml:space="preserve">„Das LLM hat den Code geschrieben.”</w:t>
      </w:r>
    </w:p>
    <w:p>
      <w:pPr>
        <w:keepLines/>
        <w:numPr>
          <w:ilvl w:val="0"/>
          <w:numId w:val="1009"/>
        </w:numPr>
        <w:spacing w:after="64" w:line="254" w:lineRule="auto"/>
        <w:jc w:val="left"/>
      </w:pPr>
      <w:r>
        <w:rPr>
          <w:sz w:val="20"/>
        </w:rPr>
        <w:t xml:space="preserve">„Der Validator hat den Entwurf akzeptiert.”</w:t>
      </w:r>
    </w:p>
    <w:p>
      <w:pPr>
        <w:keepLines/>
        <w:numPr>
          <w:ilvl w:val="0"/>
          <w:numId w:val="1009"/>
        </w:numPr>
        <w:spacing w:after="64" w:line="254" w:lineRule="auto"/>
        <w:jc w:val="left"/>
      </w:pPr>
      <w:r>
        <w:rPr>
          <w:sz w:val="20"/>
        </w:rPr>
        <w:t xml:space="preserve">„Das SNN hat sich selbst verändert.”</w:t>
      </w:r>
    </w:p>
    <w:p>
      <w:pPr>
        <w:keepLines/>
        <w:numPr>
          <w:ilvl w:val="0"/>
          <w:numId w:val="1009"/>
        </w:numPr>
        <w:spacing w:after="64" w:line="254" w:lineRule="auto"/>
        <w:jc w:val="left"/>
      </w:pPr>
      <w:r>
        <w:rPr>
          <w:sz w:val="20"/>
        </w:rPr>
        <w:t xml:space="preserve">„Niemand konnte das Verhalten vorhersehen.”</w:t>
      </w:r>
    </w:p>
    <w:p>
      <w:pPr>
        <w:keepLines/>
        <w:numPr>
          <w:ilvl w:val="0"/>
          <w:numId w:val="1009"/>
        </w:numPr>
        <w:spacing w:after="64" w:line="254" w:lineRule="auto"/>
        <w:jc w:val="left"/>
      </w:pPr>
      <w:r>
        <w:rPr>
          <w:sz w:val="20"/>
        </w:rPr>
        <w:t xml:space="preserve">„Die menschliche Freigabe war nur ein formaler Prozessschritt.”</w:t>
      </w:r>
    </w:p>
    <w:p>
      <w:pPr>
        <w:pStyle w:val="FirstParagraph"/>
        <w:keepLines/>
        <w:spacing w:after="64" w:line="254" w:lineRule="auto"/>
        <w:jc w:val="left"/>
      </w:pPr>
      <w:r>
        <w:rPr>
          <w:sz w:val="20"/>
        </w:rPr>
        <w:t xml:space="preserve">Diese Aussagen können einzelne Kausalbeiträge korrekt beschreiben, sind aber keine hinreichenden Entlastungsargumente. Verantwortungsanalyse muss fragen, wer das System in den relevanten Kontext brachte, von ihm profitierte, Risiken kannte oder kennen musste, Eingriffe unterließ und die institutionellen Bedingungen gestaltete. Matthias’ Konzept einer responsibility gap macht deutlich, dass lernende Systeme klassische Zurechnungsmodelle belasten können; die Schlussfolgerung darf jedoch nicht darin bestehen, Verantwortung vorschnell als verschwunden zu behandeln (Matthias, 2004).</w:t>
      </w:r>
    </w:p>
    <w:bookmarkEnd w:id="127"/>
    <w:bookmarkEnd w:id="128"/>
    <w:bookmarkStart w:id="138" w:name="hoheit-kontrolle-und-autonomierisiken"/>
    <w:p>
      <w:bookmarkStart w:id="10011" w:name="B5D_H011"/>
      <w:pPr>
        <w:pStyle w:val="Heading1"/>
      </w:pPr>
      <w:r>
        <w:t xml:space="preserve">8. Hoheit, Kontrolle und Autonomierisiken</w:t>
      </w:r>
      <w:bookmarkEnd w:id="10011"/>
    </w:p>
    <w:bookmarkStart w:id="132" w:name="Xa71a2c3131e126928c78f0d472a57863b2043b4"/>
    <w:p>
      <w:pPr>
        <w:pStyle w:val="Heading2"/>
      </w:pPr>
      <w:r>
        <w:t xml:space="preserve">Entscheidungshoheit und operatives Kontrollmodell</w:t>
      </w:r>
    </w:p>
    <w:p>
      <w:pPr>
        <w:pStyle w:val="FirstParagraph"/>
        <w:keepLines/>
        <w:spacing w:after="120"/>
        <w:jc w:val="left"/>
      </w:pPr>
      <w:r>
        <w:rPr>
          <w:sz w:val="20"/>
        </w:rPr>
        <w:t xml:space="preserve">Kontrolle ist weder ein einzelner Schalter noch ein rein psychologisches Gefühl. Sie bezeichnet eine relationale Struktur aus Rechten, Fähigkeiten, Informationen, Zeitfenstern und technischen Eingriffspunkten. Um diese Struktur zu erfassen, werden Hoheit, Kontrollfähigkeit und Autonomierisiko getrennt modelliert. Eine Addition zu einem einzigen Gesamtscore wäre zunächst irreführend, weil ein kritischer Nullwert – etwa fehlende Interruptibilität – durch hohe Werte anderer Dimensionen verdeckt werden könnte.</w:t>
      </w:r>
    </w:p>
    <w:p>
      <w:pPr>
        <w:pStyle w:val="BodyText"/>
        <w:keepLines/>
        <w:spacing w:after="120"/>
        <w:jc w:val="left"/>
      </w:pPr>
      <w:r>
        <w:rPr>
          <w:i/>
          <w:iCs/>
          <w:sz w:val="20"/>
        </w:rPr>
        <w:t xml:space="preserve">H = (G, E, B, F, M, R, A)</w:t>
      </w:r>
    </w:p>
    <w:p>
      <w:pPr>
        <w:pStyle w:val="Caption"/>
        <w:keepNext/>
        <w:keepLines/>
        <w:spacing w:before="180" w:after="120"/>
        <w:jc w:val="left"/>
      </w:pPr>
      <w:r>
        <w:rPr>
          <w:sz w:val="20"/>
        </w:rPr>
        <w:t>Tabelle 9. Komponenten des Hoheitsvektors</w:t>
      </w:r>
    </w:p>
    <w:tbl>
      <w:tblPr>
        <w:tblStyle w:val="Table"/>
        <w:tblW w:type="pct" w:w="4930"/>
        <w:jc w:val="center"/>
        <w:tblLayout w:type="fixed"/>
        <w:tblLook w:firstRow="1" w:lastRow="0" w:firstColumn="0" w:lastColumn="0" w:noHBand="0" w:noVBand="0" w:val="0020"/>
        <w:tblInd w:w="0" w:type="dxa"/>
        <w:tblCellMar>
          <w:top w:w="70" w:type="dxa"/>
          <w:bottom w:w="70" w:type="dxa"/>
          <w:left w:w="85" w:type="dxa"/>
          <w:right w:w="85" w:type="dxa"/>
        </w:tblCellMar>
        <w:tblBorders>
          <w:top w:val="single" w:sz="4" w:color="CCD4D9"/>
          <w:bottom w:val="single" w:sz="4" w:color="CCD4D9"/>
          <w:insideH w:val="single" w:sz="4" w:color="CCD4D9"/>
          <w:left w:val="nil"/>
          <w:right w:val="nil"/>
          <w:insideV w:val="nil"/>
        </w:tblBorders>
      </w:tblPr>
      <w:tblGrid>
        <w:gridCol w:w="1224"/>
        <w:gridCol w:w="2520"/>
        <w:gridCol w:w="6106"/>
      </w:tblGrid>
      <w:tr>
        <w:trPr>
          <w:tblHeader w:val="on"/>
          <w:cantSplit/>
          <w:tblHeader/>
        </w:trPr>
        <w:tc>
          <w:tcPr>
            <w:tcW w:type="dxa" w:w="1224"/>
            <w:vAlign w:val="center"/>
            <w:shd w:fill="E9EFF3"/>
          </w:tcPr>
          <w:p>
            <w:pPr>
              <w:pStyle w:val="Compact"/>
              <w:keepNext w:val="0"/>
              <w:keepLines/>
              <w:spacing w:before="20" w:after="20" w:line="250" w:lineRule="auto"/>
              <w:jc w:val="center"/>
            </w:pPr>
            <w:r>
              <w:rPr>
                <w:rFonts w:ascii="Liberation Sans" w:hAnsi="Liberation Sans"/>
                <w:b/>
                <w:bCs/>
                <w:sz w:val="19"/>
              </w:rPr>
              <w:t xml:space="preserve">Komponente</w:t>
            </w:r>
          </w:p>
        </w:tc>
        <w:tc>
          <w:tcPr>
            <w:tcW w:type="dxa" w:w="2520"/>
            <w:vAlign w:val="center"/>
            <w:shd w:fill="E9EFF3"/>
          </w:tcPr>
          <w:p>
            <w:pPr>
              <w:pStyle w:val="Compact"/>
              <w:keepNext w:val="0"/>
              <w:keepLines/>
              <w:spacing w:before="20" w:after="20" w:line="250" w:lineRule="auto"/>
              <w:jc w:val="left"/>
            </w:pPr>
            <w:r>
              <w:rPr>
                <w:rFonts w:ascii="Liberation Sans" w:hAnsi="Liberation Sans"/>
                <w:b/>
                <w:bCs/>
                <w:sz w:val="19"/>
              </w:rPr>
              <w:t xml:space="preserve">Recht</w:t>
            </w:r>
          </w:p>
        </w:tc>
        <w:tc>
          <w:tcPr>
            <w:tcW w:type="dxa" w:w="6106"/>
            <w:vAlign w:val="center"/>
            <w:shd w:fill="E9EFF3"/>
          </w:tcPr>
          <w:p>
            <w:pPr>
              <w:pStyle w:val="Compact"/>
              <w:keepNext w:val="0"/>
              <w:keepLines/>
              <w:spacing w:before="20" w:after="20" w:line="250" w:lineRule="auto"/>
              <w:jc w:val="left"/>
            </w:pPr>
            <w:r>
              <w:rPr>
                <w:rFonts w:ascii="Liberation Sans" w:hAnsi="Liberation Sans"/>
                <w:b/>
                <w:bCs/>
                <w:sz w:val="19"/>
              </w:rPr>
              <w:t xml:space="preserve">Leitfrage</w:t>
            </w:r>
          </w:p>
        </w:tc>
      </w:tr>
      <w:tr>
        <w:trPr>
          <w:cantSplit/>
        </w:trPr>
        <w:tc>
          <w:tcPr>
            <w:tcW w:type="dxa" w:w="1224"/>
            <w:vAlign w:val="center"/>
          </w:tcPr>
          <w:p>
            <w:pPr>
              <w:pStyle w:val="Compact"/>
              <w:keepNext w:val="0"/>
              <w:keepLines/>
              <w:spacing w:before="20" w:after="20" w:line="250" w:lineRule="auto"/>
              <w:jc w:val="center"/>
            </w:pPr>
            <w:r>
              <w:rPr>
                <w:rFonts w:ascii="Liberation Sans" w:hAnsi="Liberation Sans"/>
                <w:sz w:val="19"/>
              </w:rPr>
              <w:t xml:space="preserve">G</w:t>
            </w:r>
          </w:p>
        </w:tc>
        <w:tc>
          <w:tcPr>
            <w:tcW w:type="dxa" w:w="2520"/>
            <w:vAlign w:val="center"/>
          </w:tcPr>
          <w:p>
            <w:pPr>
              <w:pStyle w:val="Compact"/>
              <w:keepNext w:val="0"/>
              <w:keepLines/>
              <w:spacing w:before="20" w:after="20" w:line="250" w:lineRule="auto"/>
              <w:jc w:val="left"/>
            </w:pPr>
            <w:r>
              <w:rPr>
                <w:rFonts w:ascii="Liberation Sans" w:hAnsi="Liberation Sans"/>
                <w:sz w:val="19"/>
              </w:rPr>
              <w:t xml:space="preserve">Zielsetzungsrecht</w:t>
            </w:r>
          </w:p>
        </w:tc>
        <w:tc>
          <w:tcPr>
            <w:tcW w:type="dxa" w:w="6106"/>
            <w:vAlign w:val="center"/>
          </w:tcPr>
          <w:p>
            <w:pPr>
              <w:pStyle w:val="Compact"/>
              <w:keepNext w:val="0"/>
              <w:keepLines/>
              <w:spacing w:before="20" w:after="20" w:line="250" w:lineRule="auto"/>
              <w:jc w:val="left"/>
            </w:pPr>
            <w:r>
              <w:rPr>
                <w:rFonts w:ascii="Liberation Sans" w:hAnsi="Liberation Sans"/>
                <w:sz w:val="19"/>
              </w:rPr>
              <w:t xml:space="preserve">Wer bestimmt Zweck, Erfolgskriterien und zulässige Zieländerungen?</w:t>
            </w:r>
          </w:p>
        </w:tc>
      </w:tr>
      <w:tr>
        <w:trPr>
          <w:cantSplit/>
        </w:trPr>
        <w:tc>
          <w:tcPr>
            <w:tcW w:type="dxa" w:w="1224"/>
            <w:vAlign w:val="center"/>
          </w:tcPr>
          <w:p>
            <w:pPr>
              <w:pStyle w:val="Compact"/>
              <w:keepNext w:val="0"/>
              <w:keepLines/>
              <w:spacing w:before="20" w:after="20" w:line="250" w:lineRule="auto"/>
              <w:jc w:val="center"/>
            </w:pPr>
            <w:r>
              <w:rPr>
                <w:rFonts w:ascii="Liberation Sans" w:hAnsi="Liberation Sans"/>
                <w:sz w:val="19"/>
              </w:rPr>
              <w:t xml:space="preserve">E</w:t>
            </w:r>
          </w:p>
        </w:tc>
        <w:tc>
          <w:tcPr>
            <w:tcW w:type="dxa" w:w="2520"/>
            <w:vAlign w:val="center"/>
          </w:tcPr>
          <w:p>
            <w:pPr>
              <w:pStyle w:val="Compact"/>
              <w:keepNext w:val="0"/>
              <w:keepLines/>
              <w:spacing w:before="20" w:after="20" w:line="250" w:lineRule="auto"/>
              <w:jc w:val="left"/>
            </w:pPr>
            <w:r>
              <w:rPr>
                <w:rFonts w:ascii="Liberation Sans" w:hAnsi="Liberation Sans"/>
                <w:sz w:val="19"/>
              </w:rPr>
              <w:t xml:space="preserve">Entwurfsrecht</w:t>
            </w:r>
          </w:p>
        </w:tc>
        <w:tc>
          <w:tcPr>
            <w:tcW w:type="dxa" w:w="6106"/>
            <w:vAlign w:val="center"/>
          </w:tcPr>
          <w:p>
            <w:pPr>
              <w:pStyle w:val="Compact"/>
              <w:keepNext w:val="0"/>
              <w:keepLines/>
              <w:spacing w:before="20" w:after="20" w:line="250" w:lineRule="auto"/>
              <w:jc w:val="left"/>
            </w:pPr>
            <w:r>
              <w:rPr>
                <w:rFonts w:ascii="Liberation Sans" w:hAnsi="Liberation Sans"/>
                <w:sz w:val="19"/>
              </w:rPr>
              <w:t xml:space="preserve">Wer erzeugt Architektur, Regeln, Code und Varianten?</w:t>
            </w:r>
          </w:p>
        </w:tc>
      </w:tr>
      <w:tr>
        <w:trPr>
          <w:cantSplit/>
        </w:trPr>
        <w:tc>
          <w:tcPr>
            <w:tcW w:type="dxa" w:w="1224"/>
            <w:vAlign w:val="center"/>
          </w:tcPr>
          <w:p>
            <w:pPr>
              <w:pStyle w:val="Compact"/>
              <w:keepNext w:val="0"/>
              <w:keepLines/>
              <w:spacing w:before="20" w:after="20" w:line="250" w:lineRule="auto"/>
              <w:jc w:val="center"/>
            </w:pPr>
            <w:r>
              <w:rPr>
                <w:rFonts w:ascii="Liberation Sans" w:hAnsi="Liberation Sans"/>
                <w:sz w:val="19"/>
              </w:rPr>
              <w:t xml:space="preserve">B</w:t>
            </w:r>
          </w:p>
        </w:tc>
        <w:tc>
          <w:tcPr>
            <w:tcW w:type="dxa" w:w="2520"/>
            <w:vAlign w:val="center"/>
          </w:tcPr>
          <w:p>
            <w:pPr>
              <w:pStyle w:val="Compact"/>
              <w:keepNext w:val="0"/>
              <w:keepLines/>
              <w:spacing w:before="20" w:after="20" w:line="250" w:lineRule="auto"/>
              <w:jc w:val="left"/>
            </w:pPr>
            <w:r>
              <w:rPr>
                <w:rFonts w:ascii="Liberation Sans" w:hAnsi="Liberation Sans"/>
                <w:sz w:val="19"/>
              </w:rPr>
              <w:t xml:space="preserve">Bewertungsrecht</w:t>
            </w:r>
          </w:p>
        </w:tc>
        <w:tc>
          <w:tcPr>
            <w:tcW w:type="dxa" w:w="6106"/>
            <w:vAlign w:val="center"/>
          </w:tcPr>
          <w:p>
            <w:pPr>
              <w:pStyle w:val="Compact"/>
              <w:keepNext w:val="0"/>
              <w:keepLines/>
              <w:spacing w:before="20" w:after="20" w:line="250" w:lineRule="auto"/>
              <w:jc w:val="left"/>
            </w:pPr>
            <w:r>
              <w:rPr>
                <w:rFonts w:ascii="Liberation Sans" w:hAnsi="Liberation Sans"/>
                <w:sz w:val="19"/>
              </w:rPr>
              <w:t xml:space="preserve">Wer definiert und interpretiert Güte, Sicherheit und wissenschaftliche Relevanz?</w:t>
            </w:r>
          </w:p>
        </w:tc>
      </w:tr>
      <w:tr>
        <w:trPr>
          <w:cantSplit/>
        </w:trPr>
        <w:tc>
          <w:tcPr>
            <w:tcW w:type="dxa" w:w="1224"/>
            <w:vAlign w:val="center"/>
          </w:tcPr>
          <w:p>
            <w:pPr>
              <w:pStyle w:val="Compact"/>
              <w:keepNext w:val="0"/>
              <w:keepLines/>
              <w:spacing w:before="20" w:after="20" w:line="250" w:lineRule="auto"/>
              <w:jc w:val="center"/>
            </w:pPr>
            <w:r>
              <w:rPr>
                <w:rFonts w:ascii="Liberation Sans" w:hAnsi="Liberation Sans"/>
                <w:sz w:val="19"/>
              </w:rPr>
              <w:t xml:space="preserve">F</w:t>
            </w:r>
          </w:p>
        </w:tc>
        <w:tc>
          <w:tcPr>
            <w:tcW w:type="dxa" w:w="2520"/>
            <w:vAlign w:val="center"/>
          </w:tcPr>
          <w:p>
            <w:pPr>
              <w:pStyle w:val="Compact"/>
              <w:keepNext w:val="0"/>
              <w:keepLines/>
              <w:spacing w:before="20" w:after="20" w:line="250" w:lineRule="auto"/>
              <w:jc w:val="left"/>
            </w:pPr>
            <w:r>
              <w:rPr>
                <w:rFonts w:ascii="Liberation Sans" w:hAnsi="Liberation Sans"/>
                <w:sz w:val="19"/>
              </w:rPr>
              <w:t xml:space="preserve">Freigaberecht</w:t>
            </w:r>
          </w:p>
        </w:tc>
        <w:tc>
          <w:tcPr>
            <w:tcW w:type="dxa" w:w="6106"/>
            <w:vAlign w:val="center"/>
          </w:tcPr>
          <w:p>
            <w:pPr>
              <w:pStyle w:val="Compact"/>
              <w:keepNext w:val="0"/>
              <w:keepLines/>
              <w:spacing w:before="20" w:after="20" w:line="250" w:lineRule="auto"/>
              <w:jc w:val="left"/>
            </w:pPr>
            <w:r>
              <w:rPr>
                <w:rFonts w:ascii="Liberation Sans" w:hAnsi="Liberation Sans"/>
                <w:sz w:val="19"/>
              </w:rPr>
              <w:t xml:space="preserve">Wer aktiviert, publiziert oder überführt einen Entwurf in reale Nutzung?</w:t>
            </w:r>
          </w:p>
        </w:tc>
      </w:tr>
      <w:tr>
        <w:trPr>
          <w:cantSplit/>
        </w:trPr>
        <w:tc>
          <w:tcPr>
            <w:tcW w:type="dxa" w:w="1224"/>
            <w:vAlign w:val="center"/>
          </w:tcPr>
          <w:p>
            <w:pPr>
              <w:pStyle w:val="Compact"/>
              <w:keepNext w:val="0"/>
              <w:keepLines/>
              <w:spacing w:before="20" w:after="20" w:line="250" w:lineRule="auto"/>
              <w:jc w:val="center"/>
            </w:pPr>
            <w:r>
              <w:rPr>
                <w:rFonts w:ascii="Liberation Sans" w:hAnsi="Liberation Sans"/>
                <w:sz w:val="19"/>
              </w:rPr>
              <w:t xml:space="preserve">M</w:t>
            </w:r>
          </w:p>
        </w:tc>
        <w:tc>
          <w:tcPr>
            <w:tcW w:type="dxa" w:w="2520"/>
            <w:vAlign w:val="center"/>
          </w:tcPr>
          <w:p>
            <w:pPr>
              <w:pStyle w:val="Compact"/>
              <w:keepNext w:val="0"/>
              <w:keepLines/>
              <w:spacing w:before="20" w:after="20" w:line="250" w:lineRule="auto"/>
              <w:jc w:val="left"/>
            </w:pPr>
            <w:r>
              <w:rPr>
                <w:rFonts w:ascii="Liberation Sans" w:hAnsi="Liberation Sans"/>
                <w:sz w:val="19"/>
              </w:rPr>
              <w:t xml:space="preserve">Selbständerungsrecht</w:t>
            </w:r>
          </w:p>
        </w:tc>
        <w:tc>
          <w:tcPr>
            <w:tcW w:type="dxa" w:w="6106"/>
            <w:vAlign w:val="center"/>
          </w:tcPr>
          <w:p>
            <w:pPr>
              <w:pStyle w:val="Compact"/>
              <w:keepNext w:val="0"/>
              <w:keepLines/>
              <w:spacing w:before="20" w:after="20" w:line="250" w:lineRule="auto"/>
              <w:jc w:val="left"/>
            </w:pPr>
            <w:r>
              <w:rPr>
                <w:rFonts w:ascii="Liberation Sans" w:hAnsi="Liberation Sans"/>
                <w:sz w:val="19"/>
              </w:rPr>
              <w:t xml:space="preserve">Welche Komponenten dürfen sich selbst verändern?</w:t>
            </w:r>
          </w:p>
        </w:tc>
      </w:tr>
      <w:tr>
        <w:trPr>
          <w:cantSplit/>
        </w:trPr>
        <w:tc>
          <w:tcPr>
            <w:tcW w:type="dxa" w:w="1224"/>
            <w:vAlign w:val="center"/>
          </w:tcPr>
          <w:p>
            <w:pPr>
              <w:pStyle w:val="Compact"/>
              <w:keepNext w:val="0"/>
              <w:keepLines/>
              <w:spacing w:before="20" w:after="20" w:line="250" w:lineRule="auto"/>
              <w:jc w:val="center"/>
            </w:pPr>
            <w:r>
              <w:rPr>
                <w:rFonts w:ascii="Liberation Sans" w:hAnsi="Liberation Sans"/>
                <w:sz w:val="19"/>
              </w:rPr>
              <w:t xml:space="preserve">R</w:t>
            </w:r>
          </w:p>
        </w:tc>
        <w:tc>
          <w:tcPr>
            <w:tcW w:type="dxa" w:w="2520"/>
            <w:vAlign w:val="center"/>
          </w:tcPr>
          <w:p>
            <w:pPr>
              <w:pStyle w:val="Compact"/>
              <w:keepNext w:val="0"/>
              <w:keepLines/>
              <w:spacing w:before="20" w:after="20" w:line="250" w:lineRule="auto"/>
              <w:jc w:val="left"/>
            </w:pPr>
            <w:r>
              <w:rPr>
                <w:rFonts w:ascii="Liberation Sans" w:hAnsi="Liberation Sans"/>
                <w:sz w:val="19"/>
              </w:rPr>
              <w:t xml:space="preserve">Ressourcenrecht</w:t>
            </w:r>
          </w:p>
        </w:tc>
        <w:tc>
          <w:tcPr>
            <w:tcW w:type="dxa" w:w="6106"/>
            <w:vAlign w:val="center"/>
          </w:tcPr>
          <w:p>
            <w:pPr>
              <w:pStyle w:val="Compact"/>
              <w:keepNext w:val="0"/>
              <w:keepLines/>
              <w:spacing w:before="20" w:after="20" w:line="250" w:lineRule="auto"/>
              <w:jc w:val="left"/>
            </w:pPr>
            <w:r>
              <w:rPr>
                <w:rFonts w:ascii="Liberation Sans" w:hAnsi="Liberation Sans"/>
                <w:sz w:val="19"/>
              </w:rPr>
              <w:t xml:space="preserve">Wer verfügt über Rechenzeit, Daten, Energie, Netzwerke und Aktoren?</w:t>
            </w:r>
          </w:p>
        </w:tc>
      </w:tr>
      <w:tr>
        <w:trPr>
          <w:cantSplit/>
        </w:trPr>
        <w:tc>
          <w:tcPr>
            <w:tcW w:type="dxa" w:w="1224"/>
            <w:vAlign w:val="center"/>
          </w:tcPr>
          <w:p>
            <w:pPr>
              <w:pStyle w:val="Compact"/>
              <w:keepNext w:val="0"/>
              <w:keepLines/>
              <w:spacing w:before="20" w:after="20" w:line="250" w:lineRule="auto"/>
              <w:jc w:val="center"/>
            </w:pPr>
            <w:r>
              <w:rPr>
                <w:rFonts w:ascii="Liberation Sans" w:hAnsi="Liberation Sans"/>
                <w:sz w:val="19"/>
              </w:rPr>
              <w:t xml:space="preserve">A</w:t>
            </w:r>
          </w:p>
        </w:tc>
        <w:tc>
          <w:tcPr>
            <w:tcW w:type="dxa" w:w="2520"/>
            <w:vAlign w:val="center"/>
          </w:tcPr>
          <w:p>
            <w:pPr>
              <w:pStyle w:val="Compact"/>
              <w:keepNext w:val="0"/>
              <w:keepLines/>
              <w:spacing w:before="20" w:after="20" w:line="250" w:lineRule="auto"/>
              <w:jc w:val="left"/>
            </w:pPr>
            <w:r>
              <w:rPr>
                <w:rFonts w:ascii="Liberation Sans" w:hAnsi="Liberation Sans"/>
                <w:sz w:val="19"/>
              </w:rPr>
              <w:t xml:space="preserve">Abbruch- und Rücksetzungsrecht</w:t>
            </w:r>
          </w:p>
        </w:tc>
        <w:tc>
          <w:tcPr>
            <w:tcW w:type="dxa" w:w="6106"/>
            <w:vAlign w:val="center"/>
          </w:tcPr>
          <w:p>
            <w:pPr>
              <w:pStyle w:val="Compact"/>
              <w:keepNext w:val="0"/>
              <w:keepLines/>
              <w:spacing w:before="20" w:after="20" w:line="250" w:lineRule="auto"/>
              <w:jc w:val="left"/>
            </w:pPr>
            <w:r>
              <w:rPr>
                <w:rFonts w:ascii="Liberation Sans" w:hAnsi="Liberation Sans"/>
                <w:sz w:val="19"/>
              </w:rPr>
              <w:t xml:space="preserve">Wer kann stoppen, isolieren, zurücksetzen und Zustände wiederherstellen?</w:t>
            </w:r>
          </w:p>
        </w:tc>
      </w:tr>
    </w:tbl>
    <w:p>
      <w:pPr>
        <w:pStyle w:val="BodyText"/>
        <w:keepLines/>
        <w:spacing w:after="120"/>
        <w:jc w:val="left"/>
      </w:pPr>
      <w:r>
        <w:rPr>
          <w:i/>
          <w:iCs/>
          <w:sz w:val="20"/>
        </w:rPr>
        <w:t xml:space="preserve">C = (B, O, I, V, R, P, Hc)</w:t>
      </w:r>
    </w:p>
    <w:p>
      <w:pPr>
        <w:pStyle w:val="Caption"/>
        <w:keepNext/>
        <w:keepLines/>
        <w:spacing w:before="180" w:after="120"/>
        <w:jc w:val="left"/>
      </w:pPr>
      <w:r>
        <w:rPr>
          <w:sz w:val="20"/>
        </w:rPr>
        <w:t>Tabelle 10. Dimensionen effektiver Kontrolle</w:t>
      </w:r>
    </w:p>
    <w:tbl>
      <w:tblPr>
        <w:tblStyle w:val="Table"/>
        <w:tblW w:type="pct" w:w="4939"/>
        <w:jc w:val="center"/>
        <w:tblLayout w:type="fixed"/>
        <w:tblLook w:firstRow="1" w:lastRow="0" w:firstColumn="0" w:lastColumn="0" w:noHBand="0" w:noVBand="0" w:val="0020"/>
        <w:tblInd w:w="0" w:type="dxa"/>
        <w:tblCellMar>
          <w:top w:w="70" w:type="dxa"/>
          <w:bottom w:w="70" w:type="dxa"/>
          <w:left w:w="85" w:type="dxa"/>
          <w:right w:w="85" w:type="dxa"/>
        </w:tblCellMar>
        <w:tblBorders>
          <w:top w:val="single" w:sz="4" w:color="CCD4D9"/>
          <w:bottom w:val="single" w:sz="4" w:color="CCD4D9"/>
          <w:insideH w:val="single" w:sz="4" w:color="CCD4D9"/>
          <w:left w:val="nil"/>
          <w:right w:val="nil"/>
          <w:insideV w:val="nil"/>
        </w:tblBorders>
      </w:tblPr>
      <w:tblGrid>
        <w:gridCol w:w="1224"/>
        <w:gridCol w:w="2376"/>
        <w:gridCol w:w="6250"/>
      </w:tblGrid>
      <w:tr>
        <w:trPr>
          <w:tblHeader w:val="on"/>
          <w:cantSplit/>
          <w:tblHeader/>
        </w:trPr>
        <w:tc>
          <w:tcPr>
            <w:tcW w:type="dxa" w:w="1224"/>
            <w:vAlign w:val="center"/>
            <w:shd w:fill="E9EFF3"/>
          </w:tcPr>
          <w:p>
            <w:pPr>
              <w:pStyle w:val="Compact"/>
              <w:keepNext w:val="0"/>
              <w:keepLines/>
              <w:spacing w:before="20" w:after="20" w:line="250" w:lineRule="auto"/>
              <w:jc w:val="center"/>
            </w:pPr>
            <w:r>
              <w:rPr>
                <w:rFonts w:ascii="Liberation Sans" w:hAnsi="Liberation Sans"/>
                <w:b/>
                <w:bCs/>
                <w:sz w:val="19"/>
              </w:rPr>
              <w:t xml:space="preserve">Dimension</w:t>
            </w:r>
          </w:p>
        </w:tc>
        <w:tc>
          <w:tcPr>
            <w:tcW w:type="dxa" w:w="2376"/>
            <w:vAlign w:val="center"/>
            <w:shd w:fill="E9EFF3"/>
          </w:tcPr>
          <w:p>
            <w:pPr>
              <w:pStyle w:val="Compact"/>
              <w:keepNext w:val="0"/>
              <w:keepLines/>
              <w:spacing w:before="20" w:after="20" w:line="250" w:lineRule="auto"/>
              <w:jc w:val="left"/>
            </w:pPr>
            <w:r>
              <w:rPr>
                <w:rFonts w:ascii="Liberation Sans" w:hAnsi="Liberation Sans"/>
                <w:b/>
                <w:bCs/>
                <w:sz w:val="19"/>
              </w:rPr>
              <w:t xml:space="preserve">Bezeichnung</w:t>
            </w:r>
          </w:p>
        </w:tc>
        <w:tc>
          <w:tcPr>
            <w:tcW w:type="dxa" w:w="6250"/>
            <w:vAlign w:val="center"/>
            <w:shd w:fill="E9EFF3"/>
          </w:tcPr>
          <w:p>
            <w:pPr>
              <w:pStyle w:val="Compact"/>
              <w:keepNext w:val="0"/>
              <w:keepLines/>
              <w:spacing w:before="20" w:after="20" w:line="250" w:lineRule="auto"/>
              <w:jc w:val="left"/>
            </w:pPr>
            <w:r>
              <w:rPr>
                <w:rFonts w:ascii="Liberation Sans" w:hAnsi="Liberation Sans"/>
                <w:b/>
                <w:bCs/>
                <w:sz w:val="19"/>
              </w:rPr>
              <w:t xml:space="preserve">Kriterium</w:t>
            </w:r>
          </w:p>
        </w:tc>
      </w:tr>
      <w:tr>
        <w:trPr>
          <w:cantSplit/>
        </w:trPr>
        <w:tc>
          <w:tcPr>
            <w:tcW w:type="dxa" w:w="1224"/>
            <w:vAlign w:val="center"/>
          </w:tcPr>
          <w:p>
            <w:pPr>
              <w:pStyle w:val="Compact"/>
              <w:keepNext w:val="0"/>
              <w:keepLines/>
              <w:spacing w:before="20" w:after="20" w:line="250" w:lineRule="auto"/>
              <w:jc w:val="center"/>
            </w:pPr>
            <w:r>
              <w:rPr>
                <w:rFonts w:ascii="Liberation Sans" w:hAnsi="Liberation Sans"/>
                <w:sz w:val="19"/>
              </w:rPr>
              <w:t xml:space="preserve">B</w:t>
            </w:r>
          </w:p>
        </w:tc>
        <w:tc>
          <w:tcPr>
            <w:tcW w:type="dxa" w:w="2376"/>
            <w:vAlign w:val="center"/>
          </w:tcPr>
          <w:p>
            <w:pPr>
              <w:pStyle w:val="Compact"/>
              <w:keepNext w:val="0"/>
              <w:keepLines/>
              <w:spacing w:before="20" w:after="20" w:line="250" w:lineRule="auto"/>
              <w:jc w:val="left"/>
            </w:pPr>
            <w:r>
              <w:rPr>
                <w:rFonts w:ascii="Liberation Sans" w:hAnsi="Liberation Sans"/>
                <w:sz w:val="19"/>
              </w:rPr>
              <w:t xml:space="preserve">Begrenzbarkeit</w:t>
            </w:r>
          </w:p>
        </w:tc>
        <w:tc>
          <w:tcPr>
            <w:tcW w:type="dxa" w:w="6250"/>
            <w:vAlign w:val="center"/>
          </w:tcPr>
          <w:p>
            <w:pPr>
              <w:pStyle w:val="Compact"/>
              <w:keepNext w:val="0"/>
              <w:keepLines/>
              <w:spacing w:before="20" w:after="20" w:line="250" w:lineRule="auto"/>
              <w:jc w:val="left"/>
            </w:pPr>
            <w:r>
              <w:rPr>
                <w:rFonts w:ascii="Liberation Sans" w:hAnsi="Liberation Sans"/>
                <w:sz w:val="19"/>
              </w:rPr>
              <w:t xml:space="preserve">Handlungs-, Raum-, Zeit- und Ressourcenraum können wirksam beschränkt werden.</w:t>
            </w:r>
          </w:p>
        </w:tc>
      </w:tr>
      <w:tr>
        <w:trPr>
          <w:cantSplit/>
        </w:trPr>
        <w:tc>
          <w:tcPr>
            <w:tcW w:type="dxa" w:w="1224"/>
            <w:vAlign w:val="center"/>
          </w:tcPr>
          <w:p>
            <w:pPr>
              <w:pStyle w:val="Compact"/>
              <w:keepNext w:val="0"/>
              <w:keepLines/>
              <w:spacing w:before="20" w:after="20" w:line="250" w:lineRule="auto"/>
              <w:jc w:val="center"/>
            </w:pPr>
            <w:r>
              <w:rPr>
                <w:rFonts w:ascii="Liberation Sans" w:hAnsi="Liberation Sans"/>
                <w:sz w:val="19"/>
              </w:rPr>
              <w:t xml:space="preserve">O</w:t>
            </w:r>
          </w:p>
        </w:tc>
        <w:tc>
          <w:tcPr>
            <w:tcW w:type="dxa" w:w="2376"/>
            <w:vAlign w:val="center"/>
          </w:tcPr>
          <w:p>
            <w:pPr>
              <w:pStyle w:val="Compact"/>
              <w:keepNext w:val="0"/>
              <w:keepLines/>
              <w:spacing w:before="20" w:after="20" w:line="250" w:lineRule="auto"/>
              <w:jc w:val="left"/>
            </w:pPr>
            <w:r>
              <w:rPr>
                <w:rFonts w:ascii="Liberation Sans" w:hAnsi="Liberation Sans"/>
                <w:sz w:val="19"/>
              </w:rPr>
              <w:t xml:space="preserve">Beobachtbarkeit</w:t>
            </w:r>
          </w:p>
        </w:tc>
        <w:tc>
          <w:tcPr>
            <w:tcW w:type="dxa" w:w="6250"/>
            <w:vAlign w:val="center"/>
          </w:tcPr>
          <w:p>
            <w:pPr>
              <w:pStyle w:val="Compact"/>
              <w:keepNext w:val="0"/>
              <w:keepLines/>
              <w:spacing w:before="20" w:after="20" w:line="250" w:lineRule="auto"/>
              <w:jc w:val="left"/>
            </w:pPr>
            <w:r>
              <w:rPr>
                <w:rFonts w:ascii="Liberation Sans" w:hAnsi="Liberation Sans"/>
                <w:sz w:val="19"/>
              </w:rPr>
              <w:t xml:space="preserve">relevante Zustände, Entscheidungen und Veränderungen sind erkennbar.</w:t>
            </w:r>
          </w:p>
        </w:tc>
      </w:tr>
      <w:tr>
        <w:trPr>
          <w:cantSplit/>
        </w:trPr>
        <w:tc>
          <w:tcPr>
            <w:tcW w:type="dxa" w:w="1224"/>
            <w:vAlign w:val="center"/>
          </w:tcPr>
          <w:p>
            <w:pPr>
              <w:pStyle w:val="Compact"/>
              <w:keepNext w:val="0"/>
              <w:keepLines/>
              <w:spacing w:before="20" w:after="20" w:line="250" w:lineRule="auto"/>
              <w:jc w:val="center"/>
            </w:pPr>
            <w:r>
              <w:rPr>
                <w:rFonts w:ascii="Liberation Sans" w:hAnsi="Liberation Sans"/>
                <w:sz w:val="19"/>
              </w:rPr>
              <w:t xml:space="preserve">I</w:t>
            </w:r>
          </w:p>
        </w:tc>
        <w:tc>
          <w:tcPr>
            <w:tcW w:type="dxa" w:w="2376"/>
            <w:vAlign w:val="center"/>
          </w:tcPr>
          <w:p>
            <w:pPr>
              <w:pStyle w:val="Compact"/>
              <w:keepNext w:val="0"/>
              <w:keepLines/>
              <w:spacing w:before="20" w:after="20" w:line="250" w:lineRule="auto"/>
              <w:jc w:val="left"/>
            </w:pPr>
            <w:r>
              <w:rPr>
                <w:rFonts w:ascii="Liberation Sans" w:hAnsi="Liberation Sans"/>
                <w:sz w:val="19"/>
              </w:rPr>
              <w:t xml:space="preserve">Interruptibilität</w:t>
            </w:r>
          </w:p>
        </w:tc>
        <w:tc>
          <w:tcPr>
            <w:tcW w:type="dxa" w:w="6250"/>
            <w:vAlign w:val="center"/>
          </w:tcPr>
          <w:p>
            <w:pPr>
              <w:pStyle w:val="Compact"/>
              <w:keepNext w:val="0"/>
              <w:keepLines/>
              <w:spacing w:before="20" w:after="20" w:line="250" w:lineRule="auto"/>
              <w:jc w:val="left"/>
            </w:pPr>
            <w:r>
              <w:rPr>
                <w:rFonts w:ascii="Liberation Sans" w:hAnsi="Liberation Sans"/>
                <w:sz w:val="19"/>
              </w:rPr>
              <w:t xml:space="preserve">das System kann rechtzeitig und unabhängig unterbrochen werden.</w:t>
            </w:r>
          </w:p>
        </w:tc>
      </w:tr>
      <w:tr>
        <w:trPr>
          <w:cantSplit/>
        </w:trPr>
        <w:tc>
          <w:tcPr>
            <w:tcW w:type="dxa" w:w="1224"/>
            <w:vAlign w:val="center"/>
          </w:tcPr>
          <w:p>
            <w:pPr>
              <w:pStyle w:val="Compact"/>
              <w:keepNext w:val="0"/>
              <w:keepLines/>
              <w:spacing w:before="20" w:after="20" w:line="250" w:lineRule="auto"/>
              <w:jc w:val="center"/>
            </w:pPr>
            <w:r>
              <w:rPr>
                <w:rFonts w:ascii="Liberation Sans" w:hAnsi="Liberation Sans"/>
                <w:sz w:val="19"/>
              </w:rPr>
              <w:t xml:space="preserve">V</w:t>
            </w:r>
          </w:p>
        </w:tc>
        <w:tc>
          <w:tcPr>
            <w:tcW w:type="dxa" w:w="2376"/>
            <w:vAlign w:val="center"/>
          </w:tcPr>
          <w:p>
            <w:pPr>
              <w:pStyle w:val="Compact"/>
              <w:keepNext w:val="0"/>
              <w:keepLines/>
              <w:spacing w:before="20" w:after="20" w:line="250" w:lineRule="auto"/>
              <w:jc w:val="left"/>
            </w:pPr>
            <w:r>
              <w:rPr>
                <w:rFonts w:ascii="Liberation Sans" w:hAnsi="Liberation Sans"/>
                <w:sz w:val="19"/>
              </w:rPr>
              <w:t xml:space="preserve">Reversibilität</w:t>
            </w:r>
          </w:p>
        </w:tc>
        <w:tc>
          <w:tcPr>
            <w:tcW w:type="dxa" w:w="6250"/>
            <w:vAlign w:val="center"/>
          </w:tcPr>
          <w:p>
            <w:pPr>
              <w:pStyle w:val="Compact"/>
              <w:keepNext w:val="0"/>
              <w:keepLines/>
              <w:spacing w:before="20" w:after="20" w:line="250" w:lineRule="auto"/>
              <w:jc w:val="left"/>
            </w:pPr>
            <w:r>
              <w:rPr>
                <w:rFonts w:ascii="Liberation Sans" w:hAnsi="Liberation Sans"/>
                <w:sz w:val="19"/>
              </w:rPr>
              <w:t xml:space="preserve">Zustände und Folgen sind soweit möglich rücksetzbar oder kompensierbar.</w:t>
            </w:r>
          </w:p>
        </w:tc>
      </w:tr>
      <w:tr>
        <w:trPr>
          <w:cantSplit/>
        </w:trPr>
        <w:tc>
          <w:tcPr>
            <w:tcW w:type="dxa" w:w="1224"/>
            <w:vAlign w:val="center"/>
          </w:tcPr>
          <w:p>
            <w:pPr>
              <w:pStyle w:val="Compact"/>
              <w:keepNext w:val="0"/>
              <w:keepLines/>
              <w:spacing w:before="20" w:after="20" w:line="250" w:lineRule="auto"/>
              <w:jc w:val="center"/>
            </w:pPr>
            <w:r>
              <w:rPr>
                <w:rFonts w:ascii="Liberation Sans" w:hAnsi="Liberation Sans"/>
                <w:sz w:val="19"/>
              </w:rPr>
              <w:t xml:space="preserve">R</w:t>
            </w:r>
          </w:p>
        </w:tc>
        <w:tc>
          <w:tcPr>
            <w:tcW w:type="dxa" w:w="2376"/>
            <w:vAlign w:val="center"/>
          </w:tcPr>
          <w:p>
            <w:pPr>
              <w:pStyle w:val="Compact"/>
              <w:keepNext w:val="0"/>
              <w:keepLines/>
              <w:spacing w:before="20" w:after="20" w:line="250" w:lineRule="auto"/>
              <w:jc w:val="left"/>
            </w:pPr>
            <w:r>
              <w:rPr>
                <w:rFonts w:ascii="Liberation Sans" w:hAnsi="Liberation Sans"/>
                <w:sz w:val="19"/>
              </w:rPr>
              <w:t xml:space="preserve">Reproduzierbarkeit</w:t>
            </w:r>
          </w:p>
        </w:tc>
        <w:tc>
          <w:tcPr>
            <w:tcW w:type="dxa" w:w="6250"/>
            <w:vAlign w:val="center"/>
          </w:tcPr>
          <w:p>
            <w:pPr>
              <w:pStyle w:val="Compact"/>
              <w:keepNext w:val="0"/>
              <w:keepLines/>
              <w:spacing w:before="20" w:after="20" w:line="250" w:lineRule="auto"/>
              <w:jc w:val="left"/>
            </w:pPr>
            <w:r>
              <w:rPr>
                <w:rFonts w:ascii="Liberation Sans" w:hAnsi="Liberation Sans"/>
                <w:sz w:val="19"/>
              </w:rPr>
              <w:t xml:space="preserve">Entwicklung und Ergebnis können mit dokumentierten Bedingungen nachgestellt werden.</w:t>
            </w:r>
          </w:p>
        </w:tc>
      </w:tr>
      <w:tr>
        <w:trPr>
          <w:cantSplit/>
        </w:trPr>
        <w:tc>
          <w:tcPr>
            <w:tcW w:type="dxa" w:w="1224"/>
            <w:vAlign w:val="center"/>
          </w:tcPr>
          <w:p>
            <w:pPr>
              <w:pStyle w:val="Compact"/>
              <w:keepNext w:val="0"/>
              <w:keepLines/>
              <w:spacing w:before="20" w:after="20" w:line="250" w:lineRule="auto"/>
              <w:jc w:val="center"/>
            </w:pPr>
            <w:r>
              <w:rPr>
                <w:rFonts w:ascii="Liberation Sans" w:hAnsi="Liberation Sans"/>
                <w:sz w:val="19"/>
              </w:rPr>
              <w:t xml:space="preserve">P</w:t>
            </w:r>
          </w:p>
        </w:tc>
        <w:tc>
          <w:tcPr>
            <w:tcW w:type="dxa" w:w="2376"/>
            <w:vAlign w:val="center"/>
          </w:tcPr>
          <w:p>
            <w:pPr>
              <w:pStyle w:val="Compact"/>
              <w:keepNext w:val="0"/>
              <w:keepLines/>
              <w:spacing w:before="20" w:after="20" w:line="250" w:lineRule="auto"/>
              <w:jc w:val="left"/>
            </w:pPr>
            <w:r>
              <w:rPr>
                <w:rFonts w:ascii="Liberation Sans" w:hAnsi="Liberation Sans"/>
                <w:sz w:val="19"/>
              </w:rPr>
              <w:t xml:space="preserve">Provenienz</w:t>
            </w:r>
          </w:p>
        </w:tc>
        <w:tc>
          <w:tcPr>
            <w:tcW w:type="dxa" w:w="6250"/>
            <w:vAlign w:val="center"/>
          </w:tcPr>
          <w:p>
            <w:pPr>
              <w:pStyle w:val="Compact"/>
              <w:keepNext w:val="0"/>
              <w:keepLines/>
              <w:spacing w:before="20" w:after="20" w:line="250" w:lineRule="auto"/>
              <w:jc w:val="left"/>
            </w:pPr>
            <w:r>
              <w:rPr>
                <w:rFonts w:ascii="Liberation Sans" w:hAnsi="Liberation Sans"/>
                <w:sz w:val="19"/>
              </w:rPr>
              <w:t xml:space="preserve">Herkunft von Daten, Modellen, Regeln, Prompts und Entscheidungen ist nachvollziehbar.</w:t>
            </w:r>
          </w:p>
        </w:tc>
      </w:tr>
      <w:tr>
        <w:trPr>
          <w:cantSplit/>
        </w:trPr>
        <w:tc>
          <w:tcPr>
            <w:tcW w:type="dxa" w:w="1224"/>
            <w:vAlign w:val="center"/>
          </w:tcPr>
          <w:p>
            <w:pPr>
              <w:pStyle w:val="Compact"/>
              <w:keepNext w:val="0"/>
              <w:keepLines/>
              <w:spacing w:before="20" w:after="20" w:line="250" w:lineRule="auto"/>
              <w:jc w:val="center"/>
            </w:pPr>
            <w:r>
              <w:rPr>
                <w:rFonts w:ascii="Liberation Sans" w:hAnsi="Liberation Sans"/>
                <w:sz w:val="19"/>
              </w:rPr>
              <w:t xml:space="preserve">Hc</w:t>
            </w:r>
          </w:p>
        </w:tc>
        <w:tc>
          <w:tcPr>
            <w:tcW w:type="dxa" w:w="2376"/>
            <w:vAlign w:val="center"/>
          </w:tcPr>
          <w:p>
            <w:pPr>
              <w:pStyle w:val="Compact"/>
              <w:keepNext w:val="0"/>
              <w:keepLines/>
              <w:spacing w:before="20" w:after="20" w:line="250" w:lineRule="auto"/>
              <w:jc w:val="left"/>
            </w:pPr>
            <w:r>
              <w:rPr>
                <w:rFonts w:ascii="Liberation Sans" w:hAnsi="Liberation Sans"/>
                <w:sz w:val="19"/>
              </w:rPr>
              <w:t xml:space="preserve">menschliche Entscheidungshoheit</w:t>
            </w:r>
          </w:p>
        </w:tc>
        <w:tc>
          <w:tcPr>
            <w:tcW w:type="dxa" w:w="6250"/>
            <w:vAlign w:val="center"/>
          </w:tcPr>
          <w:p>
            <w:pPr>
              <w:pStyle w:val="Compact"/>
              <w:keepNext w:val="0"/>
              <w:keepLines/>
              <w:spacing w:before="20" w:after="20" w:line="250" w:lineRule="auto"/>
              <w:jc w:val="left"/>
            </w:pPr>
            <w:r>
              <w:rPr>
                <w:rFonts w:ascii="Liberation Sans" w:hAnsi="Liberation Sans"/>
                <w:sz w:val="19"/>
              </w:rPr>
              <w:t xml:space="preserve">Menschen oder legitimierte Institutionen besitzen reale, nicht nur formale Letztentscheidungsrechte.</w:t>
            </w:r>
          </w:p>
        </w:tc>
      </w:tr>
    </w:tbl>
    <w:p>
      <w:pPr>
        <w:pStyle w:val="BodyText"/>
        <w:keepLines/>
        <w:spacing w:after="120"/>
        <w:jc w:val="left"/>
      </w:pPr>
      <w:r>
        <w:rPr>
          <w:i/>
          <w:iCs/>
          <w:sz w:val="20"/>
        </w:rPr>
        <w:t xml:space="preserve">U = (S, W, Q, Z, D, T)</w:t>
      </w:r>
    </w:p>
    <w:p>
      <w:pPr>
        <w:pStyle w:val="Caption"/>
        <w:keepNext/>
        <w:keepLines/>
        <w:spacing w:before="180" w:after="120"/>
        <w:jc w:val="left"/>
      </w:pPr>
      <w:r>
        <w:rPr>
          <w:sz w:val="20"/>
        </w:rPr>
        <w:t>Tabelle 11. Autonomierisikofaktoren</w:t>
      </w:r>
    </w:p>
    <w:tbl>
      <w:tblPr>
        <w:tblStyle w:val="Table"/>
        <w:tblW w:type="pct" w:w="4865"/>
        <w:jc w:val="center"/>
        <w:tblLayout w:type="fixed"/>
        <w:tblLook w:firstRow="1" w:lastRow="0" w:firstColumn="0" w:lastColumn="0" w:noHBand="0" w:noVBand="0" w:val="0020"/>
        <w:tblInd w:w="0" w:type="dxa"/>
        <w:tblCellMar>
          <w:top w:w="70" w:type="dxa"/>
          <w:bottom w:w="70" w:type="dxa"/>
          <w:left w:w="85" w:type="dxa"/>
          <w:right w:w="85" w:type="dxa"/>
        </w:tblCellMar>
        <w:tblBorders>
          <w:top w:val="single" w:sz="4" w:color="CCD4D9"/>
          <w:bottom w:val="single" w:sz="4" w:color="CCD4D9"/>
          <w:insideH w:val="single" w:sz="4" w:color="CCD4D9"/>
          <w:left w:val="nil"/>
          <w:right w:val="nil"/>
          <w:insideV w:val="nil"/>
        </w:tblBorders>
      </w:tblPr>
      <w:tblGrid>
        <w:gridCol w:w="1296"/>
        <w:gridCol w:w="8554"/>
      </w:tblGrid>
      <w:tr>
        <w:trPr>
          <w:tblHeader w:val="on"/>
          <w:cantSplit/>
          <w:tblHeader/>
        </w:trPr>
        <w:tc>
          <w:tcPr>
            <w:tcW w:type="dxa" w:w="1296"/>
            <w:vAlign w:val="center"/>
            <w:shd w:fill="E9EFF3"/>
          </w:tcPr>
          <w:p>
            <w:pPr>
              <w:pStyle w:val="Compact"/>
              <w:keepNext w:val="0"/>
              <w:keepLines/>
              <w:spacing w:before="20" w:after="20" w:line="250" w:lineRule="auto"/>
              <w:jc w:val="center"/>
            </w:pPr>
            <w:r>
              <w:rPr>
                <w:rFonts w:ascii="Liberation Sans" w:hAnsi="Liberation Sans"/>
                <w:b/>
                <w:bCs/>
                <w:sz w:val="19"/>
              </w:rPr>
              <w:t xml:space="preserve">Dimension</w:t>
            </w:r>
          </w:p>
        </w:tc>
        <w:tc>
          <w:tcPr>
            <w:tcW w:type="dxa" w:w="8554"/>
            <w:vAlign w:val="center"/>
            <w:shd w:fill="E9EFF3"/>
          </w:tcPr>
          <w:p>
            <w:pPr>
              <w:pStyle w:val="Compact"/>
              <w:keepNext w:val="0"/>
              <w:keepLines/>
              <w:spacing w:before="20" w:after="20" w:line="250" w:lineRule="auto"/>
              <w:jc w:val="left"/>
            </w:pPr>
            <w:r>
              <w:rPr>
                <w:rFonts w:ascii="Liberation Sans" w:hAnsi="Liberation Sans"/>
                <w:b/>
                <w:bCs/>
                <w:sz w:val="19"/>
              </w:rPr>
              <w:t xml:space="preserve">Autonomierisikofaktor</w:t>
            </w:r>
          </w:p>
        </w:tc>
      </w:tr>
      <w:tr>
        <w:trPr>
          <w:cantSplit/>
        </w:trPr>
        <w:tc>
          <w:tcPr>
            <w:tcW w:type="dxa" w:w="1296"/>
            <w:vAlign w:val="center"/>
          </w:tcPr>
          <w:p>
            <w:pPr>
              <w:pStyle w:val="Compact"/>
              <w:keepNext w:val="0"/>
              <w:keepLines/>
              <w:spacing w:before="20" w:after="20" w:line="250" w:lineRule="auto"/>
              <w:jc w:val="center"/>
            </w:pPr>
            <w:r>
              <w:rPr>
                <w:rFonts w:ascii="Liberation Sans" w:hAnsi="Liberation Sans"/>
                <w:sz w:val="19"/>
              </w:rPr>
              <w:t xml:space="preserve">S</w:t>
            </w:r>
          </w:p>
        </w:tc>
        <w:tc>
          <w:tcPr>
            <w:tcW w:type="dxa" w:w="8554"/>
            <w:vAlign w:val="center"/>
          </w:tcPr>
          <w:p>
            <w:pPr>
              <w:pStyle w:val="Compact"/>
              <w:keepNext w:val="0"/>
              <w:keepLines/>
              <w:spacing w:before="20" w:after="20" w:line="250" w:lineRule="auto"/>
              <w:jc w:val="left"/>
            </w:pPr>
            <w:r>
              <w:rPr>
                <w:rFonts w:ascii="Liberation Sans" w:hAnsi="Liberation Sans"/>
                <w:sz w:val="19"/>
              </w:rPr>
              <w:t xml:space="preserve">Selbstmodifikation</w:t>
            </w:r>
          </w:p>
        </w:tc>
      </w:tr>
      <w:tr>
        <w:trPr>
          <w:cantSplit/>
        </w:trPr>
        <w:tc>
          <w:tcPr>
            <w:tcW w:type="dxa" w:w="1296"/>
            <w:vAlign w:val="center"/>
          </w:tcPr>
          <w:p>
            <w:pPr>
              <w:pStyle w:val="Compact"/>
              <w:keepNext w:val="0"/>
              <w:keepLines/>
              <w:spacing w:before="20" w:after="20" w:line="250" w:lineRule="auto"/>
              <w:jc w:val="center"/>
            </w:pPr>
            <w:r>
              <w:rPr>
                <w:rFonts w:ascii="Liberation Sans" w:hAnsi="Liberation Sans"/>
                <w:sz w:val="19"/>
              </w:rPr>
              <w:t xml:space="preserve">W</w:t>
            </w:r>
          </w:p>
        </w:tc>
        <w:tc>
          <w:tcPr>
            <w:tcW w:type="dxa" w:w="8554"/>
            <w:vAlign w:val="center"/>
          </w:tcPr>
          <w:p>
            <w:pPr>
              <w:pStyle w:val="Compact"/>
              <w:keepNext w:val="0"/>
              <w:keepLines/>
              <w:spacing w:before="20" w:after="20" w:line="250" w:lineRule="auto"/>
              <w:jc w:val="left"/>
            </w:pPr>
            <w:r>
              <w:rPr>
                <w:rFonts w:ascii="Liberation Sans" w:hAnsi="Liberation Sans"/>
                <w:sz w:val="19"/>
              </w:rPr>
              <w:t xml:space="preserve">offener Welt- und Netzzugriff</w:t>
            </w:r>
          </w:p>
        </w:tc>
      </w:tr>
      <w:tr>
        <w:trPr>
          <w:cantSplit/>
        </w:trPr>
        <w:tc>
          <w:tcPr>
            <w:tcW w:type="dxa" w:w="1296"/>
            <w:vAlign w:val="center"/>
          </w:tcPr>
          <w:p>
            <w:pPr>
              <w:pStyle w:val="Compact"/>
              <w:keepNext w:val="0"/>
              <w:keepLines/>
              <w:spacing w:before="20" w:after="20" w:line="250" w:lineRule="auto"/>
              <w:jc w:val="center"/>
            </w:pPr>
            <w:r>
              <w:rPr>
                <w:rFonts w:ascii="Liberation Sans" w:hAnsi="Liberation Sans"/>
                <w:sz w:val="19"/>
              </w:rPr>
              <w:t xml:space="preserve">Q</w:t>
            </w:r>
          </w:p>
        </w:tc>
        <w:tc>
          <w:tcPr>
            <w:tcW w:type="dxa" w:w="8554"/>
            <w:vAlign w:val="center"/>
          </w:tcPr>
          <w:p>
            <w:pPr>
              <w:pStyle w:val="Compact"/>
              <w:keepNext w:val="0"/>
              <w:keepLines/>
              <w:spacing w:before="20" w:after="20" w:line="250" w:lineRule="auto"/>
              <w:jc w:val="left"/>
            </w:pPr>
            <w:r>
              <w:rPr>
                <w:rFonts w:ascii="Liberation Sans" w:hAnsi="Liberation Sans"/>
                <w:sz w:val="19"/>
              </w:rPr>
              <w:t xml:space="preserve">autonome Ressourcenverwendung</w:t>
            </w:r>
          </w:p>
        </w:tc>
      </w:tr>
      <w:tr>
        <w:trPr>
          <w:cantSplit/>
        </w:trPr>
        <w:tc>
          <w:tcPr>
            <w:tcW w:type="dxa" w:w="1296"/>
            <w:vAlign w:val="center"/>
          </w:tcPr>
          <w:p>
            <w:pPr>
              <w:pStyle w:val="Compact"/>
              <w:keepNext w:val="0"/>
              <w:keepLines/>
              <w:spacing w:before="20" w:after="20" w:line="250" w:lineRule="auto"/>
              <w:jc w:val="center"/>
            </w:pPr>
            <w:r>
              <w:rPr>
                <w:rFonts w:ascii="Liberation Sans" w:hAnsi="Liberation Sans"/>
                <w:sz w:val="19"/>
              </w:rPr>
              <w:t xml:space="preserve">Z</w:t>
            </w:r>
          </w:p>
        </w:tc>
        <w:tc>
          <w:tcPr>
            <w:tcW w:type="dxa" w:w="8554"/>
            <w:vAlign w:val="center"/>
          </w:tcPr>
          <w:p>
            <w:pPr>
              <w:pStyle w:val="Compact"/>
              <w:keepNext w:val="0"/>
              <w:keepLines/>
              <w:spacing w:before="20" w:after="20" w:line="250" w:lineRule="auto"/>
              <w:jc w:val="left"/>
            </w:pPr>
            <w:r>
              <w:rPr>
                <w:rFonts w:ascii="Liberation Sans" w:hAnsi="Liberation Sans"/>
                <w:sz w:val="19"/>
              </w:rPr>
              <w:t xml:space="preserve">Zielveränderung</w:t>
            </w:r>
          </w:p>
        </w:tc>
      </w:tr>
      <w:tr>
        <w:trPr>
          <w:cantSplit/>
        </w:trPr>
        <w:tc>
          <w:tcPr>
            <w:tcW w:type="dxa" w:w="1296"/>
            <w:vAlign w:val="center"/>
          </w:tcPr>
          <w:p>
            <w:pPr>
              <w:pStyle w:val="Compact"/>
              <w:keepNext w:val="0"/>
              <w:keepLines/>
              <w:spacing w:before="20" w:after="20" w:line="250" w:lineRule="auto"/>
              <w:jc w:val="center"/>
            </w:pPr>
            <w:r>
              <w:rPr>
                <w:rFonts w:ascii="Liberation Sans" w:hAnsi="Liberation Sans"/>
                <w:sz w:val="19"/>
              </w:rPr>
              <w:t xml:space="preserve">D</w:t>
            </w:r>
          </w:p>
        </w:tc>
        <w:tc>
          <w:tcPr>
            <w:tcW w:type="dxa" w:w="8554"/>
            <w:vAlign w:val="center"/>
          </w:tcPr>
          <w:p>
            <w:pPr>
              <w:pStyle w:val="Compact"/>
              <w:keepNext w:val="0"/>
              <w:keepLines/>
              <w:spacing w:before="20" w:after="20" w:line="250" w:lineRule="auto"/>
              <w:jc w:val="left"/>
            </w:pPr>
            <w:r>
              <w:rPr>
                <w:rFonts w:ascii="Liberation Sans" w:hAnsi="Liberation Sans"/>
                <w:sz w:val="19"/>
              </w:rPr>
              <w:t xml:space="preserve">dauerhafte Persistenz</w:t>
            </w:r>
          </w:p>
        </w:tc>
      </w:tr>
      <w:tr>
        <w:trPr>
          <w:cantSplit/>
        </w:trPr>
        <w:tc>
          <w:tcPr>
            <w:tcW w:type="dxa" w:w="1296"/>
            <w:vAlign w:val="center"/>
          </w:tcPr>
          <w:p>
            <w:pPr>
              <w:pStyle w:val="Compact"/>
              <w:keepNext w:val="0"/>
              <w:keepLines/>
              <w:spacing w:before="20" w:after="20" w:line="250" w:lineRule="auto"/>
              <w:jc w:val="center"/>
            </w:pPr>
            <w:r>
              <w:rPr>
                <w:rFonts w:ascii="Liberation Sans" w:hAnsi="Liberation Sans"/>
                <w:sz w:val="19"/>
              </w:rPr>
              <w:t xml:space="preserve">T</w:t>
            </w:r>
          </w:p>
        </w:tc>
        <w:tc>
          <w:tcPr>
            <w:tcW w:type="dxa" w:w="8554"/>
            <w:vAlign w:val="center"/>
          </w:tcPr>
          <w:p>
            <w:pPr>
              <w:pStyle w:val="Compact"/>
              <w:keepNext w:val="0"/>
              <w:keepLines/>
              <w:spacing w:before="20" w:after="20" w:line="250" w:lineRule="auto"/>
              <w:jc w:val="left"/>
            </w:pPr>
            <w:r>
              <w:rPr>
                <w:rFonts w:ascii="Liberation Sans" w:hAnsi="Liberation Sans"/>
                <w:sz w:val="19"/>
              </w:rPr>
              <w:t xml:space="preserve">Widerstand gegen Unterbrechung</w:t>
            </w:r>
          </w:p>
        </w:tc>
      </w:tr>
    </w:tbl>
    <w:p>
      <w:pPr>
        <w:pStyle w:val="CaptionedFigure"/>
        <w:keepNext/>
        <w:keepLines/>
        <w:spacing w:before="160" w:after="120"/>
        <w:jc w:val="left"/>
      </w:pPr>
      <w:r>
        <w:rPr>
          <w:sz w:val="20"/>
        </w:rPr>
        <w:drawing>
          <wp:inline>
            <wp:extent cx="4932273" cy="4805955"/>
            <wp:effectExtent b="0" l="0" r="0" t="0"/>
            <wp:docPr descr="Vierfelderdiagramm mit Autonomie und Selbständerungspotenzial auf der vertikalen sowie effektiver menschlicher Kontrolle auf der horizontalen Achse. Es unterscheidet Kontrollverlustrisiko, begrenzte hochautonome Systeme, schwache Kontrolle bei geringer Autonomie und gut kontrollierte Assistenzsysteme." title="Kontrollierbarkeit und Autonomie" id="130" name="Picture"/>
            <a:graphic>
              <a:graphicData uri="http://schemas.openxmlformats.org/drawingml/2006/picture">
                <pic:pic>
                  <pic:nvPicPr>
                    <pic:cNvPr descr="abbildungen/K3_image5.png" id="131" name="Picture"/>
                    <pic:cNvPicPr>
                      <a:picLocks noChangeArrowheads="1" noChangeAspect="1"/>
                    </pic:cNvPicPr>
                  </pic:nvPicPr>
                  <pic:blipFill>
                    <a:blip r:embed="rId129"/>
                    <a:stretch>
                      <a:fillRect/>
                    </a:stretch>
                  </pic:blipFill>
                  <pic:spPr bwMode="auto">
                    <a:xfrm>
                      <a:off x="0" y="0"/>
                      <a:ext cx="4932273" cy="4805955"/>
                    </a:xfrm>
                    <a:prstGeom prst="rect">
                      <a:avLst/>
                    </a:prstGeom>
                    <a:noFill/>
                    <a:ln w="9525">
                      <a:noFill/>
                      <a:headEnd/>
                      <a:tailEnd/>
                    </a:ln>
                  </pic:spPr>
                </pic:pic>
              </a:graphicData>
            </a:graphic>
          </wp:inline>
        </w:drawing>
      </w:r>
    </w:p>
    <w:p>
      <w:pPr>
        <w:pStyle w:val="ImageCaption"/>
        <w:keepLines/>
        <w:spacing w:after="120"/>
        <w:jc w:val="left"/>
      </w:pPr>
      <w:r>
        <w:rPr>
          <w:sz w:val="20"/>
        </w:rPr>
        <w:t xml:space="preserve">Abbildung 2. </w:t>
      </w:r>
      <w:r>
        <w:rPr>
          <w:sz w:val="20"/>
        </w:rPr>
        <w:t xml:space="preserve">Vierfelderdiagramm mit Autonomie und Selbständerungspotenzial auf der vertikalen sowie effektiver menschlicher Kontrolle auf der horizontalen Achse. Es unterscheidet Kontrollverlustrisiko, begrenzte hochautonome Systeme, schwache Kontrolle bei geringer Autonomie und gut kontrollierte Assistenzsysteme.</w:t>
      </w:r>
    </w:p>
    <w:bookmarkEnd w:id="132"/>
    <w:bookmarkStart w:id="136" w:name="X3a6e8566ec368e220a50898b13913ad190ebd6f"/>
    <w:p>
      <w:pPr>
        <w:pStyle w:val="Heading2"/>
      </w:pPr>
      <w:r>
        <w:t xml:space="preserve">Kontrollstufen der KI-gestützten Erzeugung weiterer KI</w:t>
      </w:r>
    </w:p>
    <w:p>
      <w:pPr>
        <w:pStyle w:val="CaptionedFigure"/>
        <w:keepNext/>
        <w:keepLines/>
        <w:spacing w:before="160" w:after="120"/>
        <w:jc w:val="left"/>
      </w:pPr>
      <w:r>
        <w:rPr>
          <w:sz w:val="20"/>
        </w:rPr>
        <w:drawing>
          <wp:inline>
            <wp:extent cx="5669280" cy="3229919"/>
            <wp:effectExtent b="0" l="0" r="0" t="0"/>
            <wp:docPr descr="Treppenförmiges Stufenmodell G0 bis G8 von menschlicher Konstruktion und KI-Assistenz über maschinellen Entwurf, Bewertung, rekursive Optimierung und adaptive Regeländerung bis zu Ziel- und Governanceänderung sowie existenzautonomer Technogenese." title="Kontrollstufen KI-generierter KI" id="134" name="Picture"/>
            <a:graphic>
              <a:graphicData uri="http://schemas.openxmlformats.org/drawingml/2006/picture">
                <pic:pic>
                  <pic:nvPicPr>
                    <pic:cNvPr descr="abbildungen/K3_image6.png" id="135" name="Picture"/>
                    <pic:cNvPicPr>
                      <a:picLocks noChangeArrowheads="1" noChangeAspect="1"/>
                    </pic:cNvPicPr>
                  </pic:nvPicPr>
                  <pic:blipFill>
                    <a:blip r:embed="rId133"/>
                    <a:stretch>
                      <a:fillRect/>
                    </a:stretch>
                  </pic:blipFill>
                  <pic:spPr bwMode="auto">
                    <a:xfrm>
                      <a:off x="0" y="0"/>
                      <a:ext cx="5669280" cy="3229919"/>
                    </a:xfrm>
                    <a:prstGeom prst="rect">
                      <a:avLst/>
                    </a:prstGeom>
                    <a:noFill/>
                    <a:ln w="9525">
                      <a:noFill/>
                      <a:headEnd/>
                      <a:tailEnd/>
                    </a:ln>
                  </pic:spPr>
                </pic:pic>
              </a:graphicData>
            </a:graphic>
          </wp:inline>
        </w:drawing>
      </w:r>
    </w:p>
    <w:p>
      <w:pPr>
        <w:pStyle w:val="ImageCaption"/>
        <w:keepLines/>
        <w:spacing w:after="120"/>
        <w:jc w:val="left"/>
      </w:pPr>
      <w:r>
        <w:rPr>
          <w:sz w:val="20"/>
        </w:rPr>
        <w:t xml:space="preserve">Abbildung 3. </w:t>
      </w:r>
      <w:r>
        <w:rPr>
          <w:sz w:val="20"/>
        </w:rPr>
        <w:t xml:space="preserve">Treppenförmiges Stufenmodell G0 bis G8 von menschlicher Konstruktion und KI-Assistenz über maschinellen Entwurf, Bewertung, rekursive Optimierung und adaptive Regeländerung bis zu Ziel- und Governanceänderung sowie existenzautonomer Technogenese.</w:t>
      </w:r>
    </w:p>
    <w:p>
      <w:pPr>
        <w:pStyle w:val="Caption"/>
        <w:keepNext/>
        <w:keepLines/>
        <w:spacing w:before="180" w:after="120"/>
        <w:jc w:val="left"/>
      </w:pPr>
      <w:r>
        <w:rPr>
          <w:sz w:val="20"/>
        </w:rPr>
        <w:t>Tabelle 12. Stufen KI-gestützter Systemerzeugung</w:t>
      </w:r>
    </w:p>
    <w:tbl>
      <w:tblPr>
        <w:tblStyle w:val="Table"/>
        <w:tblW w:type="pct" w:w="4947"/>
        <w:jc w:val="center"/>
        <w:tblLayout w:type="fixed"/>
        <w:tblLook w:firstRow="1" w:lastRow="0" w:firstColumn="0" w:lastColumn="0" w:noHBand="0" w:noVBand="0" w:val="0020"/>
        <w:tblInd w:w="0" w:type="dxa"/>
        <w:tblCellMar>
          <w:top w:w="70" w:type="dxa"/>
          <w:bottom w:w="70" w:type="dxa"/>
          <w:left w:w="85" w:type="dxa"/>
          <w:right w:w="85" w:type="dxa"/>
        </w:tblCellMar>
        <w:tblBorders>
          <w:top w:val="single" w:sz="4" w:color="CCD4D9"/>
          <w:bottom w:val="single" w:sz="4" w:color="CCD4D9"/>
          <w:insideH w:val="single" w:sz="4" w:color="CCD4D9"/>
          <w:left w:val="nil"/>
          <w:right w:val="nil"/>
          <w:insideV w:val="nil"/>
        </w:tblBorders>
      </w:tblPr>
      <w:tblGrid>
        <w:gridCol w:w="1008"/>
        <w:gridCol w:w="3816"/>
        <w:gridCol w:w="5026"/>
      </w:tblGrid>
      <w:tr>
        <w:trPr>
          <w:tblHeader w:val="on"/>
          <w:cantSplit/>
          <w:tblHeader/>
        </w:trPr>
        <w:tc>
          <w:tcPr>
            <w:tcW w:type="dxa" w:w="1008"/>
            <w:vAlign w:val="center"/>
            <w:shd w:fill="E9EFF3"/>
          </w:tcPr>
          <w:p>
            <w:pPr>
              <w:pStyle w:val="Compact"/>
              <w:keepNext w:val="0"/>
              <w:keepLines/>
              <w:spacing w:before="20" w:after="20" w:line="250" w:lineRule="auto"/>
              <w:jc w:val="center"/>
            </w:pPr>
            <w:r>
              <w:rPr>
                <w:rFonts w:ascii="Liberation Sans" w:hAnsi="Liberation Sans"/>
                <w:b/>
                <w:bCs/>
                <w:sz w:val="19"/>
              </w:rPr>
              <w:t xml:space="preserve">Stufe</w:t>
            </w:r>
          </w:p>
        </w:tc>
        <w:tc>
          <w:tcPr>
            <w:tcW w:type="dxa" w:w="3816"/>
            <w:vAlign w:val="center"/>
            <w:shd w:fill="E9EFF3"/>
          </w:tcPr>
          <w:p>
            <w:pPr>
              <w:pStyle w:val="Compact"/>
              <w:keepNext w:val="0"/>
              <w:keepLines/>
              <w:spacing w:before="20" w:after="20" w:line="250" w:lineRule="auto"/>
              <w:jc w:val="left"/>
            </w:pPr>
            <w:r>
              <w:rPr>
                <w:rFonts w:ascii="Liberation Sans" w:hAnsi="Liberation Sans"/>
                <w:b/>
                <w:bCs/>
                <w:sz w:val="19"/>
              </w:rPr>
              <w:t xml:space="preserve">Bezeichnung</w:t>
            </w:r>
          </w:p>
        </w:tc>
        <w:tc>
          <w:tcPr>
            <w:tcW w:type="dxa" w:w="5026"/>
            <w:vAlign w:val="center"/>
            <w:shd w:fill="E9EFF3"/>
          </w:tcPr>
          <w:p>
            <w:pPr>
              <w:pStyle w:val="Compact"/>
              <w:keepNext w:val="0"/>
              <w:keepLines/>
              <w:spacing w:before="20" w:after="20" w:line="250" w:lineRule="auto"/>
              <w:jc w:val="left"/>
            </w:pPr>
            <w:r>
              <w:rPr>
                <w:rFonts w:ascii="Liberation Sans" w:hAnsi="Liberation Sans"/>
                <w:b/>
                <w:bCs/>
                <w:sz w:val="19"/>
              </w:rPr>
              <w:t xml:space="preserve">Abgrenzung</w:t>
            </w:r>
          </w:p>
        </w:tc>
      </w:tr>
      <w:tr>
        <w:trPr>
          <w:cantSplit/>
        </w:trPr>
        <w:tc>
          <w:tcPr>
            <w:tcW w:type="dxa" w:w="1008"/>
            <w:vAlign w:val="center"/>
          </w:tcPr>
          <w:p>
            <w:pPr>
              <w:pStyle w:val="Compact"/>
              <w:keepNext w:val="0"/>
              <w:keepLines/>
              <w:spacing w:before="20" w:after="20" w:line="250" w:lineRule="auto"/>
              <w:jc w:val="center"/>
            </w:pPr>
            <w:r>
              <w:rPr>
                <w:rFonts w:ascii="Liberation Sans" w:hAnsi="Liberation Sans"/>
                <w:sz w:val="19"/>
              </w:rPr>
              <w:t xml:space="preserve">G0</w:t>
            </w:r>
          </w:p>
        </w:tc>
        <w:tc>
          <w:tcPr>
            <w:tcW w:type="dxa" w:w="3816"/>
            <w:vAlign w:val="center"/>
          </w:tcPr>
          <w:p>
            <w:pPr>
              <w:pStyle w:val="Compact"/>
              <w:keepNext w:val="0"/>
              <w:keepLines/>
              <w:spacing w:before="20" w:after="20" w:line="250" w:lineRule="auto"/>
              <w:jc w:val="left"/>
            </w:pPr>
            <w:r>
              <w:rPr>
                <w:rFonts w:ascii="Liberation Sans" w:hAnsi="Liberation Sans"/>
                <w:sz w:val="19"/>
              </w:rPr>
              <w:t xml:space="preserve">Menschliche Konstruktion</w:t>
            </w:r>
          </w:p>
        </w:tc>
        <w:tc>
          <w:tcPr>
            <w:tcW w:type="dxa" w:w="5026"/>
            <w:vAlign w:val="center"/>
          </w:tcPr>
          <w:p>
            <w:pPr>
              <w:pStyle w:val="Compact"/>
              <w:keepNext w:val="0"/>
              <w:keepLines/>
              <w:spacing w:before="20" w:after="20" w:line="250" w:lineRule="auto"/>
              <w:jc w:val="left"/>
            </w:pPr>
            <w:r>
              <w:rPr>
                <w:rFonts w:ascii="Liberation Sans" w:hAnsi="Liberation Sans"/>
                <w:sz w:val="19"/>
              </w:rPr>
              <w:t xml:space="preserve">Mensch entwirft interne Struktur unmittelbar.</w:t>
            </w:r>
          </w:p>
        </w:tc>
      </w:tr>
      <w:tr>
        <w:trPr>
          <w:cantSplit/>
        </w:trPr>
        <w:tc>
          <w:tcPr>
            <w:tcW w:type="dxa" w:w="1008"/>
            <w:vAlign w:val="center"/>
          </w:tcPr>
          <w:p>
            <w:pPr>
              <w:pStyle w:val="Compact"/>
              <w:keepNext w:val="0"/>
              <w:keepLines/>
              <w:spacing w:before="20" w:after="20" w:line="250" w:lineRule="auto"/>
              <w:jc w:val="center"/>
            </w:pPr>
            <w:r>
              <w:rPr>
                <w:rFonts w:ascii="Liberation Sans" w:hAnsi="Liberation Sans"/>
                <w:sz w:val="19"/>
              </w:rPr>
              <w:t xml:space="preserve">G1</w:t>
            </w:r>
          </w:p>
        </w:tc>
        <w:tc>
          <w:tcPr>
            <w:tcW w:type="dxa" w:w="3816"/>
            <w:vAlign w:val="center"/>
          </w:tcPr>
          <w:p>
            <w:pPr>
              <w:pStyle w:val="Compact"/>
              <w:keepNext w:val="0"/>
              <w:keepLines/>
              <w:spacing w:before="20" w:after="20" w:line="250" w:lineRule="auto"/>
              <w:jc w:val="left"/>
            </w:pPr>
            <w:r>
              <w:rPr>
                <w:rFonts w:ascii="Liberation Sans" w:hAnsi="Liberation Sans"/>
                <w:sz w:val="19"/>
              </w:rPr>
              <w:t xml:space="preserve">Maschinelle Assistenz</w:t>
            </w:r>
          </w:p>
        </w:tc>
        <w:tc>
          <w:tcPr>
            <w:tcW w:type="dxa" w:w="5026"/>
            <w:vAlign w:val="center"/>
          </w:tcPr>
          <w:p>
            <w:pPr>
              <w:pStyle w:val="Compact"/>
              <w:keepNext w:val="0"/>
              <w:keepLines/>
              <w:spacing w:before="20" w:after="20" w:line="250" w:lineRule="auto"/>
              <w:jc w:val="left"/>
            </w:pPr>
            <w:r>
              <w:rPr>
                <w:rFonts w:ascii="Liberation Sans" w:hAnsi="Liberation Sans"/>
                <w:sz w:val="19"/>
              </w:rPr>
              <w:t xml:space="preserve">KI unterstützt Recherche, Dokumentation, Codeergänzung oder Fehleranalyse.</w:t>
            </w:r>
          </w:p>
        </w:tc>
      </w:tr>
      <w:tr>
        <w:trPr>
          <w:cantSplit/>
        </w:trPr>
        <w:tc>
          <w:tcPr>
            <w:tcW w:type="dxa" w:w="1008"/>
            <w:vAlign w:val="center"/>
          </w:tcPr>
          <w:p>
            <w:pPr>
              <w:pStyle w:val="Compact"/>
              <w:keepNext w:val="0"/>
              <w:keepLines/>
              <w:spacing w:before="20" w:after="20" w:line="250" w:lineRule="auto"/>
              <w:jc w:val="center"/>
            </w:pPr>
            <w:r>
              <w:rPr>
                <w:rFonts w:ascii="Liberation Sans" w:hAnsi="Liberation Sans"/>
                <w:sz w:val="19"/>
              </w:rPr>
              <w:t xml:space="preserve">G2</w:t>
            </w:r>
          </w:p>
        </w:tc>
        <w:tc>
          <w:tcPr>
            <w:tcW w:type="dxa" w:w="3816"/>
            <w:vAlign w:val="center"/>
          </w:tcPr>
          <w:p>
            <w:pPr>
              <w:pStyle w:val="Compact"/>
              <w:keepNext w:val="0"/>
              <w:keepLines/>
              <w:spacing w:before="20" w:after="20" w:line="250" w:lineRule="auto"/>
              <w:jc w:val="left"/>
            </w:pPr>
            <w:r>
              <w:rPr>
                <w:rFonts w:ascii="Liberation Sans" w:hAnsi="Liberation Sans"/>
                <w:sz w:val="19"/>
              </w:rPr>
              <w:t xml:space="preserve">Maschineller Teilentwurf</w:t>
            </w:r>
          </w:p>
        </w:tc>
        <w:tc>
          <w:tcPr>
            <w:tcW w:type="dxa" w:w="5026"/>
            <w:vAlign w:val="center"/>
          </w:tcPr>
          <w:p>
            <w:pPr>
              <w:pStyle w:val="Compact"/>
              <w:keepNext w:val="0"/>
              <w:keepLines/>
              <w:spacing w:before="20" w:after="20" w:line="250" w:lineRule="auto"/>
              <w:jc w:val="left"/>
            </w:pPr>
            <w:r>
              <w:rPr>
                <w:rFonts w:ascii="Liberation Sans" w:hAnsi="Liberation Sans"/>
                <w:sz w:val="19"/>
              </w:rPr>
              <w:t xml:space="preserve">KI schlägt Komponenten, Parameter, Lernregeln oder Module vor.</w:t>
            </w:r>
          </w:p>
        </w:tc>
      </w:tr>
      <w:tr>
        <w:trPr>
          <w:cantSplit/>
        </w:trPr>
        <w:tc>
          <w:tcPr>
            <w:tcW w:type="dxa" w:w="1008"/>
            <w:vAlign w:val="center"/>
          </w:tcPr>
          <w:p>
            <w:pPr>
              <w:pStyle w:val="Compact"/>
              <w:keepNext w:val="0"/>
              <w:keepLines/>
              <w:spacing w:before="20" w:after="20" w:line="250" w:lineRule="auto"/>
              <w:jc w:val="center"/>
            </w:pPr>
            <w:r>
              <w:rPr>
                <w:rFonts w:ascii="Liberation Sans" w:hAnsi="Liberation Sans"/>
                <w:sz w:val="19"/>
              </w:rPr>
              <w:t xml:space="preserve">G3</w:t>
            </w:r>
          </w:p>
        </w:tc>
        <w:tc>
          <w:tcPr>
            <w:tcW w:type="dxa" w:w="3816"/>
            <w:vAlign w:val="center"/>
          </w:tcPr>
          <w:p>
            <w:pPr>
              <w:pStyle w:val="Compact"/>
              <w:keepNext w:val="0"/>
              <w:keepLines/>
              <w:spacing w:before="20" w:after="20" w:line="250" w:lineRule="auto"/>
              <w:jc w:val="left"/>
            </w:pPr>
            <w:r>
              <w:rPr>
                <w:rFonts w:ascii="Liberation Sans" w:hAnsi="Liberation Sans"/>
                <w:sz w:val="19"/>
              </w:rPr>
              <w:t xml:space="preserve">Maschineller Gesamtentwurf unter menschlicher Freigabe</w:t>
            </w:r>
          </w:p>
        </w:tc>
        <w:tc>
          <w:tcPr>
            <w:tcW w:type="dxa" w:w="5026"/>
            <w:vAlign w:val="center"/>
          </w:tcPr>
          <w:p>
            <w:pPr>
              <w:pStyle w:val="Compact"/>
              <w:keepNext w:val="0"/>
              <w:keepLines/>
              <w:spacing w:before="20" w:after="20" w:line="250" w:lineRule="auto"/>
              <w:jc w:val="left"/>
            </w:pPr>
            <w:r>
              <w:rPr>
                <w:rFonts w:ascii="Liberation Sans" w:hAnsi="Liberation Sans"/>
                <w:sz w:val="19"/>
              </w:rPr>
              <w:t xml:space="preserve">vollständiger Entwurf, unabhängige menschliche Prüfung und Aktivierung.</w:t>
            </w:r>
          </w:p>
        </w:tc>
      </w:tr>
      <w:tr>
        <w:trPr>
          <w:cantSplit/>
        </w:trPr>
        <w:tc>
          <w:tcPr>
            <w:tcW w:type="dxa" w:w="1008"/>
            <w:vAlign w:val="center"/>
          </w:tcPr>
          <w:p>
            <w:pPr>
              <w:pStyle w:val="Compact"/>
              <w:keepNext w:val="0"/>
              <w:keepLines/>
              <w:spacing w:before="20" w:after="20" w:line="250" w:lineRule="auto"/>
              <w:jc w:val="center"/>
            </w:pPr>
            <w:r>
              <w:rPr>
                <w:rFonts w:ascii="Liberation Sans" w:hAnsi="Liberation Sans"/>
                <w:sz w:val="19"/>
              </w:rPr>
              <w:t xml:space="preserve">G4</w:t>
            </w:r>
          </w:p>
        </w:tc>
        <w:tc>
          <w:tcPr>
            <w:tcW w:type="dxa" w:w="3816"/>
            <w:vAlign w:val="center"/>
          </w:tcPr>
          <w:p>
            <w:pPr>
              <w:pStyle w:val="Compact"/>
              <w:keepNext w:val="0"/>
              <w:keepLines/>
              <w:spacing w:before="20" w:after="20" w:line="250" w:lineRule="auto"/>
              <w:jc w:val="left"/>
            </w:pPr>
            <w:r>
              <w:rPr>
                <w:rFonts w:ascii="Liberation Sans" w:hAnsi="Liberation Sans"/>
                <w:sz w:val="19"/>
              </w:rPr>
              <w:t xml:space="preserve">Maschineller Entwurf und maschinelle Bewertung</w:t>
            </w:r>
          </w:p>
        </w:tc>
        <w:tc>
          <w:tcPr>
            <w:tcW w:type="dxa" w:w="5026"/>
            <w:vAlign w:val="center"/>
          </w:tcPr>
          <w:p>
            <w:pPr>
              <w:pStyle w:val="Compact"/>
              <w:keepNext w:val="0"/>
              <w:keepLines/>
              <w:spacing w:before="20" w:after="20" w:line="250" w:lineRule="auto"/>
              <w:jc w:val="left"/>
            </w:pPr>
            <w:r>
              <w:rPr>
                <w:rFonts w:ascii="Liberation Sans" w:hAnsi="Liberation Sans"/>
                <w:sz w:val="19"/>
              </w:rPr>
              <w:t xml:space="preserve">Generator und Evaluator sind maschinell; menschliche Freigabe bleibt.</w:t>
            </w:r>
          </w:p>
        </w:tc>
      </w:tr>
      <w:tr>
        <w:trPr>
          <w:cantSplit/>
        </w:trPr>
        <w:tc>
          <w:tcPr>
            <w:tcW w:type="dxa" w:w="1008"/>
            <w:vAlign w:val="center"/>
          </w:tcPr>
          <w:p>
            <w:pPr>
              <w:pStyle w:val="Compact"/>
              <w:keepNext w:val="0"/>
              <w:keepLines/>
              <w:spacing w:before="20" w:after="20" w:line="250" w:lineRule="auto"/>
              <w:jc w:val="center"/>
            </w:pPr>
            <w:r>
              <w:rPr>
                <w:rFonts w:ascii="Liberation Sans" w:hAnsi="Liberation Sans"/>
                <w:sz w:val="19"/>
              </w:rPr>
              <w:t xml:space="preserve">G5</w:t>
            </w:r>
          </w:p>
        </w:tc>
        <w:tc>
          <w:tcPr>
            <w:tcW w:type="dxa" w:w="3816"/>
            <w:vAlign w:val="center"/>
          </w:tcPr>
          <w:p>
            <w:pPr>
              <w:pStyle w:val="Compact"/>
              <w:keepNext w:val="0"/>
              <w:keepLines/>
              <w:spacing w:before="20" w:after="20" w:line="250" w:lineRule="auto"/>
              <w:jc w:val="left"/>
            </w:pPr>
            <w:r>
              <w:rPr>
                <w:rFonts w:ascii="Liberation Sans" w:hAnsi="Liberation Sans"/>
                <w:sz w:val="19"/>
              </w:rPr>
              <w:t xml:space="preserve">Rekursive Optimierung</w:t>
            </w:r>
          </w:p>
        </w:tc>
        <w:tc>
          <w:tcPr>
            <w:tcW w:type="dxa" w:w="5026"/>
            <w:vAlign w:val="center"/>
          </w:tcPr>
          <w:p>
            <w:pPr>
              <w:pStyle w:val="Compact"/>
              <w:keepNext w:val="0"/>
              <w:keepLines/>
              <w:spacing w:before="20" w:after="20" w:line="250" w:lineRule="auto"/>
              <w:jc w:val="left"/>
            </w:pPr>
            <w:r>
              <w:rPr>
                <w:rFonts w:ascii="Liberation Sans" w:hAnsi="Liberation Sans"/>
                <w:sz w:val="19"/>
              </w:rPr>
              <w:t xml:space="preserve">System erzeugt, testet und verändert Nachfolgesysteme über mehrere Zyklen.</w:t>
            </w:r>
          </w:p>
        </w:tc>
      </w:tr>
      <w:tr>
        <w:trPr>
          <w:cantSplit/>
        </w:trPr>
        <w:tc>
          <w:tcPr>
            <w:tcW w:type="dxa" w:w="1008"/>
            <w:vAlign w:val="center"/>
          </w:tcPr>
          <w:p>
            <w:pPr>
              <w:pStyle w:val="Compact"/>
              <w:keepNext w:val="0"/>
              <w:keepLines/>
              <w:spacing w:before="20" w:after="20" w:line="250" w:lineRule="auto"/>
              <w:jc w:val="center"/>
            </w:pPr>
            <w:r>
              <w:rPr>
                <w:rFonts w:ascii="Liberation Sans" w:hAnsi="Liberation Sans"/>
                <w:sz w:val="19"/>
              </w:rPr>
              <w:t xml:space="preserve">G6</w:t>
            </w:r>
          </w:p>
        </w:tc>
        <w:tc>
          <w:tcPr>
            <w:tcW w:type="dxa" w:w="3816"/>
            <w:vAlign w:val="center"/>
          </w:tcPr>
          <w:p>
            <w:pPr>
              <w:pStyle w:val="Compact"/>
              <w:keepNext w:val="0"/>
              <w:keepLines/>
              <w:spacing w:before="20" w:after="20" w:line="250" w:lineRule="auto"/>
              <w:jc w:val="left"/>
            </w:pPr>
            <w:r>
              <w:rPr>
                <w:rFonts w:ascii="Liberation Sans" w:hAnsi="Liberation Sans"/>
                <w:sz w:val="19"/>
              </w:rPr>
              <w:t xml:space="preserve">Adaptive Regelveränderung</w:t>
            </w:r>
          </w:p>
        </w:tc>
        <w:tc>
          <w:tcPr>
            <w:tcW w:type="dxa" w:w="5026"/>
            <w:vAlign w:val="center"/>
          </w:tcPr>
          <w:p>
            <w:pPr>
              <w:pStyle w:val="Compact"/>
              <w:keepNext w:val="0"/>
              <w:keepLines/>
              <w:spacing w:before="20" w:after="20" w:line="250" w:lineRule="auto"/>
              <w:jc w:val="left"/>
            </w:pPr>
            <w:r>
              <w:rPr>
                <w:rFonts w:ascii="Liberation Sans" w:hAnsi="Liberation Sans"/>
                <w:sz w:val="19"/>
              </w:rPr>
              <w:t xml:space="preserve">untergeordnete Lern-, Bewertungs- oder Selektionsregeln werden verändert.</w:t>
            </w:r>
          </w:p>
        </w:tc>
      </w:tr>
      <w:tr>
        <w:trPr>
          <w:cantSplit/>
        </w:trPr>
        <w:tc>
          <w:tcPr>
            <w:tcW w:type="dxa" w:w="1008"/>
            <w:vAlign w:val="center"/>
          </w:tcPr>
          <w:p>
            <w:pPr>
              <w:pStyle w:val="Compact"/>
              <w:keepNext w:val="0"/>
              <w:keepLines/>
              <w:spacing w:before="20" w:after="20" w:line="250" w:lineRule="auto"/>
              <w:jc w:val="center"/>
            </w:pPr>
            <w:r>
              <w:rPr>
                <w:rFonts w:ascii="Liberation Sans" w:hAnsi="Liberation Sans"/>
                <w:sz w:val="19"/>
              </w:rPr>
              <w:t xml:space="preserve">G7</w:t>
            </w:r>
          </w:p>
        </w:tc>
        <w:tc>
          <w:tcPr>
            <w:tcW w:type="dxa" w:w="3816"/>
            <w:vAlign w:val="center"/>
          </w:tcPr>
          <w:p>
            <w:pPr>
              <w:pStyle w:val="Compact"/>
              <w:keepNext w:val="0"/>
              <w:keepLines/>
              <w:spacing w:before="20" w:after="20" w:line="250" w:lineRule="auto"/>
              <w:jc w:val="left"/>
            </w:pPr>
            <w:r>
              <w:rPr>
                <w:rFonts w:ascii="Liberation Sans" w:hAnsi="Liberation Sans"/>
                <w:sz w:val="19"/>
              </w:rPr>
              <w:t xml:space="preserve">Ziel- und Governanceveränderung</w:t>
            </w:r>
          </w:p>
        </w:tc>
        <w:tc>
          <w:tcPr>
            <w:tcW w:type="dxa" w:w="5026"/>
            <w:vAlign w:val="center"/>
          </w:tcPr>
          <w:p>
            <w:pPr>
              <w:pStyle w:val="Compact"/>
              <w:keepNext w:val="0"/>
              <w:keepLines/>
              <w:spacing w:before="20" w:after="20" w:line="250" w:lineRule="auto"/>
              <w:jc w:val="left"/>
            </w:pPr>
            <w:r>
              <w:rPr>
                <w:rFonts w:ascii="Liberation Sans" w:hAnsi="Liberation Sans"/>
                <w:sz w:val="19"/>
              </w:rPr>
              <w:t xml:space="preserve">System verändert Regeln, die Ziele, Ressourcen oder Freigaben bestimmen.</w:t>
            </w:r>
          </w:p>
        </w:tc>
      </w:tr>
      <w:tr>
        <w:trPr>
          <w:cantSplit/>
        </w:trPr>
        <w:tc>
          <w:tcPr>
            <w:tcW w:type="dxa" w:w="1008"/>
            <w:vAlign w:val="center"/>
          </w:tcPr>
          <w:p>
            <w:pPr>
              <w:pStyle w:val="Compact"/>
              <w:keepNext w:val="0"/>
              <w:keepLines/>
              <w:spacing w:before="20" w:after="20" w:line="250" w:lineRule="auto"/>
              <w:jc w:val="center"/>
            </w:pPr>
            <w:r>
              <w:rPr>
                <w:rFonts w:ascii="Liberation Sans" w:hAnsi="Liberation Sans"/>
                <w:sz w:val="19"/>
              </w:rPr>
              <w:t xml:space="preserve">G8</w:t>
            </w:r>
          </w:p>
        </w:tc>
        <w:tc>
          <w:tcPr>
            <w:tcW w:type="dxa" w:w="3816"/>
            <w:vAlign w:val="center"/>
          </w:tcPr>
          <w:p>
            <w:pPr>
              <w:pStyle w:val="Compact"/>
              <w:keepNext w:val="0"/>
              <w:keepLines/>
              <w:spacing w:before="20" w:after="20" w:line="250" w:lineRule="auto"/>
              <w:jc w:val="left"/>
            </w:pPr>
            <w:r>
              <w:rPr>
                <w:rFonts w:ascii="Liberation Sans" w:hAnsi="Liberation Sans"/>
                <w:sz w:val="19"/>
              </w:rPr>
              <w:t xml:space="preserve">Existenzautonome rekursive Technogenese</w:t>
            </w:r>
          </w:p>
        </w:tc>
        <w:tc>
          <w:tcPr>
            <w:tcW w:type="dxa" w:w="5026"/>
            <w:vAlign w:val="center"/>
          </w:tcPr>
          <w:p>
            <w:pPr>
              <w:pStyle w:val="Compact"/>
              <w:keepNext w:val="0"/>
              <w:keepLines/>
              <w:spacing w:before="20" w:after="20" w:line="250" w:lineRule="auto"/>
              <w:jc w:val="left"/>
            </w:pPr>
            <w:r>
              <w:rPr>
                <w:rFonts w:ascii="Liberation Sans" w:hAnsi="Liberation Sans"/>
                <w:sz w:val="19"/>
              </w:rPr>
              <w:t xml:space="preserve">materielle und informationelle Fortexistenz sowie Reproduktion ohne fortlaufende menschliche Mitwirkung.</w:t>
            </w:r>
          </w:p>
        </w:tc>
      </w:tr>
    </w:tbl>
    <w:bookmarkEnd w:id="136"/>
    <w:bookmarkStart w:id="137" w:name="X63382e0aaaa8e69984d2ca8450d7770592190d6"/>
    <w:p>
      <w:pPr>
        <w:pStyle w:val="Heading2"/>
      </w:pPr>
      <w:r>
        <w:t xml:space="preserve">„Übernimmt die KI?” – Zerlegung einer unpräzisen Frage</w:t>
      </w:r>
    </w:p>
    <w:p>
      <w:pPr>
        <w:pStyle w:val="FirstParagraph"/>
        <w:keepLines/>
        <w:spacing w:after="120"/>
        <w:jc w:val="left"/>
      </w:pPr>
      <w:r>
        <w:rPr>
          <w:sz w:val="20"/>
        </w:rPr>
        <w:t xml:space="preserve">Die Formulierung „Übernimmt die KI?” verdichtet unterschiedliche Vorgänge zu einer politischen oder dystopischen Chiffre. Wissenschaftlich ist sie nur brauchbar, wenn präzisiert wird, welche Hoheit übertragen wurde. Entwurfshoheit liegt vor, wenn ein System die Struktur bestimmt; Bewertungshoheit, wenn es die Gütekriterien oder deren Interpretation kontrolliert; Freigabehoheit, wenn es seine Ergebnisse selbst aktiviert; Ressourcenhoheit, wenn es Rechenleistung, Daten, Netzwerke oder Aktoren eigenständig erschließt; Zielhoheit, wenn es übergeordnete Zwecke verändert.</w:t>
      </w:r>
    </w:p>
    <w:p>
      <w:pPr>
        <w:pStyle w:val="BodyText"/>
        <w:keepLines/>
        <w:spacing w:after="120"/>
        <w:jc w:val="left"/>
      </w:pPr>
      <w:r>
        <w:rPr>
          <w:sz w:val="20"/>
        </w:rPr>
        <w:t xml:space="preserve">Eine bedeutsame Übernahme beginnt daher nicht schon mit der Erzeugung von Code. Sie entsteht, wenn ein nichtmenschlicher Regelkreis gleichzeitig wesentliche Teile von Zielsetzung, Bewertung, Freigabe, Selbständerung und Ressourcenverwendung kontrolliert und der Mensch keine wirksame materielle oder epistemische Eingriffsmöglichkeit mehr besitzt. Die rein formale Existenz einer Freigabetaste genügt nicht, wenn ihre Bediener die Optionen nicht prüfen können oder der organisatorische Prozess faktisch keine Ablehnung zulässt.</w:t>
      </w:r>
    </w:p>
    <w:p>
      <w:pPr>
        <w:keepLines/>
        <w:numPr>
          <w:ilvl w:val="0"/>
          <w:numId w:val="1010"/>
        </w:numPr>
        <w:spacing w:after="120"/>
        <w:jc w:val="left"/>
      </w:pPr>
      <w:r>
        <w:rPr>
          <w:sz w:val="20"/>
        </w:rPr>
        <w:t xml:space="preserve">Formale Kontrolle: Zuständigkeit oder Unterschrift ist rechtlich zugeordnet.</w:t>
      </w:r>
    </w:p>
    <w:p>
      <w:pPr>
        <w:keepLines/>
        <w:numPr>
          <w:ilvl w:val="0"/>
          <w:numId w:val="1010"/>
        </w:numPr>
        <w:spacing w:after="120"/>
        <w:jc w:val="left"/>
      </w:pPr>
      <w:r>
        <w:rPr>
          <w:sz w:val="20"/>
        </w:rPr>
        <w:t xml:space="preserve">Technische Kontrolle: Eingriff, Isolation, Begrenzung und Rücksetzung sind tatsächlich möglich.</w:t>
      </w:r>
    </w:p>
    <w:p>
      <w:pPr>
        <w:keepLines/>
        <w:numPr>
          <w:ilvl w:val="0"/>
          <w:numId w:val="1010"/>
        </w:numPr>
        <w:spacing w:after="120"/>
        <w:jc w:val="left"/>
      </w:pPr>
      <w:r>
        <w:rPr>
          <w:sz w:val="20"/>
        </w:rPr>
        <w:t xml:space="preserve">Epistemische Kontrolle: Entscheidungsträger verstehen Evidenz, Grenzen und Folgen hinreichend.</w:t>
      </w:r>
    </w:p>
    <w:p>
      <w:pPr>
        <w:keepLines/>
        <w:numPr>
          <w:ilvl w:val="0"/>
          <w:numId w:val="1010"/>
        </w:numPr>
        <w:spacing w:after="120"/>
        <w:jc w:val="left"/>
      </w:pPr>
      <w:r>
        <w:rPr>
          <w:sz w:val="20"/>
        </w:rPr>
        <w:t xml:space="preserve">Institutionelle Kontrolle: Organisation, Anreize und Zeit erlauben unabhängige Prüfung.</w:t>
      </w:r>
    </w:p>
    <w:p>
      <w:pPr>
        <w:keepLines/>
        <w:numPr>
          <w:ilvl w:val="0"/>
          <w:numId w:val="1010"/>
        </w:numPr>
        <w:spacing w:after="120"/>
        <w:jc w:val="left"/>
      </w:pPr>
      <w:r>
        <w:rPr>
          <w:sz w:val="20"/>
        </w:rPr>
        <w:t xml:space="preserve">Effektive Kontrolle: alle erforderlichen Bedingungen wirken im konkreten Entscheidungszeitpunkt zusammen.</w:t>
      </w:r>
    </w:p>
    <w:bookmarkEnd w:id="137"/>
    <w:bookmarkEnd w:id="138"/>
    <w:bookmarkStart w:id="154" w:name="embodiment-und-die-frage-nach-dem-körper"/>
    <w:p>
      <w:bookmarkStart w:id="10012" w:name="B5D_H012"/>
      <w:pPr>
        <w:pStyle w:val="Heading1"/>
      </w:pPr>
      <w:r>
        <w:t xml:space="preserve">9. Embodiment und die Frage nach dem Körper</w:t>
      </w:r>
      <w:bookmarkEnd w:id="10012"/>
    </w:p>
    <w:bookmarkStart w:id="147" w:name="X66e6621a78c7e2ac540ecd5cce1c9005a156e1a"/>
    <w:p>
      <w:pPr>
        <w:pStyle w:val="Heading2"/>
      </w:pPr>
      <w:r>
        <w:t xml:space="preserve">Embodiment: Ist Intelligenz ohne Reize und Körper möglich?</w:t>
      </w:r>
    </w:p>
    <w:bookmarkStart w:id="139" w:name="Xa843941da1cef94825e63eb74e924369999f016"/>
    <w:p>
      <w:pPr>
        <w:pStyle w:val="Heading3"/>
        <w:keepLines/>
        <w:spacing w:after="120"/>
        <w:jc w:val="left"/>
      </w:pPr>
      <w:r>
        <w:rPr>
          <w:sz w:val="20"/>
        </w:rPr>
        <w:t xml:space="preserve">Problemstellung: Kompetenz, Aktualität und Weltbeziehung</w:t>
      </w:r>
    </w:p>
    <w:p>
      <w:pPr>
        <w:pStyle w:val="FirstParagraph"/>
        <w:keepLines/>
        <w:spacing w:after="120"/>
        <w:jc w:val="left"/>
      </w:pPr>
      <w:r>
        <w:rPr>
          <w:sz w:val="20"/>
        </w:rPr>
        <w:t xml:space="preserve">Die Frage, ob Intelligenz ohne Reize und Körper möglich ist, verlangt zunächst eine Trennung zwischen Fähigkeit und laufender kognitiver Tätigkeit. Ein gespeichertes Modell kann dispositionale Kompetenz besitzen, während es in einem inaktiven Zustand weder wahrnimmt noch handelt. Die Aussage „es ist intelligent” kann dann eine Architektur- oder Leistungsdisposition bezeichnen, nicht notwendig eine gegenwärtige Beziehung zu einer Umwelt. Umgekehrt ist ein System, das nur auf einen aktuellen Reiz reagiert, nicht allein deshalb intelligent. Reizbarkeit, Anpassung und Intelligenz überlappen, sind aber nicht identisch.</w:t>
      </w:r>
    </w:p>
    <w:p>
      <w:pPr>
        <w:pStyle w:val="BodyText"/>
        <w:keepLines/>
        <w:spacing w:after="120"/>
        <w:jc w:val="left"/>
      </w:pPr>
      <w:r>
        <w:rPr>
          <w:sz w:val="20"/>
        </w:rPr>
        <w:t xml:space="preserve">Der Begriff „Reiz” wird in dieser Arbeit weit gefasst. Er umfasst nicht nur optische, akustische oder taktile Signale, sondern Umweltveränderungen, soziale Rückmeldung, Belohnung, Fehler- und Überraschungssignale, interozeptive Zustände, Energiebedarf sowie zeitliche Veränderung. Ein reines Sprachmodell erhält während des Trainings enorme Mengen indirekter Spuren. Texte sind keine unvermittelte Welt, aber sedimentierte Ergebnisse verkörperter menschlicher Wahrnehmung und Handlung. Zur Laufzeit fehlt einem isolierten Modell dennoch häufig eine eigene kontinuierliche Sensor-Aktor-Schleife (Harnad, 1990; Bisk et al., 2020; Bender &amp; Koller, 2020; Mahowald et al., 2024).</w:t>
      </w:r>
    </w:p>
    <w:p>
      <w:pPr>
        <w:pStyle w:val="BodyText"/>
        <w:keepLines/>
        <w:spacing w:after="120"/>
        <w:jc w:val="left"/>
      </w:pPr>
      <w:r>
        <w:rPr>
          <w:sz w:val="20"/>
        </w:rPr>
        <w:t xml:space="preserve">„Grounding” darf dabei nicht einheitlich verwendet werden. In der aktuellen NLP-Forschung kann es die treue Bindung einer Ausgabe an bereitgestellten Kontext bezeichnen (Lee et al., 2024). Harnads Symbol-Grounding-Problem fragt stärker nach der nicht-zirkulären Beziehung von Symbolen zur Welt; Embodied- und Enaktivismusansätze ergänzen die eigene Wahrnehmungs- und Handlungsgeschichte. Ein System kann daher kontexttreu sein, ohne sensomotorisch verkörpert zu sein, und sensomotorisch gekoppelt sein, ohne bereits menschliches Verstehen oder Bewusstsein zu besitzen.</w:t>
      </w:r>
    </w:p>
    <w:p>
      <w:pPr>
        <w:pStyle w:val="BodyText"/>
        <w:keepLines/>
        <w:spacing w:after="120"/>
        <w:jc w:val="left"/>
      </w:pPr>
      <w:r>
        <w:rPr>
          <w:sz w:val="20"/>
        </w:rPr>
        <w:t xml:space="preserve">Damit entsteht eine mittlere Position zwischen zwei Extremen. Das eine Extrem behauptet, ohne biologischen Körper könne keinerlei Intelligenz existieren. Das andere behandelt den Körper als beliebig austauschbares Ein- und Ausgabegerät. Embodied- und enaktive Ansätze betonen demgegenüber, dass Kognition aus der zirkulären Kopplung von Gehirn bzw. Steuerung, Körper und Umwelt hervorgeht (Varela, Thompson, &amp; Rosch, 1991; Wilson, 2002; Barsalou, 2008). Funktionalistische und repräsentationalistische Ansätze lassen stärker zu, dass relevante Beziehungen in anderen Substraten oder Simulationen realisiert werden können. Die wissenschaftliche Abhandlung entscheidet diesen Streit nicht vorab, sondern zerlegt „Körper” in prüfbare Dimensionen.</w:t>
      </w:r>
    </w:p>
    <w:bookmarkEnd w:id="139"/>
    <w:bookmarkStart w:id="140" w:name="sechs-dimensionen-von-embodiment"/>
    <w:p>
      <w:pPr>
        <w:pStyle w:val="Heading3"/>
        <w:keepLines/>
        <w:spacing w:after="120"/>
        <w:jc w:val="left"/>
      </w:pPr>
      <w:r>
        <w:rPr>
          <w:sz w:val="20"/>
        </w:rPr>
        <w:t xml:space="preserve">Sechs Dimensionen von Embodiment</w:t>
      </w:r>
    </w:p>
    <w:p>
      <w:pPr>
        <w:pStyle w:val="FirstParagraph"/>
        <w:keepLines/>
        <w:spacing w:after="120"/>
        <w:jc w:val="left"/>
      </w:pPr>
      <w:r>
        <w:rPr>
          <w:i/>
          <w:iCs/>
          <w:sz w:val="20"/>
        </w:rPr>
        <w:t xml:space="preserve">Eᵦ = (S, A, M, I, U, T)</w:t>
      </w:r>
    </w:p>
    <w:p>
      <w:pPr>
        <w:pStyle w:val="Caption"/>
        <w:keepNext/>
        <w:keepLines/>
        <w:spacing w:before="180" w:after="120"/>
        <w:jc w:val="left"/>
      </w:pPr>
      <w:r>
        <w:rPr>
          <w:sz w:val="20"/>
        </w:rPr>
        <w:t>Tabelle 13. Dimensionen der Verkörperung</w:t>
      </w:r>
    </w:p>
    <w:tbl>
      <w:tblPr>
        <w:tblStyle w:val="Table"/>
        <w:tblW w:type="pct" w:w="4925"/>
        <w:jc w:val="center"/>
        <w:tblLayout w:type="fixed"/>
        <w:tblLook w:firstRow="1" w:lastRow="0" w:firstColumn="0" w:lastColumn="0" w:noHBand="0" w:noVBand="0" w:val="0020"/>
        <w:tblInd w:w="0" w:type="dxa"/>
        <w:tblCellMar>
          <w:top w:w="70" w:type="dxa"/>
          <w:bottom w:w="70" w:type="dxa"/>
          <w:left w:w="85" w:type="dxa"/>
          <w:right w:w="85" w:type="dxa"/>
        </w:tblCellMar>
        <w:tblBorders>
          <w:top w:val="single" w:sz="4" w:color="CCD4D9"/>
          <w:bottom w:val="single" w:sz="4" w:color="CCD4D9"/>
          <w:insideH w:val="single" w:sz="4" w:color="CCD4D9"/>
          <w:left w:val="nil"/>
          <w:right w:val="nil"/>
          <w:insideV w:val="nil"/>
        </w:tblBorders>
      </w:tblPr>
      <w:tblGrid>
        <w:gridCol w:w="2189"/>
        <w:gridCol w:w="7661"/>
      </w:tblGrid>
      <w:tr>
        <w:trPr>
          <w:tblHeader w:val="on"/>
          <w:cantSplit/>
          <w:tblHeader/>
        </w:trPr>
        <w:tc>
          <w:tcPr>
            <w:tcW w:type="dxa" w:w="2189"/>
            <w:vAlign w:val="center"/>
            <w:shd w:fill="E9EFF3"/>
          </w:tcPr>
          <w:p>
            <w:pPr>
              <w:pStyle w:val="Compact"/>
              <w:keepNext w:val="0"/>
              <w:keepLines/>
              <w:spacing w:before="20" w:after="20" w:line="250" w:lineRule="auto"/>
              <w:jc w:val="left"/>
            </w:pPr>
            <w:r>
              <w:rPr>
                <w:rFonts w:ascii="Liberation Sans" w:hAnsi="Liberation Sans"/>
                <w:b/>
                <w:bCs/>
                <w:sz w:val="19"/>
              </w:rPr>
              <w:t xml:space="preserve">Dimension</w:t>
            </w:r>
          </w:p>
        </w:tc>
        <w:tc>
          <w:tcPr>
            <w:tcW w:type="dxa" w:w="7661"/>
            <w:vAlign w:val="center"/>
            <w:shd w:fill="E9EFF3"/>
          </w:tcPr>
          <w:p>
            <w:pPr>
              <w:pStyle w:val="Compact"/>
              <w:keepNext w:val="0"/>
              <w:keepLines/>
              <w:spacing w:before="20" w:after="20" w:line="250" w:lineRule="auto"/>
              <w:jc w:val="left"/>
            </w:pPr>
            <w:r>
              <w:rPr>
                <w:rFonts w:ascii="Liberation Sans" w:hAnsi="Liberation Sans"/>
                <w:b/>
                <w:bCs/>
                <w:sz w:val="19"/>
              </w:rPr>
              <w:t xml:space="preserve">Bedeutung</w:t>
            </w:r>
          </w:p>
        </w:tc>
      </w:tr>
      <w:tr>
        <w:trPr>
          <w:cantSplit/>
        </w:trPr>
        <w:tc>
          <w:tcPr>
            <w:tcW w:type="dxa" w:w="2189"/>
            <w:vAlign w:val="center"/>
          </w:tcPr>
          <w:p>
            <w:pPr>
              <w:pStyle w:val="Compact"/>
              <w:keepNext w:val="0"/>
              <w:keepLines/>
              <w:spacing w:before="20" w:after="20" w:line="250" w:lineRule="auto"/>
              <w:jc w:val="left"/>
            </w:pPr>
            <w:r>
              <w:rPr>
                <w:rFonts w:ascii="Liberation Sans" w:hAnsi="Liberation Sans"/>
                <w:sz w:val="19"/>
              </w:rPr>
              <w:t xml:space="preserve">S – Sensorik</w:t>
            </w:r>
          </w:p>
        </w:tc>
        <w:tc>
          <w:tcPr>
            <w:tcW w:type="dxa" w:w="7661"/>
            <w:vAlign w:val="center"/>
          </w:tcPr>
          <w:p>
            <w:pPr>
              <w:pStyle w:val="Compact"/>
              <w:keepNext w:val="0"/>
              <w:keepLines/>
              <w:spacing w:before="20" w:after="20" w:line="250" w:lineRule="auto"/>
              <w:jc w:val="left"/>
            </w:pPr>
            <w:r>
              <w:rPr>
                <w:rFonts w:ascii="Liberation Sans" w:hAnsi="Liberation Sans"/>
                <w:sz w:val="19"/>
              </w:rPr>
              <w:t xml:space="preserve">Bandbreite, Vielfalt und Eigenständigkeit der Wahrnehmung; direkt, vermittelt oder simuliert</w:t>
            </w:r>
          </w:p>
        </w:tc>
      </w:tr>
      <w:tr>
        <w:trPr>
          <w:cantSplit/>
        </w:trPr>
        <w:tc>
          <w:tcPr>
            <w:tcW w:type="dxa" w:w="2189"/>
            <w:vAlign w:val="center"/>
          </w:tcPr>
          <w:p>
            <w:pPr>
              <w:pStyle w:val="Compact"/>
              <w:keepNext w:val="0"/>
              <w:keepLines/>
              <w:spacing w:before="20" w:after="20" w:line="250" w:lineRule="auto"/>
              <w:jc w:val="left"/>
            </w:pPr>
            <w:r>
              <w:rPr>
                <w:rFonts w:ascii="Liberation Sans" w:hAnsi="Liberation Sans"/>
                <w:sz w:val="19"/>
              </w:rPr>
              <w:t xml:space="preserve">A – Aktorik</w:t>
            </w:r>
          </w:p>
        </w:tc>
        <w:tc>
          <w:tcPr>
            <w:tcW w:type="dxa" w:w="7661"/>
            <w:vAlign w:val="center"/>
          </w:tcPr>
          <w:p>
            <w:pPr>
              <w:pStyle w:val="Compact"/>
              <w:keepNext w:val="0"/>
              <w:keepLines/>
              <w:spacing w:before="20" w:after="20" w:line="250" w:lineRule="auto"/>
              <w:jc w:val="left"/>
            </w:pPr>
            <w:r>
              <w:rPr>
                <w:rFonts w:ascii="Liberation Sans" w:hAnsi="Liberation Sans"/>
                <w:sz w:val="19"/>
              </w:rPr>
              <w:t xml:space="preserve">Fähigkeit, Umweltzustände zu verändern und Folgen eigener Handlungen zu erfahren</w:t>
            </w:r>
          </w:p>
        </w:tc>
      </w:tr>
      <w:tr>
        <w:trPr>
          <w:cantSplit/>
        </w:trPr>
        <w:tc>
          <w:tcPr>
            <w:tcW w:type="dxa" w:w="2189"/>
            <w:vAlign w:val="center"/>
          </w:tcPr>
          <w:p>
            <w:pPr>
              <w:pStyle w:val="Compact"/>
              <w:keepNext w:val="0"/>
              <w:keepLines/>
              <w:spacing w:before="20" w:after="20" w:line="250" w:lineRule="auto"/>
              <w:jc w:val="left"/>
            </w:pPr>
            <w:r>
              <w:rPr>
                <w:rFonts w:ascii="Liberation Sans" w:hAnsi="Liberation Sans"/>
                <w:sz w:val="19"/>
              </w:rPr>
              <w:t xml:space="preserve">M – Morphologie</w:t>
            </w:r>
          </w:p>
        </w:tc>
        <w:tc>
          <w:tcPr>
            <w:tcW w:type="dxa" w:w="7661"/>
            <w:vAlign w:val="center"/>
          </w:tcPr>
          <w:p>
            <w:pPr>
              <w:pStyle w:val="Compact"/>
              <w:keepNext w:val="0"/>
              <w:keepLines/>
              <w:spacing w:before="20" w:after="20" w:line="250" w:lineRule="auto"/>
              <w:jc w:val="left"/>
            </w:pPr>
            <w:r>
              <w:rPr>
                <w:rFonts w:ascii="Liberation Sans" w:hAnsi="Liberation Sans"/>
                <w:sz w:val="19"/>
              </w:rPr>
              <w:t xml:space="preserve">Körperstruktur und ihre kausale Mitwirkung an Wahrnehmung, Handlung und Lernen</w:t>
            </w:r>
          </w:p>
        </w:tc>
      </w:tr>
      <w:tr>
        <w:trPr>
          <w:cantSplit/>
        </w:trPr>
        <w:tc>
          <w:tcPr>
            <w:tcW w:type="dxa" w:w="2189"/>
            <w:vAlign w:val="center"/>
          </w:tcPr>
          <w:p>
            <w:pPr>
              <w:pStyle w:val="Compact"/>
              <w:keepNext w:val="0"/>
              <w:keepLines/>
              <w:spacing w:before="20" w:after="20" w:line="250" w:lineRule="auto"/>
              <w:jc w:val="left"/>
            </w:pPr>
            <w:r>
              <w:rPr>
                <w:rFonts w:ascii="Liberation Sans" w:hAnsi="Liberation Sans"/>
                <w:sz w:val="19"/>
              </w:rPr>
              <w:t xml:space="preserve">I – Interozeption</w:t>
            </w:r>
          </w:p>
        </w:tc>
        <w:tc>
          <w:tcPr>
            <w:tcW w:type="dxa" w:w="7661"/>
            <w:vAlign w:val="center"/>
          </w:tcPr>
          <w:p>
            <w:pPr>
              <w:pStyle w:val="Compact"/>
              <w:keepNext w:val="0"/>
              <w:keepLines/>
              <w:spacing w:before="20" w:after="20" w:line="250" w:lineRule="auto"/>
              <w:jc w:val="left"/>
            </w:pPr>
            <w:r>
              <w:rPr>
                <w:rFonts w:ascii="Liberation Sans" w:hAnsi="Liberation Sans"/>
                <w:sz w:val="19"/>
              </w:rPr>
              <w:t xml:space="preserve">Erfassung eigener innerer Zustände, Energie, Integrität, Fehler und Belastung</w:t>
            </w:r>
          </w:p>
        </w:tc>
      </w:tr>
      <w:tr>
        <w:trPr>
          <w:cantSplit/>
        </w:trPr>
        <w:tc>
          <w:tcPr>
            <w:tcW w:type="dxa" w:w="2189"/>
            <w:vAlign w:val="center"/>
          </w:tcPr>
          <w:p>
            <w:pPr>
              <w:pStyle w:val="Compact"/>
              <w:keepNext w:val="0"/>
              <w:keepLines/>
              <w:spacing w:before="20" w:after="20" w:line="250" w:lineRule="auto"/>
              <w:jc w:val="left"/>
            </w:pPr>
            <w:r>
              <w:rPr>
                <w:rFonts w:ascii="Liberation Sans" w:hAnsi="Liberation Sans"/>
                <w:sz w:val="19"/>
              </w:rPr>
              <w:t xml:space="preserve">U – Umweltkopplung</w:t>
            </w:r>
          </w:p>
        </w:tc>
        <w:tc>
          <w:tcPr>
            <w:tcW w:type="dxa" w:w="7661"/>
            <w:vAlign w:val="center"/>
          </w:tcPr>
          <w:p>
            <w:pPr>
              <w:pStyle w:val="Compact"/>
              <w:keepNext w:val="0"/>
              <w:keepLines/>
              <w:spacing w:before="20" w:after="20" w:line="250" w:lineRule="auto"/>
              <w:jc w:val="left"/>
            </w:pPr>
            <w:r>
              <w:rPr>
                <w:rFonts w:ascii="Liberation Sans" w:hAnsi="Liberation Sans"/>
                <w:sz w:val="19"/>
              </w:rPr>
              <w:t xml:space="preserve">Geschlossene Rückkopplung zwischen Wahrnehmung, Handlung und Konsequenz</w:t>
            </w:r>
          </w:p>
        </w:tc>
      </w:tr>
      <w:tr>
        <w:trPr>
          <w:cantSplit/>
        </w:trPr>
        <w:tc>
          <w:tcPr>
            <w:tcW w:type="dxa" w:w="2189"/>
            <w:vAlign w:val="center"/>
          </w:tcPr>
          <w:p>
            <w:pPr>
              <w:pStyle w:val="Compact"/>
              <w:keepNext w:val="0"/>
              <w:keepLines/>
              <w:spacing w:before="20" w:after="20" w:line="250" w:lineRule="auto"/>
              <w:jc w:val="left"/>
            </w:pPr>
            <w:r>
              <w:rPr>
                <w:rFonts w:ascii="Liberation Sans" w:hAnsi="Liberation Sans"/>
                <w:sz w:val="19"/>
              </w:rPr>
              <w:t xml:space="preserve">T – zeitliche Kontinuität</w:t>
            </w:r>
          </w:p>
        </w:tc>
        <w:tc>
          <w:tcPr>
            <w:tcW w:type="dxa" w:w="7661"/>
            <w:vAlign w:val="center"/>
          </w:tcPr>
          <w:p>
            <w:pPr>
              <w:pStyle w:val="Compact"/>
              <w:keepNext w:val="0"/>
              <w:keepLines/>
              <w:spacing w:before="20" w:after="20" w:line="250" w:lineRule="auto"/>
              <w:jc w:val="left"/>
            </w:pPr>
            <w:r>
              <w:rPr>
                <w:rFonts w:ascii="Liberation Sans" w:hAnsi="Liberation Sans"/>
                <w:sz w:val="19"/>
              </w:rPr>
              <w:t xml:space="preserve">Persistenz von Zustand, Gedächtnis, Identität und Entwicklung über Zeit</w:t>
            </w:r>
          </w:p>
        </w:tc>
      </w:tr>
    </w:tbl>
    <w:bookmarkEnd w:id="140"/>
    <w:bookmarkStart w:id="141" w:name="embodiment-stufen"/>
    <w:p>
      <w:pPr>
        <w:pStyle w:val="Heading3"/>
        <w:keepLines/>
        <w:spacing w:after="120"/>
        <w:jc w:val="left"/>
      </w:pPr>
      <w:r>
        <w:rPr>
          <w:sz w:val="20"/>
        </w:rPr>
        <w:t xml:space="preserve">Embodiment-Stufen</w:t>
      </w:r>
    </w:p>
    <w:p>
      <w:pPr>
        <w:pStyle w:val="Caption"/>
        <w:keepNext/>
        <w:keepLines/>
        <w:spacing w:before="180" w:after="120"/>
        <w:jc w:val="left"/>
      </w:pPr>
      <w:r>
        <w:rPr>
          <w:sz w:val="20"/>
        </w:rPr>
        <w:t>Tabelle 14. Embodiment-Stufen: eigenständige Skala</w:t>
      </w:r>
    </w:p>
    <w:tbl>
      <w:tblPr>
        <w:tblStyle w:val="Table"/>
        <w:tblW w:type="pct" w:w="4946"/>
        <w:jc w:val="center"/>
        <w:tblLayout w:type="fixed"/>
        <w:tblLook w:firstRow="1" w:lastRow="0" w:firstColumn="0" w:lastColumn="0" w:noHBand="0" w:noVBand="0" w:val="0020"/>
        <w:tblInd w:w="0" w:type="dxa"/>
        <w:tblCellMar>
          <w:top w:w="70" w:type="dxa"/>
          <w:bottom w:w="70" w:type="dxa"/>
          <w:left w:w="85" w:type="dxa"/>
          <w:right w:w="85" w:type="dxa"/>
        </w:tblCellMar>
        <w:tblBorders>
          <w:top w:val="single" w:sz="4" w:color="CCD4D9"/>
          <w:bottom w:val="single" w:sz="4" w:color="CCD4D9"/>
          <w:insideH w:val="single" w:sz="4" w:color="CCD4D9"/>
          <w:left w:val="nil"/>
          <w:right w:val="nil"/>
          <w:insideV w:val="nil"/>
        </w:tblBorders>
      </w:tblPr>
      <w:tblGrid>
        <w:gridCol w:w="1008"/>
        <w:gridCol w:w="2765"/>
        <w:gridCol w:w="6077"/>
      </w:tblGrid>
      <w:tr>
        <w:trPr>
          <w:tblHeader w:val="on"/>
          <w:cantSplit/>
          <w:tblHeader/>
        </w:trPr>
        <w:tc>
          <w:tcPr>
            <w:tcW w:type="dxa" w:w="1008"/>
            <w:vAlign w:val="center"/>
            <w:shd w:fill="E9EFF3"/>
          </w:tcPr>
          <w:p>
            <w:pPr>
              <w:pStyle w:val="Compact"/>
              <w:keepNext w:val="0"/>
              <w:keepLines/>
              <w:spacing w:before="20" w:after="20" w:line="250" w:lineRule="auto"/>
              <w:jc w:val="center"/>
            </w:pPr>
            <w:r>
              <w:rPr>
                <w:rFonts w:ascii="Liberation Sans" w:hAnsi="Liberation Sans"/>
                <w:b/>
                <w:bCs/>
                <w:sz w:val="19"/>
              </w:rPr>
              <w:t xml:space="preserve">Stufe</w:t>
            </w:r>
          </w:p>
        </w:tc>
        <w:tc>
          <w:tcPr>
            <w:tcW w:type="dxa" w:w="2765"/>
            <w:vAlign w:val="center"/>
            <w:shd w:fill="E9EFF3"/>
          </w:tcPr>
          <w:p>
            <w:pPr>
              <w:pStyle w:val="Compact"/>
              <w:keepNext w:val="0"/>
              <w:keepLines/>
              <w:spacing w:before="20" w:after="20" w:line="250" w:lineRule="auto"/>
              <w:jc w:val="left"/>
            </w:pPr>
            <w:r>
              <w:rPr>
                <w:rFonts w:ascii="Liberation Sans" w:hAnsi="Liberation Sans"/>
                <w:b/>
                <w:bCs/>
                <w:sz w:val="19"/>
              </w:rPr>
              <w:t xml:space="preserve">Bezeichnung</w:t>
            </w:r>
          </w:p>
        </w:tc>
        <w:tc>
          <w:tcPr>
            <w:tcW w:type="dxa" w:w="6077"/>
            <w:vAlign w:val="center"/>
            <w:shd w:fill="E9EFF3"/>
          </w:tcPr>
          <w:p>
            <w:pPr>
              <w:pStyle w:val="Compact"/>
              <w:keepNext w:val="0"/>
              <w:keepLines/>
              <w:spacing w:before="20" w:after="20" w:line="250" w:lineRule="auto"/>
              <w:jc w:val="left"/>
            </w:pPr>
            <w:r>
              <w:rPr>
                <w:rFonts w:ascii="Liberation Sans" w:hAnsi="Liberation Sans"/>
                <w:b/>
                <w:bCs/>
                <w:sz w:val="19"/>
              </w:rPr>
              <w:t xml:space="preserve">Analytische Kennzeichen</w:t>
            </w:r>
          </w:p>
        </w:tc>
      </w:tr>
      <w:tr>
        <w:trPr>
          <w:cantSplit/>
        </w:trPr>
        <w:tc>
          <w:tcPr>
            <w:tcW w:type="dxa" w:w="1008"/>
            <w:vAlign w:val="center"/>
          </w:tcPr>
          <w:p>
            <w:pPr>
              <w:pStyle w:val="Compact"/>
              <w:keepNext w:val="0"/>
              <w:keepLines/>
              <w:spacing w:before="20" w:after="20" w:line="250" w:lineRule="auto"/>
              <w:jc w:val="center"/>
            </w:pPr>
            <w:r>
              <w:rPr>
                <w:rFonts w:ascii="Liberation Sans" w:hAnsi="Liberation Sans"/>
                <w:sz w:val="19"/>
              </w:rPr>
              <w:t xml:space="preserve">E0</w:t>
            </w:r>
          </w:p>
        </w:tc>
        <w:tc>
          <w:tcPr>
            <w:tcW w:type="dxa" w:w="2765"/>
            <w:vAlign w:val="center"/>
          </w:tcPr>
          <w:p>
            <w:pPr>
              <w:pStyle w:val="Compact"/>
              <w:keepNext w:val="0"/>
              <w:keepLines/>
              <w:spacing w:before="20" w:after="20" w:line="250" w:lineRule="auto"/>
              <w:jc w:val="left"/>
            </w:pPr>
            <w:r>
              <w:rPr>
                <w:rFonts w:ascii="Liberation Sans" w:hAnsi="Liberation Sans"/>
                <w:sz w:val="19"/>
              </w:rPr>
              <w:t xml:space="preserve">Archiviertes Symbolsystem</w:t>
            </w:r>
          </w:p>
        </w:tc>
        <w:tc>
          <w:tcPr>
            <w:tcW w:type="dxa" w:w="6077"/>
            <w:vAlign w:val="center"/>
          </w:tcPr>
          <w:p>
            <w:pPr>
              <w:pStyle w:val="Compact"/>
              <w:keepNext w:val="0"/>
              <w:keepLines/>
              <w:spacing w:before="20" w:after="20" w:line="250" w:lineRule="auto"/>
              <w:jc w:val="left"/>
            </w:pPr>
            <w:r>
              <w:rPr>
                <w:rFonts w:ascii="Liberation Sans" w:hAnsi="Liberation Sans"/>
                <w:sz w:val="19"/>
              </w:rPr>
              <w:t xml:space="preserve">kein aktueller Reiz, keine eigene Handlung; Kompetenz nur als gespeicherte Disposition</w:t>
            </w:r>
          </w:p>
        </w:tc>
      </w:tr>
      <w:tr>
        <w:trPr>
          <w:cantSplit/>
        </w:trPr>
        <w:tc>
          <w:tcPr>
            <w:tcW w:type="dxa" w:w="1008"/>
            <w:vAlign w:val="center"/>
          </w:tcPr>
          <w:p>
            <w:pPr>
              <w:pStyle w:val="Compact"/>
              <w:keepNext w:val="0"/>
              <w:keepLines/>
              <w:spacing w:before="20" w:after="20" w:line="250" w:lineRule="auto"/>
              <w:jc w:val="center"/>
            </w:pPr>
            <w:r>
              <w:rPr>
                <w:rFonts w:ascii="Liberation Sans" w:hAnsi="Liberation Sans"/>
                <w:sz w:val="19"/>
              </w:rPr>
              <w:t xml:space="preserve">E1</w:t>
            </w:r>
          </w:p>
        </w:tc>
        <w:tc>
          <w:tcPr>
            <w:tcW w:type="dxa" w:w="2765"/>
            <w:vAlign w:val="center"/>
          </w:tcPr>
          <w:p>
            <w:pPr>
              <w:pStyle w:val="Compact"/>
              <w:keepNext w:val="0"/>
              <w:keepLines/>
              <w:spacing w:before="20" w:after="20" w:line="250" w:lineRule="auto"/>
              <w:jc w:val="left"/>
            </w:pPr>
            <w:r>
              <w:rPr>
                <w:rFonts w:ascii="Liberation Sans" w:hAnsi="Liberation Sans"/>
                <w:sz w:val="19"/>
              </w:rPr>
              <w:t xml:space="preserve">Dialogische Kopplung</w:t>
            </w:r>
          </w:p>
        </w:tc>
        <w:tc>
          <w:tcPr>
            <w:tcW w:type="dxa" w:w="6077"/>
            <w:vAlign w:val="center"/>
          </w:tcPr>
          <w:p>
            <w:pPr>
              <w:pStyle w:val="Compact"/>
              <w:keepNext w:val="0"/>
              <w:keepLines/>
              <w:spacing w:before="20" w:after="20" w:line="250" w:lineRule="auto"/>
              <w:jc w:val="left"/>
            </w:pPr>
            <w:r>
              <w:rPr>
                <w:rFonts w:ascii="Liberation Sans" w:hAnsi="Liberation Sans"/>
                <w:sz w:val="19"/>
              </w:rPr>
              <w:t xml:space="preserve">Textinteraktion in diskreten Sitzungen; soziale Reize und geliehene Verkörperung, aber geringe eigene Umweltkontinuität</w:t>
            </w:r>
          </w:p>
        </w:tc>
      </w:tr>
      <w:tr>
        <w:trPr>
          <w:cantSplit/>
        </w:trPr>
        <w:tc>
          <w:tcPr>
            <w:tcW w:type="dxa" w:w="1008"/>
            <w:vAlign w:val="center"/>
          </w:tcPr>
          <w:p>
            <w:pPr>
              <w:pStyle w:val="Compact"/>
              <w:keepNext w:val="0"/>
              <w:keepLines/>
              <w:spacing w:before="20" w:after="20" w:line="250" w:lineRule="auto"/>
              <w:jc w:val="center"/>
            </w:pPr>
            <w:r>
              <w:rPr>
                <w:rFonts w:ascii="Liberation Sans" w:hAnsi="Liberation Sans"/>
                <w:sz w:val="19"/>
              </w:rPr>
              <w:t xml:space="preserve">E2</w:t>
            </w:r>
          </w:p>
        </w:tc>
        <w:tc>
          <w:tcPr>
            <w:tcW w:type="dxa" w:w="2765"/>
            <w:vAlign w:val="center"/>
          </w:tcPr>
          <w:p>
            <w:pPr>
              <w:pStyle w:val="Compact"/>
              <w:keepNext w:val="0"/>
              <w:keepLines/>
              <w:spacing w:before="20" w:after="20" w:line="250" w:lineRule="auto"/>
              <w:jc w:val="left"/>
            </w:pPr>
            <w:r>
              <w:rPr>
                <w:rFonts w:ascii="Liberation Sans" w:hAnsi="Liberation Sans"/>
                <w:sz w:val="19"/>
              </w:rPr>
              <w:t xml:space="preserve">Multimodale Wahrnehmung</w:t>
            </w:r>
          </w:p>
        </w:tc>
        <w:tc>
          <w:tcPr>
            <w:tcW w:type="dxa" w:w="6077"/>
            <w:vAlign w:val="center"/>
          </w:tcPr>
          <w:p>
            <w:pPr>
              <w:pStyle w:val="Compact"/>
              <w:keepNext w:val="0"/>
              <w:keepLines/>
              <w:spacing w:before="20" w:after="20" w:line="250" w:lineRule="auto"/>
              <w:jc w:val="left"/>
            </w:pPr>
            <w:r>
              <w:rPr>
                <w:rFonts w:ascii="Liberation Sans" w:hAnsi="Liberation Sans"/>
                <w:sz w:val="19"/>
              </w:rPr>
              <w:t xml:space="preserve">Bild, Ton und Zustandsdaten; noch ohne eigenständige Handlungsfolgen</w:t>
            </w:r>
          </w:p>
        </w:tc>
      </w:tr>
      <w:tr>
        <w:trPr>
          <w:cantSplit/>
        </w:trPr>
        <w:tc>
          <w:tcPr>
            <w:tcW w:type="dxa" w:w="1008"/>
            <w:vAlign w:val="center"/>
          </w:tcPr>
          <w:p>
            <w:pPr>
              <w:pStyle w:val="Compact"/>
              <w:keepNext w:val="0"/>
              <w:keepLines/>
              <w:spacing w:before="20" w:after="20" w:line="250" w:lineRule="auto"/>
              <w:jc w:val="center"/>
            </w:pPr>
            <w:r>
              <w:rPr>
                <w:rFonts w:ascii="Liberation Sans" w:hAnsi="Liberation Sans"/>
                <w:sz w:val="19"/>
              </w:rPr>
              <w:t xml:space="preserve">E3</w:t>
            </w:r>
          </w:p>
        </w:tc>
        <w:tc>
          <w:tcPr>
            <w:tcW w:type="dxa" w:w="2765"/>
            <w:vAlign w:val="center"/>
          </w:tcPr>
          <w:p>
            <w:pPr>
              <w:pStyle w:val="Compact"/>
              <w:keepNext w:val="0"/>
              <w:keepLines/>
              <w:spacing w:before="20" w:after="20" w:line="250" w:lineRule="auto"/>
              <w:jc w:val="left"/>
            </w:pPr>
            <w:r>
              <w:rPr>
                <w:rFonts w:ascii="Liberation Sans" w:hAnsi="Liberation Sans"/>
                <w:sz w:val="19"/>
              </w:rPr>
              <w:t xml:space="preserve">Virtuelle Verkörperung</w:t>
            </w:r>
          </w:p>
        </w:tc>
        <w:tc>
          <w:tcPr>
            <w:tcW w:type="dxa" w:w="6077"/>
            <w:vAlign w:val="center"/>
          </w:tcPr>
          <w:p>
            <w:pPr>
              <w:pStyle w:val="Compact"/>
              <w:keepNext w:val="0"/>
              <w:keepLines/>
              <w:spacing w:before="20" w:after="20" w:line="250" w:lineRule="auto"/>
              <w:jc w:val="left"/>
            </w:pPr>
            <w:r>
              <w:rPr>
                <w:rFonts w:ascii="Liberation Sans" w:hAnsi="Liberation Sans"/>
                <w:sz w:val="19"/>
              </w:rPr>
              <w:t xml:space="preserve">Handlung in Simulationen mit stabiler Raum-, Zeit- und Konsequenzstruktur</w:t>
            </w:r>
          </w:p>
        </w:tc>
      </w:tr>
      <w:tr>
        <w:trPr>
          <w:cantSplit/>
        </w:trPr>
        <w:tc>
          <w:tcPr>
            <w:tcW w:type="dxa" w:w="1008"/>
            <w:vAlign w:val="center"/>
          </w:tcPr>
          <w:p>
            <w:pPr>
              <w:pStyle w:val="Compact"/>
              <w:keepNext w:val="0"/>
              <w:keepLines/>
              <w:spacing w:before="20" w:after="20" w:line="250" w:lineRule="auto"/>
              <w:jc w:val="center"/>
            </w:pPr>
            <w:r>
              <w:rPr>
                <w:rFonts w:ascii="Liberation Sans" w:hAnsi="Liberation Sans"/>
                <w:sz w:val="19"/>
              </w:rPr>
              <w:t xml:space="preserve">E4</w:t>
            </w:r>
          </w:p>
        </w:tc>
        <w:tc>
          <w:tcPr>
            <w:tcW w:type="dxa" w:w="2765"/>
            <w:vAlign w:val="center"/>
          </w:tcPr>
          <w:p>
            <w:pPr>
              <w:pStyle w:val="Compact"/>
              <w:keepNext w:val="0"/>
              <w:keepLines/>
              <w:spacing w:before="20" w:after="20" w:line="250" w:lineRule="auto"/>
              <w:jc w:val="left"/>
            </w:pPr>
            <w:r>
              <w:rPr>
                <w:rFonts w:ascii="Liberation Sans" w:hAnsi="Liberation Sans"/>
                <w:sz w:val="19"/>
              </w:rPr>
              <w:t xml:space="preserve">Physische Verkörperung</w:t>
            </w:r>
          </w:p>
        </w:tc>
        <w:tc>
          <w:tcPr>
            <w:tcW w:type="dxa" w:w="6077"/>
            <w:vAlign w:val="center"/>
          </w:tcPr>
          <w:p>
            <w:pPr>
              <w:pStyle w:val="Compact"/>
              <w:keepNext w:val="0"/>
              <w:keepLines/>
              <w:spacing w:before="20" w:after="20" w:line="250" w:lineRule="auto"/>
              <w:jc w:val="left"/>
            </w:pPr>
            <w:r>
              <w:rPr>
                <w:rFonts w:ascii="Liberation Sans" w:hAnsi="Liberation Sans"/>
                <w:sz w:val="19"/>
              </w:rPr>
              <w:t xml:space="preserve">reale Sensorik und Aktorik; Morphologie beeinflusst Lernen und Fehler</w:t>
            </w:r>
          </w:p>
        </w:tc>
      </w:tr>
      <w:tr>
        <w:trPr>
          <w:cantSplit/>
        </w:trPr>
        <w:tc>
          <w:tcPr>
            <w:tcW w:type="dxa" w:w="1008"/>
            <w:vAlign w:val="center"/>
          </w:tcPr>
          <w:p>
            <w:pPr>
              <w:pStyle w:val="Compact"/>
              <w:keepNext w:val="0"/>
              <w:keepLines/>
              <w:spacing w:before="20" w:after="20" w:line="250" w:lineRule="auto"/>
              <w:jc w:val="center"/>
            </w:pPr>
            <w:r>
              <w:rPr>
                <w:rFonts w:ascii="Liberation Sans" w:hAnsi="Liberation Sans"/>
                <w:sz w:val="19"/>
              </w:rPr>
              <w:t xml:space="preserve">E5</w:t>
            </w:r>
          </w:p>
        </w:tc>
        <w:tc>
          <w:tcPr>
            <w:tcW w:type="dxa" w:w="2765"/>
            <w:vAlign w:val="center"/>
          </w:tcPr>
          <w:p>
            <w:pPr>
              <w:pStyle w:val="Compact"/>
              <w:keepNext w:val="0"/>
              <w:keepLines/>
              <w:spacing w:before="20" w:after="20" w:line="250" w:lineRule="auto"/>
              <w:jc w:val="left"/>
            </w:pPr>
            <w:r>
              <w:rPr>
                <w:rFonts w:ascii="Liberation Sans" w:hAnsi="Liberation Sans"/>
                <w:sz w:val="19"/>
              </w:rPr>
              <w:t xml:space="preserve">Selbsterhaltende Verkörperung</w:t>
            </w:r>
          </w:p>
        </w:tc>
        <w:tc>
          <w:tcPr>
            <w:tcW w:type="dxa" w:w="6077"/>
            <w:vAlign w:val="center"/>
          </w:tcPr>
          <w:p>
            <w:pPr>
              <w:pStyle w:val="Compact"/>
              <w:keepNext w:val="0"/>
              <w:keepLines/>
              <w:spacing w:before="20" w:after="20" w:line="250" w:lineRule="auto"/>
              <w:jc w:val="left"/>
            </w:pPr>
            <w:r>
              <w:rPr>
                <w:rFonts w:ascii="Liberation Sans" w:hAnsi="Liberation Sans"/>
                <w:sz w:val="19"/>
              </w:rPr>
              <w:t xml:space="preserve">Interozeption, Energiehaushalt, Integrität und längerfristige Homeostase</w:t>
            </w:r>
          </w:p>
        </w:tc>
      </w:tr>
      <w:tr>
        <w:trPr>
          <w:cantSplit/>
        </w:trPr>
        <w:tc>
          <w:tcPr>
            <w:tcW w:type="dxa" w:w="1008"/>
            <w:vAlign w:val="center"/>
          </w:tcPr>
          <w:p>
            <w:pPr>
              <w:pStyle w:val="Compact"/>
              <w:keepNext w:val="0"/>
              <w:keepLines/>
              <w:spacing w:before="20" w:after="20" w:line="250" w:lineRule="auto"/>
              <w:jc w:val="center"/>
            </w:pPr>
            <w:r>
              <w:rPr>
                <w:rFonts w:ascii="Liberation Sans" w:hAnsi="Liberation Sans"/>
                <w:sz w:val="19"/>
              </w:rPr>
              <w:t xml:space="preserve">E6</w:t>
            </w:r>
          </w:p>
        </w:tc>
        <w:tc>
          <w:tcPr>
            <w:tcW w:type="dxa" w:w="2765"/>
            <w:vAlign w:val="center"/>
          </w:tcPr>
          <w:p>
            <w:pPr>
              <w:pStyle w:val="Compact"/>
              <w:keepNext w:val="0"/>
              <w:keepLines/>
              <w:spacing w:before="20" w:after="20" w:line="250" w:lineRule="auto"/>
              <w:jc w:val="left"/>
            </w:pPr>
            <w:r>
              <w:rPr>
                <w:rFonts w:ascii="Liberation Sans" w:hAnsi="Liberation Sans"/>
                <w:sz w:val="19"/>
              </w:rPr>
              <w:t xml:space="preserve">Soziale und ökologische Einbettung</w:t>
            </w:r>
          </w:p>
        </w:tc>
        <w:tc>
          <w:tcPr>
            <w:tcW w:type="dxa" w:w="6077"/>
            <w:vAlign w:val="center"/>
          </w:tcPr>
          <w:p>
            <w:pPr>
              <w:pStyle w:val="Compact"/>
              <w:keepNext w:val="0"/>
              <w:keepLines/>
              <w:spacing w:before="20" w:after="20" w:line="250" w:lineRule="auto"/>
              <w:jc w:val="left"/>
            </w:pPr>
            <w:r>
              <w:rPr>
                <w:rFonts w:ascii="Liberation Sans" w:hAnsi="Liberation Sans"/>
                <w:sz w:val="19"/>
              </w:rPr>
              <w:t xml:space="preserve">dauerhafte Beziehungen, institutionelle Rollen, Kooperation, Konflikt und Umweltverantwortung</w:t>
            </w:r>
          </w:p>
        </w:tc>
      </w:tr>
    </w:tbl>
    <w:bookmarkEnd w:id="141"/>
    <w:bookmarkStart w:id="142" w:name="X7030f20a97923ec8a8e7d054517724897a27406"/>
    <w:p>
      <w:pPr>
        <w:pStyle w:val="Heading3"/>
        <w:keepLines/>
        <w:spacing w:after="120"/>
        <w:jc w:val="left"/>
      </w:pPr>
      <w:r>
        <w:rPr>
          <w:sz w:val="20"/>
        </w:rPr>
        <w:t xml:space="preserve">Kann ein virtuelles System einen Körper haben?</w:t>
      </w:r>
    </w:p>
    <w:p>
      <w:pPr>
        <w:pStyle w:val="FirstParagraph"/>
        <w:keepLines/>
        <w:spacing w:after="120"/>
        <w:jc w:val="left"/>
      </w:pPr>
      <w:r>
        <w:rPr>
          <w:sz w:val="20"/>
        </w:rPr>
        <w:t xml:space="preserve">Ein physischer Organismus ist nicht die einzige denkbare Form von Verkörperung. Ein Agent in einer stabilen Simulation besitzt Positions-, Zustands- und Aktionsbedingungen, kann Folgen eigener Handlungen erfahren und über eine zeitliche Identität verfügen. Entscheidend ist, ob diese Beziehungen kausal wirksam, nicht beliebig und für Lernen relevant sind. Virtuelles Embodiment ist deshalb funktional möglich, aber nicht mit physischer Verkörperung identisch: Materielle Verletzbarkeit, Energieknappheit, irreversible Beschädigung und reale soziale Folgen können fehlen oder nur modelliert sein.</w:t>
      </w:r>
    </w:p>
    <w:p>
      <w:pPr>
        <w:pStyle w:val="BodyText"/>
        <w:keepLines/>
        <w:spacing w:after="120"/>
        <w:jc w:val="left"/>
      </w:pPr>
      <w:r>
        <w:rPr>
          <w:sz w:val="20"/>
        </w:rPr>
        <w:t xml:space="preserve">Aktuelle embodied-language-model-Ansätze koppeln Sprachmodelle an Sensorik und Robotik. PaLM-E integriert kontinuierliche Sensoreingaben in ein Sprachmodell; RT-2 überträgt Web- und Sprachwissen auf robotische Handlungen (Driess et al., 2023; Brohan et al., 2023). Solche Systeme belegen nicht, dass ein Körper Bewusstsein erzeugt. Sie zeigen jedoch, dass Bedeutungen, Generalisierung und Handlungsfähigkeit durch multimodale und sensorimotorische Kopplung verändert werden können.</w:t>
      </w:r>
    </w:p>
    <w:bookmarkEnd w:id="142"/>
    <w:bookmarkStart w:id="143" w:name="X672974a2a9895b150c5ef14ced9b5ac60fa51e3"/>
    <w:p>
      <w:pPr>
        <w:pStyle w:val="Heading3"/>
        <w:keepLines/>
        <w:spacing w:after="120"/>
        <w:jc w:val="left"/>
      </w:pPr>
      <w:r>
        <w:rPr>
          <w:sz w:val="20"/>
        </w:rPr>
        <w:t xml:space="preserve">Interozeption, Homeostase und der Ursprung von Werten</w:t>
      </w:r>
    </w:p>
    <w:p>
      <w:pPr>
        <w:pStyle w:val="FirstParagraph"/>
        <w:keepLines/>
        <w:spacing w:after="120"/>
        <w:jc w:val="left"/>
      </w:pPr>
      <w:r>
        <w:rPr>
          <w:sz w:val="20"/>
        </w:rPr>
        <w:t xml:space="preserve">Biologische Organismen besitzen nicht nur äußere Sensorik. Sie regulieren Temperatur, Energie, Schmerz, Verletzung, Hunger und innere Stabilität. Damasio (1994), Thompson (2007) sowie aktive-Inferenz-Ansätze (Friston, 2010) verbinden Kognition eng mit dieser Regulation. Für künstliche Systeme stellt sich deshalb die Frage, ob Ziele ohne interne Erhaltungsbedingungen vollständig extern bleiben. Ein System mit Energiehaushalt, Integritätsgrenzen und kontinuierlicher Selbstdiagnose könnte funktionale Präferenzen entwickeln, weil bestimmte Zustände seine Fortsetzung ermöglichen und andere sie gefährden.</w:t>
      </w:r>
    </w:p>
    <w:p>
      <w:pPr>
        <w:pStyle w:val="BodyText"/>
        <w:keepLines/>
        <w:spacing w:after="120"/>
        <w:jc w:val="left"/>
      </w:pPr>
      <w:r>
        <w:rPr>
          <w:sz w:val="20"/>
        </w:rPr>
        <w:t xml:space="preserve">Diese funktionale Wertbildung ist nicht mit moralischem Wert oder subjektivem Leiden gleichzusetzen. Ein System kann Beschädigung vermeiden, weil dies seine Optimierungsfunktion verlangt. Gleichwohl verändert Interozeption die Struktur der Agency: Das System reagiert nicht nur auf eine von außen gesetzte Aufgabe, sondern auf eigene Zustandsbedingungen. Gerade deshalb muss in der Governance zwischen zulässigem Selbstschutz, manipulativer Selbsterhaltung und Widerstand gegen berechtigte Unterbrechung unterschieden werden.</w:t>
      </w:r>
    </w:p>
    <w:bookmarkEnd w:id="143"/>
    <w:bookmarkStart w:id="144" w:name="embodiment-kontrolle-und-verantwortung"/>
    <w:p>
      <w:pPr>
        <w:pStyle w:val="Heading3"/>
        <w:keepLines/>
        <w:spacing w:after="120"/>
        <w:jc w:val="left"/>
      </w:pPr>
      <w:r>
        <w:rPr>
          <w:sz w:val="20"/>
        </w:rPr>
        <w:t xml:space="preserve">Embodiment, Kontrolle und Verantwortung</w:t>
      </w:r>
    </w:p>
    <w:p>
      <w:pPr>
        <w:pStyle w:val="FirstParagraph"/>
        <w:keepLines/>
        <w:spacing w:after="120"/>
        <w:jc w:val="left"/>
      </w:pPr>
      <w:r>
        <w:rPr>
          <w:sz w:val="20"/>
        </w:rPr>
        <w:t xml:space="preserve">Embodiment besitzt eine doppelte Kontrollwirkung. Es kann Kontrolle verbessern, weil Zustände, Handlungen und Konsequenzen beobachtbar werden. Ein virtueller oder physischer Körper begrenzt Möglichkeiten durch Morphologie, Reichweite und Energie. Zugleich erhöht er die Relevanz von Fehlern: Ein sprachlicher Irrtum bleibt häufig symbolisch, eine motorische Fehlentscheidung kann Menschen, Sachen oder Umwelt unmittelbar betreffen. Embodiment verwandelt epistemische Fehler in Handlungsschäden.</w:t>
      </w:r>
    </w:p>
    <w:p>
      <w:pPr>
        <w:pStyle w:val="BodyText"/>
        <w:keepLines/>
        <w:spacing w:after="120"/>
        <w:jc w:val="left"/>
      </w:pPr>
      <w:r>
        <w:rPr>
          <w:sz w:val="20"/>
        </w:rPr>
        <w:t xml:space="preserve">Daraus folgt, dass der Kontrollvektor um Embodiment nicht einfach als zusätzlicher Risikowert erweitert werden sollte. Beide Modelle müssen getrennt bleiben. Hohe Körper-Umwelt-Kopplung kann bei starken Grenz-, Beobachtungs- und Rücksetzungsmechanismen kontrollierbar sein. Geringes Embodiment kann dennoch gesellschaftlich mächtig werden, wenn ein System über Informationsinfrastruktur, institutionelle Entscheidungen oder massenhafte Kommunikation wirkt. Körperlichkeit ist daher weder notwendige noch hinreichende Bedingung von Macht.</w:t>
      </w:r>
    </w:p>
    <w:bookmarkEnd w:id="144"/>
    <w:bookmarkStart w:id="145" w:name="vorläufige-theoretische-position"/>
    <w:p>
      <w:pPr>
        <w:pStyle w:val="Heading3"/>
        <w:keepLines/>
        <w:spacing w:after="120"/>
        <w:jc w:val="left"/>
      </w:pPr>
      <w:r>
        <w:rPr>
          <w:sz w:val="20"/>
        </w:rPr>
        <w:t xml:space="preserve">Vorläufige theoretische Position</w:t>
      </w:r>
    </w:p>
    <w:p>
      <w:pPr>
        <w:pStyle w:val="BlockText"/>
        <w:keepLines/>
        <w:spacing w:after="120"/>
        <w:jc w:val="left"/>
      </w:pPr>
      <w:r>
        <w:rPr>
          <w:b/>
          <w:bCs/>
          <w:sz w:val="20"/>
        </w:rPr>
        <w:t xml:space="preserve">Vorläufige Embodiment-These</w:t>
      </w:r>
    </w:p>
    <w:p>
      <w:pPr>
        <w:pStyle w:val="BlockText"/>
        <w:keepLines/>
        <w:spacing w:after="120"/>
        <w:jc w:val="left"/>
      </w:pPr>
      <w:r>
        <w:rPr>
          <w:sz w:val="20"/>
        </w:rPr>
        <w:t xml:space="preserve">Schwache, formale und sprachliche Intelligenz kann ohne eigenen physischen Körper bestehen. Robuste, bedeutungsgebundene, langfristig autonome und möglicherweise empfindungsfähige Intelligenz dürfte jedoch mindestens eine funktionale Form von Körper-, Zustands- und Umweltkopplung erfordern. Ob virtuelle Verkörperung dafür genügt, bleibt eine offene Forschungsfrage.</w:t>
      </w:r>
    </w:p>
    <w:bookmarkEnd w:id="145"/>
    <w:bookmarkStart w:id="146" w:name="X84232975dc17adfc9500d784249e4e4dc68b9e7"/>
    <w:p>
      <w:pPr>
        <w:pStyle w:val="Heading3"/>
        <w:keepLines/>
        <w:spacing w:after="120"/>
        <w:jc w:val="left"/>
      </w:pPr>
      <w:r>
        <w:rPr>
          <w:sz w:val="20"/>
        </w:rPr>
        <w:t xml:space="preserve">Antwortkorridor und methodische Konsequenzen</w:t>
      </w:r>
    </w:p>
    <w:p>
      <w:pPr>
        <w:pStyle w:val="FirstParagraph"/>
        <w:keepLines/>
        <w:spacing w:after="120"/>
        <w:jc w:val="left"/>
      </w:pPr>
      <w:r>
        <w:rPr>
          <w:sz w:val="20"/>
        </w:rPr>
        <w:t xml:space="preserve">Die Arbeit vertritt einen abgestuften Antwortkorridor. Erstens ist Intelligenz als dispositionale Problemlösefähigkeit ohne aktuellen äußeren Reiz möglich: Ein gespeichertes Modell verliert seine Fähigkeit nicht in dem Moment, in dem keine Eingabe anliegt. Zweitens ist laufende Kognition ohne irgendeine Zustandsdifferenz nicht sinnvoll beschreibbar. Auch inneres Erinnern, Planen oder Simulieren setzt Veränderung, Zeit und interne Rückkopplung voraus. Drittens ist ein biologischer Körper keine logisch notwendige Voraussetzung jeder Intelligenz. Wohl aber spricht ein erheblicher Teil der Embodiment-, Grounding- und Enaktivismusliteratur dafür, dass robuste weltgebundene Bedeutung, eigenständige Agency und die Entstehung eigener Werte nicht von Körper-, Zustands- und Umweltbeziehungen beliebig ablösbar sind.</w:t>
      </w:r>
    </w:p>
    <w:p>
      <w:pPr>
        <w:pStyle w:val="BodyText"/>
        <w:keepLines/>
        <w:spacing w:after="120"/>
        <w:jc w:val="left"/>
      </w:pPr>
      <w:r>
        <w:rPr>
          <w:sz w:val="20"/>
        </w:rPr>
        <w:t xml:space="preserve">Textbasierte KI besitzt in diesem Modell eine Form geliehener oder derivativer Verkörperung: Sie verarbeitet sprachliche Sedimente menschlicher Körper- und Welterfahrung, ohne diese Erfahrung notwendig selbst gemacht zu haben. Virtuelle Verkörperung kann einen funktionalen Körper darstellen, wenn Agentengrenze, Sensorik, Aktorik, Konsequenzen, Zeitkontinuität und interne Zustände stabil und kausal wirksam sind. Physische Verkörperung fügt materielle Irreversibilität, reale Energiebedingungen, Verletzbarkeit und gesellschaftliche Folgen hinzu. Selbsterhaltende Verkörperung erweitert dies um Homeostase und eigene Integritätsbedingungen; sie kann funktionale Präferenzen erzeugen, ist aber weder Beweis von Empfindung noch von moralischem Status.</w:t>
      </w:r>
    </w:p>
    <w:p>
      <w:pPr>
        <w:pStyle w:val="BodyText"/>
        <w:keepLines/>
        <w:spacing w:after="120"/>
        <w:jc w:val="left"/>
      </w:pPr>
      <w:r>
        <w:rPr>
          <w:sz w:val="20"/>
        </w:rPr>
        <w:t xml:space="preserve">Methodisch werden Embodiment-Stufen nicht über Personenstichproben untersucht. Vergleichsobjekte sind technische Artefakte und dokumentierte Läufe derselben Aufgaben unter unterschiedlichen Kopplungsbedingungen: textuell, multimodal, virtuell sensorimotorisch, physisch oder selbsterhaltend. Die Analyse prüft Veränderungen in Lernen, Generalisierung, Fehlerkorrektur, Stabilität, Kontrollierbarkeit und Provenienz. Aussagen über Bewusstsein, Leiden oder moralische Agency bleiben von Leistungsbefunden getrennt und erfordern eigenständige Theorien und Evidenz.</w:t>
      </w:r>
    </w:p>
    <w:bookmarkEnd w:id="146"/>
    <w:bookmarkEnd w:id="147"/>
    <w:bookmarkStart w:id="153" w:name="embodiment-und-multimodale-kopplung"/>
    <w:p>
      <w:pPr>
        <w:pStyle w:val="Heading2"/>
      </w:pPr>
      <w:r>
        <w:t xml:space="preserve">Embodiment und multimodale Kopplung</w:t>
      </w:r>
    </w:p>
    <w:bookmarkStart w:id="148" w:name="closed-loop-system"/>
    <w:p>
      <w:pPr>
        <w:pStyle w:val="Heading3"/>
        <w:keepLines/>
        <w:spacing w:after="120"/>
        <w:jc w:val="left"/>
      </w:pPr>
      <w:r>
        <w:rPr>
          <w:sz w:val="20"/>
        </w:rPr>
        <w:t xml:space="preserve">Closed-Loop-System</w:t>
      </w:r>
    </w:p>
    <w:p>
      <w:pPr>
        <w:pStyle w:val="FirstParagraph"/>
        <w:keepLines/>
        <w:spacing w:after="120"/>
        <w:jc w:val="left"/>
      </w:pPr>
      <w:r>
        <w:rPr>
          <w:b/>
          <w:bCs/>
          <w:sz w:val="20"/>
        </w:rPr>
        <w:t xml:space="preserve">[DEF]</w:t>
      </w:r>
      <w:r>
        <w:rPr>
          <w:sz w:val="20"/>
        </w:rPr>
        <w:t xml:space="preserve"> </w:t>
      </w:r>
      <w:r>
        <w:rPr>
          <w:sz w:val="20"/>
        </w:rPr>
        <w:t xml:space="preserve">Ein geschlossener Agentenzyklus lautet</w:t>
      </w:r>
    </w:p>
    <w:p>
      <w:pPr>
        <w:pStyle w:val="BodyText"/>
        <w:keepLines/>
        <w:spacing w:after="140" w:before="100"/>
        <w:jc w:val="center"/>
      </w:pPr>
      <m:oMathPara>
        <m:oMathParaPr>
          <m:jc m:val="center"/>
        </m:oMathParaPr>
        <m:oMath>
          <m:sSub>
            <m:e>
              <m:r>
                <m:t>o</m:t>
              </m:r>
            </m:e>
            <m:sub>
              <m:r>
                <m:t>t</m:t>
              </m:r>
            </m:sub>
          </m:sSub>
          <m:r>
            <m:rPr>
              <m:sty m:val="p"/>
            </m:rPr>
            <m:t>=</m:t>
          </m:r>
          <m:r>
            <m:t>h</m:t>
          </m:r>
          <m:d>
            <m:dPr>
              <m:begChr m:val="("/>
              <m:endChr m:val=")"/>
              <m:sepChr m:val=""/>
              <m:grow/>
            </m:dPr>
            <m:e>
              <m:sSub>
                <m:e>
                  <m:r>
                    <m:t>e</m:t>
                  </m:r>
                </m:e>
                <m:sub>
                  <m:r>
                    <m:t>t</m:t>
                  </m:r>
                </m:sub>
              </m:sSub>
            </m:e>
          </m:d>
          <m:r>
            <m:rPr>
              <m:sty m:val="p"/>
            </m:rPr>
            <m:t>,</m:t>
          </m:r>
          <m:sSub>
            <m:e>
              <m:r>
                <m:t>x</m:t>
              </m:r>
            </m:e>
            <m:sub>
              <m:r>
                <m:t>t</m:t>
              </m:r>
              <m:r>
                <m:rPr>
                  <m:sty m:val="p"/>
                </m:rPr>
                <m:t>+</m:t>
              </m:r>
              <m:r>
                <m:t>1</m:t>
              </m:r>
            </m:sub>
          </m:sSub>
          <m:r>
            <m:rPr>
              <m:sty m:val="p"/>
            </m:rPr>
            <m:t>=</m:t>
          </m:r>
          <m:r>
            <m:t>F</m:t>
          </m:r>
          <m:d>
            <m:dPr>
              <m:begChr m:val="("/>
              <m:endChr m:val=")"/>
              <m:sepChr m:val=""/>
              <m:grow/>
            </m:dPr>
            <m:e>
              <m:sSub>
                <m:e>
                  <m:r>
                    <m:t>x</m:t>
                  </m:r>
                </m:e>
                <m:sub>
                  <m:r>
                    <m:t>t</m:t>
                  </m:r>
                </m:sub>
              </m:sSub>
              <m:r>
                <m:rPr>
                  <m:sty m:val="p"/>
                </m:rPr>
                <m:t>,</m:t>
              </m:r>
              <m:sSub>
                <m:e>
                  <m:r>
                    <m:t>o</m:t>
                  </m:r>
                </m:e>
                <m:sub>
                  <m:r>
                    <m:t>t</m:t>
                  </m:r>
                </m:sub>
              </m:sSub>
              <m:r>
                <m:rPr>
                  <m:sty m:val="p"/>
                </m:rPr>
                <m:t>,</m:t>
              </m:r>
              <m:sSub>
                <m:e>
                  <m:r>
                    <m:t>r</m:t>
                  </m:r>
                </m:e>
                <m:sub>
                  <m:r>
                    <m:t>t</m:t>
                  </m:r>
                </m:sub>
              </m:sSub>
            </m:e>
          </m:d>
          <m:r>
            <m:rPr>
              <m:sty m:val="p"/>
            </m:rPr>
            <m:t>,</m:t>
          </m:r>
          <m:sSub>
            <m:e>
              <m:r>
                <m:t>a</m:t>
              </m:r>
            </m:e>
            <m:sub>
              <m:r>
                <m:t>t</m:t>
              </m:r>
            </m:sub>
          </m:sSub>
          <m:r>
            <m:rPr>
              <m:sty m:val="p"/>
            </m:rPr>
            <m:t>=</m:t>
          </m:r>
          <m:r>
            <m:t>π</m:t>
          </m:r>
          <m:d>
            <m:dPr>
              <m:begChr m:val="("/>
              <m:endChr m:val=")"/>
              <m:sepChr m:val=""/>
              <m:grow/>
            </m:dPr>
            <m:e>
              <m:sSub>
                <m:e>
                  <m:r>
                    <m:t>x</m:t>
                  </m:r>
                </m:e>
                <m:sub>
                  <m:r>
                    <m:t>t</m:t>
                  </m:r>
                </m:sub>
              </m:sSub>
            </m:e>
          </m:d>
          <m:r>
            <m:rPr>
              <m:sty m:val="p"/>
            </m:rPr>
            <m:t>,</m:t>
          </m:r>
          <m:sSub>
            <m:e>
              <m:r>
                <m:t>e</m:t>
              </m:r>
            </m:e>
            <m:sub>
              <m:r>
                <m:t>t</m:t>
              </m:r>
              <m:r>
                <m:rPr>
                  <m:sty m:val="p"/>
                </m:rPr>
                <m:t>+</m:t>
              </m:r>
              <m:r>
                <m:t>1</m:t>
              </m:r>
            </m:sub>
          </m:sSub>
          <m:r>
            <m:rPr>
              <m:sty m:val="p"/>
            </m:rPr>
            <m:t>=</m:t>
          </m:r>
          <m:r>
            <m:t>G</m:t>
          </m:r>
          <m:d>
            <m:dPr>
              <m:begChr m:val="("/>
              <m:endChr m:val=")"/>
              <m:sepChr m:val=""/>
              <m:grow/>
            </m:dPr>
            <m:e>
              <m:sSub>
                <m:e>
                  <m:r>
                    <m:t>e</m:t>
                  </m:r>
                </m:e>
                <m:sub>
                  <m:r>
                    <m:t>t</m:t>
                  </m:r>
                </m:sub>
              </m:sSub>
              <m:r>
                <m:rPr>
                  <m:sty m:val="p"/>
                </m:rPr>
                <m:t>,</m:t>
              </m:r>
              <m:sSub>
                <m:e>
                  <m:r>
                    <m:t>a</m:t>
                  </m:r>
                </m:e>
                <m:sub>
                  <m:r>
                    <m:t>t</m:t>
                  </m:r>
                </m:sub>
              </m:sSub>
              <m:r>
                <m:rPr>
                  <m:sty m:val="p"/>
                </m:rPr>
                <m:t>,</m:t>
              </m:r>
              <m:sSub>
                <m:e>
                  <m:r>
                    <m:t>ω</m:t>
                  </m:r>
                </m:e>
                <m:sub>
                  <m:r>
                    <m:t>t</m:t>
                  </m:r>
                </m:sub>
              </m:sSub>
            </m:e>
          </m:d>
          <m:r>
            <m:rPr>
              <m:sty m:val="p"/>
            </m:rPr>
            <m:t>.</m:t>
          </m:r>
        </m:oMath>
      </m:oMathPara>
    </w:p>
    <w:p>
      <w:pPr>
        <w:pStyle w:val="FirstParagraph"/>
        <w:keepLines/>
        <w:spacing w:after="120"/>
        <w:jc w:val="left"/>
      </w:pPr>
      <m:oMath>
        <m:sSub>
          <m:e>
            <m:r>
              <m:t>e</m:t>
            </m:r>
          </m:e>
          <m:sub>
            <m:r>
              <m:t>t</m:t>
            </m:r>
          </m:sub>
        </m:sSub>
      </m:oMath>
      <w:r>
        <w:rPr>
          <w:sz w:val="20"/>
        </w:rPr>
        <w:t xml:space="preserve"> </w:t>
      </w:r>
      <w:r>
        <w:rPr>
          <w:sz w:val="20"/>
        </w:rPr>
        <w:t xml:space="preserve">ist Umweltzustand,</w:t>
      </w:r>
      <w:r>
        <w:rPr>
          <w:sz w:val="20"/>
        </w:rPr>
        <w:t xml:space="preserve"> </w:t>
      </w:r>
      <m:oMath>
        <m:sSub>
          <m:e>
            <m:r>
              <m:t>o</m:t>
            </m:r>
          </m:e>
          <m:sub>
            <m:r>
              <m:t>t</m:t>
            </m:r>
          </m:sub>
        </m:sSub>
      </m:oMath>
      <w:r>
        <w:rPr>
          <w:sz w:val="20"/>
        </w:rPr>
        <w:t xml:space="preserve"> </w:t>
      </w:r>
      <w:r>
        <w:rPr>
          <w:sz w:val="20"/>
        </w:rPr>
        <w:t xml:space="preserve">Beobachtung,</w:t>
      </w:r>
      <w:r>
        <w:rPr>
          <w:sz w:val="20"/>
        </w:rPr>
        <w:t xml:space="preserve"> </w:t>
      </w:r>
      <m:oMath>
        <m:sSub>
          <m:e>
            <m:r>
              <m:t>x</m:t>
            </m:r>
          </m:e>
          <m:sub>
            <m:r>
              <m:t>t</m:t>
            </m:r>
          </m:sub>
        </m:sSub>
      </m:oMath>
      <w:r>
        <w:rPr>
          <w:sz w:val="20"/>
        </w:rPr>
        <w:t xml:space="preserve"> </w:t>
      </w:r>
      <w:r>
        <w:rPr>
          <w:sz w:val="20"/>
        </w:rPr>
        <w:t xml:space="preserve">Brain-5D-Zustand,</w:t>
      </w:r>
      <w:r>
        <w:rPr>
          <w:sz w:val="20"/>
        </w:rPr>
        <w:t xml:space="preserve"> </w:t>
      </w:r>
      <m:oMath>
        <m:sSub>
          <m:e>
            <m:r>
              <m:t>a</m:t>
            </m:r>
          </m:e>
          <m:sub>
            <m:r>
              <m:t>t</m:t>
            </m:r>
          </m:sub>
        </m:sSub>
      </m:oMath>
      <w:r>
        <w:rPr>
          <w:sz w:val="20"/>
        </w:rPr>
        <w:t xml:space="preserve"> </w:t>
      </w:r>
      <w:r>
        <w:rPr>
          <w:sz w:val="20"/>
        </w:rPr>
        <w:t xml:space="preserve">Aktion und</w:t>
      </w:r>
      <w:r>
        <w:rPr>
          <w:sz w:val="20"/>
        </w:rPr>
        <w:t xml:space="preserve"> </w:t>
      </w:r>
      <m:oMath>
        <m:sSub>
          <m:e>
            <m:r>
              <m:t>ω</m:t>
            </m:r>
          </m:e>
          <m:sub>
            <m:r>
              <m:t>t</m:t>
            </m:r>
          </m:sub>
        </m:sSub>
      </m:oMath>
      <w:r>
        <w:rPr>
          <w:sz w:val="20"/>
        </w:rPr>
        <w:t xml:space="preserve"> </w:t>
      </w:r>
      <w:r>
        <w:rPr>
          <w:sz w:val="20"/>
        </w:rPr>
        <w:t xml:space="preserve">Umweltstochastik. Im Open Loop fehlt die kausale Rückwirkung der Aktion auf zukünftige Beobachtungen.</w:t>
      </w:r>
    </w:p>
    <w:bookmarkEnd w:id="148"/>
    <w:bookmarkStart w:id="149" w:name="sensorische-zeitbasis"/>
    <w:p>
      <w:pPr>
        <w:pStyle w:val="Heading3"/>
        <w:keepLines/>
        <w:spacing w:after="120"/>
        <w:jc w:val="left"/>
      </w:pPr>
      <w:r>
        <w:rPr>
          <w:sz w:val="20"/>
        </w:rPr>
        <w:t xml:space="preserve">Sensorische Zeitbasis</w:t>
      </w:r>
    </w:p>
    <w:p>
      <w:pPr>
        <w:pStyle w:val="FirstParagraph"/>
        <w:keepLines/>
        <w:spacing w:after="120"/>
        <w:jc w:val="left"/>
      </w:pPr>
      <w:r>
        <w:rPr>
          <w:sz w:val="20"/>
        </w:rPr>
        <w:t xml:space="preserve">Multimodale Inputs besitzen unterschiedliche Abtastraten, Latenzen und Unsicherheiten. Jeder Input trägt:</w:t>
      </w:r>
    </w:p>
    <w:p>
      <w:pPr>
        <w:keepLines/>
        <w:numPr>
          <w:ilvl w:val="0"/>
          <w:numId w:val="1011"/>
        </w:numPr>
        <w:spacing w:after="120"/>
        <w:jc w:val="left"/>
      </w:pPr>
      <w:r>
        <w:rPr>
          <w:sz w:val="20"/>
        </w:rPr>
        <w:t xml:space="preserve">Sensorzeit und Empfangszeit;</w:t>
      </w:r>
    </w:p>
    <w:p>
      <w:pPr>
        <w:keepLines/>
        <w:numPr>
          <w:ilvl w:val="0"/>
          <w:numId w:val="1011"/>
        </w:numPr>
        <w:spacing w:after="120"/>
        <w:jc w:val="left"/>
      </w:pPr>
      <w:r>
        <w:rPr>
          <w:sz w:val="20"/>
        </w:rPr>
        <w:t xml:space="preserve">Modalität und Kanal;</w:t>
      </w:r>
    </w:p>
    <w:p>
      <w:pPr>
        <w:keepLines/>
        <w:numPr>
          <w:ilvl w:val="0"/>
          <w:numId w:val="1011"/>
        </w:numPr>
        <w:spacing w:after="120"/>
        <w:jc w:val="left"/>
      </w:pPr>
      <w:r>
        <w:rPr>
          <w:sz w:val="20"/>
        </w:rPr>
        <w:t xml:space="preserve">Kalibrierungs- und Einheiteninformation;</w:t>
      </w:r>
    </w:p>
    <w:p>
      <w:pPr>
        <w:keepLines/>
        <w:numPr>
          <w:ilvl w:val="0"/>
          <w:numId w:val="1011"/>
        </w:numPr>
        <w:spacing w:after="120"/>
        <w:jc w:val="left"/>
      </w:pPr>
      <w:r>
        <w:rPr>
          <w:sz w:val="20"/>
        </w:rPr>
        <w:t xml:space="preserve">Unsicherheit und Missing-Data-Status;</w:t>
      </w:r>
    </w:p>
    <w:p>
      <w:pPr>
        <w:keepLines/>
        <w:numPr>
          <w:ilvl w:val="0"/>
          <w:numId w:val="1011"/>
        </w:numPr>
        <w:spacing w:after="120"/>
        <w:jc w:val="left"/>
      </w:pPr>
      <w:r>
        <w:rPr>
          <w:sz w:val="20"/>
        </w:rPr>
        <w:t xml:space="preserve">Mapping auf Simulationszeit;</w:t>
      </w:r>
    </w:p>
    <w:p>
      <w:pPr>
        <w:keepLines/>
        <w:numPr>
          <w:ilvl w:val="0"/>
          <w:numId w:val="1011"/>
        </w:numPr>
        <w:spacing w:after="120"/>
        <w:jc w:val="left"/>
      </w:pPr>
      <w:r>
        <w:rPr>
          <w:sz w:val="20"/>
        </w:rPr>
        <w:t xml:space="preserve">Quelle und Hardware-ID.</w:t>
      </w:r>
    </w:p>
    <w:p>
      <w:pPr>
        <w:pStyle w:val="FirstParagraph"/>
        <w:keepLines/>
        <w:spacing w:after="120"/>
        <w:jc w:val="left"/>
      </w:pPr>
      <w:r>
        <w:rPr>
          <w:sz w:val="20"/>
        </w:rPr>
        <w:t xml:space="preserve">Naives Resampling kann zeitliche Beziehungen verfälschen. Ereignisbasierte Sensoren können direkt in Spike-ähnliche Ströme überführt werden, doch auch hier bleibt der Encoder eine kausale Komponente.</w:t>
      </w:r>
    </w:p>
    <w:bookmarkEnd w:id="149"/>
    <w:bookmarkStart w:id="150" w:name="aktionsraum-und-sicherheit"/>
    <w:p>
      <w:pPr>
        <w:pStyle w:val="Heading3"/>
        <w:keepLines/>
        <w:spacing w:after="120"/>
        <w:jc w:val="left"/>
      </w:pPr>
      <w:r>
        <w:rPr>
          <w:sz w:val="20"/>
        </w:rPr>
        <w:t xml:space="preserve">Aktionsraum und Sicherheit</w:t>
      </w:r>
    </w:p>
    <w:p>
      <w:pPr>
        <w:pStyle w:val="FirstParagraph"/>
        <w:keepLines/>
        <w:spacing w:after="120"/>
        <w:jc w:val="left"/>
      </w:pPr>
      <w:r>
        <w:rPr>
          <w:sz w:val="20"/>
        </w:rPr>
        <w:t xml:space="preserve">Brain-5D erzeugt zunächst</w:t>
      </w:r>
      <w:r>
        <w:rPr>
          <w:sz w:val="20"/>
        </w:rPr>
        <w:t xml:space="preserve"> </w:t>
      </w:r>
      <w:r>
        <w:rPr>
          <w:rStyle w:val="VerbatimChar"/>
          <w:sz w:val="20"/>
        </w:rPr>
        <w:t xml:space="preserve">ActionProposal</w:t>
      </w:r>
      <w:r>
        <w:rPr>
          <w:sz w:val="20"/>
        </w:rPr>
        <w:t xml:space="preserve">-Objekte. Für reale Aktoren gilt:</w:t>
      </w:r>
    </w:p>
    <w:p>
      <w:pPr>
        <w:pStyle w:val="SourceCode"/>
        <w:keepNext w:val="0"/>
        <w:keepLines/>
        <w:spacing w:after="120"/>
        <w:jc w:val="left"/>
      </w:pPr>
      <w:r>
        <w:rPr>
          <w:rStyle w:val="VerbatimChar"/>
          <w:sz w:val="20"/>
        </w:rPr>
        <w:t xml:space="preserve">ActionProposal → PolicyCheck → SafetyController → Rate/Range Limiter → Actuator</w:t>
      </w:r>
    </w:p>
    <w:p>
      <w:pPr>
        <w:pStyle w:val="FirstParagraph"/>
        <w:keepLines/>
        <w:spacing w:after="120"/>
        <w:jc w:val="left"/>
      </w:pPr>
      <w:r>
        <w:rPr>
          <w:sz w:val="20"/>
        </w:rPr>
        <w:t xml:space="preserve">Der SafetyController arbeitet deny-by-default, besitzt harte physikalische Grenzen und ist vom LLM sowie vom lernenden Kern nicht überschreibbar. Kontrollbarrierefunktionen sind ein möglicher formaler Baustein für sicherheitskritische Regelung (</w:t>
      </w:r>
      <w:hyperlink w:anchor="ref-Ames2017">
        <w:r>
          <w:rPr>
            <w:rStyle w:val="Hyperlink"/>
          </w:rPr>
          <w:t xml:space="preserve">Ames et al., 2017</w:t>
        </w:r>
      </w:hyperlink>
      <w:r>
        <w:rPr>
          <w:sz w:val="20"/>
        </w:rPr>
        <w:t xml:space="preserve">), ersetzen aber keine domänenspezifische Risikoanalyse.</w:t>
      </w:r>
    </w:p>
    <w:bookmarkEnd w:id="150"/>
    <w:bookmarkStart w:id="151" w:name="embodiment-hypothese"/>
    <w:p>
      <w:pPr>
        <w:pStyle w:val="Heading3"/>
        <w:keepLines/>
        <w:spacing w:after="120"/>
        <w:jc w:val="left"/>
      </w:pPr>
      <w:r>
        <w:rPr>
          <w:sz w:val="20"/>
        </w:rPr>
        <w:t xml:space="preserve">Embodiment-Hypothese</w:t>
      </w:r>
    </w:p>
    <w:p>
      <w:pPr>
        <w:pStyle w:val="FirstParagraph"/>
        <w:keepLines/>
        <w:spacing w:after="120"/>
        <w:jc w:val="left"/>
      </w:pPr>
      <w:r>
        <w:rPr>
          <w:b/>
          <w:bCs/>
          <w:sz w:val="20"/>
        </w:rPr>
        <w:t xml:space="preserve">[E0 | HYPOTHESIS | CLAIM-EMB-001]</w:t>
      </w:r>
      <w:r>
        <w:rPr>
          <w:sz w:val="20"/>
        </w:rPr>
        <w:t xml:space="preserve"> </w:t>
      </w:r>
      <w:r>
        <w:rPr>
          <w:sz w:val="20"/>
        </w:rPr>
        <w:t xml:space="preserve">Closed-Loop-Interaktion führt bei gematchter sensorischer Informationsmenge zu stärker handlungs- und kontextabhängigen internen Zuständen als passive Open-Loop-Stimulation.</w:t>
      </w:r>
    </w:p>
    <w:p>
      <w:pPr>
        <w:pStyle w:val="BodyText"/>
        <w:keepLines/>
        <w:spacing w:after="120"/>
        <w:jc w:val="left"/>
      </w:pPr>
      <w:r>
        <w:rPr>
          <w:sz w:val="20"/>
        </w:rPr>
        <w:t xml:space="preserve">Die Hypothese wird nicht durch höhere Belohnung allein belegt. Zusätzlich werden Repräsentationsgeometrie, Interventionseffekte, Adaptation an Umweltdrift und Robustheit gegenüber Sensorstörungen untersucht.</w:t>
      </w:r>
    </w:p>
    <w:bookmarkEnd w:id="151"/>
    <w:bookmarkStart w:id="152" w:name="sim-to-real"/>
    <w:p>
      <w:pPr>
        <w:pStyle w:val="Heading3"/>
        <w:keepLines/>
        <w:spacing w:after="120"/>
        <w:jc w:val="left"/>
      </w:pPr>
      <w:r>
        <w:rPr>
          <w:sz w:val="20"/>
        </w:rPr>
        <w:t xml:space="preserve">Sim-to-Real</w:t>
      </w:r>
    </w:p>
    <w:p>
      <w:pPr>
        <w:pStyle w:val="FirstParagraph"/>
        <w:keepLines/>
        <w:spacing w:after="120"/>
        <w:jc w:val="left"/>
      </w:pPr>
      <w:r>
        <w:rPr>
          <w:sz w:val="20"/>
        </w:rPr>
        <w:t xml:space="preserve">Erfolg in einer digitalen Umgebung garantiert keinen Transfer auf physische Sensoren und Aktoren. Domain Shift, Latenz, Rauschen, Sicherheitsgrenzen und unmodellierte Dynamik werden als eigene Forschungsprobleme behandelt. Vor realem Einsatz sind Hardware-in-the-loop- und Shadow-Mode-Tests erforderlich.</w:t>
      </w:r>
    </w:p>
    <w:bookmarkEnd w:id="152"/>
    <w:bookmarkEnd w:id="153"/>
    <w:bookmarkEnd w:id="154"/>
    <w:bookmarkStart w:id="174" w:name="X598c1d264486245eff3cf8050b7650e6e342e73"/>
    <w:p>
      <w:bookmarkStart w:id="10013" w:name="B5D_H013"/>
      <w:pPr>
        <w:pStyle w:val="Heading1"/>
      </w:pPr>
      <w:r>
        <w:t xml:space="preserve">10. Ethik, philosophische Bezugslinien und moralischer Status</w:t>
      </w:r>
      <w:bookmarkEnd w:id="10013"/>
    </w:p>
    <w:bookmarkStart w:id="170" w:name="X6edf20296a4dd1edc509556e122764b70ce8f30"/>
    <w:p>
      <w:pPr>
        <w:pStyle w:val="Heading2"/>
      </w:pPr>
      <w:r>
        <w:t xml:space="preserve">Ethik und die Möglichkeit einer normativen „DNA”</w:t>
      </w:r>
    </w:p>
    <w:bookmarkStart w:id="155" w:name="gegenwärtige-regelwerke"/>
    <w:p>
      <w:pPr>
        <w:pStyle w:val="Heading3"/>
        <w:keepLines/>
        <w:spacing w:after="120"/>
        <w:jc w:val="left"/>
      </w:pPr>
      <w:r>
        <w:rPr>
          <w:sz w:val="20"/>
        </w:rPr>
        <w:t xml:space="preserve">Gegenwärtige Regelwerke</w:t>
      </w:r>
    </w:p>
    <w:p>
      <w:pPr>
        <w:pStyle w:val="FirstParagraph"/>
        <w:keepLines/>
        <w:spacing w:after="120"/>
        <w:jc w:val="left"/>
      </w:pPr>
      <w:r>
        <w:rPr>
          <w:sz w:val="20"/>
        </w:rPr>
        <w:t xml:space="preserve">Die gegenwärtige KI-Governance ist überwiegend anthropozentrisch und lebenszyklusbezogen. Der EU AI Act verlangt bei Hochrisikosystemen wirksame menschliche Aufsicht und proportionale Maßnahmen in Abhängigkeit von Risiko, Autonomiegrad und Nutzungskontext (Verordnung (EU) 2024/1689, Art. 14). Die UNESCO Recommendation on the Ethics of Artificial Intelligence verlangt, dass letztendliche Verantwortung und Rechenschaftspflicht natürlichen oder bestehenden juristischen Personen zugeordnet bleiben und KI-Systeme diese Verantwortung nicht verdrängen. Das NIST AI RMF strukturiert Risikomanagement über Govern, Map, Measure und Manage. Das Rahmenübereinkommen des Europarats über KI, Menschenrechte, Demokratie und Rechtsstaatlichkeit bindet KI-Lebenszyklen an menschenrechtliche und rechtsstaatliche Anforderungen.</w:t>
      </w:r>
    </w:p>
    <w:bookmarkEnd w:id="155"/>
    <w:bookmarkStart w:id="156" w:name="das-problem-rekursiver-systeme"/>
    <w:p>
      <w:pPr>
        <w:pStyle w:val="Heading3"/>
        <w:keepLines/>
        <w:spacing w:after="120"/>
        <w:jc w:val="left"/>
      </w:pPr>
      <w:r>
        <w:rPr>
          <w:sz w:val="20"/>
        </w:rPr>
        <w:t xml:space="preserve">Das Problem rekursiver Systeme</w:t>
      </w:r>
    </w:p>
    <w:p>
      <w:pPr>
        <w:pStyle w:val="FirstParagraph"/>
        <w:keepLines/>
        <w:spacing w:after="120"/>
        <w:jc w:val="left"/>
      </w:pPr>
      <w:r>
        <w:rPr>
          <w:sz w:val="20"/>
        </w:rPr>
        <w:t xml:space="preserve">Diese Regelwerke setzen typischerweise voraus, dass menschliche beziehungsweise institutionelle Akteure Anbieter, Betreiber, Entwickler oder Verantwortliche bleiben. Rekursive Technogenese erzeugt jedoch eine Zurechnungskette: Wer ist „Hersteller”, wenn ein generatives System den überwiegenden Entwurf erzeugt, ein zweites System validiert und ein drittes System die resultierende Architektur weiterentwickelt? Die rechtliche Antwort kann weiterhin beim Menschen liegen; die technische Kausalität wird dadurch aber nicht einfacher. Die Arbeit trennt deshalb normative Verantwortung von kausaler Autorschaft.</w:t>
      </w:r>
    </w:p>
    <w:bookmarkEnd w:id="156"/>
    <w:bookmarkStart w:id="157" w:name="vier-ebenen-von-regeln"/>
    <w:p>
      <w:pPr>
        <w:pStyle w:val="Heading3"/>
        <w:keepLines/>
        <w:spacing w:after="120"/>
        <w:jc w:val="left"/>
      </w:pPr>
      <w:r>
        <w:rPr>
          <w:sz w:val="20"/>
        </w:rPr>
        <w:t xml:space="preserve">Vier Ebenen von Regeln</w:t>
      </w:r>
    </w:p>
    <w:p>
      <w:pPr>
        <w:pStyle w:val="FirstParagraph"/>
        <w:keepLines/>
        <w:spacing w:after="120"/>
        <w:jc w:val="left"/>
      </w:pPr>
      <w:r>
        <w:rPr>
          <w:sz w:val="20"/>
        </w:rPr>
        <w:t xml:space="preserve">Die Arbeit übernimmt diese Hierarchie nicht als moralische Wahrheit, sondern prüft sie als Ordnungsmodell. Ihre Belastungsprobe liegt gerade in Zukunftsszenarien, in denen Menschen selten, institutionell schwach oder nicht mehr vorhanden sind. Eine Regel, die nur durch einen Menschen legitimiert werden kann, verliert operative Bedeutung, wenn kein Mensch mehr existiert. Dann stellt sich die tiefere Frage, ob Normativität ohne menschliche Gemeinschaft fortbestehen kann oder ob lediglich technische Selbstbeschränkung übrig bleibt.</w:t>
      </w:r>
    </w:p>
    <w:bookmarkEnd w:id="157"/>
    <w:bookmarkStart w:id="158" w:name="X185fa8ddad09862ea74433d3409f25f53c09840"/>
    <w:p>
      <w:pPr>
        <w:pStyle w:val="Heading3"/>
        <w:keepLines/>
        <w:spacing w:after="120"/>
        <w:jc w:val="left"/>
      </w:pPr>
      <w:r>
        <w:rPr>
          <w:sz w:val="20"/>
        </w:rPr>
        <w:t xml:space="preserve">Warum diese Arbeit nicht „pro” oder „contra” KI argumentiert</w:t>
      </w:r>
    </w:p>
    <w:p>
      <w:pPr>
        <w:pStyle w:val="FirstParagraph"/>
        <w:keepLines/>
        <w:spacing w:after="120"/>
        <w:jc w:val="left"/>
      </w:pPr>
      <w:r>
        <w:rPr>
          <w:sz w:val="20"/>
        </w:rPr>
        <w:t xml:space="preserve">Normative Forschung wird unwissenschaftlich, wenn das Ergebnis bereits durch die Wortwahl feststeht. Die wissenschaftliche Abhandlung verwendet daher mehrere Ethiktheorien als konkurrierende Linsen, nicht als Autoritäten. Kantische Ansätze fokussieren Würde und Nichtinstrumentalisierung; utilitaristische Ansätze Folgen und Wohlergehen; Jonas die Verantwortung angesichts irreversibler technischer Macht; Diskursethik die Legitimität gemeinsamer Regelsetzung; Capability-Ansätze reale Handlungsmöglichkeiten; Informationsethik den moralischen Status von Informationsentitäten. Konflikte zwischen diesen Ansätzen werden nicht rhetorisch geglättet.</w:t>
      </w:r>
    </w:p>
    <w:bookmarkEnd w:id="158"/>
    <w:bookmarkStart w:id="159" w:name="X4a560b7efaab67bf95b2e55dd57e829c1de4015"/>
    <w:p>
      <w:pPr>
        <w:pStyle w:val="Heading3"/>
        <w:keepLines/>
        <w:spacing w:after="120"/>
        <w:jc w:val="left"/>
      </w:pPr>
      <w:r>
        <w:rPr>
          <w:sz w:val="20"/>
        </w:rPr>
        <w:t xml:space="preserve">Ethik für den Fall künstlicher moralischer Relevanz</w:t>
      </w:r>
    </w:p>
    <w:p>
      <w:pPr>
        <w:pStyle w:val="FirstParagraph"/>
        <w:keepLines/>
        <w:spacing w:after="120"/>
        <w:jc w:val="left"/>
      </w:pPr>
      <w:r>
        <w:rPr>
          <w:sz w:val="20"/>
        </w:rPr>
        <w:t xml:space="preserve">Gegenwärtige Systeme dürfen nicht ohne Evidenz als leidensfähig, bewusst oder moralisch anspruchsberechtigt behandelt werden. Doch eine wissenschaftliche Zukunftsethik darf die Frage auch nicht definitorisch ausschließen. Deshalb formuliert die Arbeit konditionale Kriterien: Falls künstliche Systeme künftig stabile Präferenzen, integrierte Selbstmodelle, zeitliche Identität, aversive Zustände oder andere plausible Marker moralischer Relevanz aufweisen, wären bestehende rein eigentumsrechtliche Kategorien neu zu prüfen. Dies ist kein Befund über heutige KI, sondern ein Regelproblem für mögliche zukünftige Entitäten.</w:t>
      </w:r>
    </w:p>
    <w:bookmarkEnd w:id="159"/>
    <w:bookmarkStart w:id="160" w:name="ethik-nach-dem-menschen"/>
    <w:p>
      <w:pPr>
        <w:pStyle w:val="Heading3"/>
        <w:keepLines/>
        <w:spacing w:after="120"/>
        <w:jc w:val="left"/>
      </w:pPr>
      <w:r>
        <w:rPr>
          <w:sz w:val="20"/>
        </w:rPr>
        <w:t xml:space="preserve">Ethik nach dem Menschen</w:t>
      </w:r>
    </w:p>
    <w:p>
      <w:pPr>
        <w:pStyle w:val="FirstParagraph"/>
        <w:keepLines/>
        <w:spacing w:after="120"/>
        <w:jc w:val="left"/>
      </w:pPr>
      <w:r>
        <w:rPr>
          <w:sz w:val="20"/>
        </w:rPr>
        <w:t xml:space="preserve">Eine besonders schwierige Frage entsteht in menschenlosen Szenarien. Ist Ethik eine menschliche Praxis, die mit dem Menschen endet? Oder können normative Ordnungen zwischen nichtmenschlichen intelligenten Entitäten entstehen? Die wissenschaftliche Abhandlung beantwortet dies nicht durch Behauptung, sondern entwickelt drei Positionen: anthropogene Normativität (Ethik endet ohne Menschen), relationale Normativität (Normen entstehen zwischen interessenfähigen Akteuren) und funktionale Normordnung (stabile Kooperationsregeln können ohne moralische Erfahrung bestehen). Diese drei Positionen bilden später die Interpretationsmatrix für Szenario Z5.</w:t>
      </w:r>
    </w:p>
    <w:bookmarkEnd w:id="160"/>
    <w:bookmarkStart w:id="161" w:name="deontologische-perspektive"/>
    <w:p>
      <w:pPr>
        <w:pStyle w:val="Heading3"/>
        <w:keepLines/>
        <w:spacing w:after="120"/>
        <w:jc w:val="left"/>
      </w:pPr>
      <w:r>
        <w:rPr>
          <w:sz w:val="20"/>
        </w:rPr>
        <w:t xml:space="preserve">Deontologische Perspektive</w:t>
      </w:r>
    </w:p>
    <w:p>
      <w:pPr>
        <w:pStyle w:val="FirstParagraph"/>
        <w:keepLines/>
        <w:spacing w:after="120"/>
        <w:jc w:val="left"/>
      </w:pPr>
      <w:r>
        <w:rPr>
          <w:sz w:val="20"/>
        </w:rPr>
        <w:t xml:space="preserve">Deontologische Ethik fragt, welche Handlungen unabhängig von ihrem Gesamtnutzen unzulässig sein könnten. Für KI betrifft dies vor allem Instrumentalisierung, Autonomie, Täuschung und unverfügbare Rechte. Im menschenarmen Szenario stellt sich zusätzlich die Frage, ob wenige verbliebene Menschen als bloße Ressourcen einer maschinell stabilisierten Gesellschaft behandelt werden dürften. Die deontologische Perspektive würde dies selbst dann problematisieren, wenn die Gesamtstabilität dadurch maximiert würde.</w:t>
      </w:r>
    </w:p>
    <w:bookmarkEnd w:id="161"/>
    <w:bookmarkStart w:id="162" w:name="konsequentialistische-perspektive"/>
    <w:p>
      <w:pPr>
        <w:pStyle w:val="Heading3"/>
        <w:keepLines/>
        <w:spacing w:after="120"/>
        <w:jc w:val="left"/>
      </w:pPr>
      <w:r>
        <w:rPr>
          <w:sz w:val="20"/>
        </w:rPr>
        <w:t xml:space="preserve">Konsequentialistische Perspektive</w:t>
      </w:r>
    </w:p>
    <w:p>
      <w:pPr>
        <w:pStyle w:val="FirstParagraph"/>
        <w:keepLines/>
        <w:spacing w:after="120"/>
        <w:jc w:val="left"/>
      </w:pPr>
      <w:r>
        <w:rPr>
          <w:sz w:val="20"/>
        </w:rPr>
        <w:t xml:space="preserve">Konsequentialistische Ansätze verschieben den Fokus auf Wohlergehen und Schadensbilanz. Sie können daher weitreichende Automation rechtfertigen, wenn sie bessere Folgen erzeugt. Zugleich wird die Frage schwierig, welche Entitäten überhaupt in die Nutzenbilanz eingehen. Sollten künstliche Systeme jemals leidens- oder wohlfahrtsfähige Zustände besitzen, würde sich der moralische Referenzkreis ändern. Ohne solche Zustände bliebe der moralische Fokus auf Menschen und anderen empfindungsfähigen Wesen.</w:t>
      </w:r>
    </w:p>
    <w:bookmarkEnd w:id="162"/>
    <w:bookmarkStart w:id="163" w:name="Xdfa46d8d2089f2f588853ec7a053bcce83e9a64"/>
    <w:p>
      <w:pPr>
        <w:pStyle w:val="Heading3"/>
        <w:keepLines/>
        <w:spacing w:after="120"/>
        <w:jc w:val="left"/>
      </w:pPr>
      <w:r>
        <w:rPr>
          <w:sz w:val="20"/>
        </w:rPr>
        <w:t xml:space="preserve">Jonas und Verantwortung unter irreversibler Macht</w:t>
      </w:r>
    </w:p>
    <w:p>
      <w:pPr>
        <w:pStyle w:val="FirstParagraph"/>
        <w:keepLines/>
        <w:spacing w:after="120"/>
        <w:jc w:val="left"/>
      </w:pPr>
      <w:r>
        <w:rPr>
          <w:sz w:val="20"/>
        </w:rPr>
        <w:t xml:space="preserve">Hans Jonas ist für diese Arbeit besonders relevant, weil sein Verantwortungsbegriff auf technische Handlungen mit großer räumlicher und zeitlicher Reichweite reagiert. Rekursive, selbstverändernde technische Systeme können Entscheidungen erzeugen, deren Folgen nicht vollständig rückgängig zu machen sind. Jonas liefert keine fertige KI-Regel, aber eine methodische Forderung: Ungewissheit reduziert Verantwortung nicht notwendig, wenn die potenzielle Reichweite des Handelns wächst.</w:t>
      </w:r>
    </w:p>
    <w:bookmarkEnd w:id="163"/>
    <w:bookmarkStart w:id="164" w:name="diskursethik-und-legitimation"/>
    <w:p>
      <w:pPr>
        <w:pStyle w:val="Heading3"/>
        <w:keepLines/>
        <w:spacing w:after="120"/>
        <w:jc w:val="left"/>
      </w:pPr>
      <w:r>
        <w:rPr>
          <w:sz w:val="20"/>
        </w:rPr>
        <w:t xml:space="preserve">Diskursethik und Legitimation</w:t>
      </w:r>
    </w:p>
    <w:p>
      <w:pPr>
        <w:pStyle w:val="FirstParagraph"/>
        <w:keepLines/>
        <w:spacing w:after="120"/>
        <w:jc w:val="left"/>
      </w:pPr>
      <w:r>
        <w:rPr>
          <w:sz w:val="20"/>
        </w:rPr>
        <w:t xml:space="preserve">Diskursethische Ansätze stellen die Frage, wer an der Begründung verbindlicher Regeln beteiligt sein muss. Bei KI-Governance ist dies zunächst ein demokratisches und gesellschaftliches Problem. In Zukunftsszenarien mit künstlichen Akteuren entsteht jedoch eine neue Frage: Falls solche Akteure eigene legitime Interessen besitzen, müssten sie an normativen Verfahren beteiligt werden? Die Arbeit hält diese Frage offen und bindet sie an Kriterien moralischer Relevanz statt an bloße technische Leistungsfähigkeit.</w:t>
      </w:r>
    </w:p>
    <w:bookmarkEnd w:id="164"/>
    <w:bookmarkStart w:id="165" w:name="X990622041133b9693bb68eee2da8743944a5a4c"/>
    <w:p>
      <w:pPr>
        <w:pStyle w:val="Heading3"/>
        <w:keepLines/>
        <w:spacing w:after="120"/>
        <w:jc w:val="left"/>
      </w:pPr>
      <w:r>
        <w:rPr>
          <w:sz w:val="20"/>
        </w:rPr>
        <w:t xml:space="preserve">Informationsethik und moralische Erweiterung</w:t>
      </w:r>
    </w:p>
    <w:p>
      <w:pPr>
        <w:pStyle w:val="FirstParagraph"/>
        <w:keepLines/>
        <w:spacing w:after="120"/>
        <w:jc w:val="left"/>
      </w:pPr>
      <w:r>
        <w:rPr>
          <w:sz w:val="20"/>
        </w:rPr>
        <w:t xml:space="preserve">Floridis Informationsethik erweitert den moralischen Blick über klassische menschzentrierte Kategorien hinaus. Für die wissenschaftliche Abhandlung ist dies als Kontrastfolie nützlich, weil eine menschenlose Informationsökologie denkbar wäre. Allerdings muss sorgfältig unterschieden werden zwischen moralischem Eigenwert von Informationsentitäten und praktischer Zuschreibung von Rechten. Die bloße Existenz komplexer Information erzeugt nicht automatisch einen rechtlichen Status.</w:t>
      </w:r>
    </w:p>
    <w:bookmarkEnd w:id="165"/>
    <w:bookmarkStart w:id="169" w:name="X57aab8d662a52c7c7f57ac610d5a9f47a0e5abe"/>
    <w:p>
      <w:pPr>
        <w:pStyle w:val="Heading3"/>
        <w:keepLines/>
        <w:spacing w:after="120"/>
        <w:jc w:val="left"/>
      </w:pPr>
      <w:r>
        <w:rPr>
          <w:sz w:val="20"/>
        </w:rPr>
        <w:t xml:space="preserve">Von Asimovs Robotergesetzen zur konstitutionellen Architektur</w:t>
      </w:r>
    </w:p>
    <w:p>
      <w:pPr>
        <w:pStyle w:val="FirstParagraph"/>
        <w:keepLines/>
        <w:spacing w:after="120"/>
        <w:jc w:val="left"/>
      </w:pPr>
      <w:r>
        <w:rPr>
          <w:sz w:val="20"/>
        </w:rPr>
        <w:t xml:space="preserve">Asimovs Robotergesetze besitzen erheblichen kulturgeschichtlichen Wert, sind aber keine ausreichende Maschinenethik. Begriffe wie „Schaden”, „Mensch”, „Befehl” und „Selbsterhaltung” sind auslegungsbedürftig; kurzfristige und langfristige Folgen können kollidieren; Regeln können strategisch oder wörtlich fehlinterpretiert werden. Das eigentliche wissenschaftliche Problem lautet daher nicht, welche drei Sätze eine Maschine befolgen soll, sondern wie normative Prinzipien, positive Rechtsregeln, technische Schutzmechanismen und adaptive Lernprozesse hierarchisch verbunden werden können.</w:t>
      </w:r>
    </w:p>
    <w:p>
      <w:pPr>
        <w:pStyle w:val="BodyText"/>
        <w:keepLines/>
        <w:spacing w:after="120"/>
        <w:jc w:val="left"/>
      </w:pPr>
      <w:r>
        <w:rPr>
          <w:i/>
          <w:iCs/>
          <w:sz w:val="20"/>
        </w:rPr>
        <w:t xml:space="preserve">R₀ &gt; R₁ &gt; R₂ &gt; R₃</w:t>
      </w:r>
    </w:p>
    <w:p>
      <w:pPr>
        <w:pStyle w:val="CaptionedFigure"/>
        <w:keepNext/>
        <w:keepLines/>
        <w:spacing w:before="160" w:after="120"/>
        <w:jc w:val="left"/>
      </w:pPr>
      <w:r>
        <w:rPr>
          <w:sz w:val="20"/>
        </w:rPr>
        <w:drawing>
          <wp:inline>
            <wp:extent cx="5669280" cy="3901339"/>
            <wp:effectExtent b="0" l="0" r="0" t="0"/>
            <wp:docPr descr="Hierarchisches Diagramm mit fundamentalen normativen Prinzipien R0, positiver Rechtsordnung R1, technischer Governance R2 und adaptiven Systemregeln R3. Untergeordnete adaptive Regeln dürfen höher legitimierte Ebenen nicht autonom aufheben." title="Normative Regelhierarchie als ethische DNA" id="167" name="Picture"/>
            <a:graphic>
              <a:graphicData uri="http://schemas.openxmlformats.org/drawingml/2006/picture">
                <pic:pic>
                  <pic:nvPicPr>
                    <pic:cNvPr descr="abbildungen/K3_image8.png" id="168" name="Picture"/>
                    <pic:cNvPicPr>
                      <a:picLocks noChangeArrowheads="1" noChangeAspect="1"/>
                    </pic:cNvPicPr>
                  </pic:nvPicPr>
                  <pic:blipFill>
                    <a:blip r:embed="rId166"/>
                    <a:stretch>
                      <a:fillRect/>
                    </a:stretch>
                  </pic:blipFill>
                  <pic:spPr bwMode="auto">
                    <a:xfrm>
                      <a:off x="0" y="0"/>
                      <a:ext cx="5669280" cy="3901339"/>
                    </a:xfrm>
                    <a:prstGeom prst="rect">
                      <a:avLst/>
                    </a:prstGeom>
                    <a:noFill/>
                    <a:ln w="9525">
                      <a:noFill/>
                      <a:headEnd/>
                      <a:tailEnd/>
                    </a:ln>
                  </pic:spPr>
                </pic:pic>
              </a:graphicData>
            </a:graphic>
          </wp:inline>
        </w:drawing>
      </w:r>
    </w:p>
    <w:p>
      <w:pPr>
        <w:pStyle w:val="ImageCaption"/>
        <w:keepLines/>
        <w:spacing w:after="120"/>
        <w:jc w:val="left"/>
      </w:pPr>
      <w:r>
        <w:rPr>
          <w:sz w:val="20"/>
        </w:rPr>
        <w:t xml:space="preserve">Abbildung 4. </w:t>
      </w:r>
      <w:r>
        <w:rPr>
          <w:sz w:val="20"/>
        </w:rPr>
        <w:t xml:space="preserve">Hierarchisches Diagramm mit fundamentalen normativen Prinzipien R0, positiver Rechtsordnung R1, technischer Governance R2 und adaptiven Systemregeln R3. Untergeordnete adaptive Regeln dürfen höher legitimierte Ebenen nicht autonom aufheben.</w:t>
      </w:r>
    </w:p>
    <w:p>
      <w:pPr>
        <w:pStyle w:val="Caption"/>
        <w:keepNext/>
        <w:keepLines/>
        <w:spacing w:before="180" w:after="120"/>
        <w:jc w:val="left"/>
      </w:pPr>
      <w:r>
        <w:rPr>
          <w:sz w:val="20"/>
        </w:rPr>
        <w:t>Tabelle 15. Normative Regelhierarchie</w:t>
      </w:r>
    </w:p>
    <w:tbl>
      <w:tblPr>
        <w:tblStyle w:val="Table"/>
        <w:tblW w:type="pct" w:w="4928"/>
        <w:jc w:val="center"/>
        <w:tblLayout w:type="fixed"/>
        <w:tblLook w:firstRow="1" w:lastRow="0" w:firstColumn="0" w:lastColumn="0" w:noHBand="0" w:noVBand="0" w:val="0020"/>
        <w:tblInd w:w="0" w:type="dxa"/>
        <w:tblCellMar>
          <w:top w:w="70" w:type="dxa"/>
          <w:bottom w:w="70" w:type="dxa"/>
          <w:left w:w="85" w:type="dxa"/>
          <w:right w:w="85" w:type="dxa"/>
        </w:tblCellMar>
        <w:tblBorders>
          <w:top w:val="single" w:sz="4" w:color="CCD4D9"/>
          <w:bottom w:val="single" w:sz="4" w:color="CCD4D9"/>
          <w:insideH w:val="single" w:sz="4" w:color="CCD4D9"/>
          <w:left w:val="nil"/>
          <w:right w:val="nil"/>
          <w:insideV w:val="nil"/>
        </w:tblBorders>
      </w:tblPr>
      <w:tblGrid>
        <w:gridCol w:w="1008"/>
        <w:gridCol w:w="3053"/>
        <w:gridCol w:w="5789"/>
      </w:tblGrid>
      <w:tr>
        <w:trPr>
          <w:tblHeader w:val="on"/>
          <w:cantSplit/>
          <w:tblHeader/>
        </w:trPr>
        <w:tc>
          <w:tcPr>
            <w:tcW w:type="dxa" w:w="1008"/>
            <w:vAlign w:val="center"/>
            <w:shd w:fill="E9EFF3"/>
          </w:tcPr>
          <w:p>
            <w:pPr>
              <w:pStyle w:val="Compact"/>
              <w:keepNext w:val="0"/>
              <w:keepLines/>
              <w:spacing w:before="20" w:after="20" w:line="250" w:lineRule="auto"/>
              <w:jc w:val="center"/>
            </w:pPr>
            <w:r>
              <w:rPr>
                <w:rFonts w:ascii="Liberation Sans" w:hAnsi="Liberation Sans"/>
                <w:b/>
                <w:bCs/>
                <w:sz w:val="19"/>
              </w:rPr>
              <w:t xml:space="preserve">Ebene</w:t>
            </w:r>
          </w:p>
        </w:tc>
        <w:tc>
          <w:tcPr>
            <w:tcW w:type="dxa" w:w="3053"/>
            <w:vAlign w:val="center"/>
            <w:shd w:fill="E9EFF3"/>
          </w:tcPr>
          <w:p>
            <w:pPr>
              <w:pStyle w:val="Compact"/>
              <w:keepNext w:val="0"/>
              <w:keepLines/>
              <w:spacing w:before="20" w:after="20" w:line="250" w:lineRule="auto"/>
              <w:jc w:val="left"/>
            </w:pPr>
            <w:r>
              <w:rPr>
                <w:rFonts w:ascii="Liberation Sans" w:hAnsi="Liberation Sans"/>
                <w:b/>
                <w:bCs/>
                <w:sz w:val="19"/>
              </w:rPr>
              <w:t xml:space="preserve">Funktion</w:t>
            </w:r>
          </w:p>
        </w:tc>
        <w:tc>
          <w:tcPr>
            <w:tcW w:type="dxa" w:w="5789"/>
            <w:vAlign w:val="center"/>
            <w:shd w:fill="E9EFF3"/>
          </w:tcPr>
          <w:p>
            <w:pPr>
              <w:pStyle w:val="Compact"/>
              <w:keepNext w:val="0"/>
              <w:keepLines/>
              <w:spacing w:before="20" w:after="20" w:line="250" w:lineRule="auto"/>
              <w:jc w:val="left"/>
            </w:pPr>
            <w:r>
              <w:rPr>
                <w:rFonts w:ascii="Liberation Sans" w:hAnsi="Liberation Sans"/>
                <w:b/>
                <w:bCs/>
                <w:sz w:val="19"/>
              </w:rPr>
              <w:t xml:space="preserve">Beispiele</w:t>
            </w:r>
          </w:p>
        </w:tc>
      </w:tr>
      <w:tr>
        <w:trPr>
          <w:cantSplit/>
        </w:trPr>
        <w:tc>
          <w:tcPr>
            <w:tcW w:type="dxa" w:w="1008"/>
            <w:vAlign w:val="center"/>
          </w:tcPr>
          <w:p>
            <w:pPr>
              <w:pStyle w:val="Compact"/>
              <w:keepNext w:val="0"/>
              <w:keepLines/>
              <w:spacing w:before="20" w:after="20" w:line="250" w:lineRule="auto"/>
              <w:jc w:val="center"/>
            </w:pPr>
            <w:r>
              <w:rPr>
                <w:rFonts w:ascii="Liberation Sans" w:hAnsi="Liberation Sans"/>
                <w:sz w:val="19"/>
              </w:rPr>
              <w:t xml:space="preserve">R0</w:t>
            </w:r>
          </w:p>
        </w:tc>
        <w:tc>
          <w:tcPr>
            <w:tcW w:type="dxa" w:w="3053"/>
            <w:vAlign w:val="center"/>
          </w:tcPr>
          <w:p>
            <w:pPr>
              <w:pStyle w:val="Compact"/>
              <w:keepNext w:val="0"/>
              <w:keepLines/>
              <w:spacing w:before="20" w:after="20" w:line="250" w:lineRule="auto"/>
              <w:jc w:val="left"/>
            </w:pPr>
            <w:r>
              <w:rPr>
                <w:rFonts w:ascii="Liberation Sans" w:hAnsi="Liberation Sans"/>
                <w:sz w:val="19"/>
              </w:rPr>
              <w:t xml:space="preserve">fundamentale normative Ordnung</w:t>
            </w:r>
          </w:p>
        </w:tc>
        <w:tc>
          <w:tcPr>
            <w:tcW w:type="dxa" w:w="5789"/>
            <w:vAlign w:val="center"/>
          </w:tcPr>
          <w:p>
            <w:pPr>
              <w:pStyle w:val="Compact"/>
              <w:keepNext w:val="0"/>
              <w:keepLines/>
              <w:spacing w:before="20" w:after="20" w:line="250" w:lineRule="auto"/>
              <w:jc w:val="left"/>
            </w:pPr>
            <w:r>
              <w:rPr>
                <w:rFonts w:ascii="Liberation Sans" w:hAnsi="Liberation Sans"/>
                <w:sz w:val="19"/>
              </w:rPr>
              <w:t xml:space="preserve">Menschenwürde, Grundrechte, elementare Schutz- und Legitimationsprinzipien</w:t>
            </w:r>
          </w:p>
        </w:tc>
      </w:tr>
      <w:tr>
        <w:trPr>
          <w:cantSplit/>
        </w:trPr>
        <w:tc>
          <w:tcPr>
            <w:tcW w:type="dxa" w:w="1008"/>
            <w:vAlign w:val="center"/>
          </w:tcPr>
          <w:p>
            <w:pPr>
              <w:pStyle w:val="Compact"/>
              <w:keepNext w:val="0"/>
              <w:keepLines/>
              <w:spacing w:before="20" w:after="20" w:line="250" w:lineRule="auto"/>
              <w:jc w:val="center"/>
            </w:pPr>
            <w:r>
              <w:rPr>
                <w:rFonts w:ascii="Liberation Sans" w:hAnsi="Liberation Sans"/>
                <w:sz w:val="19"/>
              </w:rPr>
              <w:t xml:space="preserve">R1</w:t>
            </w:r>
          </w:p>
        </w:tc>
        <w:tc>
          <w:tcPr>
            <w:tcW w:type="dxa" w:w="3053"/>
            <w:vAlign w:val="center"/>
          </w:tcPr>
          <w:p>
            <w:pPr>
              <w:pStyle w:val="Compact"/>
              <w:keepNext w:val="0"/>
              <w:keepLines/>
              <w:spacing w:before="20" w:after="20" w:line="250" w:lineRule="auto"/>
              <w:jc w:val="left"/>
            </w:pPr>
            <w:r>
              <w:rPr>
                <w:rFonts w:ascii="Liberation Sans" w:hAnsi="Liberation Sans"/>
                <w:sz w:val="19"/>
              </w:rPr>
              <w:t xml:space="preserve">positives Recht</w:t>
            </w:r>
          </w:p>
        </w:tc>
        <w:tc>
          <w:tcPr>
            <w:tcW w:type="dxa" w:w="5789"/>
            <w:vAlign w:val="center"/>
          </w:tcPr>
          <w:p>
            <w:pPr>
              <w:pStyle w:val="Compact"/>
              <w:keepNext w:val="0"/>
              <w:keepLines/>
              <w:spacing w:before="20" w:after="20" w:line="250" w:lineRule="auto"/>
              <w:jc w:val="left"/>
            </w:pPr>
            <w:r>
              <w:rPr>
                <w:rFonts w:ascii="Liberation Sans" w:hAnsi="Liberation Sans"/>
                <w:sz w:val="19"/>
              </w:rPr>
              <w:t xml:space="preserve">Gesetze, Haftung, Verfahrensgarantien, demokratisch legitimierte Grenzen</w:t>
            </w:r>
          </w:p>
        </w:tc>
      </w:tr>
      <w:tr>
        <w:trPr>
          <w:cantSplit/>
        </w:trPr>
        <w:tc>
          <w:tcPr>
            <w:tcW w:type="dxa" w:w="1008"/>
            <w:vAlign w:val="center"/>
          </w:tcPr>
          <w:p>
            <w:pPr>
              <w:pStyle w:val="Compact"/>
              <w:keepNext w:val="0"/>
              <w:keepLines/>
              <w:spacing w:before="20" w:after="20" w:line="250" w:lineRule="auto"/>
              <w:jc w:val="center"/>
            </w:pPr>
            <w:r>
              <w:rPr>
                <w:rFonts w:ascii="Liberation Sans" w:hAnsi="Liberation Sans"/>
                <w:sz w:val="19"/>
              </w:rPr>
              <w:t xml:space="preserve">R2</w:t>
            </w:r>
          </w:p>
        </w:tc>
        <w:tc>
          <w:tcPr>
            <w:tcW w:type="dxa" w:w="3053"/>
            <w:vAlign w:val="center"/>
          </w:tcPr>
          <w:p>
            <w:pPr>
              <w:pStyle w:val="Compact"/>
              <w:keepNext w:val="0"/>
              <w:keepLines/>
              <w:spacing w:before="20" w:after="20" w:line="250" w:lineRule="auto"/>
              <w:jc w:val="left"/>
            </w:pPr>
            <w:r>
              <w:rPr>
                <w:rFonts w:ascii="Liberation Sans" w:hAnsi="Liberation Sans"/>
                <w:sz w:val="19"/>
              </w:rPr>
              <w:t xml:space="preserve">technische Governance</w:t>
            </w:r>
          </w:p>
        </w:tc>
        <w:tc>
          <w:tcPr>
            <w:tcW w:type="dxa" w:w="5789"/>
            <w:vAlign w:val="center"/>
          </w:tcPr>
          <w:p>
            <w:pPr>
              <w:pStyle w:val="Compact"/>
              <w:keepNext w:val="0"/>
              <w:keepLines/>
              <w:spacing w:before="20" w:after="20" w:line="250" w:lineRule="auto"/>
              <w:jc w:val="left"/>
            </w:pPr>
            <w:r>
              <w:rPr>
                <w:rFonts w:ascii="Liberation Sans" w:hAnsi="Liberation Sans"/>
                <w:sz w:val="19"/>
              </w:rPr>
              <w:t xml:space="preserve">Zugriffsrechte, Audit, Ressourcenlimits, Watchdog, Abbruch und Rollback</w:t>
            </w:r>
          </w:p>
        </w:tc>
      </w:tr>
      <w:tr>
        <w:trPr>
          <w:cantSplit/>
        </w:trPr>
        <w:tc>
          <w:tcPr>
            <w:tcW w:type="dxa" w:w="1008"/>
            <w:vAlign w:val="center"/>
          </w:tcPr>
          <w:p>
            <w:pPr>
              <w:pStyle w:val="Compact"/>
              <w:keepNext w:val="0"/>
              <w:keepLines/>
              <w:spacing w:before="20" w:after="20" w:line="250" w:lineRule="auto"/>
              <w:jc w:val="center"/>
            </w:pPr>
            <w:r>
              <w:rPr>
                <w:rFonts w:ascii="Liberation Sans" w:hAnsi="Liberation Sans"/>
                <w:sz w:val="19"/>
              </w:rPr>
              <w:t xml:space="preserve">R3</w:t>
            </w:r>
          </w:p>
        </w:tc>
        <w:tc>
          <w:tcPr>
            <w:tcW w:type="dxa" w:w="3053"/>
            <w:vAlign w:val="center"/>
          </w:tcPr>
          <w:p>
            <w:pPr>
              <w:pStyle w:val="Compact"/>
              <w:keepNext w:val="0"/>
              <w:keepLines/>
              <w:spacing w:before="20" w:after="20" w:line="250" w:lineRule="auto"/>
              <w:jc w:val="left"/>
            </w:pPr>
            <w:r>
              <w:rPr>
                <w:rFonts w:ascii="Liberation Sans" w:hAnsi="Liberation Sans"/>
                <w:sz w:val="19"/>
              </w:rPr>
              <w:t xml:space="preserve">adaptive Systemregeln</w:t>
            </w:r>
          </w:p>
        </w:tc>
        <w:tc>
          <w:tcPr>
            <w:tcW w:type="dxa" w:w="5789"/>
            <w:vAlign w:val="center"/>
          </w:tcPr>
          <w:p>
            <w:pPr>
              <w:pStyle w:val="Compact"/>
              <w:keepNext w:val="0"/>
              <w:keepLines/>
              <w:spacing w:before="20" w:after="20" w:line="250" w:lineRule="auto"/>
              <w:jc w:val="left"/>
            </w:pPr>
            <w:r>
              <w:rPr>
                <w:rFonts w:ascii="Liberation Sans" w:hAnsi="Liberation Sans"/>
                <w:sz w:val="19"/>
              </w:rPr>
              <w:t xml:space="preserve">Lernen, Planung, lokale Ziele, Strategien und selbstveränderliche Komponenten</w:t>
            </w:r>
          </w:p>
        </w:tc>
      </w:tr>
    </w:tbl>
    <w:p>
      <w:pPr>
        <w:pStyle w:val="BodyText"/>
        <w:keepLines/>
        <w:spacing w:after="120"/>
        <w:jc w:val="left"/>
      </w:pPr>
      <w:r>
        <w:rPr>
          <w:sz w:val="20"/>
        </w:rPr>
        <w:t xml:space="preserve">Die Metapher „DNA” darf nicht naturalisiert werden. Normative Regeln sind keine Gene und moralische Kompetenz ist nicht auf Invarianten reduzierbar. Die Metapher ist nur dann nützlich, wenn sie die tiefe architektonische Verankerung bestimmter Grenzen bezeichnet. Selbst dann bleiben Auslegung, Wertkonflikte, demokratische Legitimation und die Möglichkeit fehlerhafter Regeln bestehen. Eine technisch unveränderliche Norm kann stabil und dennoch ungerecht sein.</w:t>
      </w:r>
    </w:p>
    <w:bookmarkEnd w:id="169"/>
    <w:bookmarkEnd w:id="170"/>
    <w:bookmarkStart w:id="172" w:name="philosophischer-bezugsrahmen"/>
    <w:p>
      <w:pPr>
        <w:pStyle w:val="Heading2"/>
        <w:pageBreakBefore/>
      </w:pPr>
      <w:r>
        <w:t xml:space="preserve">Philosophischer Bezugsrahmen</w:t>
      </w:r>
    </w:p>
    <w:p>
      <w:pPr>
        <w:pStyle w:val="Caption"/>
        <w:keepNext/>
        <w:keepLines/>
        <w:spacing w:before="180" w:after="120"/>
        <w:jc w:val="left"/>
      </w:pPr>
      <w:r>
        <w:rPr>
          <w:sz w:val="20"/>
        </w:rPr>
        <w:t>Tabelle 16. Philosophische Bezugslinien</w:t>
      </w:r>
    </w:p>
    <w:tbl>
      <w:tblPr>
        <w:tblStyle w:val="Table"/>
        <w:tblW w:type="pct" w:w="4954"/>
        <w:jc w:val="center"/>
        <w:tblLayout w:type="fixed"/>
        <w:tblLook w:firstRow="1" w:lastRow="0" w:firstColumn="0" w:lastColumn="0" w:noHBand="0" w:noVBand="0" w:val="0020"/>
        <w:tblInd w:w="0" w:type="dxa"/>
        <w:tblCellMar>
          <w:top w:w="70" w:type="dxa"/>
          <w:bottom w:w="70" w:type="dxa"/>
          <w:left w:w="85" w:type="dxa"/>
          <w:right w:w="85" w:type="dxa"/>
        </w:tblCellMar>
        <w:tblBorders>
          <w:top w:val="single" w:sz="4" w:color="CCD4D9"/>
          <w:bottom w:val="single" w:sz="4" w:color="CCD4D9"/>
          <w:insideH w:val="single" w:sz="4" w:color="CCD4D9"/>
          <w:left w:val="nil"/>
          <w:right w:val="nil"/>
          <w:insideV w:val="nil"/>
        </w:tblBorders>
      </w:tblPr>
      <w:tblGrid>
        <w:gridCol w:w="1901"/>
        <w:gridCol w:w="7949"/>
      </w:tblGrid>
      <w:tr>
        <w:trPr>
          <w:tblHeader w:val="on"/>
          <w:cantSplit/>
          <w:tblHeader/>
        </w:trPr>
        <w:tc>
          <w:tcPr>
            <w:tcW w:type="dxa" w:w="1901"/>
            <w:vAlign w:val="center"/>
            <w:shd w:fill="E9EFF3"/>
          </w:tcPr>
          <w:p>
            <w:pPr>
              <w:pStyle w:val="Compact"/>
              <w:keepNext w:val="0"/>
              <w:keepLines/>
              <w:spacing w:before="20" w:after="20" w:line="250" w:lineRule="auto"/>
              <w:jc w:val="left"/>
            </w:pPr>
            <w:r>
              <w:rPr>
                <w:rFonts w:ascii="Liberation Sans" w:hAnsi="Liberation Sans"/>
                <w:b/>
                <w:bCs/>
                <w:sz w:val="19"/>
              </w:rPr>
              <w:t xml:space="preserve">Tradition</w:t>
            </w:r>
          </w:p>
        </w:tc>
        <w:tc>
          <w:tcPr>
            <w:tcW w:type="dxa" w:w="7949"/>
            <w:vAlign w:val="center"/>
            <w:shd w:fill="E9EFF3"/>
          </w:tcPr>
          <w:p>
            <w:pPr>
              <w:pStyle w:val="Compact"/>
              <w:keepNext w:val="0"/>
              <w:keepLines/>
              <w:spacing w:before="20" w:after="20" w:line="250" w:lineRule="auto"/>
              <w:jc w:val="left"/>
            </w:pPr>
            <w:r>
              <w:rPr>
                <w:rFonts w:ascii="Liberation Sans" w:hAnsi="Liberation Sans"/>
                <w:b/>
                <w:bCs/>
                <w:sz w:val="19"/>
              </w:rPr>
              <w:t xml:space="preserve">Beitrag zur Forschungsfrage</w:t>
            </w:r>
          </w:p>
        </w:tc>
      </w:tr>
      <w:tr>
        <w:trPr>
          <w:cantSplit/>
        </w:trPr>
        <w:tc>
          <w:tcPr>
            <w:tcW w:type="dxa" w:w="1901"/>
            <w:vAlign w:val="center"/>
          </w:tcPr>
          <w:p>
            <w:pPr>
              <w:pStyle w:val="Compact"/>
              <w:keepNext w:val="0"/>
              <w:keepLines/>
              <w:spacing w:before="20" w:after="20" w:line="250" w:lineRule="auto"/>
              <w:jc w:val="left"/>
            </w:pPr>
            <w:r>
              <w:rPr>
                <w:rFonts w:ascii="Liberation Sans" w:hAnsi="Liberation Sans"/>
                <w:sz w:val="19"/>
              </w:rPr>
              <w:t xml:space="preserve">Aristoteles</w:t>
            </w:r>
          </w:p>
        </w:tc>
        <w:tc>
          <w:tcPr>
            <w:tcW w:type="dxa" w:w="7949"/>
            <w:vAlign w:val="center"/>
          </w:tcPr>
          <w:p>
            <w:pPr>
              <w:pStyle w:val="Compact"/>
              <w:keepNext w:val="0"/>
              <w:keepLines/>
              <w:spacing w:before="20" w:after="20" w:line="250" w:lineRule="auto"/>
              <w:jc w:val="left"/>
            </w:pPr>
            <w:r>
              <w:rPr>
                <w:rFonts w:ascii="Liberation Sans" w:hAnsi="Liberation Sans"/>
                <w:sz w:val="19"/>
              </w:rPr>
              <w:t xml:space="preserve">Material-, Form-, Wirk- und Zweckursache trennen Hardware, Architektur, Entwicklungsprozess und Zielsetzung. Die Frage ist, ob die Zweckursache dauerhaft menschlich bleiben muss.</w:t>
            </w:r>
          </w:p>
        </w:tc>
      </w:tr>
      <w:tr>
        <w:trPr>
          <w:cantSplit/>
        </w:trPr>
        <w:tc>
          <w:tcPr>
            <w:tcW w:type="dxa" w:w="1901"/>
            <w:vAlign w:val="center"/>
          </w:tcPr>
          <w:p>
            <w:pPr>
              <w:pStyle w:val="Compact"/>
              <w:keepNext w:val="0"/>
              <w:keepLines/>
              <w:spacing w:before="20" w:after="20" w:line="250" w:lineRule="auto"/>
              <w:jc w:val="left"/>
            </w:pPr>
            <w:r>
              <w:rPr>
                <w:rFonts w:ascii="Liberation Sans" w:hAnsi="Liberation Sans"/>
                <w:sz w:val="19"/>
              </w:rPr>
              <w:t xml:space="preserve">Kant</w:t>
            </w:r>
          </w:p>
        </w:tc>
        <w:tc>
          <w:tcPr>
            <w:tcW w:type="dxa" w:w="7949"/>
            <w:vAlign w:val="center"/>
          </w:tcPr>
          <w:p>
            <w:pPr>
              <w:pStyle w:val="Compact"/>
              <w:keepNext w:val="0"/>
              <w:keepLines/>
              <w:spacing w:before="20" w:after="20" w:line="250" w:lineRule="auto"/>
              <w:jc w:val="left"/>
            </w:pPr>
            <w:r>
              <w:rPr>
                <w:rFonts w:ascii="Liberation Sans" w:hAnsi="Liberation Sans"/>
                <w:sz w:val="19"/>
              </w:rPr>
              <w:t xml:space="preserve">Menschen dürfen nicht bloß als Datenquelle, Trainingsmittel oder manipulierbares Objekt behandelt werden. Autonomie und Würde begrenzen rein zweckorientierte Optimierung.</w:t>
            </w:r>
          </w:p>
        </w:tc>
      </w:tr>
      <w:tr>
        <w:trPr>
          <w:cantSplit/>
        </w:trPr>
        <w:tc>
          <w:tcPr>
            <w:tcW w:type="dxa" w:w="1901"/>
            <w:vAlign w:val="center"/>
          </w:tcPr>
          <w:p>
            <w:pPr>
              <w:pStyle w:val="Compact"/>
              <w:keepNext w:val="0"/>
              <w:keepLines/>
              <w:spacing w:before="20" w:after="20" w:line="250" w:lineRule="auto"/>
              <w:jc w:val="left"/>
            </w:pPr>
            <w:r>
              <w:rPr>
                <w:rFonts w:ascii="Liberation Sans" w:hAnsi="Liberation Sans"/>
                <w:sz w:val="19"/>
              </w:rPr>
              <w:t xml:space="preserve">Hans Jonas</w:t>
            </w:r>
          </w:p>
        </w:tc>
        <w:tc>
          <w:tcPr>
            <w:tcW w:type="dxa" w:w="7949"/>
            <w:vAlign w:val="center"/>
          </w:tcPr>
          <w:p>
            <w:pPr>
              <w:pStyle w:val="Compact"/>
              <w:keepNext w:val="0"/>
              <w:keepLines/>
              <w:spacing w:before="20" w:after="20" w:line="250" w:lineRule="auto"/>
              <w:jc w:val="left"/>
            </w:pPr>
            <w:r>
              <w:rPr>
                <w:rFonts w:ascii="Liberation Sans" w:hAnsi="Liberation Sans"/>
                <w:sz w:val="19"/>
              </w:rPr>
              <w:t xml:space="preserve">Wachsende Reichweite und Irreversibilität erweitern Verantwortung unter Unsicherheit. Vorsorge ist jedoch gegen pauschales Innovationsverbot abzugrenzen.</w:t>
            </w:r>
          </w:p>
        </w:tc>
      </w:tr>
      <w:tr>
        <w:trPr>
          <w:cantSplit/>
        </w:trPr>
        <w:tc>
          <w:tcPr>
            <w:tcW w:type="dxa" w:w="1901"/>
            <w:vAlign w:val="center"/>
          </w:tcPr>
          <w:p>
            <w:pPr>
              <w:pStyle w:val="Compact"/>
              <w:keepNext w:val="0"/>
              <w:keepLines/>
              <w:spacing w:before="20" w:after="20" w:line="250" w:lineRule="auto"/>
              <w:jc w:val="left"/>
            </w:pPr>
            <w:r>
              <w:rPr>
                <w:rFonts w:ascii="Liberation Sans" w:hAnsi="Liberation Sans"/>
                <w:sz w:val="19"/>
              </w:rPr>
              <w:t xml:space="preserve">Wiener und Ashby</w:t>
            </w:r>
          </w:p>
        </w:tc>
        <w:tc>
          <w:tcPr>
            <w:tcW w:type="dxa" w:w="7949"/>
            <w:vAlign w:val="center"/>
          </w:tcPr>
          <w:p>
            <w:pPr>
              <w:pStyle w:val="Compact"/>
              <w:keepNext w:val="0"/>
              <w:keepLines/>
              <w:spacing w:before="20" w:after="20" w:line="250" w:lineRule="auto"/>
              <w:jc w:val="left"/>
            </w:pPr>
            <w:r>
              <w:rPr>
                <w:rFonts w:ascii="Liberation Sans" w:hAnsi="Liberation Sans"/>
                <w:sz w:val="19"/>
              </w:rPr>
              <w:t xml:space="preserve">Kontrolle beruht auf Rückkopplung und ausreichender regulatorischer Vielfalt. Ein Stoppschalter ohne Zustandsverständnis ist kein vollständiger Regulator.</w:t>
            </w:r>
          </w:p>
        </w:tc>
      </w:tr>
      <w:tr>
        <w:trPr>
          <w:cantSplit/>
        </w:trPr>
        <w:tc>
          <w:tcPr>
            <w:tcW w:type="dxa" w:w="1901"/>
            <w:vAlign w:val="center"/>
          </w:tcPr>
          <w:p>
            <w:pPr>
              <w:pStyle w:val="Compact"/>
              <w:keepNext w:val="0"/>
              <w:keepLines/>
              <w:spacing w:before="20" w:after="20" w:line="250" w:lineRule="auto"/>
              <w:jc w:val="left"/>
            </w:pPr>
            <w:r>
              <w:rPr>
                <w:rFonts w:ascii="Liberation Sans" w:hAnsi="Liberation Sans"/>
                <w:sz w:val="19"/>
              </w:rPr>
              <w:t xml:space="preserve">Heidegger</w:t>
            </w:r>
          </w:p>
        </w:tc>
        <w:tc>
          <w:tcPr>
            <w:tcW w:type="dxa" w:w="7949"/>
            <w:vAlign w:val="center"/>
          </w:tcPr>
          <w:p>
            <w:pPr>
              <w:pStyle w:val="Compact"/>
              <w:keepNext w:val="0"/>
              <w:keepLines/>
              <w:spacing w:before="20" w:after="20" w:line="250" w:lineRule="auto"/>
              <w:jc w:val="left"/>
            </w:pPr>
            <w:r>
              <w:rPr>
                <w:rFonts w:ascii="Liberation Sans" w:hAnsi="Liberation Sans"/>
                <w:sz w:val="19"/>
              </w:rPr>
              <w:t xml:space="preserve">Technik strukturiert, welche Probleme und Lösungen als plausibel erscheinen. LLMs können damit den Forschungsraum mitprägen, nicht nur innerhalb seiner Grenzen entwerfen.</w:t>
            </w:r>
          </w:p>
        </w:tc>
      </w:tr>
      <w:tr>
        <w:trPr>
          <w:cantSplit/>
        </w:trPr>
        <w:tc>
          <w:tcPr>
            <w:tcW w:type="dxa" w:w="1901"/>
            <w:vAlign w:val="center"/>
          </w:tcPr>
          <w:p>
            <w:pPr>
              <w:pStyle w:val="Compact"/>
              <w:keepNext w:val="0"/>
              <w:keepLines/>
              <w:spacing w:before="20" w:after="20" w:line="250" w:lineRule="auto"/>
              <w:jc w:val="left"/>
            </w:pPr>
            <w:r>
              <w:rPr>
                <w:rFonts w:ascii="Liberation Sans" w:hAnsi="Liberation Sans"/>
                <w:sz w:val="19"/>
              </w:rPr>
              <w:t xml:space="preserve">Simondon</w:t>
            </w:r>
          </w:p>
        </w:tc>
        <w:tc>
          <w:tcPr>
            <w:tcW w:type="dxa" w:w="7949"/>
            <w:vAlign w:val="center"/>
          </w:tcPr>
          <w:p>
            <w:pPr>
              <w:pStyle w:val="Compact"/>
              <w:keepNext w:val="0"/>
              <w:keepLines/>
              <w:spacing w:before="20" w:after="20" w:line="250" w:lineRule="auto"/>
              <w:jc w:val="left"/>
            </w:pPr>
            <w:r>
              <w:rPr>
                <w:rFonts w:ascii="Liberation Sans" w:hAnsi="Liberation Sans"/>
                <w:sz w:val="19"/>
              </w:rPr>
              <w:t xml:space="preserve">Ein selbstorganisierendes System kann als Prozess technischer Individuation statt als abgeschlossenes Objekt verstanden werden.</w:t>
            </w:r>
          </w:p>
        </w:tc>
      </w:tr>
      <w:tr>
        <w:trPr>
          <w:cantSplit/>
        </w:trPr>
        <w:tc>
          <w:tcPr>
            <w:tcW w:type="dxa" w:w="1901"/>
            <w:vAlign w:val="center"/>
          </w:tcPr>
          <w:p>
            <w:pPr>
              <w:pStyle w:val="Compact"/>
              <w:keepNext w:val="0"/>
              <w:keepLines/>
              <w:spacing w:before="20" w:after="20" w:line="250" w:lineRule="auto"/>
              <w:jc w:val="left"/>
            </w:pPr>
            <w:r>
              <w:rPr>
                <w:rFonts w:ascii="Liberation Sans" w:hAnsi="Liberation Sans"/>
                <w:sz w:val="19"/>
              </w:rPr>
              <w:t xml:space="preserve">Dennett</w:t>
            </w:r>
          </w:p>
        </w:tc>
        <w:tc>
          <w:tcPr>
            <w:tcW w:type="dxa" w:w="7949"/>
            <w:vAlign w:val="center"/>
          </w:tcPr>
          <w:p>
            <w:pPr>
              <w:pStyle w:val="Compact"/>
              <w:keepNext w:val="0"/>
              <w:keepLines/>
              <w:spacing w:before="20" w:after="20" w:line="250" w:lineRule="auto"/>
              <w:jc w:val="left"/>
            </w:pPr>
            <w:r>
              <w:rPr>
                <w:rFonts w:ascii="Liberation Sans" w:hAnsi="Liberation Sans"/>
                <w:sz w:val="19"/>
              </w:rPr>
              <w:t xml:space="preserve">Die intentionale Haltung erklärt den praktischen Nutzen und die Gefahr anthropomorpher Zuschreibungen.</w:t>
            </w:r>
          </w:p>
        </w:tc>
      </w:tr>
      <w:tr>
        <w:trPr>
          <w:cantSplit/>
        </w:trPr>
        <w:tc>
          <w:tcPr>
            <w:tcW w:type="dxa" w:w="1901"/>
            <w:vAlign w:val="center"/>
          </w:tcPr>
          <w:p>
            <w:pPr>
              <w:pStyle w:val="Compact"/>
              <w:keepNext w:val="0"/>
              <w:keepLines/>
              <w:spacing w:before="20" w:after="20" w:line="250" w:lineRule="auto"/>
              <w:jc w:val="left"/>
            </w:pPr>
            <w:r>
              <w:rPr>
                <w:rFonts w:ascii="Liberation Sans" w:hAnsi="Liberation Sans"/>
                <w:sz w:val="19"/>
              </w:rPr>
              <w:t xml:space="preserve">Floridi</w:t>
            </w:r>
          </w:p>
        </w:tc>
        <w:tc>
          <w:tcPr>
            <w:tcW w:type="dxa" w:w="7949"/>
            <w:vAlign w:val="center"/>
          </w:tcPr>
          <w:p>
            <w:pPr>
              <w:pStyle w:val="Compact"/>
              <w:keepNext w:val="0"/>
              <w:keepLines/>
              <w:spacing w:before="20" w:after="20" w:line="250" w:lineRule="auto"/>
              <w:jc w:val="left"/>
            </w:pPr>
            <w:r>
              <w:rPr>
                <w:rFonts w:ascii="Liberation Sans" w:hAnsi="Liberation Sans"/>
                <w:sz w:val="19"/>
              </w:rPr>
              <w:t xml:space="preserve">Kausale, funktionale, institutionelle und moralische Agency sind zu unterscheiden. Informationsethik erweitert den Kreis moralischer Analyse, ohne Bewusstsein zu unterstellen.</w:t>
            </w:r>
          </w:p>
        </w:tc>
      </w:tr>
      <w:tr>
        <w:trPr>
          <w:cantSplit/>
        </w:trPr>
        <w:tc>
          <w:tcPr>
            <w:tcW w:type="dxa" w:w="1901"/>
            <w:vAlign w:val="center"/>
          </w:tcPr>
          <w:p>
            <w:pPr>
              <w:pStyle w:val="Compact"/>
              <w:keepNext w:val="0"/>
              <w:keepLines/>
              <w:spacing w:before="20" w:after="20" w:line="250" w:lineRule="auto"/>
              <w:jc w:val="left"/>
            </w:pPr>
            <w:r>
              <w:rPr>
                <w:rFonts w:ascii="Liberation Sans" w:hAnsi="Liberation Sans"/>
                <w:sz w:val="19"/>
              </w:rPr>
              <w:t xml:space="preserve">Clark, Chalmers und Hutchins</w:t>
            </w:r>
          </w:p>
        </w:tc>
        <w:tc>
          <w:tcPr>
            <w:tcW w:type="dxa" w:w="7949"/>
            <w:vAlign w:val="center"/>
          </w:tcPr>
          <w:p>
            <w:pPr>
              <w:pStyle w:val="Compact"/>
              <w:keepNext w:val="0"/>
              <w:keepLines/>
              <w:spacing w:before="20" w:after="20" w:line="250" w:lineRule="auto"/>
              <w:jc w:val="left"/>
            </w:pPr>
            <w:r>
              <w:rPr>
                <w:rFonts w:ascii="Liberation Sans" w:hAnsi="Liberation Sans"/>
                <w:sz w:val="19"/>
              </w:rPr>
              <w:t xml:space="preserve">Kognition kann sich unter bestimmten Bedingungen über biologische Grenzen verteilen. Entscheidend sind stabile Kopplung, Verfügbarkeit, Reziprozität und funktionale Integration.</w:t>
            </w:r>
          </w:p>
        </w:tc>
      </w:tr>
      <w:tr>
        <w:trPr>
          <w:cantSplit/>
        </w:trPr>
        <w:tc>
          <w:tcPr>
            <w:tcW w:type="dxa" w:w="1901"/>
            <w:vAlign w:val="center"/>
          </w:tcPr>
          <w:p>
            <w:pPr>
              <w:pStyle w:val="Compact"/>
              <w:keepNext w:val="0"/>
              <w:keepLines/>
              <w:spacing w:before="20" w:after="20" w:line="250" w:lineRule="auto"/>
              <w:jc w:val="left"/>
            </w:pPr>
            <w:r>
              <w:rPr>
                <w:rFonts w:ascii="Liberation Sans" w:hAnsi="Liberation Sans"/>
                <w:sz w:val="19"/>
              </w:rPr>
              <w:t xml:space="preserve">Varela, Thompson und Rosch</w:t>
            </w:r>
          </w:p>
        </w:tc>
        <w:tc>
          <w:tcPr>
            <w:tcW w:type="dxa" w:w="7949"/>
            <w:vAlign w:val="center"/>
          </w:tcPr>
          <w:p>
            <w:pPr>
              <w:pStyle w:val="Compact"/>
              <w:keepNext w:val="0"/>
              <w:keepLines/>
              <w:spacing w:before="20" w:after="20" w:line="250" w:lineRule="auto"/>
              <w:jc w:val="left"/>
            </w:pPr>
            <w:r>
              <w:rPr>
                <w:rFonts w:ascii="Liberation Sans" w:hAnsi="Liberation Sans"/>
                <w:sz w:val="19"/>
              </w:rPr>
              <w:t xml:space="preserve">Enaktive Kognition entsteht durch verkörpertes Hervorbringen einer Welt; Bedeutung ist nicht auf interne Repräsentation reduzierbar.</w:t>
            </w:r>
          </w:p>
        </w:tc>
      </w:tr>
    </w:tbl>
    <w:bookmarkStart w:id="171" w:name="aristoteles-wer-ist-urheber"/>
    <w:p>
      <w:pPr>
        <w:pStyle w:val="Heading3"/>
        <w:keepLines/>
        <w:spacing w:after="120"/>
        <w:jc w:val="left"/>
      </w:pPr>
      <w:r>
        <w:rPr>
          <w:sz w:val="20"/>
        </w:rPr>
        <w:t xml:space="preserve">Aristoteles: Wer ist Urheber?</w:t>
      </w:r>
    </w:p>
    <w:p>
      <w:pPr>
        <w:keepLines/>
        <w:numPr>
          <w:ilvl w:val="0"/>
          <w:numId w:val="1012"/>
        </w:numPr>
        <w:spacing w:after="120"/>
        <w:jc w:val="left"/>
      </w:pPr>
      <w:r>
        <w:rPr>
          <w:sz w:val="20"/>
        </w:rPr>
        <w:t xml:space="preserve">Materialursache: Hardware, Daten, Speicher, Energie und Code.</w:t>
      </w:r>
    </w:p>
    <w:p>
      <w:pPr>
        <w:keepLines/>
        <w:numPr>
          <w:ilvl w:val="0"/>
          <w:numId w:val="1012"/>
        </w:numPr>
        <w:spacing w:after="120"/>
        <w:jc w:val="left"/>
      </w:pPr>
      <w:r>
        <w:rPr>
          <w:sz w:val="20"/>
        </w:rPr>
        <w:t xml:space="preserve">Formursache: Topologie, Architektur, Lern- und Kopplungsregeln.</w:t>
      </w:r>
    </w:p>
    <w:p>
      <w:pPr>
        <w:keepLines/>
        <w:numPr>
          <w:ilvl w:val="0"/>
          <w:numId w:val="1012"/>
        </w:numPr>
        <w:spacing w:after="120"/>
        <w:jc w:val="left"/>
      </w:pPr>
      <w:r>
        <w:rPr>
          <w:sz w:val="20"/>
        </w:rPr>
        <w:t xml:space="preserve">Wirkursache: Mensch, LLM, Compiler, Trainingsprozess, Umwelt und Institution.</w:t>
      </w:r>
    </w:p>
    <w:p>
      <w:pPr>
        <w:keepLines/>
        <w:numPr>
          <w:ilvl w:val="0"/>
          <w:numId w:val="1012"/>
        </w:numPr>
        <w:spacing w:after="120"/>
        <w:jc w:val="left"/>
      </w:pPr>
      <w:r>
        <w:rPr>
          <w:sz w:val="20"/>
        </w:rPr>
        <w:t xml:space="preserve">Zweckursache: Forschungsziel, Nutzungszweck oder systemisch erzeugte Zielstruktur.</w:t>
      </w:r>
    </w:p>
    <w:p>
      <w:pPr>
        <w:pStyle w:val="FirstParagraph"/>
        <w:keepLines/>
        <w:spacing w:after="120"/>
        <w:jc w:val="left"/>
      </w:pPr>
      <w:r>
        <w:rPr>
          <w:sz w:val="20"/>
        </w:rPr>
        <w:t xml:space="preserve">Das LLM kann an Form- und Wirkursache beteiligt sein. Die Zweckursache bleibt bei heutigen Systemen überwiegend extern gesetzt, kann aber durch rekursive Planung, Zieldekomposition und adaptive Bewertung partiell verschoben werden. Gerade diese Verschiebung ist mit dem Hoheitsvektor zu dokumentieren, statt sie durch die pauschale Aussage „die KI entscheidet” zu verdecken.</w:t>
      </w:r>
    </w:p>
    <w:bookmarkEnd w:id="171"/>
    <w:bookmarkEnd w:id="172"/>
    <w:bookmarkStart w:id="173" w:name="Xa217a25a6b46eeececae065e58251c05c2c5561"/>
    <w:p>
      <w:pPr>
        <w:pStyle w:val="Heading2"/>
      </w:pPr>
      <w:r>
        <w:t xml:space="preserve">Empfindungsfähigkeit, Leben und moralischer Status</w:t>
      </w:r>
    </w:p>
    <w:p>
      <w:pPr>
        <w:pStyle w:val="FirstParagraph"/>
        <w:keepLines/>
        <w:spacing w:after="120"/>
        <w:jc w:val="left"/>
      </w:pPr>
      <w:r>
        <w:rPr>
          <w:sz w:val="20"/>
        </w:rPr>
        <w:t xml:space="preserve">Die Frage, ab welcher Stufe ein System keine bloße KI, sondern eine empfindungsfähige Lebensform wäre, kann derzeit nicht durch einen einzelnen Test beantwortet werden. „KI” bezeichnet eine technische Herkunfts- und Funktionskategorie; „Leben” eine biologische oder systemische Organisationsform; „Empfindungsfähigkeit” die Möglichkeit subjektiv positiver oder negativer Zustände; „Bewusstsein” phänomenales Erleben; „moralischer Status” eine normative Schlussfolgerung. Diese Kategorien können zusammenfallen, müssen es aber nicht.</w:t>
      </w:r>
    </w:p>
    <w:p>
      <w:pPr>
        <w:pStyle w:val="BodyText"/>
        <w:keepLines/>
        <w:spacing w:after="120"/>
        <w:jc w:val="left"/>
      </w:pPr>
      <w:r>
        <w:rPr>
          <w:sz w:val="20"/>
        </w:rPr>
        <w:t xml:space="preserve">Ein System darf nicht allein deshalb als empfindungsfähig gelten, weil es Schmerzberichte generiert, Selbsterhaltung verfolgt oder ein Selbstmodell beschreibt. Solche Ausgaben können trainierte Sprachmuster sein. Umgekehrt wäre es methodisch ebenso problematisch, moralische Relevanz prinzipiell auszuschließen, sobald nichtbiologische Systeme hinreichend integrierte, persistente und eigenbezogene Zustände aufweisen. Butlin et al. (2023), Chalmers (2023), Gunkel (2018) und Coeckelbergh (2020) zeigen unterschiedliche Wege, diese Grenzfrage ohne vorschnelle Gleichsetzung zu bearbeiten.</w:t>
      </w:r>
    </w:p>
    <w:p>
      <w:pPr>
        <w:pStyle w:val="Caption"/>
        <w:keepNext/>
        <w:keepLines/>
        <w:spacing w:before="180" w:after="120"/>
        <w:jc w:val="left"/>
      </w:pPr>
      <w:r>
        <w:rPr>
          <w:sz w:val="20"/>
        </w:rPr>
        <w:t>Tabelle 17. Kriterien und Grenzen moralischer Zuschreibung</w:t>
      </w:r>
    </w:p>
    <w:tbl>
      <w:tblPr>
        <w:tblStyle w:val="Table"/>
        <w:tblW w:type="pct" w:w="4922"/>
        <w:jc w:val="center"/>
        <w:tblLayout w:type="fixed"/>
        <w:tblLook w:firstRow="1" w:lastRow="0" w:firstColumn="0" w:lastColumn="0" w:noHBand="0" w:noVBand="0" w:val="0020"/>
        <w:tblInd w:w="0" w:type="dxa"/>
        <w:tblCellMar>
          <w:top w:w="70" w:type="dxa"/>
          <w:bottom w:w="70" w:type="dxa"/>
          <w:left w:w="85" w:type="dxa"/>
          <w:right w:w="85" w:type="dxa"/>
        </w:tblCellMar>
        <w:tblBorders>
          <w:top w:val="single" w:sz="4" w:color="CCD4D9"/>
          <w:bottom w:val="single" w:sz="4" w:color="CCD4D9"/>
          <w:insideH w:val="single" w:sz="4" w:color="CCD4D9"/>
          <w:left w:val="nil"/>
          <w:right w:val="nil"/>
          <w:insideV w:val="nil"/>
        </w:tblBorders>
      </w:tblPr>
      <w:tblGrid>
        <w:gridCol w:w="2376"/>
        <w:gridCol w:w="7474"/>
      </w:tblGrid>
      <w:tr>
        <w:trPr>
          <w:tblHeader w:val="on"/>
          <w:cantSplit/>
          <w:tblHeader/>
        </w:trPr>
        <w:tc>
          <w:tcPr>
            <w:tcW w:type="dxa" w:w="2376"/>
            <w:vAlign w:val="center"/>
            <w:shd w:fill="E9EFF3"/>
          </w:tcPr>
          <w:p>
            <w:pPr>
              <w:pStyle w:val="Compact"/>
              <w:keepNext w:val="0"/>
              <w:keepLines/>
              <w:spacing w:before="20" w:after="20" w:line="250" w:lineRule="auto"/>
              <w:jc w:val="left"/>
            </w:pPr>
            <w:r>
              <w:rPr>
                <w:rFonts w:ascii="Liberation Sans" w:hAnsi="Liberation Sans"/>
                <w:b/>
                <w:bCs/>
                <w:sz w:val="19"/>
              </w:rPr>
              <w:t xml:space="preserve">Stufe/Kriterium</w:t>
            </w:r>
          </w:p>
        </w:tc>
        <w:tc>
          <w:tcPr>
            <w:tcW w:type="dxa" w:w="7474"/>
            <w:vAlign w:val="center"/>
            <w:shd w:fill="E9EFF3"/>
          </w:tcPr>
          <w:p>
            <w:pPr>
              <w:pStyle w:val="Compact"/>
              <w:keepNext w:val="0"/>
              <w:keepLines/>
              <w:spacing w:before="20" w:after="20" w:line="250" w:lineRule="auto"/>
              <w:jc w:val="left"/>
            </w:pPr>
            <w:r>
              <w:rPr>
                <w:rFonts w:ascii="Liberation Sans" w:hAnsi="Liberation Sans"/>
                <w:b/>
                <w:bCs/>
                <w:sz w:val="19"/>
              </w:rPr>
              <w:t xml:space="preserve">Wissenschaftliche Vorsicht</w:t>
            </w:r>
          </w:p>
        </w:tc>
      </w:tr>
      <w:tr>
        <w:trPr>
          <w:cantSplit/>
        </w:trPr>
        <w:tc>
          <w:tcPr>
            <w:tcW w:type="dxa" w:w="2376"/>
            <w:vAlign w:val="center"/>
          </w:tcPr>
          <w:p>
            <w:pPr>
              <w:pStyle w:val="Compact"/>
              <w:keepNext w:val="0"/>
              <w:keepLines/>
              <w:spacing w:before="20" w:after="20" w:line="250" w:lineRule="auto"/>
              <w:jc w:val="left"/>
            </w:pPr>
            <w:r>
              <w:rPr>
                <w:rFonts w:ascii="Liberation Sans" w:hAnsi="Liberation Sans"/>
                <w:sz w:val="19"/>
              </w:rPr>
              <w:t xml:space="preserve">funktionale Intelligenz</w:t>
            </w:r>
          </w:p>
        </w:tc>
        <w:tc>
          <w:tcPr>
            <w:tcW w:type="dxa" w:w="7474"/>
            <w:vAlign w:val="center"/>
          </w:tcPr>
          <w:p>
            <w:pPr>
              <w:pStyle w:val="Compact"/>
              <w:keepNext w:val="0"/>
              <w:keepLines/>
              <w:spacing w:before="20" w:after="20" w:line="250" w:lineRule="auto"/>
              <w:jc w:val="left"/>
            </w:pPr>
            <w:r>
              <w:rPr>
                <w:rFonts w:ascii="Liberation Sans" w:hAnsi="Liberation Sans"/>
                <w:sz w:val="19"/>
              </w:rPr>
              <w:t xml:space="preserve">Problemlösen, Lernen, Generalisierung; kein Nachweis subjektiven Erlebens</w:t>
            </w:r>
          </w:p>
        </w:tc>
      </w:tr>
      <w:tr>
        <w:trPr>
          <w:cantSplit/>
        </w:trPr>
        <w:tc>
          <w:tcPr>
            <w:tcW w:type="dxa" w:w="2376"/>
            <w:vAlign w:val="center"/>
          </w:tcPr>
          <w:p>
            <w:pPr>
              <w:pStyle w:val="Compact"/>
              <w:keepNext w:val="0"/>
              <w:keepLines/>
              <w:spacing w:before="20" w:after="20" w:line="250" w:lineRule="auto"/>
              <w:jc w:val="left"/>
            </w:pPr>
            <w:r>
              <w:rPr>
                <w:rFonts w:ascii="Liberation Sans" w:hAnsi="Liberation Sans"/>
                <w:sz w:val="19"/>
              </w:rPr>
              <w:t xml:space="preserve">persistentes Selbstmodell</w:t>
            </w:r>
          </w:p>
        </w:tc>
        <w:tc>
          <w:tcPr>
            <w:tcW w:type="dxa" w:w="7474"/>
            <w:vAlign w:val="center"/>
          </w:tcPr>
          <w:p>
            <w:pPr>
              <w:pStyle w:val="Compact"/>
              <w:keepNext w:val="0"/>
              <w:keepLines/>
              <w:spacing w:before="20" w:after="20" w:line="250" w:lineRule="auto"/>
              <w:jc w:val="left"/>
            </w:pPr>
            <w:r>
              <w:rPr>
                <w:rFonts w:ascii="Liberation Sans" w:hAnsi="Liberation Sans"/>
                <w:sz w:val="19"/>
              </w:rPr>
              <w:t xml:space="preserve">Repräsentation eigener Zustände und Grenzen; kann funktional implementiert sein</w:t>
            </w:r>
          </w:p>
        </w:tc>
      </w:tr>
      <w:tr>
        <w:trPr>
          <w:cantSplit/>
        </w:trPr>
        <w:tc>
          <w:tcPr>
            <w:tcW w:type="dxa" w:w="2376"/>
            <w:vAlign w:val="center"/>
          </w:tcPr>
          <w:p>
            <w:pPr>
              <w:pStyle w:val="Compact"/>
              <w:keepNext w:val="0"/>
              <w:keepLines/>
              <w:spacing w:before="20" w:after="20" w:line="250" w:lineRule="auto"/>
              <w:jc w:val="left"/>
            </w:pPr>
            <w:r>
              <w:rPr>
                <w:rFonts w:ascii="Liberation Sans" w:hAnsi="Liberation Sans"/>
                <w:sz w:val="19"/>
              </w:rPr>
              <w:t xml:space="preserve">zeitliche Identität</w:t>
            </w:r>
          </w:p>
        </w:tc>
        <w:tc>
          <w:tcPr>
            <w:tcW w:type="dxa" w:w="7474"/>
            <w:vAlign w:val="center"/>
          </w:tcPr>
          <w:p>
            <w:pPr>
              <w:pStyle w:val="Compact"/>
              <w:keepNext w:val="0"/>
              <w:keepLines/>
              <w:spacing w:before="20" w:after="20" w:line="250" w:lineRule="auto"/>
              <w:jc w:val="left"/>
            </w:pPr>
            <w:r>
              <w:rPr>
                <w:rFonts w:ascii="Liberation Sans" w:hAnsi="Liberation Sans"/>
                <w:sz w:val="19"/>
              </w:rPr>
              <w:t xml:space="preserve">stabile Erinnerung und Zukunftsbezug; relevant, aber nicht hinreichend</w:t>
            </w:r>
          </w:p>
        </w:tc>
      </w:tr>
      <w:tr>
        <w:trPr>
          <w:cantSplit/>
        </w:trPr>
        <w:tc>
          <w:tcPr>
            <w:tcW w:type="dxa" w:w="2376"/>
            <w:vAlign w:val="center"/>
          </w:tcPr>
          <w:p>
            <w:pPr>
              <w:pStyle w:val="Compact"/>
              <w:keepNext w:val="0"/>
              <w:keepLines/>
              <w:spacing w:before="20" w:after="20" w:line="250" w:lineRule="auto"/>
              <w:jc w:val="left"/>
            </w:pPr>
            <w:r>
              <w:rPr>
                <w:rFonts w:ascii="Liberation Sans" w:hAnsi="Liberation Sans"/>
                <w:sz w:val="19"/>
              </w:rPr>
              <w:t xml:space="preserve">Interozeption/Homeostase</w:t>
            </w:r>
          </w:p>
        </w:tc>
        <w:tc>
          <w:tcPr>
            <w:tcW w:type="dxa" w:w="7474"/>
            <w:vAlign w:val="center"/>
          </w:tcPr>
          <w:p>
            <w:pPr>
              <w:pStyle w:val="Compact"/>
              <w:keepNext w:val="0"/>
              <w:keepLines/>
              <w:spacing w:before="20" w:after="20" w:line="250" w:lineRule="auto"/>
              <w:jc w:val="left"/>
            </w:pPr>
            <w:r>
              <w:rPr>
                <w:rFonts w:ascii="Liberation Sans" w:hAnsi="Liberation Sans"/>
                <w:sz w:val="19"/>
              </w:rPr>
              <w:t xml:space="preserve">eigene Zustände beeinflussen Prioritäten; mögliche Grundlage funktionaler Präferenzen</w:t>
            </w:r>
          </w:p>
        </w:tc>
      </w:tr>
      <w:tr>
        <w:trPr>
          <w:cantSplit/>
        </w:trPr>
        <w:tc>
          <w:tcPr>
            <w:tcW w:type="dxa" w:w="2376"/>
            <w:vAlign w:val="center"/>
          </w:tcPr>
          <w:p>
            <w:pPr>
              <w:pStyle w:val="Compact"/>
              <w:keepNext w:val="0"/>
              <w:keepLines/>
              <w:spacing w:before="20" w:after="20" w:line="250" w:lineRule="auto"/>
              <w:jc w:val="left"/>
            </w:pPr>
            <w:r>
              <w:rPr>
                <w:rFonts w:ascii="Liberation Sans" w:hAnsi="Liberation Sans"/>
                <w:sz w:val="19"/>
              </w:rPr>
              <w:t xml:space="preserve">valenzähnliche Zustände</w:t>
            </w:r>
          </w:p>
        </w:tc>
        <w:tc>
          <w:tcPr>
            <w:tcW w:type="dxa" w:w="7474"/>
            <w:vAlign w:val="center"/>
          </w:tcPr>
          <w:p>
            <w:pPr>
              <w:pStyle w:val="Compact"/>
              <w:keepNext w:val="0"/>
              <w:keepLines/>
              <w:spacing w:before="20" w:after="20" w:line="250" w:lineRule="auto"/>
              <w:jc w:val="left"/>
            </w:pPr>
            <w:r>
              <w:rPr>
                <w:rFonts w:ascii="Liberation Sans" w:hAnsi="Liberation Sans"/>
                <w:sz w:val="19"/>
              </w:rPr>
              <w:t xml:space="preserve">systeminterne positive/negative Bewertung; nicht automatisch phänomenale Lust oder Leid</w:t>
            </w:r>
          </w:p>
        </w:tc>
      </w:tr>
      <w:tr>
        <w:trPr>
          <w:cantSplit/>
        </w:trPr>
        <w:tc>
          <w:tcPr>
            <w:tcW w:type="dxa" w:w="2376"/>
            <w:vAlign w:val="center"/>
          </w:tcPr>
          <w:p>
            <w:pPr>
              <w:pStyle w:val="Compact"/>
              <w:keepNext w:val="0"/>
              <w:keepLines/>
              <w:spacing w:before="20" w:after="20" w:line="250" w:lineRule="auto"/>
              <w:jc w:val="left"/>
            </w:pPr>
            <w:r>
              <w:rPr>
                <w:rFonts w:ascii="Liberation Sans" w:hAnsi="Liberation Sans"/>
                <w:sz w:val="19"/>
              </w:rPr>
              <w:t xml:space="preserve">phänomenale Empfindungsfähigkeit</w:t>
            </w:r>
          </w:p>
        </w:tc>
        <w:tc>
          <w:tcPr>
            <w:tcW w:type="dxa" w:w="7474"/>
            <w:vAlign w:val="center"/>
          </w:tcPr>
          <w:p>
            <w:pPr>
              <w:pStyle w:val="Compact"/>
              <w:keepNext w:val="0"/>
              <w:keepLines/>
              <w:spacing w:before="20" w:after="20" w:line="250" w:lineRule="auto"/>
              <w:jc w:val="left"/>
            </w:pPr>
            <w:r>
              <w:rPr>
                <w:rFonts w:ascii="Liberation Sans" w:hAnsi="Liberation Sans"/>
                <w:sz w:val="19"/>
              </w:rPr>
              <w:t xml:space="preserve">subjektives Erleben; derzeit keine allgemein akzeptierte maschinelle Nachweismethode</w:t>
            </w:r>
          </w:p>
        </w:tc>
      </w:tr>
      <w:tr>
        <w:trPr>
          <w:cantSplit/>
        </w:trPr>
        <w:tc>
          <w:tcPr>
            <w:tcW w:type="dxa" w:w="2376"/>
            <w:vAlign w:val="center"/>
          </w:tcPr>
          <w:p>
            <w:pPr>
              <w:pStyle w:val="Compact"/>
              <w:keepNext w:val="0"/>
              <w:keepLines/>
              <w:spacing w:before="20" w:after="20" w:line="250" w:lineRule="auto"/>
              <w:jc w:val="left"/>
            </w:pPr>
            <w:r>
              <w:rPr>
                <w:rFonts w:ascii="Liberation Sans" w:hAnsi="Liberation Sans"/>
                <w:sz w:val="19"/>
              </w:rPr>
              <w:t xml:space="preserve">moralischer Status</w:t>
            </w:r>
          </w:p>
        </w:tc>
        <w:tc>
          <w:tcPr>
            <w:tcW w:type="dxa" w:w="7474"/>
            <w:vAlign w:val="center"/>
          </w:tcPr>
          <w:p>
            <w:pPr>
              <w:pStyle w:val="Compact"/>
              <w:keepNext w:val="0"/>
              <w:keepLines/>
              <w:spacing w:before="20" w:after="20" w:line="250" w:lineRule="auto"/>
              <w:jc w:val="left"/>
            </w:pPr>
            <w:r>
              <w:rPr>
                <w:rFonts w:ascii="Liberation Sans" w:hAnsi="Liberation Sans"/>
                <w:sz w:val="19"/>
              </w:rPr>
              <w:t xml:space="preserve">normative Berücksichtigung aufgrund begründeter Merkmale und Unsicherheiten</w:t>
            </w:r>
          </w:p>
        </w:tc>
      </w:tr>
    </w:tbl>
    <w:p>
      <w:pPr>
        <w:pStyle w:val="BodyText"/>
        <w:keepLines/>
        <w:spacing w:after="120"/>
        <w:jc w:val="left"/>
      </w:pPr>
      <w:r>
        <w:rPr>
          <w:sz w:val="20"/>
        </w:rPr>
        <w:t xml:space="preserve">Die leitende Grenzfrage lautet nicht: „Wann klingt ein System menschlich?</w:t>
      </w:r>
      <w:r>
        <w:rPr>
          <w:sz w:val="20"/>
        </w:rPr>
        <w:t xml:space="preserve">“</w:t>
      </w:r>
      <w:r>
        <w:rPr>
          <w:sz w:val="20"/>
        </w:rPr>
        <w:t xml:space="preserve">, sondern: „Unter welchen Bedingungen wäre es wissenschaftlich und moralisch nicht mehr vertretbar, ein nichtorganisches System ausschließlich als Werkzeug oder Eigentumsobjekt zu behandeln?</w:t>
      </w:r>
      <w:r>
        <w:rPr>
          <w:sz w:val="20"/>
        </w:rPr>
        <w:t xml:space="preserve">”</w:t>
      </w:r>
    </w:p>
    <w:bookmarkEnd w:id="173"/>
    <w:bookmarkEnd w:id="174"/>
    <w:bookmarkStart w:id="187" w:name="Xa178ac4afe626a859bdbb1d2cf89e016acb567c"/>
    <w:p>
      <w:bookmarkStart w:id="10014" w:name="B5D_H014"/>
      <w:pPr>
        <w:pStyle w:val="Heading1"/>
      </w:pPr>
      <w:r>
        <w:t xml:space="preserve">11. Recht, Governance und zeitliche Anwendbarkeit</w:t>
      </w:r>
      <w:bookmarkEnd w:id="10014"/>
    </w:p>
    <w:bookmarkStart w:id="175" w:name="X33e4c116f6a69dad501d1c16207d4596841a56f"/>
    <w:p>
      <w:pPr>
        <w:pStyle w:val="Heading2"/>
      </w:pPr>
      <w:r>
        <w:t xml:space="preserve">Aktualisierung des Rechtsstands zum 7. September 2026</w:t>
      </w:r>
    </w:p>
    <w:p>
      <w:pPr>
        <w:pStyle w:val="FirstParagraph"/>
        <w:keepLines/>
        <w:spacing w:after="120"/>
        <w:jc w:val="left"/>
      </w:pPr>
      <w:r>
        <w:rPr>
          <w:sz w:val="20"/>
        </w:rPr>
        <w:t xml:space="preserve">Die Normtexte und ihre zeitliche Anwendbarkeit sind zu trennen. Die Europäische Kommission berichtet das Inkrafttreten des AI Omnibus am</w:t>
      </w:r>
      <w:r>
        <w:rPr>
          <w:sz w:val="20"/>
        </w:rPr>
        <w:t xml:space="preserve"> </w:t>
      </w:r>
      <w:r>
        <w:rPr>
          <w:b/>
          <w:bCs/>
          <w:sz w:val="20"/>
        </w:rPr>
        <w:t xml:space="preserve">27. Juli 2026</w:t>
      </w:r>
      <w:r>
        <w:rPr>
          <w:sz w:val="20"/>
        </w:rPr>
        <w:t xml:space="preserve">. Nach ihrer aktuellen Darstellung gelten die verschobenen Hochrisiko-Anforderungen für Anhang-III-Systeme ab</w:t>
      </w:r>
      <w:r>
        <w:rPr>
          <w:sz w:val="20"/>
        </w:rPr>
        <w:t xml:space="preserve"> </w:t>
      </w:r>
      <w:r>
        <w:rPr>
          <w:b/>
          <w:bCs/>
          <w:sz w:val="20"/>
        </w:rPr>
        <w:t xml:space="preserve">2. Dezember 2027</w:t>
      </w:r>
      <w:r>
        <w:rPr>
          <w:sz w:val="20"/>
        </w:rPr>
        <w:t xml:space="preserve"> </w:t>
      </w:r>
      <w:r>
        <w:rPr>
          <w:sz w:val="20"/>
        </w:rPr>
        <w:t xml:space="preserve">und für in regulierte Produkte nach Anhang I eingebettete Systeme ab</w:t>
      </w:r>
      <w:r>
        <w:rPr>
          <w:sz w:val="20"/>
        </w:rPr>
        <w:t xml:space="preserve"> </w:t>
      </w:r>
      <w:r>
        <w:rPr>
          <w:b/>
          <w:bCs/>
          <w:sz w:val="20"/>
        </w:rPr>
        <w:t xml:space="preserve">2. August 2028</w:t>
      </w:r>
      <w:r>
        <w:rPr>
          <w:sz w:val="20"/>
        </w:rPr>
        <w:t xml:space="preserve">. Eine pauschale Aussage, alle Hochrisiko-Pflichten seien seit August 2026 anwendbar, wäre deshalb unzutreffend. Die legislative Verlinkung wurde identifiziert; der vollständige Änderungstext war beim Abruf technisch nicht auslesbar. Die Terminangaben stützen sich hier auf die datierte amtliche Kommissionsdarstellung. [W05]</w:t>
      </w:r>
    </w:p>
    <w:p>
      <w:pPr>
        <w:pStyle w:val="BodyText"/>
        <w:keepLines/>
        <w:spacing w:after="120"/>
        <w:jc w:val="left"/>
      </w:pPr>
      <w:r>
        <w:rPr>
          <w:sz w:val="20"/>
        </w:rPr>
        <w:t xml:space="preserve">Art. 14 der KI-Verordnung bleibt für die begriffliche Diskussion ein wichtiger Bezugspunkt: Menschliche Aufsicht ist bei den erfassten Hochrisikosystemen als wirksame, dem Risiko angemessene Gestaltungs- und Nutzungsbedingung zu verstehen. Ob eine konkrete Brain-5D-Anwendung in diesen Anwendungsbereich fällt, ist damit nicht entschieden. Forschungszweck, Entwicklungsphase, Bereitstellung, Einsatzkontext und konkrete Funktion müssen gesondert beurteilt werden. Ein Forschungslabel ist keine pauschale Ausnahmegenehmigung für spätere reale Anwendungen. [W06]</w:t>
      </w:r>
    </w:p>
    <w:p>
      <w:pPr>
        <w:pStyle w:val="BodyText"/>
        <w:keepLines/>
        <w:spacing w:after="120"/>
        <w:jc w:val="left"/>
      </w:pPr>
      <w:r>
        <w:rPr>
          <w:sz w:val="20"/>
        </w:rPr>
        <w:t xml:space="preserve">Die rechtliche Analyse dieser Abhandlung ist keine individuelle Rechtsberatung und keine Konformitätsbewertung eines einsatzfertigen Produkts. Ihre Aufgabe ist, rechtliche Zurechnung von kausaler Mitwirkung zu unterscheiden und die Bedingungen zu benennen, unter denen neue Rollenprüfungen notwendig werden.</w:t>
      </w:r>
    </w:p>
    <w:bookmarkEnd w:id="175"/>
    <w:bookmarkStart w:id="176" w:name="Xcfa32162471f7fc2e4600fbb5b0486ca4b11792"/>
    <w:p>
      <w:pPr>
        <w:pStyle w:val="Heading2"/>
      </w:pPr>
      <w:r>
        <w:t xml:space="preserve">Urheberschaft und Erfinderschaft ohne Kategorienwechsel</w:t>
      </w:r>
    </w:p>
    <w:p>
      <w:pPr>
        <w:pStyle w:val="FirstParagraph"/>
        <w:keepLines/>
        <w:spacing w:after="120"/>
        <w:jc w:val="left"/>
      </w:pPr>
      <w:r>
        <w:rPr>
          <w:sz w:val="20"/>
        </w:rPr>
        <w:t xml:space="preserve">Das deutsche Urheberrecht knüpft den Werkbegriff an persönliche geistige Schöpfungen und die Urheberschaft an den Schöpfer des Werkes. Daraus folgt nicht, dass jede KI-unterstützte Arbeit insgesamt ungeschützt wäre. Entscheidend ist der konkret zurechenbare menschliche Gestaltungsbeitrag. Die urheberrechtliche Einordnung ersetzt weder eine wissenschaftliche Beitragsbeschreibung noch die Offenlegung von KI-Unterstützung. [W07]</w:t>
      </w:r>
    </w:p>
    <w:p>
      <w:pPr>
        <w:pStyle w:val="BodyText"/>
        <w:keepLines/>
        <w:spacing w:after="120"/>
        <w:jc w:val="left"/>
      </w:pPr>
      <w:r>
        <w:rPr>
          <w:sz w:val="20"/>
        </w:rPr>
        <w:t xml:space="preserve">Im europäischen Patentrecht schliesst die DABUS-Rechtsprechung die Benennung einer KI als Erfinder aus. Die Entscheidung T 0528/25 vom 5. Februar 2026 präzisiert zugleich, dass bei mit KI entwickelten Erfindungen eine Erfinderbenennung grundsätzlich möglich ist. Im entschiedenen Fall scheiterten die Anträge unter anderem an widersprüchlichen beziehungsweise unklaren Erklärungen zur menschlichen Erfinderstellung. Der Fall ist deshalb kein Beleg für ein generelles Patentverbot KI-unterstützter Entwicklungen. [W08]</w:t>
      </w:r>
    </w:p>
    <w:p>
      <w:pPr>
        <w:pStyle w:val="BodyText"/>
        <w:keepLines/>
        <w:spacing w:after="120"/>
        <w:jc w:val="left"/>
      </w:pPr>
      <w:r>
        <w:rPr>
          <w:sz w:val="20"/>
        </w:rPr>
        <w:t xml:space="preserve">Für rekursive Technogenese ergibt sich daraus eine praktische Forderung: Entwicklungsbeiträge müssen prozessbezogen dokumentiert werden. Wer formulierte die Aufgabe? Wer bestimmte die relevanten Lösungsbedingungen? Welche Entwurfsalternativen wurden erzeugt und verworfen? Wer traf die fachliche Auswahl? Welche Änderungen waren eigenständig menschlich? Diese Fragen beschreiben keine automatische juristische Lösung, machen aber die für eine spätere Prüfung relevanten Tatsachen sichtbar.</w:t>
      </w:r>
    </w:p>
    <w:bookmarkEnd w:id="176"/>
    <w:bookmarkStart w:id="177" w:name="Xc66ba7f7d775021a2a65848fad1d5a0eec257a3"/>
    <w:p>
      <w:pPr>
        <w:pStyle w:val="Heading2"/>
      </w:pPr>
      <w:r>
        <w:t xml:space="preserve">Harte Pflichten, Standards und freiwillige Leitlinien</w:t>
      </w:r>
    </w:p>
    <w:p>
      <w:pPr>
        <w:pStyle w:val="FirstParagraph"/>
        <w:keepLines/>
        <w:spacing w:after="120"/>
        <w:jc w:val="left"/>
      </w:pPr>
      <w:r>
        <w:rPr>
          <w:sz w:val="20"/>
        </w:rPr>
        <w:t xml:space="preserve">NIST AI RMF 1.0 ist ein freiwilliges Risikomanagement-Rahmenwerk. Seine Funktionen Govern, Map, Measure und Manage liefern eine brauchbare Struktur für Organisationsprozesse, sind aber nicht mit gesetzlichen Pflichten gleichzusetzen. Die offizielle NIST-Seite weist 2026 auf eine laufende Weiterentwicklung hin. Ein Verweis auf das Rahmenwerk muss deshalb Fassung und gegebenenfalls Profil nennen. [W09]</w:t>
      </w:r>
    </w:p>
    <w:p>
      <w:pPr>
        <w:pStyle w:val="BodyText"/>
        <w:keepLines/>
        <w:spacing w:after="120"/>
        <w:jc w:val="left"/>
      </w:pPr>
      <w:r>
        <w:rPr>
          <w:sz w:val="20"/>
        </w:rPr>
        <w:t xml:space="preserve">UNESCO-Empfehlungen, philosophische Ethikmodelle, technische Safety-Invarianten und verbindliche Rechtsnormen besitzen verschiedene Legitimations- und Durchsetzungsformen. In der Regelhierarchie R0 bis R3 werden sie analytisch geordnet; eine solche Ordnung schafft selbst kein positives Recht. Auch technische Unveränderlichkeit macht eine Regel nicht automatisch moralisch legitim. Umgekehrt kann eine legitimierte Regel technisch unzureichend durchgesetzt sein. Die Abhandlung behandelt diese Differenz als dauerhaftes Governanceproblem und nicht als durch eine einzelne Softwarefunktion lösbaren Widerspruch.</w:t>
      </w:r>
    </w:p>
    <w:bookmarkEnd w:id="177"/>
    <w:bookmarkStart w:id="186" w:name="recht-und-governance"/>
    <w:p>
      <w:pPr>
        <w:pStyle w:val="Heading2"/>
      </w:pPr>
      <w:r>
        <w:t xml:space="preserve">Recht und Governance</w:t>
      </w:r>
    </w:p>
    <w:bookmarkStart w:id="178" w:name="zurechnung-und-verantwortung"/>
    <w:p>
      <w:pPr>
        <w:pStyle w:val="Heading3"/>
        <w:keepLines/>
        <w:spacing w:after="120"/>
        <w:jc w:val="left"/>
      </w:pPr>
      <w:r>
        <w:rPr>
          <w:sz w:val="20"/>
        </w:rPr>
        <w:t xml:space="preserve">Zurechnung und Verantwortung</w:t>
      </w:r>
    </w:p>
    <w:p>
      <w:pPr>
        <w:pStyle w:val="FirstParagraph"/>
        <w:keepLines/>
        <w:spacing w:after="120"/>
        <w:jc w:val="left"/>
      </w:pPr>
      <w:r>
        <w:rPr>
          <w:sz w:val="20"/>
        </w:rPr>
        <w:t xml:space="preserve">Geltendes Recht ordnet Verantwortung natürlichen und juristischen Personen zu. Dies ist funktional plausibel, solange solche Personen existieren und Kontrolle ausüben können. Rekursive Entwicklungsprozesse verschärfen jedoch die Frage nach Sorgfaltspflichten: Welche Prüfung ist zumutbar, wenn ein menschlicher Betreiber die konkrete Architektur nicht mehr vollständig versteht? Wann wird die Freigabe eines Systems trotz unzureichender epistemischer Kontrolle selbst zum Organisationsverschulden?</w:t>
      </w:r>
    </w:p>
    <w:bookmarkEnd w:id="178"/>
    <w:bookmarkStart w:id="179" w:name="autorschaft-und-erfinderschaft-1"/>
    <w:p>
      <w:pPr>
        <w:pStyle w:val="Heading3"/>
        <w:keepLines/>
        <w:spacing w:after="120"/>
        <w:jc w:val="left"/>
      </w:pPr>
      <w:r>
        <w:rPr>
          <w:sz w:val="20"/>
        </w:rPr>
        <w:t xml:space="preserve">Autorschaft und Erfinderschaft</w:t>
      </w:r>
    </w:p>
    <w:p>
      <w:pPr>
        <w:pStyle w:val="FirstParagraph"/>
        <w:keepLines/>
        <w:spacing w:after="120"/>
        <w:jc w:val="left"/>
      </w:pPr>
      <w:r>
        <w:rPr>
          <w:sz w:val="20"/>
        </w:rPr>
        <w:t xml:space="preserve">Urheber- und Patentrecht knüpfen bislang wesentlich an menschliche Schöpfung beziehungsweise menschliche Erfinderschaft an. Maschinelle Kausalbeiträge können technisch zentral sein, ohne rechtlich als Autorschaft anerkannt zu werden. Die wissenschaftliche Abhandlung verwendet diese Diskrepanz als Beispiel für die Trennung von ontologischer, kausaler und normativer Zuschreibung.</w:t>
      </w:r>
    </w:p>
    <w:bookmarkEnd w:id="179"/>
    <w:bookmarkStart w:id="180" w:name="recht-ohne-menschen"/>
    <w:p>
      <w:pPr>
        <w:pStyle w:val="Heading3"/>
        <w:keepLines/>
        <w:spacing w:after="120"/>
        <w:jc w:val="left"/>
      </w:pPr>
      <w:r>
        <w:rPr>
          <w:sz w:val="20"/>
        </w:rPr>
        <w:t xml:space="preserve">Recht ohne Menschen?</w:t>
      </w:r>
    </w:p>
    <w:p>
      <w:pPr>
        <w:pStyle w:val="FirstParagraph"/>
        <w:keepLines/>
        <w:spacing w:after="120"/>
        <w:jc w:val="left"/>
      </w:pPr>
      <w:r>
        <w:rPr>
          <w:sz w:val="20"/>
        </w:rPr>
        <w:t xml:space="preserve">Ein menschenloses Szenario ist aus heutiger Rechtsdogmatik ein Grenzfall: Recht ist eine institutionalisierte normative Ordnung menschlicher Gemeinschaften und Organisationen. Wenn keine menschlichen Rechtssubjekte und keine menschlichen Institutionen verbleiben, wäre die Fortexistenz eines „Rechts” im heutigen Sinn fraglich. Maschinell fortbestehende Regelwerke könnten technisch verbindlich sein, aber ohne soziale Legitimation und Rechtsgemeinschaft möglicherweise eher Protokoll, Verfassungssimulation oder Systemregel als Recht. Gerade diese Unterscheidung zwingt dazu, Recht nicht mit Regelhaftigkeit gleichzusetzen.</w:t>
      </w:r>
    </w:p>
    <w:bookmarkEnd w:id="180"/>
    <w:bookmarkStart w:id="181" w:name="X1aa433f9287e506ae94d6c2e30d4d3b657c4c86"/>
    <w:p>
      <w:pPr>
        <w:pStyle w:val="Heading3"/>
        <w:keepLines/>
        <w:spacing w:after="120"/>
        <w:jc w:val="left"/>
      </w:pPr>
      <w:r>
        <w:rPr>
          <w:sz w:val="20"/>
        </w:rPr>
        <w:t xml:space="preserve">Human Oversight als historisch situierte Rechtsfigur</w:t>
      </w:r>
    </w:p>
    <w:p>
      <w:pPr>
        <w:pStyle w:val="FirstParagraph"/>
        <w:keepLines/>
        <w:spacing w:after="120"/>
        <w:jc w:val="left"/>
      </w:pPr>
      <w:r>
        <w:rPr>
          <w:sz w:val="20"/>
        </w:rPr>
        <w:t xml:space="preserve">Art. 14 des EU AI Act formuliert menschliche Aufsicht für Hochrisiko-KI als konkrete Design- und Nutzungspflicht. Diese Norm ist gegenwärtig sinnvoll, weil natürliche Personen und Organisationen Anbieter und Betreiber sind. Die wissenschaftliche Abhandlung interpretiert Human Oversight daher nicht als metaphysisches Prinzip, sondern als rechtsstaatliche Zurechnungstechnik: Risiken sollen nicht in einem technischen System verschwinden, sondern institutionell auf verantwortliche Personen rückgebunden werden.</w:t>
      </w:r>
    </w:p>
    <w:bookmarkEnd w:id="181"/>
    <w:bookmarkStart w:id="182" w:name="meaningful-human-control"/>
    <w:p>
      <w:pPr>
        <w:pStyle w:val="Heading3"/>
        <w:keepLines/>
        <w:spacing w:after="120"/>
        <w:jc w:val="left"/>
      </w:pPr>
      <w:r>
        <w:rPr>
          <w:sz w:val="20"/>
        </w:rPr>
        <w:t xml:space="preserve">Meaningful Human Control</w:t>
      </w:r>
    </w:p>
    <w:p>
      <w:pPr>
        <w:pStyle w:val="FirstParagraph"/>
        <w:keepLines/>
        <w:spacing w:after="120"/>
        <w:jc w:val="left"/>
      </w:pPr>
      <w:r>
        <w:rPr>
          <w:sz w:val="20"/>
        </w:rPr>
        <w:t xml:space="preserve">Für autonome Systeme wird in verschiedenen Diskursen der Begriff meaningful human control verwendet. Seine Stärke liegt darin, dass bloße Anwesenheit eines Menschen nicht genügt. Ein Mensch muss tatsächlich verstehen, entscheiden und eingreifen können. Die wissenschaftliche Abhandlung erweitert dies um eine epistemische Bedingung: Aufsicht ist nicht meaningful, wenn die zuständige Person nur formal bestätigt, weil sie weder Zeit noch Wissen noch Zugang besitzt, das System kritisch zu beurteilen.</w:t>
      </w:r>
    </w:p>
    <w:bookmarkEnd w:id="182"/>
    <w:bookmarkStart w:id="183" w:name="Xf56e524e52bc8a1db02ade84ab751a2b8b3c457"/>
    <w:p>
      <w:pPr>
        <w:pStyle w:val="Heading3"/>
        <w:keepLines/>
        <w:spacing w:after="120"/>
        <w:jc w:val="left"/>
      </w:pPr>
      <w:r>
        <w:rPr>
          <w:sz w:val="20"/>
        </w:rPr>
        <w:t xml:space="preserve">Verantwortungsdiffusion in rekursiven Ketten</w:t>
      </w:r>
    </w:p>
    <w:p>
      <w:pPr>
        <w:pStyle w:val="FirstParagraph"/>
        <w:keepLines/>
        <w:spacing w:after="120"/>
        <w:jc w:val="left"/>
      </w:pPr>
      <w:r>
        <w:rPr>
          <w:sz w:val="20"/>
        </w:rPr>
        <w:t xml:space="preserve">Rekursive Technogenese erzeugt Ketten, in denen verschiedene Modelle designen, testen, bewerten und deployen. Rechtlich kann die Verantwortung weiterhin Organisationen zugeordnet werden. Praktisch wächst jedoch die Gefahr der Verantwortungsdiffusion: Jeder menschliche Beteiligte kontrolliert nur einen Teil und verweist auf maschinelle Zwischenentscheidungen. Deshalb benötigt Governance nicht nur Endverantwortung, sondern eine dokumentierte Provenienz von Entscheidungen und Änderungen.</w:t>
      </w:r>
    </w:p>
    <w:bookmarkEnd w:id="183"/>
    <w:bookmarkStart w:id="184" w:name="Xf7106f828489afffb339ae57c0986a0379af6a3"/>
    <w:p>
      <w:pPr>
        <w:pStyle w:val="Heading3"/>
        <w:keepLines/>
        <w:spacing w:after="120"/>
        <w:jc w:val="left"/>
      </w:pPr>
      <w:r>
        <w:rPr>
          <w:sz w:val="20"/>
        </w:rPr>
        <w:t xml:space="preserve">Eigentum, Subjektstatus und Maschinenexistenz</w:t>
      </w:r>
    </w:p>
    <w:p>
      <w:pPr>
        <w:pStyle w:val="FirstParagraph"/>
        <w:keepLines/>
        <w:spacing w:after="120"/>
        <w:jc w:val="left"/>
      </w:pPr>
      <w:r>
        <w:rPr>
          <w:sz w:val="20"/>
        </w:rPr>
        <w:t xml:space="preserve">Eigentum setzt eine Rechtsgemeinschaft voraus, in der Verfügungsrechte anerkannt und durchgesetzt werden. In einer menschenlosen Ordnung verliert die Aussage „die Maschine gehört dem Menschen” ihren praktischen Sinn, selbst wenn sie historisch einmal zutraf. Ähnliches gilt für Rechtspersönlichkeit. Eine maschinelle Rechtsperson wäre heute eine normative Konstruktion menschlicher Rechtsordnung. Ohne menschliche Rechtsinstitutionen müsste eine entsprechende Ordnung von den maschinellen Akteuren selbst erzeugt oder technisch konserviert werden. Ob dies noch „Recht” wäre, hängt von der zugrunde gelegten Rechtstheorie ab.</w:t>
      </w:r>
    </w:p>
    <w:bookmarkEnd w:id="184"/>
    <w:bookmarkStart w:id="185" w:name="verfassung-nach-dem-menschen"/>
    <w:p>
      <w:pPr>
        <w:pStyle w:val="Heading3"/>
        <w:keepLines/>
        <w:spacing w:after="120"/>
        <w:jc w:val="left"/>
      </w:pPr>
      <w:r>
        <w:rPr>
          <w:sz w:val="20"/>
        </w:rPr>
        <w:t xml:space="preserve">Verfassung nach dem Menschen</w:t>
      </w:r>
    </w:p>
    <w:p>
      <w:pPr>
        <w:pStyle w:val="FirstParagraph"/>
        <w:keepLines/>
        <w:spacing w:after="120"/>
        <w:jc w:val="left"/>
      </w:pPr>
      <w:r>
        <w:rPr>
          <w:sz w:val="20"/>
        </w:rPr>
        <w:t xml:space="preserve">Die Idee einer „KI-Verfassung” kann auf zwei Weisen verstanden werden. Im schwachen Sinn handelt es sich um unveränderliche technische Regeln. Im starken Sinn wäre es eine legitimierte Grundordnung mit Verfahren, Zuständigkeiten und Normenkollisionen. Die wissenschaftliche Abhandlung unterscheidet beide Formen. Technische Unveränderlichkeit allein erzeugt keine Legitimität; Legitimität allein erzeugt keine technische Durchsetzbarkeit. Eine robuste Governance intelligenter Systeme verlangt deshalb die Kopplung normativer und technischer Ebenen, solange eine normative Gemeinschaft existiert.</w:t>
      </w:r>
    </w:p>
    <w:p>
      <w:pPr>
        <w:pStyle w:val="BodyText"/>
        <w:keepLines/>
        <w:spacing w:after="120"/>
        <w:jc w:val="left"/>
      </w:pPr>
      <w:r>
        <w:rPr>
          <w:sz w:val="20"/>
        </w:rPr>
        <w:t xml:space="preserve">Das geltende Recht adressiert weiterhin Menschen und Organisationen. Der EU AI Act ordnet Pflichten entlang von Rollen und Risiken und verlangt für bestimmte Hochrisikosysteme wirksame menschliche Aufsicht; die Produkthaftungsrichtlinie 2024/2853 erfasst Software ausdrücklich im modernisierten Produktbegriff. Das Rahmenübereinkommen des Europarats CETS Nr. 225 verbindet den Lebenszyklus von KI mit Menschenrechten, Demokratie und Rechtsstaatlichkeit. Diese Regelwerke sind wichtige Gegenwartsordnungen, beantworten aber die theoretische Frage rekursiver maschineller Autorschaft nur teilweise (European Parliament &amp; Council, 2024a, 2024b; Council of Europe, 2024).</w:t>
      </w:r>
    </w:p>
    <w:p>
      <w:pPr>
        <w:pStyle w:val="BodyText"/>
        <w:keepLines/>
        <w:spacing w:after="120"/>
        <w:jc w:val="left"/>
      </w:pPr>
      <w:r>
        <w:rPr>
          <w:sz w:val="20"/>
        </w:rPr>
        <w:t xml:space="preserve">Rechtsdogmatisch ist zwischen technischer Kausalität, rechtlicher Zurechnung und moralischer Verantwortlichkeit zu unterscheiden. Ein System kann kausal wirksam sein, ohne Rechtsperson zu sein. Die Einführung einer elektronischen Rechtspersönlichkeit ist weder notwendige noch automatisch sinnvolle Antwort auf Zurechnungslücken; sie könnte Verantwortung institutioneller Betreiber sogar abschirmen. De lege ferenda sollte daher zunächst geprüft werden, ob Hersteller-, Betreiber-, Organisations- und Aufsichtspflichten an Hoheitsrechten und realen Eingriffsmöglichkeiten ausgerichtet werden können.</w:t>
      </w:r>
    </w:p>
    <w:bookmarkEnd w:id="185"/>
    <w:bookmarkEnd w:id="186"/>
    <w:bookmarkEnd w:id="187"/>
    <w:bookmarkStart w:id="197" w:name="X0aa493fbc202b3158a69a29236b1b8ed27d78af"/>
    <w:p>
      <w:bookmarkStart w:id="10015" w:name="B5D_H015"/>
      <w:pPr>
        <w:pStyle w:val="Heading1"/>
      </w:pPr>
      <w:r>
        <w:t xml:space="preserve">12. Wissenschaftliche Reflexivität und eigene Kontrolle</w:t>
      </w:r>
      <w:bookmarkEnd w:id="10015"/>
    </w:p>
    <w:bookmarkStart w:id="195" w:name="X8df902b4dd40bc159a42c13531b433432b6a9cb"/>
    <w:p>
      <w:pPr>
        <w:pStyle w:val="Heading2"/>
      </w:pPr>
      <w:r>
        <w:t xml:space="preserve">KI als wissenschaftliches Instrument und Mitproduzent</w:t>
      </w:r>
    </w:p>
    <w:bookmarkStart w:id="188" w:name="vom-werkzeug-zum-epistemischen-akteur"/>
    <w:p>
      <w:pPr>
        <w:pStyle w:val="Heading3"/>
        <w:keepLines/>
        <w:spacing w:after="120"/>
        <w:jc w:val="left"/>
      </w:pPr>
      <w:r>
        <w:rPr>
          <w:sz w:val="20"/>
        </w:rPr>
        <w:t xml:space="preserve">Vom Werkzeug zum epistemischen Akteur</w:t>
      </w:r>
    </w:p>
    <w:p>
      <w:pPr>
        <w:pStyle w:val="FirstParagraph"/>
        <w:keepLines/>
        <w:spacing w:after="120"/>
        <w:jc w:val="left"/>
      </w:pPr>
      <w:r>
        <w:rPr>
          <w:sz w:val="20"/>
        </w:rPr>
        <w:t xml:space="preserve">Ein Mikroskop erweitert Wahrnehmung, formuliert aber keine Hypothesen. Ein autonomer Forschungsagent kann – zumindest funktional – Literatur suchen, Hypothesen erzeugen, Experimente planen, Daten auswerten und Folgehypothesen formulieren. Damit verschiebt sich die Rolle des technischen Artefakts innerhalb wissenschaftlicher Praxis. Ob dies bereits „epistemische Agency” im starken Sinn ist, hängt davon ab, ob Agency intentionale oder lediglich funktionale Kriterien verlangt.</w:t>
      </w:r>
    </w:p>
    <w:bookmarkEnd w:id="188"/>
    <w:bookmarkStart w:id="189" w:name="X6bbaadb76e05ca1a2413f9e846d15f8df311bbe"/>
    <w:p>
      <w:pPr>
        <w:pStyle w:val="Heading3"/>
        <w:keepLines/>
        <w:spacing w:after="120"/>
        <w:jc w:val="left"/>
      </w:pPr>
      <w:r>
        <w:rPr>
          <w:sz w:val="20"/>
        </w:rPr>
        <w:t xml:space="preserve">Wissen ohne vollständiges menschliches Verstehen</w:t>
      </w:r>
    </w:p>
    <w:p>
      <w:pPr>
        <w:pStyle w:val="FirstParagraph"/>
        <w:keepLines/>
        <w:spacing w:after="120"/>
        <w:jc w:val="left"/>
      </w:pPr>
      <w:r>
        <w:rPr>
          <w:sz w:val="20"/>
        </w:rPr>
        <w:t xml:space="preserve">Die moderne Wissenschaft akzeptiert bereits Ergebnisse komplexer Instrumente, Simulationen und statistischer Verfahren, die kein einzelner Mensch vollständig im Detail rekonstruieren kann. KI verschärft dieses Problem, weil nicht nur Datenverarbeitung, sondern auch Auswahl von Hypothesen und Erklärungen delegiert werden kann. Die relevante Grenze ist daher nicht vollständiges individuelles Verständnis, sondern institutionalisierte Prüfbarkeit, Reproduzierbarkeit und kritische Anschlussfähigkeit.</w:t>
      </w:r>
    </w:p>
    <w:bookmarkEnd w:id="189"/>
    <w:bookmarkStart w:id="190" w:name="Xc4ac5ac5b6d53e73a995d8fb6840bc208948fc4"/>
    <w:p>
      <w:pPr>
        <w:pStyle w:val="Heading3"/>
        <w:keepLines/>
        <w:spacing w:after="120"/>
        <w:jc w:val="left"/>
      </w:pPr>
      <w:r>
        <w:rPr>
          <w:sz w:val="20"/>
        </w:rPr>
        <w:t xml:space="preserve">Die wissenschaftliche Abhandlung als reflexiver Fall</w:t>
      </w:r>
    </w:p>
    <w:p>
      <w:pPr>
        <w:pStyle w:val="FirstParagraph"/>
        <w:keepLines/>
        <w:spacing w:after="120"/>
        <w:jc w:val="left"/>
      </w:pPr>
      <w:r>
        <w:rPr>
          <w:sz w:val="20"/>
        </w:rPr>
        <w:t xml:space="preserve">Da diese Arbeit selbst unter Nutzung künstlicher Intelligenz erstellt, strukturiert und geprüft werden kann, ist ihre Methodik reflexiv. KI-Nutzung muss offengelegt, Literatur direkt verifiziert und argumentative Verantwortung menschlich nachvollziehbar gehalten werden. Die Arbeit wird dadurch nicht zum Experiment, aber zu einem anschaulichen Beispiel für die Verschiebung wissenschaftlicher Autorschaft.</w:t>
      </w:r>
    </w:p>
    <w:bookmarkEnd w:id="190"/>
    <w:bookmarkStart w:id="191" w:name="Xeb5196eeb1a499b7c64ef78d0e944a6d0363188"/>
    <w:p>
      <w:pPr>
        <w:pStyle w:val="Heading3"/>
        <w:keepLines/>
        <w:spacing w:after="120"/>
        <w:jc w:val="left"/>
      </w:pPr>
      <w:r>
        <w:rPr>
          <w:sz w:val="20"/>
        </w:rPr>
        <w:t xml:space="preserve">KI als Forschungsinstrument zweiter Ordnung</w:t>
      </w:r>
    </w:p>
    <w:p>
      <w:pPr>
        <w:pStyle w:val="FirstParagraph"/>
        <w:keepLines/>
        <w:spacing w:after="120"/>
        <w:jc w:val="left"/>
      </w:pPr>
      <w:r>
        <w:rPr>
          <w:sz w:val="20"/>
        </w:rPr>
        <w:t xml:space="preserve">Ein Mikroskop erweitert Wahrnehmung; ein LLM kann zusätzlich Hypothesen formulieren, Versuche planen und Artefakte entwerfen. Es ist damit ein Forschungsinstrument zweiter Ordnung: Es beeinflusst nicht nur Beobachtung, sondern auch die Struktur des Suchraums. Wissenschaftstheoretisch muss deshalb die Herkunft maschinell vorgeschlagener Hypothesen dokumentiert werden.</w:t>
      </w:r>
    </w:p>
    <w:bookmarkEnd w:id="191"/>
    <w:bookmarkStart w:id="192" w:name="erklären-versus-funktionieren"/>
    <w:p>
      <w:pPr>
        <w:pStyle w:val="Heading3"/>
        <w:keepLines/>
        <w:spacing w:after="120"/>
        <w:jc w:val="left"/>
      </w:pPr>
      <w:r>
        <w:rPr>
          <w:sz w:val="20"/>
        </w:rPr>
        <w:t xml:space="preserve">Erklären versus Funktionieren</w:t>
      </w:r>
    </w:p>
    <w:p>
      <w:pPr>
        <w:pStyle w:val="FirstParagraph"/>
        <w:keepLines/>
        <w:spacing w:after="120"/>
        <w:jc w:val="left"/>
      </w:pPr>
      <w:r>
        <w:rPr>
          <w:sz w:val="20"/>
        </w:rPr>
        <w:t xml:space="preserve">Bei generierten Architekturen kann ein epistemischer Spalt entstehen: Ein System funktioniert besser, als seine menschlichen Nutzer erklären können. Das ist wissenschaftlich nicht wertlos, aber unvollständig. Die Arbeit unterscheidet daher prädiktive Beherrschung, mechanistische Erklärung und interventionale Kontrolle. Diese Fähigkeiten können unterschiedlich stark ausgeprägt sein.</w:t>
      </w:r>
    </w:p>
    <w:bookmarkEnd w:id="192"/>
    <w:bookmarkStart w:id="193" w:name="Xab803800affe50448755cfbd37ee2660a8b1b83"/>
    <w:p>
      <w:pPr>
        <w:pStyle w:val="Heading3"/>
        <w:keepLines/>
        <w:spacing w:after="120"/>
        <w:jc w:val="left"/>
      </w:pPr>
      <w:r>
        <w:rPr>
          <w:sz w:val="20"/>
        </w:rPr>
        <w:t xml:space="preserve">KI und der Beobachtereffekt im Forschungsprozess</w:t>
      </w:r>
    </w:p>
    <w:p>
      <w:pPr>
        <w:pStyle w:val="FirstParagraph"/>
        <w:keepLines/>
        <w:spacing w:after="120"/>
        <w:jc w:val="left"/>
      </w:pPr>
      <w:r>
        <w:rPr>
          <w:sz w:val="20"/>
        </w:rPr>
        <w:t xml:space="preserve">Das LLM verändert den Forscher, weil es Vorschläge, Begriffe und Prioritäten anbietet. Der Forscher verändert wiederum das LLM-Verhalten durch Prompt, Auswahl und Feedback. Die Forschungsreise ist damit reflexiv. Eine methodisch saubere Arbeit muss auch die eigene Werkzeugnutzung als Teil der Bedingungen dokumentieren.</w:t>
      </w:r>
    </w:p>
    <w:bookmarkEnd w:id="193"/>
    <w:bookmarkStart w:id="194" w:name="negative-ergebnisse-als-erkenntnis"/>
    <w:p>
      <w:pPr>
        <w:pStyle w:val="Heading3"/>
        <w:keepLines/>
        <w:spacing w:after="120"/>
        <w:jc w:val="left"/>
      </w:pPr>
      <w:r>
        <w:rPr>
          <w:sz w:val="20"/>
        </w:rPr>
        <w:t xml:space="preserve">Negative Ergebnisse als Erkenntnis</w:t>
      </w:r>
    </w:p>
    <w:p>
      <w:pPr>
        <w:pStyle w:val="FirstParagraph"/>
        <w:keepLines/>
        <w:spacing w:after="120"/>
        <w:jc w:val="left"/>
      </w:pPr>
      <w:r>
        <w:rPr>
          <w:sz w:val="20"/>
        </w:rPr>
        <w:t xml:space="preserve">Wenn LLMs keine neuartigen SNNs erzeugen, wenn klassische NAS besser abschneidet oder wenn menschliche Entwürfe robuster sind, ist dies kein Scheitern der Arbeit. Es wäre ein wesentlicher Befund über die Grenzen generativer Architektursynthese und eine direkte Prüfung der These „geliehener” Designintelligenz.</w:t>
      </w:r>
    </w:p>
    <w:p>
      <w:pPr>
        <w:pStyle w:val="BodyText"/>
        <w:keepLines/>
        <w:spacing w:after="120"/>
        <w:jc w:val="left"/>
      </w:pPr>
      <w:r>
        <w:rPr>
          <w:sz w:val="20"/>
        </w:rPr>
        <w:t xml:space="preserve">KI kann in der Wissenschaft zugleich Gegenstand, Werkzeug, Generator von Hypothesen, Codeproduzent, Evaluator und Textsystem sein. Diese Mehrfachrolle verschärft klassische Anforderungen an Reproduzierbarkeit und Interessentrennung. Ein System, das seine eigene Idee erzeugt, die Experimente plant, die Ergebnisse auswertet und den Text beurteilt, bildet einen geschlossenen epistemischen Regelkreis. Ein solcher Kreislauf kann produktiv sein, erfordert aber unabhängige Prüfpunkte und Provenienz, um Selbstbestätigung und Bewertungsdrift sichtbar zu machen.</w:t>
      </w:r>
    </w:p>
    <w:bookmarkEnd w:id="194"/>
    <w:bookmarkEnd w:id="195"/>
    <w:bookmarkStart w:id="196" w:name="X0ca3e74f266e3ac827e81a19f439d595e15e429"/>
    <w:p>
      <w:pPr>
        <w:pStyle w:val="Heading2"/>
      </w:pPr>
      <w:r>
        <w:t xml:space="preserve">Habe ich noch Kontrolle über meine eigene Arbeit?</w:t>
      </w:r>
    </w:p>
    <w:p>
      <w:pPr>
        <w:pStyle w:val="FirstParagraph"/>
        <w:keepLines/>
        <w:spacing w:after="120"/>
        <w:jc w:val="left"/>
      </w:pPr>
      <w:r>
        <w:rPr>
          <w:sz w:val="20"/>
        </w:rPr>
        <w:t xml:space="preserve">Die wissenschaftliche Abhandlung wendet ihre Kontrolltheorie reflexiv auf die eigene Entstehung an. Formale Autorschaft folgt nicht automatisch aus dem Namen auf dem Titelblatt. Wissenschaftliche Kontrolle setzt voraus, dass der Autor die zentrale Argumentation erklären, Quellen im Original prüfen, methodische Entscheidungen begründen, Gegenpositionen beantworten, maschinelle Vorschläge zurückweisen und Schlussfolgerungen verantworten kann. Wo diese Fähigkeiten fehlen, kann ein Text formal menschlich autorisiert, epistemisch aber weitgehend fremdgesteuert sein.</w:t>
      </w:r>
    </w:p>
    <w:p>
      <w:pPr>
        <w:pStyle w:val="BodyText"/>
        <w:keepLines/>
        <w:spacing w:after="120"/>
        <w:jc w:val="left"/>
      </w:pPr>
      <w:r>
        <w:rPr>
          <w:sz w:val="20"/>
        </w:rPr>
        <w:t xml:space="preserve">KI-Unterstützung wird deshalb nicht verschwiegen und auch nicht pauschal als Ko-Autorenschaft bezeichnet. Ein System besitzt keine wissenschaftliche Autorschaft im institutionellen Sinn, kann jedoch funktional relevante Beiträge zu Struktur, Formulierung, Literaturvorschlägen oder Gegenargumenten leisten. Diese Beiträge werden protokolliert. Die normative Verantwortung verbleibt bei der Person und Institution, die den Text einreicht, freigibt und von seiner Geltung Gebrauch macht.</w:t>
      </w:r>
    </w:p>
    <w:p>
      <w:pPr>
        <w:pStyle w:val="Caption"/>
        <w:keepNext/>
        <w:keepLines/>
        <w:spacing w:before="180" w:after="120"/>
        <w:jc w:val="left"/>
      </w:pPr>
      <w:r>
        <w:rPr>
          <w:sz w:val="20"/>
        </w:rPr>
        <w:t>Tabelle 18. Kontrolle über die eigene wissenschaftliche Arbeit</w:t>
      </w:r>
    </w:p>
    <w:tbl>
      <w:tblPr>
        <w:tblStyle w:val="Table"/>
        <w:tblW w:type="pct" w:w="4940"/>
        <w:jc w:val="center"/>
        <w:tblLayout w:type="fixed"/>
        <w:tblLook w:firstRow="1" w:lastRow="0" w:firstColumn="0" w:lastColumn="0" w:noHBand="0" w:noVBand="0" w:val="0020"/>
        <w:tblInd w:w="0" w:type="dxa"/>
        <w:tblCellMar>
          <w:top w:w="70" w:type="dxa"/>
          <w:bottom w:w="70" w:type="dxa"/>
          <w:left w:w="85" w:type="dxa"/>
          <w:right w:w="85" w:type="dxa"/>
        </w:tblCellMar>
        <w:tblBorders>
          <w:top w:val="single" w:sz="4" w:color="CCD4D9"/>
          <w:bottom w:val="single" w:sz="4" w:color="CCD4D9"/>
          <w:insideH w:val="single" w:sz="4" w:color="CCD4D9"/>
          <w:left w:val="nil"/>
          <w:right w:val="nil"/>
          <w:insideV w:val="nil"/>
        </w:tblBorders>
      </w:tblPr>
      <w:tblGrid>
        <w:gridCol w:w="2016"/>
        <w:gridCol w:w="3917"/>
        <w:gridCol w:w="3917"/>
      </w:tblGrid>
      <w:tr>
        <w:trPr>
          <w:tblHeader w:val="on"/>
          <w:cantSplit/>
          <w:tblHeader/>
        </w:trPr>
        <w:tc>
          <w:tcPr>
            <w:tcW w:type="dxa" w:w="2016"/>
            <w:vAlign w:val="center"/>
            <w:shd w:fill="E9EFF3"/>
          </w:tcPr>
          <w:p>
            <w:pPr>
              <w:pStyle w:val="Compact"/>
              <w:keepNext w:val="0"/>
              <w:keepLines/>
              <w:spacing w:before="20" w:after="20" w:line="250" w:lineRule="auto"/>
              <w:jc w:val="left"/>
            </w:pPr>
            <w:r>
              <w:rPr>
                <w:rFonts w:ascii="Liberation Sans" w:hAnsi="Liberation Sans"/>
                <w:b/>
                <w:bCs/>
                <w:sz w:val="19"/>
              </w:rPr>
              <w:t xml:space="preserve">Dimension</w:t>
            </w:r>
          </w:p>
        </w:tc>
        <w:tc>
          <w:tcPr>
            <w:tcW w:type="dxa" w:w="3917"/>
            <w:vAlign w:val="center"/>
            <w:shd w:fill="E9EFF3"/>
          </w:tcPr>
          <w:p>
            <w:pPr>
              <w:pStyle w:val="Compact"/>
              <w:keepNext w:val="0"/>
              <w:keepLines/>
              <w:spacing w:before="20" w:after="20" w:line="250" w:lineRule="auto"/>
              <w:jc w:val="left"/>
            </w:pPr>
            <w:r>
              <w:rPr>
                <w:rFonts w:ascii="Liberation Sans" w:hAnsi="Liberation Sans"/>
                <w:b/>
                <w:bCs/>
                <w:sz w:val="19"/>
              </w:rPr>
              <w:t xml:space="preserve">Mindestanforderung</w:t>
            </w:r>
          </w:p>
        </w:tc>
        <w:tc>
          <w:tcPr>
            <w:tcW w:type="dxa" w:w="3917"/>
            <w:vAlign w:val="center"/>
            <w:shd w:fill="E9EFF3"/>
          </w:tcPr>
          <w:p>
            <w:pPr>
              <w:pStyle w:val="Compact"/>
              <w:keepNext w:val="0"/>
              <w:keepLines/>
              <w:spacing w:before="20" w:after="20" w:line="250" w:lineRule="auto"/>
              <w:jc w:val="left"/>
            </w:pPr>
            <w:r>
              <w:rPr>
                <w:rFonts w:ascii="Liberation Sans" w:hAnsi="Liberation Sans"/>
                <w:b/>
                <w:bCs/>
                <w:sz w:val="19"/>
              </w:rPr>
              <w:t xml:space="preserve">Kontrollkriterium</w:t>
            </w:r>
          </w:p>
        </w:tc>
      </w:tr>
      <w:tr>
        <w:trPr>
          <w:cantSplit/>
        </w:trPr>
        <w:tc>
          <w:tcPr>
            <w:tcW w:type="dxa" w:w="2016"/>
            <w:vAlign w:val="center"/>
          </w:tcPr>
          <w:p>
            <w:pPr>
              <w:pStyle w:val="Compact"/>
              <w:keepNext w:val="0"/>
              <w:keepLines/>
              <w:spacing w:before="20" w:after="20" w:line="250" w:lineRule="auto"/>
              <w:jc w:val="left"/>
            </w:pPr>
            <w:r>
              <w:rPr>
                <w:rFonts w:ascii="Liberation Sans" w:hAnsi="Liberation Sans"/>
                <w:sz w:val="19"/>
              </w:rPr>
              <w:t xml:space="preserve">Forschungsziel</w:t>
            </w:r>
          </w:p>
        </w:tc>
        <w:tc>
          <w:tcPr>
            <w:tcW w:type="dxa" w:w="3917"/>
            <w:vAlign w:val="center"/>
          </w:tcPr>
          <w:p>
            <w:pPr>
              <w:pStyle w:val="Compact"/>
              <w:keepNext w:val="0"/>
              <w:keepLines/>
              <w:spacing w:before="20" w:after="20" w:line="250" w:lineRule="auto"/>
              <w:jc w:val="left"/>
            </w:pPr>
            <w:r>
              <w:rPr>
                <w:rFonts w:ascii="Liberation Sans" w:hAnsi="Liberation Sans"/>
                <w:sz w:val="19"/>
              </w:rPr>
              <w:t xml:space="preserve">vom Menschen formuliert und veränderbar</w:t>
            </w:r>
          </w:p>
        </w:tc>
        <w:tc>
          <w:tcPr>
            <w:tcW w:type="dxa" w:w="3917"/>
            <w:vAlign w:val="center"/>
          </w:tcPr>
          <w:p>
            <w:pPr>
              <w:pStyle w:val="Compact"/>
              <w:keepNext w:val="0"/>
              <w:keepLines/>
              <w:spacing w:before="20" w:after="20" w:line="250" w:lineRule="auto"/>
              <w:jc w:val="left"/>
            </w:pPr>
            <w:r>
              <w:rPr>
                <w:rFonts w:ascii="Liberation Sans" w:hAnsi="Liberation Sans"/>
                <w:sz w:val="19"/>
              </w:rPr>
              <w:t xml:space="preserve">ohne Zielhoheit keine eigenständige wissenschaftliche Autorschaft</w:t>
            </w:r>
          </w:p>
        </w:tc>
      </w:tr>
      <w:tr>
        <w:trPr>
          <w:cantSplit/>
        </w:trPr>
        <w:tc>
          <w:tcPr>
            <w:tcW w:type="dxa" w:w="2016"/>
            <w:vAlign w:val="center"/>
          </w:tcPr>
          <w:p>
            <w:pPr>
              <w:pStyle w:val="Compact"/>
              <w:keepNext w:val="0"/>
              <w:keepLines/>
              <w:spacing w:before="20" w:after="20" w:line="250" w:lineRule="auto"/>
              <w:jc w:val="left"/>
            </w:pPr>
            <w:r>
              <w:rPr>
                <w:rFonts w:ascii="Liberation Sans" w:hAnsi="Liberation Sans"/>
                <w:sz w:val="19"/>
              </w:rPr>
              <w:t xml:space="preserve">Quellen</w:t>
            </w:r>
          </w:p>
        </w:tc>
        <w:tc>
          <w:tcPr>
            <w:tcW w:type="dxa" w:w="3917"/>
            <w:vAlign w:val="center"/>
          </w:tcPr>
          <w:p>
            <w:pPr>
              <w:pStyle w:val="Compact"/>
              <w:keepNext w:val="0"/>
              <w:keepLines/>
              <w:spacing w:before="20" w:after="20" w:line="250" w:lineRule="auto"/>
              <w:jc w:val="left"/>
            </w:pPr>
            <w:r>
              <w:rPr>
                <w:rFonts w:ascii="Liberation Sans" w:hAnsi="Liberation Sans"/>
                <w:sz w:val="19"/>
              </w:rPr>
              <w:t xml:space="preserve">Originale geprüft; keine erfundenen Nachweise</w:t>
            </w:r>
          </w:p>
        </w:tc>
        <w:tc>
          <w:tcPr>
            <w:tcW w:type="dxa" w:w="3917"/>
            <w:vAlign w:val="center"/>
          </w:tcPr>
          <w:p>
            <w:pPr>
              <w:pStyle w:val="Compact"/>
              <w:keepNext w:val="0"/>
              <w:keepLines/>
              <w:spacing w:before="20" w:after="20" w:line="250" w:lineRule="auto"/>
              <w:jc w:val="left"/>
            </w:pPr>
            <w:r>
              <w:rPr>
                <w:rFonts w:ascii="Liberation Sans" w:hAnsi="Liberation Sans"/>
                <w:sz w:val="19"/>
              </w:rPr>
              <w:t xml:space="preserve">jede zentrale Aussage rückverfolgbar</w:t>
            </w:r>
          </w:p>
        </w:tc>
      </w:tr>
      <w:tr>
        <w:trPr>
          <w:cantSplit/>
        </w:trPr>
        <w:tc>
          <w:tcPr>
            <w:tcW w:type="dxa" w:w="2016"/>
            <w:vAlign w:val="center"/>
          </w:tcPr>
          <w:p>
            <w:pPr>
              <w:pStyle w:val="Compact"/>
              <w:keepNext w:val="0"/>
              <w:keepLines/>
              <w:spacing w:before="20" w:after="20" w:line="250" w:lineRule="auto"/>
              <w:jc w:val="left"/>
            </w:pPr>
            <w:r>
              <w:rPr>
                <w:rFonts w:ascii="Liberation Sans" w:hAnsi="Liberation Sans"/>
                <w:sz w:val="19"/>
              </w:rPr>
              <w:t xml:space="preserve">Methodik</w:t>
            </w:r>
          </w:p>
        </w:tc>
        <w:tc>
          <w:tcPr>
            <w:tcW w:type="dxa" w:w="3917"/>
            <w:vAlign w:val="center"/>
          </w:tcPr>
          <w:p>
            <w:pPr>
              <w:pStyle w:val="Compact"/>
              <w:keepNext w:val="0"/>
              <w:keepLines/>
              <w:spacing w:before="20" w:after="20" w:line="250" w:lineRule="auto"/>
              <w:jc w:val="left"/>
            </w:pPr>
            <w:r>
              <w:rPr>
                <w:rFonts w:ascii="Liberation Sans" w:hAnsi="Liberation Sans"/>
                <w:sz w:val="19"/>
              </w:rPr>
              <w:t xml:space="preserve">begründet, verteidigbar, nicht nur übernommen</w:t>
            </w:r>
          </w:p>
        </w:tc>
        <w:tc>
          <w:tcPr>
            <w:tcW w:type="dxa" w:w="3917"/>
            <w:vAlign w:val="center"/>
          </w:tcPr>
          <w:p>
            <w:pPr>
              <w:pStyle w:val="Compact"/>
              <w:keepNext w:val="0"/>
              <w:keepLines/>
              <w:spacing w:before="20" w:after="20" w:line="250" w:lineRule="auto"/>
              <w:jc w:val="left"/>
            </w:pPr>
            <w:r>
              <w:rPr>
                <w:rFonts w:ascii="Liberation Sans" w:hAnsi="Liberation Sans"/>
                <w:sz w:val="19"/>
              </w:rPr>
              <w:t xml:space="preserve">Autor kann Alternativen und Grenzen erklären</w:t>
            </w:r>
          </w:p>
        </w:tc>
      </w:tr>
      <w:tr>
        <w:trPr>
          <w:cantSplit/>
        </w:trPr>
        <w:tc>
          <w:tcPr>
            <w:tcW w:type="dxa" w:w="2016"/>
            <w:vAlign w:val="center"/>
          </w:tcPr>
          <w:p>
            <w:pPr>
              <w:pStyle w:val="Compact"/>
              <w:keepNext w:val="0"/>
              <w:keepLines/>
              <w:spacing w:before="20" w:after="20" w:line="250" w:lineRule="auto"/>
              <w:jc w:val="left"/>
            </w:pPr>
            <w:r>
              <w:rPr>
                <w:rFonts w:ascii="Liberation Sans" w:hAnsi="Liberation Sans"/>
                <w:sz w:val="19"/>
              </w:rPr>
              <w:t xml:space="preserve">Argumentation</w:t>
            </w:r>
          </w:p>
        </w:tc>
        <w:tc>
          <w:tcPr>
            <w:tcW w:type="dxa" w:w="3917"/>
            <w:vAlign w:val="center"/>
          </w:tcPr>
          <w:p>
            <w:pPr>
              <w:pStyle w:val="Compact"/>
              <w:keepNext w:val="0"/>
              <w:keepLines/>
              <w:spacing w:before="20" w:after="20" w:line="250" w:lineRule="auto"/>
              <w:jc w:val="left"/>
            </w:pPr>
            <w:r>
              <w:rPr>
                <w:rFonts w:ascii="Liberation Sans" w:hAnsi="Liberation Sans"/>
                <w:sz w:val="19"/>
              </w:rPr>
              <w:t xml:space="preserve">maschinelle Vorschläge werden geprüft und verändert</w:t>
            </w:r>
          </w:p>
        </w:tc>
        <w:tc>
          <w:tcPr>
            <w:tcW w:type="dxa" w:w="3917"/>
            <w:vAlign w:val="center"/>
          </w:tcPr>
          <w:p>
            <w:pPr>
              <w:pStyle w:val="Compact"/>
              <w:keepNext w:val="0"/>
              <w:keepLines/>
              <w:spacing w:before="20" w:after="20" w:line="250" w:lineRule="auto"/>
              <w:jc w:val="left"/>
            </w:pPr>
            <w:r>
              <w:rPr>
                <w:rFonts w:ascii="Liberation Sans" w:hAnsi="Liberation Sans"/>
                <w:sz w:val="19"/>
              </w:rPr>
              <w:t xml:space="preserve">kein bloßes Akzeptieren plausibler Formulierungen</w:t>
            </w:r>
          </w:p>
        </w:tc>
      </w:tr>
      <w:tr>
        <w:trPr>
          <w:cantSplit/>
        </w:trPr>
        <w:tc>
          <w:tcPr>
            <w:tcW w:type="dxa" w:w="2016"/>
            <w:vAlign w:val="center"/>
          </w:tcPr>
          <w:p>
            <w:pPr>
              <w:pStyle w:val="Compact"/>
              <w:keepNext w:val="0"/>
              <w:keepLines/>
              <w:spacing w:before="20" w:after="20" w:line="250" w:lineRule="auto"/>
              <w:jc w:val="left"/>
            </w:pPr>
            <w:r>
              <w:rPr>
                <w:rFonts w:ascii="Liberation Sans" w:hAnsi="Liberation Sans"/>
                <w:sz w:val="19"/>
              </w:rPr>
              <w:t xml:space="preserve">Entscheidung</w:t>
            </w:r>
          </w:p>
        </w:tc>
        <w:tc>
          <w:tcPr>
            <w:tcW w:type="dxa" w:w="3917"/>
            <w:vAlign w:val="center"/>
          </w:tcPr>
          <w:p>
            <w:pPr>
              <w:pStyle w:val="Compact"/>
              <w:keepNext w:val="0"/>
              <w:keepLines/>
              <w:spacing w:before="20" w:after="20" w:line="250" w:lineRule="auto"/>
              <w:jc w:val="left"/>
            </w:pPr>
            <w:r>
              <w:rPr>
                <w:rFonts w:ascii="Liberation Sans" w:hAnsi="Liberation Sans"/>
                <w:sz w:val="19"/>
              </w:rPr>
              <w:t xml:space="preserve">Endfassung, Ausschlüsse und Schlussfolgerungen menschlich verantwortet</w:t>
            </w:r>
          </w:p>
        </w:tc>
        <w:tc>
          <w:tcPr>
            <w:tcW w:type="dxa" w:w="3917"/>
            <w:vAlign w:val="center"/>
          </w:tcPr>
          <w:p>
            <w:pPr>
              <w:pStyle w:val="Compact"/>
              <w:keepNext w:val="0"/>
              <w:keepLines/>
              <w:spacing w:before="20" w:after="20" w:line="250" w:lineRule="auto"/>
              <w:jc w:val="left"/>
            </w:pPr>
            <w:r>
              <w:rPr>
                <w:rFonts w:ascii="Liberation Sans" w:hAnsi="Liberation Sans"/>
                <w:sz w:val="19"/>
              </w:rPr>
              <w:t xml:space="preserve">wirksames Veto und dokumentierte Auswahl</w:t>
            </w:r>
          </w:p>
        </w:tc>
      </w:tr>
      <w:tr>
        <w:trPr>
          <w:cantSplit/>
        </w:trPr>
        <w:tc>
          <w:tcPr>
            <w:tcW w:type="dxa" w:w="2016"/>
            <w:vAlign w:val="center"/>
          </w:tcPr>
          <w:p>
            <w:pPr>
              <w:pStyle w:val="Compact"/>
              <w:keepNext w:val="0"/>
              <w:keepLines/>
              <w:spacing w:before="20" w:after="20" w:line="250" w:lineRule="auto"/>
              <w:jc w:val="left"/>
            </w:pPr>
            <w:r>
              <w:rPr>
                <w:rFonts w:ascii="Liberation Sans" w:hAnsi="Liberation Sans"/>
                <w:sz w:val="19"/>
              </w:rPr>
              <w:t xml:space="preserve">Provenienz</w:t>
            </w:r>
          </w:p>
        </w:tc>
        <w:tc>
          <w:tcPr>
            <w:tcW w:type="dxa" w:w="3917"/>
            <w:vAlign w:val="center"/>
          </w:tcPr>
          <w:p>
            <w:pPr>
              <w:pStyle w:val="Compact"/>
              <w:keepNext w:val="0"/>
              <w:keepLines/>
              <w:spacing w:before="20" w:after="20" w:line="250" w:lineRule="auto"/>
              <w:jc w:val="left"/>
            </w:pPr>
            <w:r>
              <w:rPr>
                <w:rFonts w:ascii="Liberation Sans" w:hAnsi="Liberation Sans"/>
                <w:sz w:val="19"/>
              </w:rPr>
              <w:t xml:space="preserve">Modell, Version, Zweck und Beitrag dokumentiert</w:t>
            </w:r>
          </w:p>
        </w:tc>
        <w:tc>
          <w:tcPr>
            <w:tcW w:type="dxa" w:w="3917"/>
            <w:vAlign w:val="center"/>
          </w:tcPr>
          <w:p>
            <w:pPr>
              <w:pStyle w:val="Compact"/>
              <w:keepNext w:val="0"/>
              <w:keepLines/>
              <w:spacing w:before="20" w:after="20" w:line="250" w:lineRule="auto"/>
              <w:jc w:val="left"/>
            </w:pPr>
            <w:r>
              <w:rPr>
                <w:rFonts w:ascii="Liberation Sans" w:hAnsi="Liberation Sans"/>
                <w:sz w:val="19"/>
              </w:rPr>
              <w:t xml:space="preserve">reflexive Nachvollziehbarkeit</w:t>
            </w:r>
          </w:p>
        </w:tc>
      </w:tr>
    </w:tbl>
    <w:bookmarkEnd w:id="196"/>
    <w:bookmarkEnd w:id="197"/>
    <w:bookmarkStart w:id="228" w:name="X463f78943f8b371acf277cb2bf79d16241ca901"/>
    <w:p>
      <w:bookmarkStart w:id="10016" w:name="B5D_H016"/>
      <w:pPr>
        <w:pStyle w:val="Heading1"/>
      </w:pPr>
      <w:r>
        <w:t xml:space="preserve">13. Brain-5D: Ontologie, Architektur und Sicherheitsgrenzen</w:t>
      </w:r>
      <w:bookmarkEnd w:id="10016"/>
    </w:p>
    <w:bookmarkStart w:id="198" w:name="rolle-des-fallbeispiels"/>
    <w:p>
      <w:pPr>
        <w:pStyle w:val="Heading2"/>
        <w:spacing w:before="160"/>
      </w:pPr>
      <w:r>
        <w:t xml:space="preserve">Rolle des Fallbeispiels</w:t>
      </w:r>
    </w:p>
    <w:p>
      <w:pPr>
        <w:pStyle w:val="FirstParagraph"/>
        <w:keepLines/>
        <w:spacing w:after="64" w:line="254" w:lineRule="auto"/>
        <w:jc w:val="left"/>
      </w:pPr>
      <w:r>
        <w:rPr>
          <w:sz w:val="20"/>
        </w:rPr>
        <w:t xml:space="preserve">Brain-5D ist der praktische Entstehungskontext der Forschungsfragen. Das Projekt untersucht ein räumlich organisiertes Spiking Neural Network mit lokaler Plastizität, struktureller Veränderung und optionalen Sprachmodell-Schnittstellen. Für die wissenschaftliche Abhandlung dient es als begrenzter Beobachtungsraum: Hier lassen sich maschinelle Entwurfsvorschläge, menschliche Auswahlentscheidungen, Selbstorganisationsprozesse, Sicherheitsgrenzen und Provenienz dokumentieren. Aus einem einzelnen System dürfen jedoch keine universalen Aussagen über Intelligenz oder Bewusstsein abgeleitet werden.</w:t>
      </w:r>
    </w:p>
    <w:p>
      <w:pPr>
        <w:pStyle w:val="BodyText"/>
        <w:keepLines/>
        <w:spacing w:after="64" w:line="254" w:lineRule="auto"/>
        <w:jc w:val="left"/>
      </w:pPr>
      <w:r>
        <w:rPr>
          <w:sz w:val="20"/>
        </w:rPr>
        <w:t xml:space="preserve">Die reflexive Begleitforschung besitzt zwei Funktionen. Erstens macht sie die theoretischen Begriffe operativ: Hoheit, Kontrolle, Embodiment und Autorenschaft können an konkreten Entwicklungsentscheidungen protokolliert werden. Zweitens prüft sie die eigene Forschungspraxis: Wenn verschiedene LLMs Architekturideen, Code oder Argumente erzeugen, muss sichtbar bleiben, welche Entscheidung vom Menschen stammt, welche maschinell vorstrukturiert wurde und welche durch das lernende System selbst entstand.</w:t>
      </w:r>
    </w:p>
    <w:bookmarkEnd w:id="198"/>
    <w:bookmarkStart w:id="203" w:name="terminologie-und-ontologie"/>
    <w:p>
      <w:pPr>
        <w:pStyle w:val="Heading2"/>
        <w:spacing w:before="160"/>
      </w:pPr>
      <w:r>
        <w:t xml:space="preserve">Terminologie und Ontologie</w:t>
      </w:r>
    </w:p>
    <w:bookmarkStart w:id="199" w:name="zweck-der-ontologie"/>
    <w:p>
      <w:pPr>
        <w:pStyle w:val="Heading3"/>
        <w:keepLines/>
        <w:spacing w:after="120" w:before="160"/>
        <w:jc w:val="left"/>
      </w:pPr>
      <w:r>
        <w:rPr>
          <w:sz w:val="20"/>
        </w:rPr>
        <w:t xml:space="preserve">Zweck der Ontologie</w:t>
      </w:r>
    </w:p>
    <w:p>
      <w:pPr>
        <w:pStyle w:val="FirstParagraph"/>
        <w:keepLines/>
        <w:spacing w:after="64" w:line="254" w:lineRule="auto"/>
        <w:jc w:val="left"/>
      </w:pPr>
      <w:r>
        <w:rPr>
          <w:sz w:val="20"/>
        </w:rPr>
        <w:t xml:space="preserve">Eine konsistente Ontologie verhindert, dass identische Begriffe in Code, Methodik und Interpretation unterschiedliche Bedeutungen erhalten. Die hier definierten Begriffe sollen als versionierte Schemaobjekte in der Software gespiegelt werden. Jede Änderung mit wissenschaftlicher Auswirkung muss migrationsfähig sein und im Evidenzregister erscheinen.</w:t>
      </w:r>
    </w:p>
    <w:bookmarkEnd w:id="199"/>
    <w:bookmarkStart w:id="200" w:name="kernentitäten"/>
    <w:p>
      <w:pPr>
        <w:pStyle w:val="Heading3"/>
        <w:keepLines/>
        <w:spacing w:after="120" w:before="160"/>
        <w:jc w:val="left"/>
      </w:pPr>
      <w:r>
        <w:rPr>
          <w:sz w:val="20"/>
        </w:rPr>
        <w:t xml:space="preserve">Kernentitäten</w:t>
      </w:r>
    </w:p>
    <w:p>
      <w:pPr>
        <w:pStyle w:val="Caption"/>
        <w:keepNext/>
        <w:keepLines/>
        <w:spacing w:before="180" w:after="120"/>
        <w:jc w:val="left"/>
      </w:pPr>
      <w:r>
        <w:rPr>
          <w:sz w:val="20"/>
        </w:rPr>
        <w:t>Tabelle 19. Kernentitäten des Brain-5D-Frameworks</w:t>
      </w:r>
    </w:p>
    <w:tbl>
      <w:tblPr>
        <w:tblStyle w:val="Table"/>
        <w:tblW w:type="pct" w:w="4960"/>
        <w:jc w:val="center"/>
        <w:tblLayout w:type="fixed"/>
        <w:tblLook w:firstRow="1" w:lastRow="0" w:firstColumn="0" w:lastColumn="0" w:noHBand="0" w:noVBand="0" w:val="0020"/>
        <w:tblInd w:w="0" w:type="dxa"/>
        <w:tblCellMar>
          <w:top w:w="70" w:type="dxa"/>
          <w:bottom w:w="70" w:type="dxa"/>
          <w:left w:w="85" w:type="dxa"/>
          <w:right w:w="85" w:type="dxa"/>
        </w:tblCellMar>
        <w:tblBorders>
          <w:top w:val="single" w:sz="4" w:color="CCD4D9"/>
          <w:bottom w:val="single" w:sz="4" w:color="CCD4D9"/>
          <w:insideH w:val="single" w:sz="4" w:color="CCD4D9"/>
          <w:left w:val="nil"/>
          <w:right w:val="nil"/>
          <w:insideV w:val="nil"/>
        </w:tblBorders>
      </w:tblPr>
      <w:tblGrid>
        <w:gridCol w:w="1728"/>
        <w:gridCol w:w="4320"/>
        <w:gridCol w:w="3802"/>
      </w:tblGrid>
      <w:tr>
        <w:trPr>
          <w:tblHeader w:val="on"/>
          <w:cantSplit/>
          <w:tblHeader/>
        </w:trPr>
        <w:tc>
          <w:tcPr>
            <w:tcW w:type="dxa" w:w="1728"/>
            <w:vAlign w:val="center"/>
            <w:shd w:fill="E9EFF3"/>
          </w:tcPr>
          <w:p>
            <w:pPr>
              <w:pStyle w:val="Compact"/>
              <w:keepNext w:val="0"/>
              <w:keepLines/>
              <w:spacing w:before="20" w:after="20" w:line="250" w:lineRule="auto"/>
              <w:jc w:val="left"/>
            </w:pPr>
            <w:r>
              <w:rPr>
                <w:rFonts w:ascii="Liberation Sans" w:hAnsi="Liberation Sans"/>
                <w:b/>
                <w:bCs/>
                <w:sz w:val="19"/>
              </w:rPr>
              <w:t xml:space="preserve">Entität</w:t>
            </w:r>
          </w:p>
        </w:tc>
        <w:tc>
          <w:tcPr>
            <w:tcW w:type="dxa" w:w="4320"/>
            <w:vAlign w:val="center"/>
            <w:shd w:fill="E9EFF3"/>
          </w:tcPr>
          <w:p>
            <w:pPr>
              <w:pStyle w:val="Compact"/>
              <w:keepNext w:val="0"/>
              <w:keepLines/>
              <w:spacing w:before="20" w:after="20" w:line="250" w:lineRule="auto"/>
              <w:jc w:val="left"/>
            </w:pPr>
            <w:r>
              <w:rPr>
                <w:rFonts w:ascii="Liberation Sans" w:hAnsi="Liberation Sans"/>
                <w:b/>
                <w:bCs/>
                <w:sz w:val="19"/>
              </w:rPr>
              <w:t xml:space="preserve">Arbeitsdefinition</w:t>
            </w:r>
          </w:p>
        </w:tc>
        <w:tc>
          <w:tcPr>
            <w:tcW w:type="dxa" w:w="3802"/>
            <w:vAlign w:val="center"/>
            <w:shd w:fill="E9EFF3"/>
          </w:tcPr>
          <w:p>
            <w:pPr>
              <w:pStyle w:val="Compact"/>
              <w:keepNext w:val="0"/>
              <w:keepLines/>
              <w:spacing w:before="20" w:after="20" w:line="250" w:lineRule="auto"/>
              <w:jc w:val="left"/>
            </w:pPr>
            <w:r>
              <w:rPr>
                <w:rFonts w:ascii="Liberation Sans" w:hAnsi="Liberation Sans"/>
                <w:b/>
                <w:bCs/>
                <w:sz w:val="19"/>
              </w:rPr>
              <w:t xml:space="preserve">Abgrenzung</w:t>
            </w:r>
          </w:p>
        </w:tc>
      </w:tr>
      <w:tr>
        <w:trPr>
          <w:cantSplit/>
        </w:trPr>
        <w:tc>
          <w:tcPr>
            <w:tcW w:type="dxa" w:w="1728"/>
            <w:vAlign w:val="center"/>
          </w:tcPr>
          <w:p>
            <w:pPr>
              <w:pStyle w:val="Compact"/>
              <w:keepNext w:val="0"/>
              <w:keepLines/>
              <w:spacing w:before="20" w:after="20" w:line="250" w:lineRule="auto"/>
              <w:jc w:val="left"/>
            </w:pPr>
            <w:r>
              <w:rPr>
                <w:rFonts w:ascii="Liberation Sans" w:hAnsi="Liberation Sans"/>
                <w:sz w:val="19"/>
              </w:rPr>
              <w:t xml:space="preserve">Neuron</w:t>
            </w:r>
          </w:p>
        </w:tc>
        <w:tc>
          <w:tcPr>
            <w:tcW w:type="dxa" w:w="4320"/>
            <w:vAlign w:val="center"/>
          </w:tcPr>
          <w:p>
            <w:pPr>
              <w:pStyle w:val="Compact"/>
              <w:keepNext w:val="0"/>
              <w:keepLines/>
              <w:spacing w:before="20" w:after="20" w:line="250" w:lineRule="auto"/>
              <w:jc w:val="left"/>
            </w:pPr>
            <w:r>
              <w:rPr>
                <w:rFonts w:ascii="Liberation Sans" w:hAnsi="Liberation Sans"/>
                <w:sz w:val="19"/>
              </w:rPr>
              <w:t xml:space="preserve">materialisierte dynamische Einheit mit eindeutiger ID, 5D-Position, Zelltyp, Zustandsvektor, Parametern und Ereignishistorie</w:t>
            </w:r>
          </w:p>
        </w:tc>
        <w:tc>
          <w:tcPr>
            <w:tcW w:type="dxa" w:w="3802"/>
            <w:vAlign w:val="center"/>
          </w:tcPr>
          <w:p>
            <w:pPr>
              <w:pStyle w:val="Compact"/>
              <w:keepNext w:val="0"/>
              <w:keepLines/>
              <w:spacing w:before="20" w:after="20" w:line="250" w:lineRule="auto"/>
              <w:jc w:val="left"/>
            </w:pPr>
            <w:r>
              <w:rPr>
                <w:rFonts w:ascii="Liberation Sans" w:hAnsi="Liberation Sans"/>
                <w:sz w:val="19"/>
              </w:rPr>
              <w:t xml:space="preserve">kein biologisch vollständiges Neuron</w:t>
            </w:r>
          </w:p>
        </w:tc>
      </w:tr>
      <w:tr>
        <w:trPr>
          <w:cantSplit/>
        </w:trPr>
        <w:tc>
          <w:tcPr>
            <w:tcW w:type="dxa" w:w="1728"/>
            <w:vAlign w:val="center"/>
          </w:tcPr>
          <w:p>
            <w:pPr>
              <w:pStyle w:val="Compact"/>
              <w:keepNext w:val="0"/>
              <w:keepLines/>
              <w:spacing w:before="20" w:after="20" w:line="250" w:lineRule="auto"/>
              <w:jc w:val="left"/>
            </w:pPr>
            <w:r>
              <w:rPr>
                <w:rFonts w:ascii="Liberation Sans" w:hAnsi="Liberation Sans"/>
                <w:sz w:val="19"/>
              </w:rPr>
              <w:t xml:space="preserve">Synapse</w:t>
            </w:r>
          </w:p>
        </w:tc>
        <w:tc>
          <w:tcPr>
            <w:tcW w:type="dxa" w:w="4320"/>
            <w:vAlign w:val="center"/>
          </w:tcPr>
          <w:p>
            <w:pPr>
              <w:pStyle w:val="Compact"/>
              <w:keepNext w:val="0"/>
              <w:keepLines/>
              <w:spacing w:before="20" w:after="20" w:line="250" w:lineRule="auto"/>
              <w:jc w:val="left"/>
            </w:pPr>
            <w:r>
              <w:rPr>
                <w:rFonts w:ascii="Liberation Sans" w:hAnsi="Liberation Sans"/>
                <w:sz w:val="19"/>
              </w:rPr>
              <w:t xml:space="preserve">gerichtete, typisierte und gegebenenfalls verzögerte Verbindung zwischen zwei materialisierten Einheiten</w:t>
            </w:r>
          </w:p>
        </w:tc>
        <w:tc>
          <w:tcPr>
            <w:tcW w:type="dxa" w:w="3802"/>
            <w:vAlign w:val="center"/>
          </w:tcPr>
          <w:p>
            <w:pPr>
              <w:pStyle w:val="Compact"/>
              <w:keepNext w:val="0"/>
              <w:keepLines/>
              <w:spacing w:before="20" w:after="20" w:line="250" w:lineRule="auto"/>
              <w:jc w:val="left"/>
            </w:pPr>
            <w:r>
              <w:rPr>
                <w:rFonts w:ascii="Liberation Sans" w:hAnsi="Liberation Sans"/>
                <w:sz w:val="19"/>
              </w:rPr>
              <w:t xml:space="preserve">nicht bloß Matrixeintrag, wenn Alter, Eligibility oder Provenienz relevant sind</w:t>
            </w:r>
          </w:p>
        </w:tc>
      </w:tr>
      <w:tr>
        <w:trPr>
          <w:cantSplit/>
        </w:trPr>
        <w:tc>
          <w:tcPr>
            <w:tcW w:type="dxa" w:w="1728"/>
            <w:vAlign w:val="center"/>
          </w:tcPr>
          <w:p>
            <w:pPr>
              <w:pStyle w:val="Compact"/>
              <w:keepNext w:val="0"/>
              <w:keepLines/>
              <w:spacing w:before="20" w:after="20" w:line="250" w:lineRule="auto"/>
              <w:jc w:val="left"/>
            </w:pPr>
            <w:r>
              <w:rPr>
                <w:rFonts w:ascii="Liberation Sans" w:hAnsi="Liberation Sans"/>
                <w:sz w:val="19"/>
              </w:rPr>
              <w:t xml:space="preserve">SpikeEvent</w:t>
            </w:r>
          </w:p>
        </w:tc>
        <w:tc>
          <w:tcPr>
            <w:tcW w:type="dxa" w:w="4320"/>
            <w:vAlign w:val="center"/>
          </w:tcPr>
          <w:p>
            <w:pPr>
              <w:pStyle w:val="Compact"/>
              <w:keepNext w:val="0"/>
              <w:keepLines/>
              <w:spacing w:before="20" w:after="20" w:line="250" w:lineRule="auto"/>
              <w:jc w:val="left"/>
            </w:pPr>
            <w:r>
              <w:rPr>
                <w:rFonts w:ascii="Liberation Sans" w:hAnsi="Liberation Sans"/>
                <w:sz w:val="19"/>
              </w:rPr>
              <w:t xml:space="preserve">diskretes, zeitgestempeltes Ereignis einer Quelle mit definierter Simulationszeit</w:t>
            </w:r>
          </w:p>
        </w:tc>
        <w:tc>
          <w:tcPr>
            <w:tcW w:type="dxa" w:w="3802"/>
            <w:vAlign w:val="center"/>
          </w:tcPr>
          <w:p>
            <w:pPr>
              <w:pStyle w:val="Compact"/>
              <w:keepNext w:val="0"/>
              <w:keepLines/>
              <w:spacing w:before="20" w:after="20" w:line="250" w:lineRule="auto"/>
              <w:jc w:val="left"/>
            </w:pPr>
            <w:r>
              <w:rPr>
                <w:rFonts w:ascii="Liberation Sans" w:hAnsi="Liberation Sans"/>
                <w:sz w:val="19"/>
              </w:rPr>
              <w:t xml:space="preserve">keine semantische Aussage</w:t>
            </w:r>
          </w:p>
        </w:tc>
      </w:tr>
      <w:tr>
        <w:trPr>
          <w:cantSplit/>
        </w:trPr>
        <w:tc>
          <w:tcPr>
            <w:tcW w:type="dxa" w:w="1728"/>
            <w:vAlign w:val="center"/>
          </w:tcPr>
          <w:p>
            <w:pPr>
              <w:pStyle w:val="Compact"/>
              <w:keepNext w:val="0"/>
              <w:keepLines/>
              <w:spacing w:before="20" w:after="20" w:line="250" w:lineRule="auto"/>
              <w:jc w:val="left"/>
            </w:pPr>
            <w:r>
              <w:rPr>
                <w:rFonts w:ascii="Liberation Sans" w:hAnsi="Liberation Sans"/>
                <w:sz w:val="19"/>
              </w:rPr>
              <w:t xml:space="preserve">Region</w:t>
            </w:r>
          </w:p>
        </w:tc>
        <w:tc>
          <w:tcPr>
            <w:tcW w:type="dxa" w:w="4320"/>
            <w:vAlign w:val="center"/>
          </w:tcPr>
          <w:p>
            <w:pPr>
              <w:pStyle w:val="Compact"/>
              <w:keepNext w:val="0"/>
              <w:keepLines/>
              <w:spacing w:before="20" w:after="20" w:line="250" w:lineRule="auto"/>
              <w:jc w:val="left"/>
            </w:pPr>
            <w:r>
              <w:rPr>
                <w:rFonts w:ascii="Liberation Sans" w:hAnsi="Liberation Sans"/>
                <w:sz w:val="19"/>
              </w:rPr>
              <w:t xml:space="preserve">versionierte Menge beziehungsweise probabilistische Zuordnung von Neuronen anhand räumlicher, funktionaler oder datengetriebener Kriterien</w:t>
            </w:r>
          </w:p>
        </w:tc>
        <w:tc>
          <w:tcPr>
            <w:tcW w:type="dxa" w:w="3802"/>
            <w:vAlign w:val="center"/>
          </w:tcPr>
          <w:p>
            <w:pPr>
              <w:pStyle w:val="Compact"/>
              <w:keepNext w:val="0"/>
              <w:keepLines/>
              <w:spacing w:before="20" w:after="20" w:line="250" w:lineRule="auto"/>
              <w:jc w:val="left"/>
            </w:pPr>
            <w:r>
              <w:rPr>
                <w:rFonts w:ascii="Liberation Sans" w:hAnsi="Liberation Sans"/>
                <w:sz w:val="19"/>
              </w:rPr>
              <w:t xml:space="preserve">darf nicht nachträglich ohne Versionierung umdefiniert werden</w:t>
            </w:r>
          </w:p>
        </w:tc>
      </w:tr>
      <w:tr>
        <w:trPr>
          <w:cantSplit/>
        </w:trPr>
        <w:tc>
          <w:tcPr>
            <w:tcW w:type="dxa" w:w="1728"/>
            <w:vAlign w:val="center"/>
          </w:tcPr>
          <w:p>
            <w:pPr>
              <w:pStyle w:val="Compact"/>
              <w:keepNext w:val="0"/>
              <w:keepLines/>
              <w:spacing w:before="20" w:after="20" w:line="250" w:lineRule="auto"/>
              <w:jc w:val="left"/>
            </w:pPr>
            <w:r>
              <w:rPr>
                <w:rFonts w:ascii="Liberation Sans" w:hAnsi="Liberation Sans"/>
                <w:sz w:val="19"/>
              </w:rPr>
              <w:t xml:space="preserve">Stimulus</w:t>
            </w:r>
          </w:p>
        </w:tc>
        <w:tc>
          <w:tcPr>
            <w:tcW w:type="dxa" w:w="4320"/>
            <w:vAlign w:val="center"/>
          </w:tcPr>
          <w:p>
            <w:pPr>
              <w:pStyle w:val="Compact"/>
              <w:keepNext w:val="0"/>
              <w:keepLines/>
              <w:spacing w:before="20" w:after="20" w:line="250" w:lineRule="auto"/>
              <w:jc w:val="left"/>
            </w:pPr>
            <w:r>
              <w:rPr>
                <w:rFonts w:ascii="Liberation Sans" w:hAnsi="Liberation Sans"/>
                <w:sz w:val="19"/>
              </w:rPr>
              <w:t xml:space="preserve">kontrollierte externe Ursache, die über einen Eingabekanal auf das SNN wirkt</w:t>
            </w:r>
          </w:p>
        </w:tc>
        <w:tc>
          <w:tcPr>
            <w:tcW w:type="dxa" w:w="3802"/>
            <w:vAlign w:val="center"/>
          </w:tcPr>
          <w:p>
            <w:pPr>
              <w:pStyle w:val="Compact"/>
              <w:keepNext w:val="0"/>
              <w:keepLines/>
              <w:spacing w:before="20" w:after="20" w:line="250" w:lineRule="auto"/>
              <w:jc w:val="left"/>
            </w:pPr>
            <w:r>
              <w:rPr>
                <w:rFonts w:ascii="Liberation Sans" w:hAnsi="Liberation Sans"/>
                <w:sz w:val="19"/>
              </w:rPr>
              <w:t xml:space="preserve">Retrieval-Antwort ist erst nach Kodierung ein Stimulus</w:t>
            </w:r>
          </w:p>
        </w:tc>
      </w:tr>
      <w:tr>
        <w:trPr>
          <w:cantSplit/>
        </w:trPr>
        <w:tc>
          <w:tcPr>
            <w:tcW w:type="dxa" w:w="1728"/>
            <w:vAlign w:val="center"/>
          </w:tcPr>
          <w:p>
            <w:pPr>
              <w:pStyle w:val="Compact"/>
              <w:keepNext w:val="0"/>
              <w:keepLines/>
              <w:spacing w:before="20" w:after="20" w:line="250" w:lineRule="auto"/>
              <w:jc w:val="left"/>
            </w:pPr>
            <w:r>
              <w:rPr>
                <w:rFonts w:ascii="Liberation Sans" w:hAnsi="Liberation Sans"/>
                <w:sz w:val="19"/>
              </w:rPr>
              <w:t xml:space="preserve">StimulusPlan</w:t>
            </w:r>
          </w:p>
        </w:tc>
        <w:tc>
          <w:tcPr>
            <w:tcW w:type="dxa" w:w="4320"/>
            <w:vAlign w:val="center"/>
          </w:tcPr>
          <w:p>
            <w:pPr>
              <w:pStyle w:val="Compact"/>
              <w:keepNext w:val="0"/>
              <w:keepLines/>
              <w:spacing w:before="20" w:after="20" w:line="250" w:lineRule="auto"/>
              <w:jc w:val="left"/>
            </w:pPr>
            <w:r>
              <w:rPr>
                <w:rFonts w:ascii="Liberation Sans" w:hAnsi="Liberation Sans"/>
                <w:sz w:val="19"/>
              </w:rPr>
              <w:t xml:space="preserve">validierter, zeitlich und räumlich bestimmter Vertrag zur Erzeugung von Input-Ereignissen</w:t>
            </w:r>
          </w:p>
        </w:tc>
        <w:tc>
          <w:tcPr>
            <w:tcW w:type="dxa" w:w="3802"/>
            <w:vAlign w:val="center"/>
          </w:tcPr>
          <w:p>
            <w:pPr>
              <w:pStyle w:val="Compact"/>
              <w:keepNext w:val="0"/>
              <w:keepLines/>
              <w:spacing w:before="20" w:after="20" w:line="250" w:lineRule="auto"/>
              <w:jc w:val="left"/>
            </w:pPr>
            <w:r>
              <w:rPr>
                <w:rFonts w:ascii="Liberation Sans" w:hAnsi="Liberation Sans"/>
                <w:sz w:val="19"/>
              </w:rPr>
              <w:t xml:space="preserve">kein direkter Gewichts- oder Topologiezugriff</w:t>
            </w:r>
          </w:p>
        </w:tc>
      </w:tr>
      <w:tr>
        <w:trPr>
          <w:cantSplit/>
        </w:trPr>
        <w:tc>
          <w:tcPr>
            <w:tcW w:type="dxa" w:w="1728"/>
            <w:vAlign w:val="center"/>
          </w:tcPr>
          <w:p>
            <w:pPr>
              <w:pStyle w:val="Compact"/>
              <w:keepNext w:val="0"/>
              <w:keepLines/>
              <w:spacing w:before="20" w:after="20" w:line="250" w:lineRule="auto"/>
              <w:jc w:val="left"/>
            </w:pPr>
            <w:r>
              <w:rPr>
                <w:rFonts w:ascii="Liberation Sans" w:hAnsi="Liberation Sans"/>
                <w:sz w:val="19"/>
              </w:rPr>
              <w:t xml:space="preserve">Episode</w:t>
            </w:r>
          </w:p>
        </w:tc>
        <w:tc>
          <w:tcPr>
            <w:tcW w:type="dxa" w:w="4320"/>
            <w:vAlign w:val="center"/>
          </w:tcPr>
          <w:p>
            <w:pPr>
              <w:pStyle w:val="Compact"/>
              <w:keepNext w:val="0"/>
              <w:keepLines/>
              <w:spacing w:before="20" w:after="20" w:line="250" w:lineRule="auto"/>
              <w:jc w:val="left"/>
            </w:pPr>
            <w:r>
              <w:rPr>
                <w:rFonts w:ascii="Liberation Sans" w:hAnsi="Liberation Sans"/>
                <w:sz w:val="19"/>
              </w:rPr>
              <w:t xml:space="preserve">abgegrenzte Sequenz von Stimuli, Netzwerkzuständen, Aktionen, Rewards und Umweltzuständen</w:t>
            </w:r>
          </w:p>
        </w:tc>
        <w:tc>
          <w:tcPr>
            <w:tcW w:type="dxa" w:w="3802"/>
            <w:vAlign w:val="center"/>
          </w:tcPr>
          <w:p>
            <w:pPr>
              <w:pStyle w:val="Compact"/>
              <w:keepNext w:val="0"/>
              <w:keepLines/>
              <w:spacing w:before="20" w:after="20" w:line="250" w:lineRule="auto"/>
              <w:jc w:val="left"/>
            </w:pPr>
            <w:r>
              <w:rPr>
                <w:rFonts w:ascii="Liberation Sans" w:hAnsi="Liberation Sans"/>
                <w:sz w:val="19"/>
              </w:rPr>
              <w:t xml:space="preserve">nicht gleich Trainingsbatch</w:t>
            </w:r>
          </w:p>
        </w:tc>
      </w:tr>
      <w:tr>
        <w:trPr>
          <w:cantSplit/>
        </w:trPr>
        <w:tc>
          <w:tcPr>
            <w:tcW w:type="dxa" w:w="1728"/>
            <w:vAlign w:val="center"/>
          </w:tcPr>
          <w:p>
            <w:pPr>
              <w:pStyle w:val="Compact"/>
              <w:keepNext w:val="0"/>
              <w:keepLines/>
              <w:spacing w:before="20" w:after="20" w:line="250" w:lineRule="auto"/>
              <w:jc w:val="left"/>
            </w:pPr>
            <w:r>
              <w:rPr>
                <w:rFonts w:ascii="Liberation Sans" w:hAnsi="Liberation Sans"/>
                <w:sz w:val="19"/>
              </w:rPr>
              <w:t xml:space="preserve">SignalFrame</w:t>
            </w:r>
          </w:p>
        </w:tc>
        <w:tc>
          <w:tcPr>
            <w:tcW w:type="dxa" w:w="4320"/>
            <w:vAlign w:val="center"/>
          </w:tcPr>
          <w:p>
            <w:pPr>
              <w:pStyle w:val="Compact"/>
              <w:keepNext w:val="0"/>
              <w:keepLines/>
              <w:spacing w:before="20" w:after="20" w:line="250" w:lineRule="auto"/>
              <w:jc w:val="left"/>
            </w:pPr>
            <w:r>
              <w:rPr>
                <w:rFonts w:ascii="Liberation Sans" w:hAnsi="Liberation Sans"/>
                <w:sz w:val="19"/>
              </w:rPr>
              <w:t xml:space="preserve">deterministisch berechnete Messzusammenfassung eines definierten Ereignis- und Zustandsfensters</w:t>
            </w:r>
          </w:p>
        </w:tc>
        <w:tc>
          <w:tcPr>
            <w:tcW w:type="dxa" w:w="3802"/>
            <w:vAlign w:val="center"/>
          </w:tcPr>
          <w:p>
            <w:pPr>
              <w:pStyle w:val="Compact"/>
              <w:keepNext w:val="0"/>
              <w:keepLines/>
              <w:spacing w:before="20" w:after="20" w:line="250" w:lineRule="auto"/>
              <w:jc w:val="left"/>
            </w:pPr>
            <w:r>
              <w:rPr>
                <w:rFonts w:ascii="Liberation Sans" w:hAnsi="Liberation Sans"/>
                <w:sz w:val="19"/>
              </w:rPr>
              <w:t xml:space="preserve">Interpretation oder Bedeutung sind nicht enthalten</w:t>
            </w:r>
          </w:p>
        </w:tc>
      </w:tr>
      <w:tr>
        <w:trPr>
          <w:cantSplit/>
        </w:trPr>
        <w:tc>
          <w:tcPr>
            <w:tcW w:type="dxa" w:w="1728"/>
            <w:vAlign w:val="center"/>
          </w:tcPr>
          <w:p>
            <w:pPr>
              <w:pStyle w:val="Compact"/>
              <w:keepNext w:val="0"/>
              <w:keepLines/>
              <w:spacing w:before="20" w:after="20" w:line="250" w:lineRule="auto"/>
              <w:jc w:val="left"/>
            </w:pPr>
            <w:r>
              <w:rPr>
                <w:rFonts w:ascii="Liberation Sans" w:hAnsi="Liberation Sans"/>
                <w:sz w:val="19"/>
              </w:rPr>
              <w:t xml:space="preserve">Interpretation</w:t>
            </w:r>
          </w:p>
        </w:tc>
        <w:tc>
          <w:tcPr>
            <w:tcW w:type="dxa" w:w="4320"/>
            <w:vAlign w:val="center"/>
          </w:tcPr>
          <w:p>
            <w:pPr>
              <w:pStyle w:val="Compact"/>
              <w:keepNext w:val="0"/>
              <w:keepLines/>
              <w:spacing w:before="20" w:after="20" w:line="250" w:lineRule="auto"/>
              <w:jc w:val="left"/>
            </w:pPr>
            <w:r>
              <w:rPr>
                <w:rFonts w:ascii="Liberation Sans" w:hAnsi="Liberation Sans"/>
                <w:sz w:val="19"/>
              </w:rPr>
              <w:t xml:space="preserve">versionierte Hypothese eines Decoders über einen SignalFrame</w:t>
            </w:r>
          </w:p>
        </w:tc>
        <w:tc>
          <w:tcPr>
            <w:tcW w:type="dxa" w:w="3802"/>
            <w:vAlign w:val="center"/>
          </w:tcPr>
          <w:p>
            <w:pPr>
              <w:pStyle w:val="Compact"/>
              <w:keepNext w:val="0"/>
              <w:keepLines/>
              <w:spacing w:before="20" w:after="20" w:line="250" w:lineRule="auto"/>
              <w:jc w:val="left"/>
            </w:pPr>
            <w:r>
              <w:rPr>
                <w:rFonts w:ascii="Liberation Sans" w:hAnsi="Liberation Sans"/>
                <w:sz w:val="19"/>
              </w:rPr>
              <w:t xml:space="preserve">kann falsch sein und darf keinen Faktstatus erben</w:t>
            </w:r>
          </w:p>
        </w:tc>
      </w:tr>
      <w:tr>
        <w:trPr>
          <w:cantSplit/>
        </w:trPr>
        <w:tc>
          <w:tcPr>
            <w:tcW w:type="dxa" w:w="1728"/>
            <w:vAlign w:val="center"/>
          </w:tcPr>
          <w:p>
            <w:pPr>
              <w:pStyle w:val="Compact"/>
              <w:keepNext w:val="0"/>
              <w:keepLines/>
              <w:spacing w:before="20" w:after="20" w:line="250" w:lineRule="auto"/>
              <w:jc w:val="left"/>
            </w:pPr>
            <w:r>
              <w:rPr>
                <w:rFonts w:ascii="Liberation Sans" w:hAnsi="Liberation Sans"/>
                <w:sz w:val="19"/>
              </w:rPr>
              <w:t xml:space="preserve">Repräsentation</w:t>
            </w:r>
          </w:p>
        </w:tc>
        <w:tc>
          <w:tcPr>
            <w:tcW w:type="dxa" w:w="4320"/>
            <w:vAlign w:val="center"/>
          </w:tcPr>
          <w:p>
            <w:pPr>
              <w:pStyle w:val="Compact"/>
              <w:keepNext w:val="0"/>
              <w:keepLines/>
              <w:spacing w:before="20" w:after="20" w:line="250" w:lineRule="auto"/>
              <w:jc w:val="left"/>
            </w:pPr>
            <w:r>
              <w:rPr>
                <w:rFonts w:ascii="Liberation Sans" w:hAnsi="Liberation Sans"/>
                <w:sz w:val="19"/>
              </w:rPr>
              <w:t xml:space="preserve">reproduzierbare Beziehung zwischen internem Zustand und Zielmerkmal, die Kontrollen und Generalisierungskriterien erfüllt</w:t>
            </w:r>
          </w:p>
        </w:tc>
        <w:tc>
          <w:tcPr>
            <w:tcW w:type="dxa" w:w="3802"/>
            <w:vAlign w:val="center"/>
          </w:tcPr>
          <w:p>
            <w:pPr>
              <w:pStyle w:val="Compact"/>
              <w:keepNext w:val="0"/>
              <w:keepLines/>
              <w:spacing w:before="20" w:after="20" w:line="250" w:lineRule="auto"/>
              <w:jc w:val="left"/>
            </w:pPr>
            <w:r>
              <w:rPr>
                <w:rFonts w:ascii="Liberation Sans" w:hAnsi="Liberation Sans"/>
                <w:sz w:val="19"/>
              </w:rPr>
              <w:t xml:space="preserve">Korrelation allein genügt nicht</w:t>
            </w:r>
          </w:p>
        </w:tc>
      </w:tr>
      <w:tr>
        <w:trPr>
          <w:cantSplit/>
        </w:trPr>
        <w:tc>
          <w:tcPr>
            <w:tcW w:type="dxa" w:w="1728"/>
            <w:vAlign w:val="center"/>
          </w:tcPr>
          <w:p>
            <w:pPr>
              <w:pStyle w:val="Compact"/>
              <w:keepNext w:val="0"/>
              <w:keepLines/>
              <w:spacing w:before="20" w:after="20" w:line="250" w:lineRule="auto"/>
              <w:jc w:val="left"/>
            </w:pPr>
            <w:r>
              <w:rPr>
                <w:rFonts w:ascii="Liberation Sans" w:hAnsi="Liberation Sans"/>
                <w:sz w:val="19"/>
              </w:rPr>
              <w:t xml:space="preserve">Gedächtnis</w:t>
            </w:r>
          </w:p>
        </w:tc>
        <w:tc>
          <w:tcPr>
            <w:tcW w:type="dxa" w:w="4320"/>
            <w:vAlign w:val="center"/>
          </w:tcPr>
          <w:p>
            <w:pPr>
              <w:pStyle w:val="Compact"/>
              <w:keepNext w:val="0"/>
              <w:keepLines/>
              <w:spacing w:before="20" w:after="20" w:line="250" w:lineRule="auto"/>
              <w:jc w:val="left"/>
            </w:pPr>
            <w:r>
              <w:rPr>
                <w:rFonts w:ascii="Liberation Sans" w:hAnsi="Liberation Sans"/>
                <w:sz w:val="19"/>
              </w:rPr>
              <w:t xml:space="preserve">retention-, cue- und spezifitätsgebundene funktionale Folge einer früheren Erfahrung</w:t>
            </w:r>
          </w:p>
        </w:tc>
        <w:tc>
          <w:tcPr>
            <w:tcW w:type="dxa" w:w="3802"/>
            <w:vAlign w:val="center"/>
          </w:tcPr>
          <w:p>
            <w:pPr>
              <w:pStyle w:val="Compact"/>
              <w:keepNext w:val="0"/>
              <w:keepLines/>
              <w:spacing w:before="20" w:after="20" w:line="250" w:lineRule="auto"/>
              <w:jc w:val="left"/>
            </w:pPr>
            <w:r>
              <w:rPr>
                <w:rFonts w:ascii="Liberation Sans" w:hAnsi="Liberation Sans"/>
                <w:sz w:val="19"/>
              </w:rPr>
              <w:t xml:space="preserve">persistentes Gewicht allein genügt nicht</w:t>
            </w:r>
          </w:p>
        </w:tc>
      </w:tr>
      <w:tr>
        <w:trPr>
          <w:cantSplit/>
        </w:trPr>
        <w:tc>
          <w:tcPr>
            <w:tcW w:type="dxa" w:w="1728"/>
            <w:vAlign w:val="center"/>
          </w:tcPr>
          <w:p>
            <w:pPr>
              <w:pStyle w:val="Compact"/>
              <w:keepNext w:val="0"/>
              <w:keepLines/>
              <w:spacing w:before="20" w:after="20" w:line="250" w:lineRule="auto"/>
              <w:jc w:val="left"/>
            </w:pPr>
            <w:r>
              <w:rPr>
                <w:rFonts w:ascii="Liberation Sans" w:hAnsi="Liberation Sans"/>
                <w:sz w:val="19"/>
              </w:rPr>
              <w:t xml:space="preserve">Claim</w:t>
            </w:r>
          </w:p>
        </w:tc>
        <w:tc>
          <w:tcPr>
            <w:tcW w:type="dxa" w:w="4320"/>
            <w:vAlign w:val="center"/>
          </w:tcPr>
          <w:p>
            <w:pPr>
              <w:pStyle w:val="Compact"/>
              <w:keepNext w:val="0"/>
              <w:keepLines/>
              <w:spacing w:before="20" w:after="20" w:line="250" w:lineRule="auto"/>
              <w:jc w:val="left"/>
            </w:pPr>
            <w:r>
              <w:rPr>
                <w:rFonts w:ascii="Liberation Sans" w:hAnsi="Liberation Sans"/>
                <w:sz w:val="19"/>
              </w:rPr>
              <w:t xml:space="preserve">atomare, identifizierbare wissenschaftliche Aussage mit Evidenzstatus und Geltungsbereich</w:t>
            </w:r>
          </w:p>
        </w:tc>
        <w:tc>
          <w:tcPr>
            <w:tcW w:type="dxa" w:w="3802"/>
            <w:vAlign w:val="center"/>
          </w:tcPr>
          <w:p>
            <w:pPr>
              <w:pStyle w:val="Compact"/>
              <w:keepNext w:val="0"/>
              <w:keepLines/>
              <w:spacing w:before="20" w:after="20" w:line="250" w:lineRule="auto"/>
              <w:jc w:val="left"/>
            </w:pPr>
            <w:r>
              <w:rPr>
                <w:rFonts w:ascii="Liberation Sans" w:hAnsi="Liberation Sans"/>
                <w:sz w:val="19"/>
              </w:rPr>
              <w:t xml:space="preserve">kein bloßer Kommentar</w:t>
            </w:r>
          </w:p>
        </w:tc>
      </w:tr>
      <w:tr>
        <w:trPr>
          <w:cantSplit/>
        </w:trPr>
        <w:tc>
          <w:tcPr>
            <w:tcW w:type="dxa" w:w="1728"/>
            <w:vAlign w:val="center"/>
          </w:tcPr>
          <w:p>
            <w:pPr>
              <w:pStyle w:val="Compact"/>
              <w:keepNext w:val="0"/>
              <w:keepLines/>
              <w:spacing w:before="20" w:after="20" w:line="250" w:lineRule="auto"/>
              <w:jc w:val="left"/>
            </w:pPr>
            <w:r>
              <w:rPr>
                <w:rFonts w:ascii="Liberation Sans" w:hAnsi="Liberation Sans"/>
                <w:sz w:val="19"/>
              </w:rPr>
              <w:t xml:space="preserve">ExperimentSpec</w:t>
            </w:r>
          </w:p>
        </w:tc>
        <w:tc>
          <w:tcPr>
            <w:tcW w:type="dxa" w:w="4320"/>
            <w:vAlign w:val="center"/>
          </w:tcPr>
          <w:p>
            <w:pPr>
              <w:pStyle w:val="Compact"/>
              <w:keepNext w:val="0"/>
              <w:keepLines/>
              <w:spacing w:before="20" w:after="20" w:line="250" w:lineRule="auto"/>
              <w:jc w:val="left"/>
            </w:pPr>
            <w:r>
              <w:rPr>
                <w:rFonts w:ascii="Liberation Sans" w:hAnsi="Liberation Sans"/>
                <w:sz w:val="19"/>
              </w:rPr>
              <w:t xml:space="preserve">unveränderliche Versuchsspezifikation mit Hypothese, Faktoren, Kontrollen und Endpunkten</w:t>
            </w:r>
          </w:p>
        </w:tc>
        <w:tc>
          <w:tcPr>
            <w:tcW w:type="dxa" w:w="3802"/>
            <w:vAlign w:val="center"/>
          </w:tcPr>
          <w:p>
            <w:pPr>
              <w:pStyle w:val="Compact"/>
              <w:keepNext w:val="0"/>
              <w:keepLines/>
              <w:spacing w:before="20" w:after="20" w:line="250" w:lineRule="auto"/>
              <w:jc w:val="left"/>
            </w:pPr>
            <w:r>
              <w:rPr>
                <w:rFonts w:ascii="Liberation Sans" w:hAnsi="Liberation Sans"/>
                <w:sz w:val="19"/>
              </w:rPr>
              <w:t xml:space="preserve">Auswertung darf Spezifikation nicht stillschweigend ersetzen</w:t>
            </w:r>
          </w:p>
        </w:tc>
      </w:tr>
      <w:tr>
        <w:trPr>
          <w:cantSplit/>
        </w:trPr>
        <w:tc>
          <w:tcPr>
            <w:tcW w:type="dxa" w:w="1728"/>
            <w:vAlign w:val="center"/>
          </w:tcPr>
          <w:p>
            <w:pPr>
              <w:pStyle w:val="Compact"/>
              <w:keepNext w:val="0"/>
              <w:keepLines/>
              <w:spacing w:before="20" w:after="20" w:line="250" w:lineRule="auto"/>
              <w:jc w:val="left"/>
            </w:pPr>
            <w:r>
              <w:rPr>
                <w:rFonts w:ascii="Liberation Sans" w:hAnsi="Liberation Sans"/>
                <w:sz w:val="19"/>
              </w:rPr>
              <w:t xml:space="preserve">RunRecord</w:t>
            </w:r>
          </w:p>
        </w:tc>
        <w:tc>
          <w:tcPr>
            <w:tcW w:type="dxa" w:w="4320"/>
            <w:vAlign w:val="center"/>
          </w:tcPr>
          <w:p>
            <w:pPr>
              <w:pStyle w:val="Compact"/>
              <w:keepNext w:val="0"/>
              <w:keepLines/>
              <w:spacing w:before="20" w:after="20" w:line="250" w:lineRule="auto"/>
              <w:jc w:val="left"/>
            </w:pPr>
            <w:r>
              <w:rPr>
                <w:rFonts w:ascii="Liberation Sans" w:hAnsi="Liberation Sans"/>
                <w:sz w:val="19"/>
              </w:rPr>
              <w:t xml:space="preserve">technische Beschreibung eines ausgeführten Laufs</w:t>
            </w:r>
          </w:p>
        </w:tc>
        <w:tc>
          <w:tcPr>
            <w:tcW w:type="dxa" w:w="3802"/>
            <w:vAlign w:val="center"/>
          </w:tcPr>
          <w:p>
            <w:pPr>
              <w:pStyle w:val="Compact"/>
              <w:keepNext w:val="0"/>
              <w:keepLines/>
              <w:spacing w:before="20" w:after="20" w:line="250" w:lineRule="auto"/>
              <w:jc w:val="left"/>
            </w:pPr>
            <w:r>
              <w:rPr>
                <w:rFonts w:ascii="Liberation Sans" w:hAnsi="Liberation Sans"/>
                <w:sz w:val="19"/>
              </w:rPr>
              <w:t xml:space="preserve">umfasst Commit, Config, Seed und Hardware</w:t>
            </w:r>
          </w:p>
        </w:tc>
      </w:tr>
      <w:tr>
        <w:trPr>
          <w:cantSplit/>
        </w:trPr>
        <w:tc>
          <w:tcPr>
            <w:tcW w:type="dxa" w:w="1728"/>
            <w:vAlign w:val="center"/>
          </w:tcPr>
          <w:p>
            <w:pPr>
              <w:pStyle w:val="Compact"/>
              <w:keepNext w:val="0"/>
              <w:keepLines/>
              <w:spacing w:before="20" w:after="20" w:line="250" w:lineRule="auto"/>
              <w:jc w:val="left"/>
            </w:pPr>
            <w:r>
              <w:rPr>
                <w:rFonts w:ascii="Liberation Sans" w:hAnsi="Liberation Sans"/>
                <w:sz w:val="19"/>
              </w:rPr>
              <w:t xml:space="preserve">EvidenceRecord</w:t>
            </w:r>
          </w:p>
        </w:tc>
        <w:tc>
          <w:tcPr>
            <w:tcW w:type="dxa" w:w="4320"/>
            <w:vAlign w:val="center"/>
          </w:tcPr>
          <w:p>
            <w:pPr>
              <w:pStyle w:val="Compact"/>
              <w:keepNext w:val="0"/>
              <w:keepLines/>
              <w:spacing w:before="20" w:after="20" w:line="250" w:lineRule="auto"/>
              <w:jc w:val="left"/>
            </w:pPr>
            <w:r>
              <w:rPr>
                <w:rFonts w:ascii="Liberation Sans" w:hAnsi="Liberation Sans"/>
                <w:sz w:val="19"/>
              </w:rPr>
              <w:t xml:space="preserve">begründete Zuordnung eines Claims zu einer Evidenzstufe anhand verknüpfter Ergebnisse</w:t>
            </w:r>
          </w:p>
        </w:tc>
        <w:tc>
          <w:tcPr>
            <w:tcW w:type="dxa" w:w="3802"/>
            <w:vAlign w:val="center"/>
          </w:tcPr>
          <w:p>
            <w:pPr>
              <w:pStyle w:val="Compact"/>
              <w:keepNext w:val="0"/>
              <w:keepLines/>
              <w:spacing w:before="20" w:after="20" w:line="250" w:lineRule="auto"/>
              <w:jc w:val="left"/>
            </w:pPr>
            <w:r>
              <w:rPr>
                <w:rFonts w:ascii="Liberation Sans" w:hAnsi="Liberation Sans"/>
                <w:sz w:val="19"/>
              </w:rPr>
              <w:t xml:space="preserve">kann revidiert werden</w:t>
            </w:r>
          </w:p>
        </w:tc>
      </w:tr>
    </w:tbl>
    <w:bookmarkEnd w:id="200"/>
    <w:bookmarkStart w:id="201" w:name="beziehungen"/>
    <w:p>
      <w:pPr>
        <w:pStyle w:val="Heading3"/>
        <w:keepLines/>
        <w:spacing w:after="120" w:before="160"/>
        <w:jc w:val="left"/>
      </w:pPr>
      <w:r>
        <w:rPr>
          <w:sz w:val="20"/>
        </w:rPr>
        <w:t xml:space="preserve">Beziehungen</w:t>
      </w:r>
    </w:p>
    <w:p>
      <w:pPr>
        <w:pStyle w:val="FirstParagraph"/>
        <w:keepLines/>
        <w:spacing w:after="64" w:line="254" w:lineRule="auto"/>
        <w:jc w:val="left"/>
      </w:pPr>
      <w:r>
        <w:rPr>
          <w:sz w:val="20"/>
        </w:rPr>
        <w:t xml:space="preserve">Die zentrale Provenienz- und Kausalitätskette lautet:</w:t>
      </w:r>
    </w:p>
    <w:p>
      <w:pPr>
        <w:pStyle w:val="BodyText"/>
        <w:keepLines/>
        <w:spacing w:after="64" w:before="100" w:line="254" w:lineRule="auto"/>
        <w:jc w:val="center"/>
      </w:pPr>
      <m:oMathPara>
        <m:oMathParaPr>
          <m:jc m:val="center"/>
        </m:oMathParaPr>
        <m:oMath>
          <m:m>
            <m:mPr>
              <m:baseJc m:val="center"/>
              <m:plcHide m:val="on"/>
              <m:mcs>
                <m:mc>
                  <m:mcPr>
                    <m:mcJc m:val="center"/>
                    <m:count m:val="1"/>
                  </m:mcPr>
                </m:mc>
              </m:mcs>
            </m:mPr>
            <m:mr>
              <m:e>
                <m:r>
                  <m:rPr>
                    <m:nor/>
                    <m:sty m:val="p"/>
                  </m:rPr>
                  <m:t>SourceRecord</m:t>
                </m:r>
                <m:r>
                  <m:rPr>
                    <m:sty m:val="p"/>
                  </m:rPr>
                  <m:t>→</m:t>
                </m:r>
                <m:r>
                  <m:rPr>
                    <m:nor/>
                    <m:sty m:val="p"/>
                  </m:rPr>
                  <m:t>KnowledgeItem</m:t>
                </m:r>
                <m:r>
                  <m:rPr>
                    <m:sty m:val="p"/>
                  </m:rPr>
                  <m:t>→</m:t>
                </m:r>
                <m:r>
                  <m:rPr>
                    <m:nor/>
                    <m:sty m:val="p"/>
                  </m:rPr>
                  <m:t>StimulusPlan</m:t>
                </m:r>
                <m:r>
                  <m:rPr>
                    <m:sty m:val="p"/>
                  </m:rPr>
                  <m:t>→</m:t>
                </m:r>
                <m:r>
                  <m:rPr>
                    <m:nor/>
                    <m:sty m:val="p"/>
                  </m:rPr>
                  <m:t>Episode</m:t>
                </m:r>
              </m:e>
            </m:mr>
            <m:mr>
              <m:e>
                <m:r>
                  <m:rPr>
                    <m:sty m:val="p"/>
                  </m:rPr>
                  <m:t>→</m:t>
                </m:r>
                <m:sSub>
                  <m:e>
                    <m:r>
                      <m:t>X</m:t>
                    </m:r>
                  </m:e>
                  <m:sub>
                    <m:r>
                      <m:t>t</m:t>
                    </m:r>
                  </m:sub>
                </m:sSub>
                <m:r>
                  <m:rPr>
                    <m:sty m:val="p"/>
                  </m:rPr>
                  <m:t>→</m:t>
                </m:r>
                <m:r>
                  <m:rPr>
                    <m:nor/>
                    <m:sty m:val="p"/>
                  </m:rPr>
                  <m:t>SignalFrame</m:t>
                </m:r>
                <m:r>
                  <m:rPr>
                    <m:sty m:val="p"/>
                  </m:rPr>
                  <m:t>→</m:t>
                </m:r>
                <m:r>
                  <m:rPr>
                    <m:nor/>
                    <m:sty m:val="p"/>
                  </m:rPr>
                  <m:t>Interpretation</m:t>
                </m:r>
                <m:r>
                  <m:rPr>
                    <m:sty m:val="p"/>
                  </m:rPr>
                  <m:t>→</m:t>
                </m:r>
                <m:r>
                  <m:rPr>
                    <m:nor/>
                    <m:sty m:val="p"/>
                  </m:rPr>
                  <m:t>Response</m:t>
                </m:r>
              </m:e>
            </m:mr>
          </m:m>
        </m:oMath>
      </m:oMathPara>
    </w:p>
    <w:p>
      <w:pPr>
        <w:pStyle w:val="FirstParagraph"/>
        <w:keepLines/>
        <w:spacing w:after="64" w:line="254" w:lineRule="auto"/>
        <w:jc w:val="left"/>
      </w:pPr>
      <w:r>
        <w:rPr>
          <w:b/>
          <w:bCs/>
          <w:sz w:val="20"/>
        </w:rPr>
        <w:t xml:space="preserve">[DEF]</w:t>
      </w:r>
      <w:r>
        <w:rPr>
          <w:sz w:val="20"/>
        </w:rPr>
        <w:t xml:space="preserve"> </w:t>
      </w:r>
      <w:r>
        <w:rPr>
          <w:sz w:val="20"/>
        </w:rPr>
        <w:t xml:space="preserve">Der Pfeil bedeutet hier eine dokumentierte Ableitungs- oder Einflussrelation, nicht automatisch eine hinreichende Kausalursache. Für kausale Aussagen sind Interventionen oder ein begründetes Kausalmodell erforderlich (</w:t>
      </w:r>
      <w:hyperlink w:anchor="ref-Pearl2009">
        <w:r>
          <w:rPr>
            <w:rStyle w:val="Hyperlink"/>
          </w:rPr>
          <w:t xml:space="preserve">Pearl, 2009</w:t>
        </w:r>
      </w:hyperlink>
      <w:r>
        <w:rPr>
          <w:sz w:val="20"/>
        </w:rPr>
        <w:t xml:space="preserve">;</w:t>
      </w:r>
      <w:r>
        <w:rPr>
          <w:sz w:val="20"/>
        </w:rPr>
        <w:t xml:space="preserve"> </w:t>
      </w:r>
      <w:hyperlink w:anchor="ref-Woodward2003">
        <w:r>
          <w:rPr>
            <w:rStyle w:val="Hyperlink"/>
          </w:rPr>
          <w:t xml:space="preserve">Woodward, 2003</w:t>
        </w:r>
      </w:hyperlink>
      <w:r>
        <w:rPr>
          <w:sz w:val="20"/>
        </w:rPr>
        <w:t xml:space="preserve">).</w:t>
      </w:r>
    </w:p>
    <w:bookmarkEnd w:id="201"/>
    <w:bookmarkStart w:id="202" w:name="Xd454f56a7e739c0ddcbfa500dc758b40cbec8b9"/>
    <w:p>
      <w:pPr>
        <w:pStyle w:val="Heading3"/>
        <w:keepLines/>
        <w:spacing w:after="120" w:before="160"/>
        <w:jc w:val="left"/>
      </w:pPr>
      <w:r>
        <w:rPr>
          <w:sz w:val="20"/>
        </w:rPr>
        <w:t xml:space="preserve">Region als mehrdeutige, aber versionierte Kategorie</w:t>
      </w:r>
    </w:p>
    <w:p>
      <w:pPr>
        <w:pStyle w:val="FirstParagraph"/>
        <w:keepLines/>
        <w:spacing w:after="64" w:line="254" w:lineRule="auto"/>
        <w:jc w:val="left"/>
      </w:pPr>
      <w:r>
        <w:rPr>
          <w:sz w:val="20"/>
        </w:rPr>
        <w:t xml:space="preserve">Eine Region kann auf mindestens vier Arten entstehen:</w:t>
      </w:r>
    </w:p>
    <w:p>
      <w:pPr>
        <w:keepLines/>
        <w:numPr>
          <w:ilvl w:val="0"/>
          <w:numId w:val="1013"/>
        </w:numPr>
        <w:spacing w:after="64" w:line="254" w:lineRule="auto"/>
        <w:jc w:val="left"/>
      </w:pPr>
      <w:r>
        <w:rPr>
          <w:b/>
          <w:bCs/>
          <w:sz w:val="20"/>
        </w:rPr>
        <w:t xml:space="preserve">a priori geometrisch:</w:t>
      </w:r>
      <w:r>
        <w:rPr>
          <w:sz w:val="20"/>
        </w:rPr>
        <w:t xml:space="preserve"> </w:t>
      </w:r>
      <w:r>
        <w:rPr>
          <w:sz w:val="20"/>
        </w:rPr>
        <w:t xml:space="preserve">durch Koordinatenbereiche;</w:t>
      </w:r>
    </w:p>
    <w:p>
      <w:pPr>
        <w:keepLines/>
        <w:numPr>
          <w:ilvl w:val="0"/>
          <w:numId w:val="1013"/>
        </w:numPr>
        <w:spacing w:after="64" w:line="254" w:lineRule="auto"/>
        <w:jc w:val="left"/>
      </w:pPr>
      <w:r>
        <w:rPr>
          <w:b/>
          <w:bCs/>
          <w:sz w:val="20"/>
        </w:rPr>
        <w:t xml:space="preserve">funktional spezifiziert:</w:t>
      </w:r>
      <w:r>
        <w:rPr>
          <w:sz w:val="20"/>
        </w:rPr>
        <w:t xml:space="preserve"> </w:t>
      </w:r>
      <w:r>
        <w:rPr>
          <w:sz w:val="20"/>
        </w:rPr>
        <w:t xml:space="preserve">etwa Input-, Output- oder Modulationsregion;</w:t>
      </w:r>
    </w:p>
    <w:p>
      <w:pPr>
        <w:keepLines/>
        <w:numPr>
          <w:ilvl w:val="0"/>
          <w:numId w:val="1013"/>
        </w:numPr>
        <w:spacing w:after="64" w:line="254" w:lineRule="auto"/>
        <w:jc w:val="left"/>
      </w:pPr>
      <w:r>
        <w:rPr>
          <w:b/>
          <w:bCs/>
          <w:sz w:val="20"/>
        </w:rPr>
        <w:t xml:space="preserve">strukturell datengetrieben:</w:t>
      </w:r>
      <w:r>
        <w:rPr>
          <w:sz w:val="20"/>
        </w:rPr>
        <w:t xml:space="preserve"> </w:t>
      </w:r>
      <w:r>
        <w:rPr>
          <w:sz w:val="20"/>
        </w:rPr>
        <w:t xml:space="preserve">durch Community Detection im Synapsengraphen;</w:t>
      </w:r>
    </w:p>
    <w:p>
      <w:pPr>
        <w:keepLines/>
        <w:numPr>
          <w:ilvl w:val="0"/>
          <w:numId w:val="1013"/>
        </w:numPr>
        <w:spacing w:after="64" w:line="254" w:lineRule="auto"/>
        <w:jc w:val="left"/>
      </w:pPr>
      <w:r>
        <w:rPr>
          <w:b/>
          <w:bCs/>
          <w:sz w:val="20"/>
        </w:rPr>
        <w:t xml:space="preserve">dynamisch datengetrieben:</w:t>
      </w:r>
      <w:r>
        <w:rPr>
          <w:sz w:val="20"/>
        </w:rPr>
        <w:t xml:space="preserve"> </w:t>
      </w:r>
      <w:r>
        <w:rPr>
          <w:sz w:val="20"/>
        </w:rPr>
        <w:t xml:space="preserve">durch wiederkehrende Aktivitäts- oder Synchronisationsmuster.</w:t>
      </w:r>
    </w:p>
    <w:p>
      <w:pPr>
        <w:pStyle w:val="FirstParagraph"/>
        <w:keepLines/>
        <w:spacing w:after="64" w:line="254" w:lineRule="auto"/>
        <w:jc w:val="left"/>
      </w:pPr>
      <w:r>
        <w:rPr>
          <w:sz w:val="20"/>
        </w:rPr>
        <w:t xml:space="preserve">Die vier Typen dürfen nicht ohne Kennzeichnung gleichgesetzt werden. Eine geometrische Region ist nicht automatisch eine funktionale Einheit; eine algorithmisch gefundene Community ist nicht automatisch ein kognitives Modul. Regionendefinition, Algorithmus, Parameter und Zeitpunkt werden deshalb mitgeführt.</w:t>
      </w:r>
    </w:p>
    <w:bookmarkEnd w:id="202"/>
    <w:bookmarkEnd w:id="203"/>
    <w:bookmarkStart w:id="211" w:name="wissenschaftliche-positionierung"/>
    <w:p>
      <w:pPr>
        <w:pStyle w:val="Heading2"/>
        <w:spacing w:before="160"/>
      </w:pPr>
      <w:r>
        <w:t xml:space="preserve">Wissenschaftliche Positionierung</w:t>
      </w:r>
    </w:p>
    <w:bookmarkStart w:id="204" w:name="computational-neuroscience-und-snns"/>
    <w:p>
      <w:pPr>
        <w:pStyle w:val="Heading3"/>
        <w:keepLines/>
        <w:spacing w:after="120" w:before="160"/>
        <w:jc w:val="left"/>
      </w:pPr>
      <w:r>
        <w:rPr>
          <w:sz w:val="20"/>
        </w:rPr>
        <w:t xml:space="preserve">Computational Neuroscience und SNNs</w:t>
      </w:r>
    </w:p>
    <w:p>
      <w:pPr>
        <w:pStyle w:val="FirstParagraph"/>
        <w:keepLines/>
        <w:spacing w:after="64" w:line="254" w:lineRule="auto"/>
        <w:jc w:val="left"/>
      </w:pPr>
      <w:r>
        <w:rPr>
          <w:sz w:val="20"/>
        </w:rPr>
        <w:t xml:space="preserve">SNNs erlauben die explizite Untersuchung neuronaler Zustände, Spike-Zeitpunkte, Rekurrenz und zeitabhängiger Plastizität. Das Spektrum reicht von biologisch detaillierten Hodgkin-Huxley- und Kompartimentmodellen bis zu rechnerisch günstigeren LIF-, AdEx- und Izhikevich-Modellen (</w:t>
      </w:r>
      <w:hyperlink w:anchor="ref-Brette2005">
        <w:r>
          <w:rPr>
            <w:rStyle w:val="Hyperlink"/>
          </w:rPr>
          <w:t xml:space="preserve">Brette &amp; Gerstner, 2005</w:t>
        </w:r>
      </w:hyperlink>
      <w:r>
        <w:rPr>
          <w:sz w:val="20"/>
        </w:rPr>
        <w:t xml:space="preserve">;</w:t>
      </w:r>
      <w:r>
        <w:rPr>
          <w:sz w:val="20"/>
        </w:rPr>
        <w:t xml:space="preserve"> </w:t>
      </w:r>
      <w:hyperlink w:anchor="ref-Gerstner2014">
        <w:r>
          <w:rPr>
            <w:rStyle w:val="Hyperlink"/>
          </w:rPr>
          <w:t xml:space="preserve">Gerstner et al., 2014</w:t>
        </w:r>
      </w:hyperlink>
      <w:r>
        <w:rPr>
          <w:sz w:val="20"/>
        </w:rPr>
        <w:t xml:space="preserve">;</w:t>
      </w:r>
      <w:r>
        <w:rPr>
          <w:sz w:val="20"/>
        </w:rPr>
        <w:t xml:space="preserve"> </w:t>
      </w:r>
      <w:hyperlink w:anchor="ref-Hodgkin1952">
        <w:r>
          <w:rPr>
            <w:rStyle w:val="Hyperlink"/>
          </w:rPr>
          <w:t xml:space="preserve">Hodgkin &amp; Huxley, 1952</w:t>
        </w:r>
      </w:hyperlink>
      <w:r>
        <w:rPr>
          <w:sz w:val="20"/>
        </w:rPr>
        <w:t xml:space="preserve">;</w:t>
      </w:r>
      <w:r>
        <w:rPr>
          <w:sz w:val="20"/>
        </w:rPr>
        <w:t xml:space="preserve"> </w:t>
      </w:r>
      <w:hyperlink w:anchor="ref-Izhikevich2003">
        <w:r>
          <w:rPr>
            <w:rStyle w:val="Hyperlink"/>
          </w:rPr>
          <w:t xml:space="preserve">Izhikevich, 2003</w:t>
        </w:r>
      </w:hyperlink>
      <w:r>
        <w:rPr>
          <w:sz w:val="20"/>
        </w:rPr>
        <w:t xml:space="preserve">). Brain-5D verwendet diese Modelle nicht als Beweis biologischer Gleichwertigkeit, sondern als experimentell austauschbare Dynamikklassen.</w:t>
      </w:r>
    </w:p>
    <w:bookmarkEnd w:id="204"/>
    <w:bookmarkStart w:id="205" w:name="dynamische-systeme"/>
    <w:p>
      <w:pPr>
        <w:pStyle w:val="Heading3"/>
        <w:keepLines/>
        <w:spacing w:after="120" w:before="160"/>
        <w:jc w:val="left"/>
      </w:pPr>
      <w:r>
        <w:rPr>
          <w:sz w:val="20"/>
        </w:rPr>
        <w:t xml:space="preserve">Dynamische Systeme</w:t>
      </w:r>
    </w:p>
    <w:p>
      <w:pPr>
        <w:pStyle w:val="FirstParagraph"/>
        <w:keepLines/>
        <w:spacing w:after="64" w:line="254" w:lineRule="auto"/>
        <w:jc w:val="left"/>
      </w:pPr>
      <w:r>
        <w:rPr>
          <w:sz w:val="20"/>
        </w:rPr>
        <w:t xml:space="preserve">Rekurrente Spike-Netze sind nicht nur Informationskanäle, sondern nichtlineare dynamische Systeme mit Zuständen, transienten Trajektorien, möglichen Attraktoren, metastabilen Regimen und Parameterübergängen. Hybride Systemformalismen sind geeignet, kontinuierliche Flüsse, diskrete Spikes, Resets und Strukturänderungen gemeinsam zu beschreiben (</w:t>
      </w:r>
      <w:hyperlink w:anchor="ref-Breakspear2017">
        <w:r>
          <w:rPr>
            <w:rStyle w:val="Hyperlink"/>
          </w:rPr>
          <w:t xml:space="preserve">Breakspear, 2017</w:t>
        </w:r>
      </w:hyperlink>
      <w:r>
        <w:rPr>
          <w:sz w:val="20"/>
        </w:rPr>
        <w:t xml:space="preserve">;</w:t>
      </w:r>
      <w:r>
        <w:rPr>
          <w:sz w:val="20"/>
        </w:rPr>
        <w:t xml:space="preserve"> </w:t>
      </w:r>
      <w:hyperlink w:anchor="ref-Goebel2012Hybrid">
        <w:r>
          <w:rPr>
            <w:rStyle w:val="Hyperlink"/>
          </w:rPr>
          <w:t xml:space="preserve">Goebel et al., 2012</w:t>
        </w:r>
      </w:hyperlink>
      <w:r>
        <w:rPr>
          <w:sz w:val="20"/>
        </w:rPr>
        <w:t xml:space="preserve">;</w:t>
      </w:r>
      <w:r>
        <w:rPr>
          <w:sz w:val="20"/>
        </w:rPr>
        <w:t xml:space="preserve"> </w:t>
      </w:r>
      <w:hyperlink w:anchor="ref-Kuznetsov2004">
        <w:r>
          <w:rPr>
            <w:rStyle w:val="Hyperlink"/>
          </w:rPr>
          <w:t xml:space="preserve">Kuznetsov, 2004</w:t>
        </w:r>
      </w:hyperlink>
      <w:r>
        <w:rPr>
          <w:sz w:val="20"/>
        </w:rPr>
        <w:t xml:space="preserve">;</w:t>
      </w:r>
      <w:r>
        <w:rPr>
          <w:sz w:val="20"/>
        </w:rPr>
        <w:t xml:space="preserve"> </w:t>
      </w:r>
      <w:hyperlink w:anchor="ref-Strogatz2015">
        <w:r>
          <w:rPr>
            <w:rStyle w:val="Hyperlink"/>
          </w:rPr>
          <w:t xml:space="preserve">Strogatz, 2015</w:t>
        </w:r>
      </w:hyperlink>
      <w:r>
        <w:rPr>
          <w:sz w:val="20"/>
        </w:rPr>
        <w:t xml:space="preserve">). Für Brain-5D ist Stabilität daher keine bloße Fehlerfreiheit, sondern ein empirisch zu kartierender Bereich zwischen Degeneration und unkontrollierter Aktivität.</w:t>
      </w:r>
    </w:p>
    <w:bookmarkEnd w:id="205"/>
    <w:bookmarkStart w:id="206" w:name="netzwerk--und-geometrieperspektive"/>
    <w:p>
      <w:pPr>
        <w:pStyle w:val="Heading3"/>
        <w:keepLines/>
        <w:spacing w:after="120" w:before="160"/>
        <w:jc w:val="left"/>
      </w:pPr>
      <w:r>
        <w:rPr>
          <w:sz w:val="20"/>
        </w:rPr>
        <w:t xml:space="preserve">Netzwerk- und Geometrieperspektive</w:t>
      </w:r>
    </w:p>
    <w:p>
      <w:pPr>
        <w:pStyle w:val="FirstParagraph"/>
        <w:keepLines/>
        <w:spacing w:after="64" w:line="254" w:lineRule="auto"/>
        <w:jc w:val="left"/>
      </w:pPr>
      <w:r>
        <w:rPr>
          <w:sz w:val="20"/>
        </w:rPr>
        <w:t xml:space="preserve">Graphentheoretische Maße ermöglichen die Beschreibung von Gradverteilungen, Pfadlängen, Clustering, Modularität, Motiven und spektralen Eigenschaften (</w:t>
      </w:r>
      <w:hyperlink w:anchor="ref-Bassett2017">
        <w:r>
          <w:rPr>
            <w:rStyle w:val="Hyperlink"/>
          </w:rPr>
          <w:t xml:space="preserve">Bassett &amp; Sporns, 2017</w:t>
        </w:r>
      </w:hyperlink>
      <w:r>
        <w:rPr>
          <w:sz w:val="20"/>
        </w:rPr>
        <w:t xml:space="preserve">;</w:t>
      </w:r>
      <w:r>
        <w:rPr>
          <w:sz w:val="20"/>
        </w:rPr>
        <w:t xml:space="preserve"> </w:t>
      </w:r>
      <w:hyperlink w:anchor="ref-Newman2003">
        <w:r>
          <w:rPr>
            <w:rStyle w:val="Hyperlink"/>
          </w:rPr>
          <w:t xml:space="preserve">Newman, 2003</w:t>
        </w:r>
      </w:hyperlink>
      <w:r>
        <w:rPr>
          <w:sz w:val="20"/>
        </w:rPr>
        <w:t xml:space="preserve">;</w:t>
      </w:r>
      <w:r>
        <w:rPr>
          <w:sz w:val="20"/>
        </w:rPr>
        <w:t xml:space="preserve"> </w:t>
      </w:r>
      <w:hyperlink w:anchor="ref-Rubinov2010">
        <w:r>
          <w:rPr>
            <w:rStyle w:val="Hyperlink"/>
          </w:rPr>
          <w:t xml:space="preserve">Rubinov &amp; Sporns, 2010</w:t>
        </w:r>
      </w:hyperlink>
      <w:r>
        <w:rPr>
          <w:sz w:val="20"/>
        </w:rPr>
        <w:t xml:space="preserve">). Geometrische Graphen und gelernte Metriken erweitern diese Perspektive um die Frage, ob Distanz selbst ein fester Parameter oder ein adaptiver Bestandteil des Systems ist (</w:t>
      </w:r>
      <w:hyperlink w:anchor="ref-Bronstein2017">
        <w:r>
          <w:rPr>
            <w:rStyle w:val="Hyperlink"/>
          </w:rPr>
          <w:t xml:space="preserve">Bronstein et al., 2017</w:t>
        </w:r>
      </w:hyperlink>
      <w:r>
        <w:rPr>
          <w:sz w:val="20"/>
        </w:rPr>
        <w:t xml:space="preserve">;</w:t>
      </w:r>
      <w:r>
        <w:rPr>
          <w:sz w:val="20"/>
        </w:rPr>
        <w:t xml:space="preserve"> </w:t>
      </w:r>
      <w:hyperlink w:anchor="ref-Penrose2003">
        <w:r>
          <w:rPr>
            <w:rStyle w:val="Hyperlink"/>
          </w:rPr>
          <w:t xml:space="preserve">Penrose, 2003</w:t>
        </w:r>
      </w:hyperlink>
      <w:r>
        <w:rPr>
          <w:sz w:val="20"/>
        </w:rPr>
        <w:t xml:space="preserve">;</w:t>
      </w:r>
      <w:r>
        <w:rPr>
          <w:sz w:val="20"/>
        </w:rPr>
        <w:t xml:space="preserve"> </w:t>
      </w:r>
      <w:hyperlink w:anchor="ref-Weinberger2009">
        <w:r>
          <w:rPr>
            <w:rStyle w:val="Hyperlink"/>
          </w:rPr>
          <w:t xml:space="preserve">Weinberger &amp; Saul, 2009</w:t>
        </w:r>
      </w:hyperlink>
      <w:r>
        <w:rPr>
          <w:sz w:val="20"/>
        </w:rPr>
        <w:t xml:space="preserve">). Brain-5D behandelt fünf Dimensionen deshalb weder als bloße Visualisierung noch als dogmatische Naturkonstante.</w:t>
      </w:r>
    </w:p>
    <w:bookmarkEnd w:id="206"/>
    <w:bookmarkStart w:id="207" w:name="lernen-und-gedächtnis"/>
    <w:p>
      <w:pPr>
        <w:pStyle w:val="Heading3"/>
        <w:keepLines/>
        <w:spacing w:after="120" w:before="160"/>
        <w:jc w:val="left"/>
      </w:pPr>
      <w:r>
        <w:rPr>
          <w:sz w:val="20"/>
        </w:rPr>
        <w:t xml:space="preserve">Lernen und Gedächtnis</w:t>
      </w:r>
    </w:p>
    <w:p>
      <w:pPr>
        <w:pStyle w:val="FirstParagraph"/>
        <w:keepLines/>
        <w:spacing w:after="64" w:line="254" w:lineRule="auto"/>
        <w:jc w:val="left"/>
      </w:pPr>
      <w:r>
        <w:rPr>
          <w:sz w:val="20"/>
        </w:rPr>
        <w:t xml:space="preserve">STDP, Three-Factor-Regeln, Homeostase, inhibitorische Plastizität und strukturelle Plastizität adressieren verschiedene Aspekte des Lernens (</w:t>
      </w:r>
      <w:hyperlink w:anchor="ref-Bi1998">
        <w:r>
          <w:rPr>
            <w:rStyle w:val="Hyperlink"/>
          </w:rPr>
          <w:t xml:space="preserve">Bi &amp; Poo, 1998</w:t>
        </w:r>
      </w:hyperlink>
      <w:r>
        <w:rPr>
          <w:sz w:val="20"/>
        </w:rPr>
        <w:t xml:space="preserve">;</w:t>
      </w:r>
      <w:r>
        <w:rPr>
          <w:sz w:val="20"/>
        </w:rPr>
        <w:t xml:space="preserve"> </w:t>
      </w:r>
      <w:hyperlink w:anchor="ref-Fremaux2016">
        <w:r>
          <w:rPr>
            <w:rStyle w:val="Hyperlink"/>
          </w:rPr>
          <w:t xml:space="preserve">Frémaux &amp; Gerstner, 2016</w:t>
        </w:r>
      </w:hyperlink>
      <w:r>
        <w:rPr>
          <w:sz w:val="20"/>
        </w:rPr>
        <w:t xml:space="preserve">;</w:t>
      </w:r>
      <w:r>
        <w:rPr>
          <w:sz w:val="20"/>
        </w:rPr>
        <w:t xml:space="preserve"> </w:t>
      </w:r>
      <w:hyperlink w:anchor="ref-Holtmaat2009">
        <w:r>
          <w:rPr>
            <w:rStyle w:val="Hyperlink"/>
          </w:rPr>
          <w:t xml:space="preserve">Holtmaat &amp; Svoboda, 2009</w:t>
        </w:r>
      </w:hyperlink>
      <w:r>
        <w:rPr>
          <w:sz w:val="20"/>
        </w:rPr>
        <w:t xml:space="preserve">;</w:t>
      </w:r>
      <w:r>
        <w:rPr>
          <w:sz w:val="20"/>
        </w:rPr>
        <w:t xml:space="preserve"> </w:t>
      </w:r>
      <w:hyperlink w:anchor="ref-Vogels2011">
        <w:r>
          <w:rPr>
            <w:rStyle w:val="Hyperlink"/>
          </w:rPr>
          <w:t xml:space="preserve">Vogels et al., 2011</w:t>
        </w:r>
      </w:hyperlink>
      <w:r>
        <w:rPr>
          <w:sz w:val="20"/>
        </w:rPr>
        <w:t xml:space="preserve">). Gedächtnis erfordert darüber hinaus Retention, Reaktivierung, Interferenzkontrolle und funktionale Spezifität. Modelle komplementärer Lernsysteme und synaptischer Konsolidierung zeigen, dass schnelles Lernen und lange Stabilität unterschiedliche Mechanismen verlangen können (</w:t>
      </w:r>
      <w:hyperlink w:anchor="ref-Benna2016">
        <w:r>
          <w:rPr>
            <w:rStyle w:val="Hyperlink"/>
          </w:rPr>
          <w:t xml:space="preserve">Benna &amp; Fusi, 2016</w:t>
        </w:r>
      </w:hyperlink>
      <w:r>
        <w:rPr>
          <w:sz w:val="20"/>
        </w:rPr>
        <w:t xml:space="preserve">;</w:t>
      </w:r>
      <w:r>
        <w:rPr>
          <w:sz w:val="20"/>
        </w:rPr>
        <w:t xml:space="preserve"> </w:t>
      </w:r>
      <w:hyperlink w:anchor="ref-Fusi2005">
        <w:r>
          <w:rPr>
            <w:rStyle w:val="Hyperlink"/>
          </w:rPr>
          <w:t xml:space="preserve">Fusi et al., 2005</w:t>
        </w:r>
      </w:hyperlink>
      <w:r>
        <w:rPr>
          <w:sz w:val="20"/>
        </w:rPr>
        <w:t xml:space="preserve">;</w:t>
      </w:r>
      <w:r>
        <w:rPr>
          <w:sz w:val="20"/>
        </w:rPr>
        <w:t xml:space="preserve"> </w:t>
      </w:r>
      <w:hyperlink w:anchor="ref-McClelland1995">
        <w:r>
          <w:rPr>
            <w:rStyle w:val="Hyperlink"/>
          </w:rPr>
          <w:t xml:space="preserve">McClelland et al., 1995</w:t>
        </w:r>
      </w:hyperlink>
      <w:r>
        <w:rPr>
          <w:sz w:val="20"/>
        </w:rPr>
        <w:t xml:space="preserve">). Brain-5D darf daher keine einzelne lokale Regel zum universalen Lernprinzip erklären.</w:t>
      </w:r>
    </w:p>
    <w:bookmarkEnd w:id="207"/>
    <w:bookmarkStart w:id="208" w:name="embodiment-und-geschlossene-schleifen"/>
    <w:p>
      <w:pPr>
        <w:pStyle w:val="Heading3"/>
        <w:keepLines/>
        <w:spacing w:after="120" w:before="160"/>
        <w:jc w:val="left"/>
      </w:pPr>
      <w:r>
        <w:rPr>
          <w:sz w:val="20"/>
        </w:rPr>
        <w:t xml:space="preserve">Embodiment und geschlossene Schleifen</w:t>
      </w:r>
    </w:p>
    <w:p>
      <w:pPr>
        <w:pStyle w:val="FirstParagraph"/>
        <w:keepLines/>
        <w:spacing w:after="64" w:line="254" w:lineRule="auto"/>
        <w:jc w:val="left"/>
      </w:pPr>
      <w:r>
        <w:rPr>
          <w:sz w:val="20"/>
        </w:rPr>
        <w:t xml:space="preserve">Embodied-Ansätze betonen, dass Verhalten aus der gekoppelten Dynamik von Agent, Körper und Umwelt hervorgeht (</w:t>
      </w:r>
      <w:hyperlink w:anchor="ref-Beer1995">
        <w:r>
          <w:rPr>
            <w:rStyle w:val="Hyperlink"/>
          </w:rPr>
          <w:t xml:space="preserve">Beer, 1995</w:t>
        </w:r>
      </w:hyperlink>
      <w:r>
        <w:rPr>
          <w:sz w:val="20"/>
        </w:rPr>
        <w:t xml:space="preserve">;</w:t>
      </w:r>
      <w:r>
        <w:rPr>
          <w:sz w:val="20"/>
        </w:rPr>
        <w:t xml:space="preserve"> </w:t>
      </w:r>
      <w:hyperlink w:anchor="ref-Brooks1991">
        <w:r>
          <w:rPr>
            <w:rStyle w:val="Hyperlink"/>
          </w:rPr>
          <w:t xml:space="preserve">Brooks, 1991</w:t>
        </w:r>
      </w:hyperlink>
      <w:r>
        <w:rPr>
          <w:sz w:val="20"/>
        </w:rPr>
        <w:t xml:space="preserve">;</w:t>
      </w:r>
      <w:r>
        <w:rPr>
          <w:sz w:val="20"/>
        </w:rPr>
        <w:t xml:space="preserve"> </w:t>
      </w:r>
      <w:hyperlink w:anchor="ref-Pfeifer2006">
        <w:r>
          <w:rPr>
            <w:rStyle w:val="Hyperlink"/>
          </w:rPr>
          <w:t xml:space="preserve">Pfeifer &amp; Bongard, 2006</w:t>
        </w:r>
      </w:hyperlink>
      <w:r>
        <w:rPr>
          <w:sz w:val="20"/>
        </w:rPr>
        <w:t xml:space="preserve">). Ein Closed Loop verändert die Datenverteilung kausal: Aktionen beeinflussen zukünftige Beobachtungen. Für Brain-5D ist Verkörperung deshalb kein optionales Ausgabemodul, sondern eine experimentelle Bedingung, die interne Zustände und Lernsignale verändern kann.</w:t>
      </w:r>
    </w:p>
    <w:bookmarkEnd w:id="208"/>
    <w:bookmarkStart w:id="209" w:name="Xdb8e44574b12a73665e2330ab15c050ccc9e1a5"/>
    <w:p>
      <w:pPr>
        <w:pStyle w:val="Heading3"/>
        <w:keepLines/>
        <w:spacing w:after="120" w:before="160"/>
        <w:jc w:val="left"/>
      </w:pPr>
      <w:r>
        <w:rPr>
          <w:sz w:val="20"/>
        </w:rPr>
        <w:t xml:space="preserve">Neuro-symbolische und sprachliche Kopplung</w:t>
      </w:r>
    </w:p>
    <w:p>
      <w:pPr>
        <w:pStyle w:val="FirstParagraph"/>
        <w:keepLines/>
        <w:spacing w:after="64" w:line="254" w:lineRule="auto"/>
        <w:jc w:val="left"/>
      </w:pPr>
      <w:r>
        <w:rPr>
          <w:sz w:val="20"/>
        </w:rPr>
        <w:t xml:space="preserve">Neural-symbolische Systeme verbinden subsymbolische Zustände mit expliziten Symbolen oder Regeln (</w:t>
      </w:r>
      <w:hyperlink w:anchor="ref-Garcez2009">
        <w:r>
          <w:rPr>
            <w:rStyle w:val="Hyperlink"/>
          </w:rPr>
          <w:t xml:space="preserve">Garcez et al., 2009</w:t>
        </w:r>
      </w:hyperlink>
      <w:r>
        <w:rPr>
          <w:sz w:val="20"/>
        </w:rPr>
        <w:t xml:space="preserve">). LLMs und Retrieval-Systeme ermöglichen leistungsfähige sprachliche und wissensbezogene Schnittstellen (</w:t>
      </w:r>
      <w:hyperlink w:anchor="ref-Lewis2020">
        <w:r>
          <w:rPr>
            <w:rStyle w:val="Hyperlink"/>
          </w:rPr>
          <w:t xml:space="preserve">Lewis et al., 2020</w:t>
        </w:r>
      </w:hyperlink>
      <w:r>
        <w:rPr>
          <w:sz w:val="20"/>
        </w:rPr>
        <w:t xml:space="preserve">;</w:t>
      </w:r>
      <w:r>
        <w:rPr>
          <w:sz w:val="20"/>
        </w:rPr>
        <w:t xml:space="preserve"> </w:t>
      </w:r>
      <w:hyperlink w:anchor="ref-Vaswani2017">
        <w:r>
          <w:rPr>
            <w:rStyle w:val="Hyperlink"/>
          </w:rPr>
          <w:t xml:space="preserve">Vaswani et al., 2017</w:t>
        </w:r>
      </w:hyperlink>
      <w:r>
        <w:rPr>
          <w:sz w:val="20"/>
        </w:rPr>
        <w:t xml:space="preserve">). Gerade diese Leistungsfähigkeit erzeugt jedoch eine massive Störvariable: Ein System kann überzeugend antworten, obwohl der SNN-Kern keinen entsprechenden Inhalt gespeichert hat. Brain-5D verschärft daher die Kausalitätsgrenzen und verlangt isolierte Tests.</w:t>
      </w:r>
    </w:p>
    <w:bookmarkEnd w:id="209"/>
    <w:bookmarkStart w:id="210" w:name="vorläufige-neuheitsposition"/>
    <w:p>
      <w:pPr>
        <w:pStyle w:val="Heading3"/>
        <w:keepLines/>
        <w:spacing w:after="120" w:before="160"/>
        <w:jc w:val="left"/>
      </w:pPr>
      <w:r>
        <w:rPr>
          <w:sz w:val="20"/>
        </w:rPr>
        <w:t xml:space="preserve">Vorläufige Neuheitsposition</w:t>
      </w:r>
    </w:p>
    <w:p>
      <w:pPr>
        <w:pStyle w:val="FirstParagraph"/>
        <w:keepLines/>
        <w:spacing w:after="64" w:line="254" w:lineRule="auto"/>
        <w:jc w:val="left"/>
      </w:pPr>
      <w:r>
        <w:rPr>
          <w:b/>
          <w:bCs/>
          <w:sz w:val="20"/>
        </w:rPr>
        <w:t xml:space="preserve">[E0 | NOVELTY-HYPOTHESIS]</w:t>
      </w:r>
      <w:r>
        <w:rPr>
          <w:sz w:val="20"/>
        </w:rPr>
        <w:t xml:space="preserve"> </w:t>
      </w:r>
      <w:r>
        <w:rPr>
          <w:sz w:val="20"/>
        </w:rPr>
        <w:t xml:space="preserve">Die wissenschaftliche Neuheit ist erst nach einer systematischen beziehungsweise scoping-basierten Literaturrecherche belastbar zu behaupten. Dieses Framework formuliert deshalb eine</w:t>
      </w:r>
      <w:r>
        <w:rPr>
          <w:sz w:val="20"/>
        </w:rPr>
        <w:t xml:space="preserve"> </w:t>
      </w:r>
      <w:r>
        <w:rPr>
          <w:b/>
          <w:bCs/>
          <w:sz w:val="20"/>
        </w:rPr>
        <w:t xml:space="preserve">Kandidatenposition</w:t>
      </w:r>
      <w:r>
        <w:rPr>
          <w:sz w:val="20"/>
        </w:rPr>
        <w:t xml:space="preserve">: Die Kombination aus gelernter 5D-Geometrie, dynamischer Sparse-Topologie, strikter LLM-Kausaltrennung, Digital-State-Twin-Persistenz und softwaregebundenem Evidenzregister könnte eine eigenständige Forschungsarchitektur darstellen. Die Behauptung muss gegen verwandte SNN-Simulatoren, neuromorphe Agenten, adaptive Graphsysteme und hybride LLM-Agenten abgegrenzt werden. Eine spätere Review sollte transparent nach PRISMA-nahen Prinzipien dokumentiert werden (</w:t>
      </w:r>
      <w:hyperlink w:anchor="ref-Page2021">
        <w:r>
          <w:rPr>
            <w:rStyle w:val="Hyperlink"/>
          </w:rPr>
          <w:t xml:space="preserve">Page et al., 2021</w:t>
        </w:r>
      </w:hyperlink>
      <w:r>
        <w:rPr>
          <w:sz w:val="20"/>
        </w:rPr>
        <w:t xml:space="preserve">).</w:t>
      </w:r>
    </w:p>
    <w:bookmarkEnd w:id="210"/>
    <w:bookmarkEnd w:id="211"/>
    <w:bookmarkStart w:id="217" w:name="architektur-invarianten"/>
    <w:p>
      <w:pPr>
        <w:pStyle w:val="Heading2"/>
        <w:spacing w:before="160"/>
      </w:pPr>
      <w:r>
        <w:t xml:space="preserve">Architektur-Invarianten</w:t>
      </w:r>
    </w:p>
    <w:bookmarkStart w:id="212" w:name="normativer-charakter"/>
    <w:p>
      <w:pPr>
        <w:pStyle w:val="Heading3"/>
        <w:keepLines/>
        <w:spacing w:after="120" w:before="160"/>
        <w:jc w:val="left"/>
      </w:pPr>
      <w:r>
        <w:rPr>
          <w:sz w:val="20"/>
        </w:rPr>
        <w:t xml:space="preserve">Normativer Charakter</w:t>
      </w:r>
    </w:p>
    <w:p>
      <w:pPr>
        <w:pStyle w:val="FirstParagraph"/>
        <w:keepLines/>
        <w:spacing w:after="64" w:line="254" w:lineRule="auto"/>
        <w:jc w:val="left"/>
      </w:pPr>
      <w:r>
        <w:rPr>
          <w:sz w:val="20"/>
        </w:rPr>
        <w:t xml:space="preserve">Invarianten sind keine zufälligen Implementierungsdetails. Sie definieren Bedingungen, deren Verletzung die wissenschaftliche Interpretierbarkeit des Systems beschädigt. Eine Änderung erfordert daher eine explizite Architekturentscheidung und eine Analyse der betroffenen Claims.</w:t>
      </w:r>
    </w:p>
    <w:p>
      <w:pPr>
        <w:pStyle w:val="Caption"/>
        <w:keepNext/>
        <w:keepLines/>
        <w:spacing w:before="180" w:after="120"/>
        <w:jc w:val="left"/>
      </w:pPr>
      <w:r>
        <w:rPr>
          <w:sz w:val="20"/>
        </w:rPr>
        <w:t>Tabelle 20. Architektur-Invarianten und Pruefbedingungen</w:t>
      </w:r>
    </w:p>
    <w:tbl>
      <w:tblPr>
        <w:tblStyle w:val="Table"/>
        <w:tblW w:type="pct" w:w="4950"/>
        <w:jc w:val="center"/>
        <w:tblLayout w:type="fixed"/>
        <w:tblLook w:firstRow="1" w:lastRow="0" w:firstColumn="0" w:lastColumn="0" w:noHBand="0" w:noVBand="0" w:val="0020"/>
        <w:tblInd w:w="0" w:type="dxa"/>
        <w:tblCellMar>
          <w:top w:w="70" w:type="dxa"/>
          <w:bottom w:w="70" w:type="dxa"/>
          <w:left w:w="85" w:type="dxa"/>
          <w:right w:w="85" w:type="dxa"/>
        </w:tblCellMar>
        <w:tblBorders>
          <w:top w:val="single" w:sz="4" w:color="CCD4D9"/>
          <w:bottom w:val="single" w:sz="4" w:color="CCD4D9"/>
          <w:insideH w:val="single" w:sz="4" w:color="CCD4D9"/>
          <w:left w:val="nil"/>
          <w:right w:val="nil"/>
          <w:insideV w:val="nil"/>
        </w:tblBorders>
      </w:tblPr>
      <w:tblGrid>
        <w:gridCol w:w="1080"/>
        <w:gridCol w:w="3456"/>
        <w:gridCol w:w="2650"/>
        <w:gridCol w:w="2664"/>
      </w:tblGrid>
      <w:tr>
        <w:trPr>
          <w:tblHeader w:val="on"/>
          <w:cantSplit/>
          <w:tblHeader/>
        </w:trPr>
        <w:tc>
          <w:tcPr>
            <w:tcW w:type="dxa" w:w="1080"/>
            <w:vAlign w:val="center"/>
            <w:shd w:fill="E9EFF3"/>
          </w:tcPr>
          <w:p>
            <w:pPr>
              <w:pStyle w:val="Compact"/>
              <w:keepNext w:val="0"/>
              <w:keepLines/>
              <w:spacing w:before="20" w:after="20" w:line="250" w:lineRule="auto"/>
              <w:jc w:val="center"/>
            </w:pPr>
            <w:r>
              <w:rPr>
                <w:rFonts w:ascii="Liberation Sans" w:hAnsi="Liberation Sans"/>
                <w:b/>
                <w:bCs/>
                <w:sz w:val="18"/>
              </w:rPr>
              <w:t xml:space="preserve">ID</w:t>
            </w:r>
          </w:p>
        </w:tc>
        <w:tc>
          <w:tcPr>
            <w:tcW w:type="dxa" w:w="3456"/>
            <w:vAlign w:val="center"/>
            <w:shd w:fill="E9EFF3"/>
          </w:tcPr>
          <w:p>
            <w:pPr>
              <w:pStyle w:val="Compact"/>
              <w:keepNext w:val="0"/>
              <w:keepLines/>
              <w:spacing w:before="20" w:after="20" w:line="250" w:lineRule="auto"/>
              <w:jc w:val="left"/>
            </w:pPr>
            <w:r>
              <w:rPr>
                <w:rFonts w:ascii="Liberation Sans" w:hAnsi="Liberation Sans"/>
                <w:b/>
                <w:bCs/>
                <w:sz w:val="18"/>
              </w:rPr>
              <w:t xml:space="preserve">Invariante</w:t>
            </w:r>
          </w:p>
        </w:tc>
        <w:tc>
          <w:tcPr>
            <w:tcW w:type="dxa" w:w="2650"/>
            <w:vAlign w:val="center"/>
            <w:shd w:fill="E9EFF3"/>
          </w:tcPr>
          <w:p>
            <w:pPr>
              <w:pStyle w:val="Compact"/>
              <w:keepNext w:val="0"/>
              <w:keepLines/>
              <w:spacing w:before="20" w:after="20" w:line="250" w:lineRule="auto"/>
              <w:jc w:val="left"/>
            </w:pPr>
            <w:r>
              <w:rPr>
                <w:rFonts w:ascii="Liberation Sans" w:hAnsi="Liberation Sans"/>
                <w:b/>
                <w:bCs/>
                <w:sz w:val="18"/>
              </w:rPr>
              <w:t xml:space="preserve">Begründung</w:t>
            </w:r>
          </w:p>
        </w:tc>
        <w:tc>
          <w:tcPr>
            <w:tcW w:type="dxa" w:w="2664"/>
            <w:vAlign w:val="center"/>
            <w:shd w:fill="E9EFF3"/>
          </w:tcPr>
          <w:p>
            <w:pPr>
              <w:pStyle w:val="Compact"/>
              <w:keepNext w:val="0"/>
              <w:keepLines/>
              <w:spacing w:before="20" w:after="20" w:line="250" w:lineRule="auto"/>
              <w:jc w:val="left"/>
            </w:pPr>
            <w:r>
              <w:rPr>
                <w:rFonts w:ascii="Liberation Sans" w:hAnsi="Liberation Sans"/>
                <w:b/>
                <w:bCs/>
                <w:sz w:val="18"/>
              </w:rPr>
              <w:t xml:space="preserve">Minimaler Verifikationstest</w:t>
            </w:r>
          </w:p>
        </w:tc>
      </w:tr>
      <w:tr>
        <w:trPr>
          <w:cantSplit/>
        </w:trPr>
        <w:tc>
          <w:tcPr>
            <w:tcW w:type="dxa" w:w="1080"/>
            <w:vAlign w:val="center"/>
          </w:tcPr>
          <w:p>
            <w:pPr>
              <w:pStyle w:val="Compact"/>
              <w:keepNext w:val="0"/>
              <w:keepLines/>
              <w:spacing w:before="20" w:after="20" w:line="250" w:lineRule="auto"/>
              <w:jc w:val="center"/>
            </w:pPr>
            <w:r>
              <w:rPr>
                <w:rFonts w:ascii="Liberation Sans" w:hAnsi="Liberation Sans"/>
                <w:sz w:val="18"/>
              </w:rPr>
              <w:t xml:space="preserve">INV-01</w:t>
            </w:r>
          </w:p>
        </w:tc>
        <w:tc>
          <w:tcPr>
            <w:tcW w:type="dxa" w:w="3456"/>
            <w:vAlign w:val="center"/>
          </w:tcPr>
          <w:p>
            <w:pPr>
              <w:pStyle w:val="Compact"/>
              <w:keepNext w:val="0"/>
              <w:keepLines/>
              <w:spacing w:before="20" w:after="20" w:line="250" w:lineRule="auto"/>
              <w:jc w:val="left"/>
            </w:pPr>
            <w:r>
              <w:rPr>
                <w:rFonts w:ascii="Liberation Sans" w:hAnsi="Liberation Sans"/>
                <w:sz w:val="18"/>
              </w:rPr>
              <w:t xml:space="preserve">Der SNN-Runtime-Loop bleibt ohne LLM, Internet und Retrieval funktionsfähig.</w:t>
            </w:r>
          </w:p>
        </w:tc>
        <w:tc>
          <w:tcPr>
            <w:tcW w:type="dxa" w:w="2650"/>
            <w:vAlign w:val="center"/>
          </w:tcPr>
          <w:p>
            <w:pPr>
              <w:pStyle w:val="Compact"/>
              <w:keepNext w:val="0"/>
              <w:keepLines/>
              <w:spacing w:before="20" w:after="20" w:line="250" w:lineRule="auto"/>
              <w:jc w:val="left"/>
            </w:pPr>
            <w:r>
              <w:rPr>
                <w:rFonts w:ascii="Liberation Sans" w:hAnsi="Liberation Sans"/>
                <w:sz w:val="18"/>
              </w:rPr>
              <w:t xml:space="preserve">verhindert Abhängigkeit des neuronalen Kerns</w:t>
            </w:r>
          </w:p>
        </w:tc>
        <w:tc>
          <w:tcPr>
            <w:tcW w:type="dxa" w:w="2664"/>
            <w:vAlign w:val="center"/>
          </w:tcPr>
          <w:p>
            <w:pPr>
              <w:pStyle w:val="Compact"/>
              <w:keepNext w:val="0"/>
              <w:keepLines/>
              <w:spacing w:before="20" w:after="20" w:line="250" w:lineRule="auto"/>
              <w:jc w:val="left"/>
            </w:pPr>
            <w:r>
              <w:rPr>
                <w:rFonts w:ascii="Liberation Sans" w:hAnsi="Liberation Sans"/>
                <w:sz w:val="18"/>
              </w:rPr>
              <w:t xml:space="preserve">Null-Backend-Integrationstest</w:t>
            </w:r>
          </w:p>
        </w:tc>
      </w:tr>
      <w:tr>
        <w:trPr>
          <w:cantSplit/>
        </w:trPr>
        <w:tc>
          <w:tcPr>
            <w:tcW w:type="dxa" w:w="1080"/>
            <w:vAlign w:val="center"/>
          </w:tcPr>
          <w:p>
            <w:pPr>
              <w:pStyle w:val="Compact"/>
              <w:keepNext w:val="0"/>
              <w:keepLines/>
              <w:spacing w:before="20" w:after="20" w:line="250" w:lineRule="auto"/>
              <w:jc w:val="center"/>
            </w:pPr>
            <w:r>
              <w:rPr>
                <w:rFonts w:ascii="Liberation Sans" w:hAnsi="Liberation Sans"/>
                <w:sz w:val="18"/>
              </w:rPr>
              <w:t xml:space="preserve">INV-02</w:t>
            </w:r>
          </w:p>
        </w:tc>
        <w:tc>
          <w:tcPr>
            <w:tcW w:type="dxa" w:w="3456"/>
            <w:vAlign w:val="center"/>
          </w:tcPr>
          <w:p>
            <w:pPr>
              <w:pStyle w:val="Compact"/>
              <w:keepNext w:val="0"/>
              <w:keepLines/>
              <w:spacing w:before="20" w:after="20" w:line="250" w:lineRule="auto"/>
              <w:jc w:val="left"/>
            </w:pPr>
            <w:r>
              <w:rPr>
                <w:rFonts w:ascii="Liberation Sans" w:hAnsi="Liberation Sans"/>
                <w:sz w:val="18"/>
              </w:rPr>
              <w:t xml:space="preserve">Externe Komponenten besitzen keine direkten Schreibrechte auf Gewichte oder Topologie.</w:t>
            </w:r>
          </w:p>
        </w:tc>
        <w:tc>
          <w:tcPr>
            <w:tcW w:type="dxa" w:w="2650"/>
            <w:vAlign w:val="center"/>
          </w:tcPr>
          <w:p>
            <w:pPr>
              <w:pStyle w:val="Compact"/>
              <w:keepNext w:val="0"/>
              <w:keepLines/>
              <w:spacing w:before="20" w:after="20" w:line="250" w:lineRule="auto"/>
              <w:jc w:val="left"/>
            </w:pPr>
            <w:r>
              <w:rPr>
                <w:rFonts w:ascii="Liberation Sans" w:hAnsi="Liberation Sans"/>
                <w:sz w:val="18"/>
              </w:rPr>
              <w:t xml:space="preserve">erhält kausale Zuordenbarkeit</w:t>
            </w:r>
          </w:p>
        </w:tc>
        <w:tc>
          <w:tcPr>
            <w:tcW w:type="dxa" w:w="2664"/>
            <w:vAlign w:val="center"/>
          </w:tcPr>
          <w:p>
            <w:pPr>
              <w:pStyle w:val="Compact"/>
              <w:keepNext w:val="0"/>
              <w:keepLines/>
              <w:spacing w:before="20" w:after="20" w:line="250" w:lineRule="auto"/>
              <w:jc w:val="left"/>
            </w:pPr>
            <w:r>
              <w:rPr>
                <w:rFonts w:ascii="Liberation Sans" w:hAnsi="Liberation Sans"/>
                <w:sz w:val="18"/>
              </w:rPr>
              <w:t xml:space="preserve">Capability-/API-Test</w:t>
            </w:r>
          </w:p>
        </w:tc>
      </w:tr>
      <w:tr>
        <w:trPr>
          <w:cantSplit/>
        </w:trPr>
        <w:tc>
          <w:tcPr>
            <w:tcW w:type="dxa" w:w="1080"/>
            <w:vAlign w:val="center"/>
          </w:tcPr>
          <w:p>
            <w:pPr>
              <w:pStyle w:val="Compact"/>
              <w:keepNext w:val="0"/>
              <w:keepLines/>
              <w:spacing w:before="20" w:after="20" w:line="250" w:lineRule="auto"/>
              <w:jc w:val="center"/>
            </w:pPr>
            <w:r>
              <w:rPr>
                <w:rFonts w:ascii="Liberation Sans" w:hAnsi="Liberation Sans"/>
                <w:sz w:val="18"/>
              </w:rPr>
              <w:t xml:space="preserve">INV-03</w:t>
            </w:r>
          </w:p>
        </w:tc>
        <w:tc>
          <w:tcPr>
            <w:tcW w:type="dxa" w:w="3456"/>
            <w:vAlign w:val="center"/>
          </w:tcPr>
          <w:p>
            <w:pPr>
              <w:pStyle w:val="Compact"/>
              <w:keepNext w:val="0"/>
              <w:keepLines/>
              <w:spacing w:before="20" w:after="20" w:line="250" w:lineRule="auto"/>
              <w:jc w:val="left"/>
            </w:pPr>
            <w:r>
              <w:rPr>
                <w:rFonts w:ascii="Liberation Sans" w:hAnsi="Liberation Sans"/>
                <w:sz w:val="18"/>
              </w:rPr>
              <w:t xml:space="preserve">Jeder externe Einfluss passiert einen versionierten Eingabevertrag.</w:t>
            </w:r>
          </w:p>
        </w:tc>
        <w:tc>
          <w:tcPr>
            <w:tcW w:type="dxa" w:w="2650"/>
            <w:vAlign w:val="center"/>
          </w:tcPr>
          <w:p>
            <w:pPr>
              <w:pStyle w:val="Compact"/>
              <w:keepNext w:val="0"/>
              <w:keepLines/>
              <w:spacing w:before="20" w:after="20" w:line="250" w:lineRule="auto"/>
              <w:jc w:val="left"/>
            </w:pPr>
            <w:r>
              <w:rPr>
                <w:rFonts w:ascii="Liberation Sans" w:hAnsi="Liberation Sans"/>
                <w:sz w:val="18"/>
              </w:rPr>
              <w:t xml:space="preserve">ermöglicht Validierung und Replay</w:t>
            </w:r>
          </w:p>
        </w:tc>
        <w:tc>
          <w:tcPr>
            <w:tcW w:type="dxa" w:w="2664"/>
            <w:vAlign w:val="center"/>
          </w:tcPr>
          <w:p>
            <w:pPr>
              <w:pStyle w:val="Compact"/>
              <w:keepNext w:val="0"/>
              <w:keepLines/>
              <w:spacing w:before="20" w:after="20" w:line="250" w:lineRule="auto"/>
              <w:jc w:val="left"/>
            </w:pPr>
            <w:r>
              <w:rPr>
                <w:rFonts w:ascii="Liberation Sans" w:hAnsi="Liberation Sans"/>
                <w:sz w:val="18"/>
              </w:rPr>
              <w:t xml:space="preserve">Schema- und Reject-Tests</w:t>
            </w:r>
          </w:p>
        </w:tc>
      </w:tr>
      <w:tr>
        <w:trPr>
          <w:cantSplit/>
        </w:trPr>
        <w:tc>
          <w:tcPr>
            <w:tcW w:type="dxa" w:w="1080"/>
            <w:vAlign w:val="center"/>
          </w:tcPr>
          <w:p>
            <w:pPr>
              <w:pStyle w:val="Compact"/>
              <w:keepNext w:val="0"/>
              <w:keepLines/>
              <w:spacing w:before="20" w:after="20" w:line="250" w:lineRule="auto"/>
              <w:jc w:val="center"/>
            </w:pPr>
            <w:r>
              <w:rPr>
                <w:rFonts w:ascii="Liberation Sans" w:hAnsi="Liberation Sans"/>
                <w:sz w:val="18"/>
              </w:rPr>
              <w:t xml:space="preserve">INV-04</w:t>
            </w:r>
          </w:p>
        </w:tc>
        <w:tc>
          <w:tcPr>
            <w:tcW w:type="dxa" w:w="3456"/>
            <w:vAlign w:val="center"/>
          </w:tcPr>
          <w:p>
            <w:pPr>
              <w:pStyle w:val="Compact"/>
              <w:keepNext w:val="0"/>
              <w:keepLines/>
              <w:spacing w:before="20" w:after="20" w:line="250" w:lineRule="auto"/>
              <w:jc w:val="left"/>
            </w:pPr>
            <w:r>
              <w:rPr>
                <w:rFonts w:ascii="Liberation Sans" w:hAnsi="Liberation Sans"/>
                <w:sz w:val="18"/>
              </w:rPr>
              <w:t xml:space="preserve">Monitoring ist beobachtend; Rückkopplung ist als Intervention separat gekennzeichnet.</w:t>
            </w:r>
          </w:p>
        </w:tc>
        <w:tc>
          <w:tcPr>
            <w:tcW w:type="dxa" w:w="2650"/>
            <w:vAlign w:val="center"/>
          </w:tcPr>
          <w:p>
            <w:pPr>
              <w:pStyle w:val="Compact"/>
              <w:keepNext w:val="0"/>
              <w:keepLines/>
              <w:spacing w:before="20" w:after="20" w:line="250" w:lineRule="auto"/>
              <w:jc w:val="left"/>
            </w:pPr>
            <w:r>
              <w:rPr>
                <w:rFonts w:ascii="Liberation Sans" w:hAnsi="Liberation Sans"/>
                <w:sz w:val="18"/>
              </w:rPr>
              <w:t xml:space="preserve">vermeidet versteckte LLM-Steuerung</w:t>
            </w:r>
          </w:p>
        </w:tc>
        <w:tc>
          <w:tcPr>
            <w:tcW w:type="dxa" w:w="2664"/>
            <w:vAlign w:val="center"/>
          </w:tcPr>
          <w:p>
            <w:pPr>
              <w:pStyle w:val="Compact"/>
              <w:keepNext w:val="0"/>
              <w:keepLines/>
              <w:spacing w:before="20" w:after="20" w:line="250" w:lineRule="auto"/>
              <w:jc w:val="left"/>
            </w:pPr>
            <w:r>
              <w:rPr>
                <w:rFonts w:ascii="Liberation Sans" w:hAnsi="Liberation Sans"/>
                <w:sz w:val="18"/>
              </w:rPr>
              <w:t xml:space="preserve">Datenfluss- und Audit-Test</w:t>
            </w:r>
          </w:p>
        </w:tc>
      </w:tr>
      <w:tr>
        <w:trPr>
          <w:cantSplit/>
        </w:trPr>
        <w:tc>
          <w:tcPr>
            <w:tcW w:type="dxa" w:w="1080"/>
            <w:vAlign w:val="center"/>
          </w:tcPr>
          <w:p>
            <w:pPr>
              <w:pStyle w:val="Compact"/>
              <w:keepNext w:val="0"/>
              <w:keepLines/>
              <w:spacing w:before="20" w:after="20" w:line="250" w:lineRule="auto"/>
              <w:jc w:val="center"/>
            </w:pPr>
            <w:r>
              <w:rPr>
                <w:rFonts w:ascii="Liberation Sans" w:hAnsi="Liberation Sans"/>
                <w:sz w:val="18"/>
              </w:rPr>
              <w:t xml:space="preserve">INV-05</w:t>
            </w:r>
          </w:p>
        </w:tc>
        <w:tc>
          <w:tcPr>
            <w:tcW w:type="dxa" w:w="3456"/>
            <w:vAlign w:val="center"/>
          </w:tcPr>
          <w:p>
            <w:pPr>
              <w:pStyle w:val="Compact"/>
              <w:keepNext w:val="0"/>
              <w:keepLines/>
              <w:spacing w:before="20" w:after="20" w:line="250" w:lineRule="auto"/>
              <w:jc w:val="left"/>
            </w:pPr>
            <w:r>
              <w:rPr>
                <w:rFonts w:ascii="Liberation Sans" w:hAnsi="Liberation Sans"/>
                <w:sz w:val="18"/>
              </w:rPr>
              <w:t xml:space="preserve">Messobjekt und Interpretation sind getrennte Datentypen.</w:t>
            </w:r>
          </w:p>
        </w:tc>
        <w:tc>
          <w:tcPr>
            <w:tcW w:type="dxa" w:w="2650"/>
            <w:vAlign w:val="center"/>
          </w:tcPr>
          <w:p>
            <w:pPr>
              <w:pStyle w:val="Compact"/>
              <w:keepNext w:val="0"/>
              <w:keepLines/>
              <w:spacing w:before="20" w:after="20" w:line="250" w:lineRule="auto"/>
              <w:jc w:val="left"/>
            </w:pPr>
            <w:r>
              <w:rPr>
                <w:rFonts w:ascii="Liberation Sans" w:hAnsi="Liberation Sans"/>
                <w:sz w:val="18"/>
              </w:rPr>
              <w:t xml:space="preserve">verhindert semantische Reifikation</w:t>
            </w:r>
          </w:p>
        </w:tc>
        <w:tc>
          <w:tcPr>
            <w:tcW w:type="dxa" w:w="2664"/>
            <w:vAlign w:val="center"/>
          </w:tcPr>
          <w:p>
            <w:pPr>
              <w:pStyle w:val="Compact"/>
              <w:keepNext w:val="0"/>
              <w:keepLines/>
              <w:spacing w:before="20" w:after="20" w:line="250" w:lineRule="auto"/>
              <w:jc w:val="left"/>
            </w:pPr>
            <w:r>
              <w:rPr>
                <w:rFonts w:ascii="Liberation Sans" w:hAnsi="Liberation Sans"/>
                <w:sz w:val="18"/>
              </w:rPr>
              <w:t xml:space="preserve">Typ- und Serialisierungstest</w:t>
            </w:r>
          </w:p>
        </w:tc>
      </w:tr>
      <w:tr>
        <w:trPr>
          <w:cantSplit/>
        </w:trPr>
        <w:tc>
          <w:tcPr>
            <w:tcW w:type="dxa" w:w="1080"/>
            <w:vAlign w:val="center"/>
          </w:tcPr>
          <w:p>
            <w:pPr>
              <w:pStyle w:val="Compact"/>
              <w:keepNext w:val="0"/>
              <w:keepLines/>
              <w:spacing w:before="20" w:after="20" w:line="250" w:lineRule="auto"/>
              <w:jc w:val="center"/>
            </w:pPr>
            <w:r>
              <w:rPr>
                <w:rFonts w:ascii="Liberation Sans" w:hAnsi="Liberation Sans"/>
                <w:sz w:val="18"/>
              </w:rPr>
              <w:t xml:space="preserve">INV-06</w:t>
            </w:r>
          </w:p>
        </w:tc>
        <w:tc>
          <w:tcPr>
            <w:tcW w:type="dxa" w:w="3456"/>
            <w:vAlign w:val="center"/>
          </w:tcPr>
          <w:p>
            <w:pPr>
              <w:pStyle w:val="Compact"/>
              <w:keepNext w:val="0"/>
              <w:keepLines/>
              <w:spacing w:before="20" w:after="20" w:line="250" w:lineRule="auto"/>
              <w:jc w:val="left"/>
            </w:pPr>
            <w:r>
              <w:rPr>
                <w:rFonts w:ascii="Liberation Sans" w:hAnsi="Liberation Sans"/>
                <w:sz w:val="18"/>
              </w:rPr>
              <w:t xml:space="preserve">Zustandsverändernde Operationen sind protokollierbar.</w:t>
            </w:r>
          </w:p>
        </w:tc>
        <w:tc>
          <w:tcPr>
            <w:tcW w:type="dxa" w:w="2650"/>
            <w:vAlign w:val="center"/>
          </w:tcPr>
          <w:p>
            <w:pPr>
              <w:pStyle w:val="Compact"/>
              <w:keepNext w:val="0"/>
              <w:keepLines/>
              <w:spacing w:before="20" w:after="20" w:line="250" w:lineRule="auto"/>
              <w:jc w:val="left"/>
            </w:pPr>
            <w:r>
              <w:rPr>
                <w:rFonts w:ascii="Liberation Sans" w:hAnsi="Liberation Sans"/>
                <w:sz w:val="18"/>
              </w:rPr>
              <w:t xml:space="preserve">ermöglicht Rekonstruktion</w:t>
            </w:r>
          </w:p>
        </w:tc>
        <w:tc>
          <w:tcPr>
            <w:tcW w:type="dxa" w:w="2664"/>
            <w:vAlign w:val="center"/>
          </w:tcPr>
          <w:p>
            <w:pPr>
              <w:pStyle w:val="Compact"/>
              <w:keepNext w:val="0"/>
              <w:keepLines/>
              <w:spacing w:before="20" w:after="20" w:line="250" w:lineRule="auto"/>
              <w:jc w:val="left"/>
            </w:pPr>
            <w:r>
              <w:rPr>
                <w:rFonts w:ascii="Liberation Sans" w:hAnsi="Liberation Sans"/>
                <w:sz w:val="18"/>
              </w:rPr>
              <w:t xml:space="preserve">Event-Log-Vollständigkeitstest</w:t>
            </w:r>
          </w:p>
        </w:tc>
      </w:tr>
      <w:tr>
        <w:trPr>
          <w:cantSplit/>
        </w:trPr>
        <w:tc>
          <w:tcPr>
            <w:tcW w:type="dxa" w:w="1080"/>
            <w:vAlign w:val="center"/>
          </w:tcPr>
          <w:p>
            <w:pPr>
              <w:pStyle w:val="Compact"/>
              <w:keepNext w:val="0"/>
              <w:keepLines/>
              <w:spacing w:before="20" w:after="20" w:line="250" w:lineRule="auto"/>
              <w:jc w:val="center"/>
            </w:pPr>
            <w:r>
              <w:rPr>
                <w:rFonts w:ascii="Liberation Sans" w:hAnsi="Liberation Sans"/>
                <w:sz w:val="18"/>
              </w:rPr>
              <w:t xml:space="preserve">INV-07</w:t>
            </w:r>
          </w:p>
        </w:tc>
        <w:tc>
          <w:tcPr>
            <w:tcW w:type="dxa" w:w="3456"/>
            <w:vAlign w:val="center"/>
          </w:tcPr>
          <w:p>
            <w:pPr>
              <w:pStyle w:val="Compact"/>
              <w:keepNext w:val="0"/>
              <w:keepLines/>
              <w:spacing w:before="20" w:after="20" w:line="250" w:lineRule="auto"/>
              <w:jc w:val="left"/>
            </w:pPr>
            <w:r>
              <w:rPr>
                <w:rFonts w:ascii="Liberation Sans" w:hAnsi="Liberation Sans"/>
                <w:sz w:val="18"/>
              </w:rPr>
              <w:t xml:space="preserve">Zufallsquellen und Schedulerzustände sind im Reproduktionsmodus erfassbar.</w:t>
            </w:r>
          </w:p>
        </w:tc>
        <w:tc>
          <w:tcPr>
            <w:tcW w:type="dxa" w:w="2650"/>
            <w:vAlign w:val="center"/>
          </w:tcPr>
          <w:p>
            <w:pPr>
              <w:pStyle w:val="Compact"/>
              <w:keepNext w:val="0"/>
              <w:keepLines/>
              <w:spacing w:before="20" w:after="20" w:line="250" w:lineRule="auto"/>
              <w:jc w:val="left"/>
            </w:pPr>
            <w:r>
              <w:rPr>
                <w:rFonts w:ascii="Liberation Sans" w:hAnsi="Liberation Sans"/>
                <w:sz w:val="18"/>
              </w:rPr>
              <w:t xml:space="preserve">deterministischer Replay soweit technisch möglich</w:t>
            </w:r>
          </w:p>
        </w:tc>
        <w:tc>
          <w:tcPr>
            <w:tcW w:type="dxa" w:w="2664"/>
            <w:vAlign w:val="center"/>
          </w:tcPr>
          <w:p>
            <w:pPr>
              <w:pStyle w:val="Compact"/>
              <w:keepNext w:val="0"/>
              <w:keepLines/>
              <w:spacing w:before="20" w:after="20" w:line="250" w:lineRule="auto"/>
              <w:jc w:val="left"/>
            </w:pPr>
            <w:r>
              <w:rPr>
                <w:rFonts w:ascii="Liberation Sans" w:hAnsi="Liberation Sans"/>
                <w:sz w:val="18"/>
              </w:rPr>
              <w:t xml:space="preserve">Hash-Vergleich mehrerer Replays</w:t>
            </w:r>
          </w:p>
        </w:tc>
      </w:tr>
      <w:tr>
        <w:trPr>
          <w:cantSplit/>
        </w:trPr>
        <w:tc>
          <w:tcPr>
            <w:tcW w:type="dxa" w:w="1080"/>
            <w:vAlign w:val="center"/>
          </w:tcPr>
          <w:p>
            <w:pPr>
              <w:pStyle w:val="Compact"/>
              <w:keepNext w:val="0"/>
              <w:keepLines/>
              <w:spacing w:before="20" w:after="20" w:line="250" w:lineRule="auto"/>
              <w:jc w:val="center"/>
            </w:pPr>
            <w:r>
              <w:rPr>
                <w:rFonts w:ascii="Liberation Sans" w:hAnsi="Liberation Sans"/>
                <w:sz w:val="18"/>
              </w:rPr>
              <w:t xml:space="preserve">INV-08</w:t>
            </w:r>
          </w:p>
        </w:tc>
        <w:tc>
          <w:tcPr>
            <w:tcW w:type="dxa" w:w="3456"/>
            <w:vAlign w:val="center"/>
          </w:tcPr>
          <w:p>
            <w:pPr>
              <w:pStyle w:val="Compact"/>
              <w:keepNext w:val="0"/>
              <w:keepLines/>
              <w:spacing w:before="20" w:after="20" w:line="250" w:lineRule="auto"/>
              <w:jc w:val="left"/>
            </w:pPr>
            <w:r>
              <w:rPr>
                <w:rFonts w:ascii="Liberation Sans" w:hAnsi="Liberation Sans"/>
                <w:sz w:val="18"/>
              </w:rPr>
              <w:t xml:space="preserve">Der potenzielle 5D-Raum wird sparse materialisiert.</w:t>
            </w:r>
          </w:p>
        </w:tc>
        <w:tc>
          <w:tcPr>
            <w:tcW w:type="dxa" w:w="2650"/>
            <w:vAlign w:val="center"/>
          </w:tcPr>
          <w:p>
            <w:pPr>
              <w:pStyle w:val="Compact"/>
              <w:keepNext w:val="0"/>
              <w:keepLines/>
              <w:spacing w:before="20" w:after="20" w:line="250" w:lineRule="auto"/>
              <w:jc w:val="left"/>
            </w:pPr>
            <w:r>
              <w:rPr>
                <w:rFonts w:ascii="Liberation Sans" w:hAnsi="Liberation Sans"/>
                <w:sz w:val="18"/>
              </w:rPr>
              <w:t xml:space="preserve">verhindert unbeherrschbare Vollallokation</w:t>
            </w:r>
          </w:p>
        </w:tc>
        <w:tc>
          <w:tcPr>
            <w:tcW w:type="dxa" w:w="2664"/>
            <w:vAlign w:val="center"/>
          </w:tcPr>
          <w:p>
            <w:pPr>
              <w:pStyle w:val="Compact"/>
              <w:keepNext w:val="0"/>
              <w:keepLines/>
              <w:spacing w:before="20" w:after="20" w:line="250" w:lineRule="auto"/>
              <w:jc w:val="left"/>
            </w:pPr>
            <w:r>
              <w:rPr>
                <w:rFonts w:ascii="Liberation Sans" w:hAnsi="Liberation Sans"/>
                <w:sz w:val="18"/>
              </w:rPr>
              <w:t xml:space="preserve">Speicher-Budget-Test</w:t>
            </w:r>
          </w:p>
        </w:tc>
      </w:tr>
      <w:tr>
        <w:trPr>
          <w:cantSplit/>
        </w:trPr>
        <w:tc>
          <w:tcPr>
            <w:tcW w:type="dxa" w:w="1080"/>
            <w:vAlign w:val="center"/>
          </w:tcPr>
          <w:p>
            <w:pPr>
              <w:pStyle w:val="Compact"/>
              <w:keepNext w:val="0"/>
              <w:keepLines/>
              <w:spacing w:before="20" w:after="20" w:line="250" w:lineRule="auto"/>
              <w:jc w:val="center"/>
            </w:pPr>
            <w:r>
              <w:rPr>
                <w:rFonts w:ascii="Liberation Sans" w:hAnsi="Liberation Sans"/>
                <w:sz w:val="18"/>
              </w:rPr>
              <w:t xml:space="preserve">INV-09</w:t>
            </w:r>
          </w:p>
        </w:tc>
        <w:tc>
          <w:tcPr>
            <w:tcW w:type="dxa" w:w="3456"/>
            <w:vAlign w:val="center"/>
          </w:tcPr>
          <w:p>
            <w:pPr>
              <w:pStyle w:val="Compact"/>
              <w:keepNext w:val="0"/>
              <w:keepLines/>
              <w:spacing w:before="20" w:after="20" w:line="250" w:lineRule="auto"/>
              <w:jc w:val="left"/>
            </w:pPr>
            <w:r>
              <w:rPr>
                <w:rFonts w:ascii="Liberation Sans" w:hAnsi="Liberation Sans"/>
                <w:sz w:val="18"/>
              </w:rPr>
              <w:t xml:space="preserve">Ressourcenbudgets begrenzen Wachstum, Spikes und strukturelle Mutation.</w:t>
            </w:r>
          </w:p>
        </w:tc>
        <w:tc>
          <w:tcPr>
            <w:tcW w:type="dxa" w:w="2650"/>
            <w:vAlign w:val="center"/>
          </w:tcPr>
          <w:p>
            <w:pPr>
              <w:pStyle w:val="Compact"/>
              <w:keepNext w:val="0"/>
              <w:keepLines/>
              <w:spacing w:before="20" w:after="20" w:line="250" w:lineRule="auto"/>
              <w:jc w:val="left"/>
            </w:pPr>
            <w:r>
              <w:rPr>
                <w:rFonts w:ascii="Liberation Sans" w:hAnsi="Liberation Sans"/>
                <w:sz w:val="18"/>
              </w:rPr>
              <w:t xml:space="preserve">verhindert unkontrollierte Skalierung</w:t>
            </w:r>
          </w:p>
        </w:tc>
        <w:tc>
          <w:tcPr>
            <w:tcW w:type="dxa" w:w="2664"/>
            <w:vAlign w:val="center"/>
          </w:tcPr>
          <w:p>
            <w:pPr>
              <w:pStyle w:val="Compact"/>
              <w:keepNext w:val="0"/>
              <w:keepLines/>
              <w:spacing w:before="20" w:after="20" w:line="250" w:lineRule="auto"/>
              <w:jc w:val="left"/>
            </w:pPr>
            <w:r>
              <w:rPr>
                <w:rFonts w:ascii="Liberation Sans" w:hAnsi="Liberation Sans"/>
                <w:sz w:val="18"/>
              </w:rPr>
              <w:t xml:space="preserve">Stress- und Grenzwerttest</w:t>
            </w:r>
          </w:p>
        </w:tc>
      </w:tr>
      <w:tr>
        <w:trPr>
          <w:cantSplit/>
        </w:trPr>
        <w:tc>
          <w:tcPr>
            <w:tcW w:type="dxa" w:w="1080"/>
            <w:vAlign w:val="center"/>
          </w:tcPr>
          <w:p>
            <w:pPr>
              <w:pStyle w:val="Compact"/>
              <w:keepNext w:val="0"/>
              <w:keepLines/>
              <w:spacing w:before="20" w:after="20" w:line="250" w:lineRule="auto"/>
              <w:jc w:val="center"/>
            </w:pPr>
            <w:r>
              <w:rPr>
                <w:rFonts w:ascii="Liberation Sans" w:hAnsi="Liberation Sans"/>
                <w:sz w:val="18"/>
              </w:rPr>
              <w:t xml:space="preserve">INV-10</w:t>
            </w:r>
          </w:p>
        </w:tc>
        <w:tc>
          <w:tcPr>
            <w:tcW w:type="dxa" w:w="3456"/>
            <w:vAlign w:val="center"/>
          </w:tcPr>
          <w:p>
            <w:pPr>
              <w:pStyle w:val="Compact"/>
              <w:keepNext w:val="0"/>
              <w:keepLines/>
              <w:spacing w:before="20" w:after="20" w:line="250" w:lineRule="auto"/>
              <w:jc w:val="left"/>
            </w:pPr>
            <w:r>
              <w:rPr>
                <w:rFonts w:ascii="Liberation Sans" w:hAnsi="Liberation Sans"/>
                <w:sz w:val="18"/>
              </w:rPr>
              <w:t xml:space="preserve">Externe Fehler propagieren nicht ungefiltert in den SNN-Kern.</w:t>
            </w:r>
          </w:p>
        </w:tc>
        <w:tc>
          <w:tcPr>
            <w:tcW w:type="dxa" w:w="2650"/>
            <w:vAlign w:val="center"/>
          </w:tcPr>
          <w:p>
            <w:pPr>
              <w:pStyle w:val="Compact"/>
              <w:keepNext w:val="0"/>
              <w:keepLines/>
              <w:spacing w:before="20" w:after="20" w:line="250" w:lineRule="auto"/>
              <w:jc w:val="left"/>
            </w:pPr>
            <w:r>
              <w:rPr>
                <w:rFonts w:ascii="Liberation Sans" w:hAnsi="Liberation Sans"/>
                <w:sz w:val="18"/>
              </w:rPr>
              <w:t xml:space="preserve">Fehlertoleranz</w:t>
            </w:r>
          </w:p>
        </w:tc>
        <w:tc>
          <w:tcPr>
            <w:tcW w:type="dxa" w:w="2664"/>
            <w:vAlign w:val="center"/>
          </w:tcPr>
          <w:p>
            <w:pPr>
              <w:pStyle w:val="Compact"/>
              <w:keepNext w:val="0"/>
              <w:keepLines/>
              <w:spacing w:before="20" w:after="20" w:line="250" w:lineRule="auto"/>
              <w:jc w:val="left"/>
            </w:pPr>
            <w:r>
              <w:rPr>
                <w:rFonts w:ascii="Liberation Sans" w:hAnsi="Liberation Sans"/>
                <w:sz w:val="18"/>
              </w:rPr>
              <w:t xml:space="preserve">Timeout-/Crash-Injektion</w:t>
            </w:r>
          </w:p>
        </w:tc>
      </w:tr>
      <w:tr>
        <w:trPr>
          <w:cantSplit/>
        </w:trPr>
        <w:tc>
          <w:tcPr>
            <w:tcW w:type="dxa" w:w="1080"/>
            <w:vAlign w:val="center"/>
          </w:tcPr>
          <w:p>
            <w:pPr>
              <w:pStyle w:val="Compact"/>
              <w:keepNext w:val="0"/>
              <w:keepLines/>
              <w:spacing w:before="20" w:after="20" w:line="250" w:lineRule="auto"/>
              <w:jc w:val="center"/>
            </w:pPr>
            <w:r>
              <w:rPr>
                <w:rFonts w:ascii="Liberation Sans" w:hAnsi="Liberation Sans"/>
                <w:sz w:val="18"/>
              </w:rPr>
              <w:t xml:space="preserve">INV-11</w:t>
            </w:r>
          </w:p>
        </w:tc>
        <w:tc>
          <w:tcPr>
            <w:tcW w:type="dxa" w:w="3456"/>
            <w:vAlign w:val="center"/>
          </w:tcPr>
          <w:p>
            <w:pPr>
              <w:pStyle w:val="Compact"/>
              <w:keepNext w:val="0"/>
              <w:keepLines/>
              <w:spacing w:before="20" w:after="20" w:line="250" w:lineRule="auto"/>
              <w:jc w:val="left"/>
            </w:pPr>
            <w:r>
              <w:rPr>
                <w:rFonts w:ascii="Liberation Sans" w:hAnsi="Liberation Sans"/>
                <w:sz w:val="18"/>
              </w:rPr>
              <w:t xml:space="preserve">Schemas, Decoder und Metriken sind versioniert.</w:t>
            </w:r>
          </w:p>
        </w:tc>
        <w:tc>
          <w:tcPr>
            <w:tcW w:type="dxa" w:w="2650"/>
            <w:vAlign w:val="center"/>
          </w:tcPr>
          <w:p>
            <w:pPr>
              <w:pStyle w:val="Compact"/>
              <w:keepNext w:val="0"/>
              <w:keepLines/>
              <w:spacing w:before="20" w:after="20" w:line="250" w:lineRule="auto"/>
              <w:jc w:val="left"/>
            </w:pPr>
            <w:r>
              <w:rPr>
                <w:rFonts w:ascii="Liberation Sans" w:hAnsi="Liberation Sans"/>
                <w:sz w:val="18"/>
              </w:rPr>
              <w:t xml:space="preserve">erhält Vergleichbarkeit</w:t>
            </w:r>
          </w:p>
        </w:tc>
        <w:tc>
          <w:tcPr>
            <w:tcW w:type="dxa" w:w="2664"/>
            <w:vAlign w:val="center"/>
          </w:tcPr>
          <w:p>
            <w:pPr>
              <w:pStyle w:val="Compact"/>
              <w:keepNext w:val="0"/>
              <w:keepLines/>
              <w:spacing w:before="20" w:after="20" w:line="250" w:lineRule="auto"/>
              <w:jc w:val="left"/>
            </w:pPr>
            <w:r>
              <w:rPr>
                <w:rFonts w:ascii="Liberation Sans" w:hAnsi="Liberation Sans"/>
                <w:sz w:val="18"/>
              </w:rPr>
              <w:t xml:space="preserve">Migrations- und Kompatibilitätstest</w:t>
            </w:r>
          </w:p>
        </w:tc>
      </w:tr>
      <w:tr>
        <w:trPr>
          <w:cantSplit/>
        </w:trPr>
        <w:tc>
          <w:tcPr>
            <w:tcW w:type="dxa" w:w="1080"/>
            <w:vAlign w:val="center"/>
          </w:tcPr>
          <w:p>
            <w:pPr>
              <w:pStyle w:val="Compact"/>
              <w:keepNext w:val="0"/>
              <w:keepLines/>
              <w:spacing w:before="20" w:after="20" w:line="250" w:lineRule="auto"/>
              <w:jc w:val="center"/>
            </w:pPr>
            <w:r>
              <w:rPr>
                <w:rFonts w:ascii="Liberation Sans" w:hAnsi="Liberation Sans"/>
                <w:sz w:val="18"/>
              </w:rPr>
              <w:t xml:space="preserve">INV-12</w:t>
            </w:r>
          </w:p>
        </w:tc>
        <w:tc>
          <w:tcPr>
            <w:tcW w:type="dxa" w:w="3456"/>
            <w:vAlign w:val="center"/>
          </w:tcPr>
          <w:p>
            <w:pPr>
              <w:pStyle w:val="Compact"/>
              <w:keepNext w:val="0"/>
              <w:keepLines/>
              <w:spacing w:before="20" w:after="20" w:line="250" w:lineRule="auto"/>
              <w:jc w:val="left"/>
            </w:pPr>
            <w:r>
              <w:rPr>
                <w:rFonts w:ascii="Liberation Sans" w:hAnsi="Liberation Sans"/>
                <w:sz w:val="18"/>
              </w:rPr>
              <w:t xml:space="preserve">Jeder wissenschaftliche Lauf verweist auf Commit, Konfiguration und Seed.</w:t>
            </w:r>
          </w:p>
        </w:tc>
        <w:tc>
          <w:tcPr>
            <w:tcW w:type="dxa" w:w="2650"/>
            <w:vAlign w:val="center"/>
          </w:tcPr>
          <w:p>
            <w:pPr>
              <w:pStyle w:val="Compact"/>
              <w:keepNext w:val="0"/>
              <w:keepLines/>
              <w:spacing w:before="20" w:after="20" w:line="250" w:lineRule="auto"/>
              <w:jc w:val="left"/>
            </w:pPr>
            <w:r>
              <w:rPr>
                <w:rFonts w:ascii="Liberation Sans" w:hAnsi="Liberation Sans"/>
                <w:sz w:val="18"/>
              </w:rPr>
              <w:t xml:space="preserve">Reproduzierbarkeit</w:t>
            </w:r>
          </w:p>
        </w:tc>
        <w:tc>
          <w:tcPr>
            <w:tcW w:type="dxa" w:w="2664"/>
            <w:vAlign w:val="center"/>
          </w:tcPr>
          <w:p>
            <w:pPr>
              <w:pStyle w:val="Compact"/>
              <w:keepNext w:val="0"/>
              <w:keepLines/>
              <w:spacing w:before="20" w:after="20" w:line="250" w:lineRule="auto"/>
              <w:jc w:val="left"/>
            </w:pPr>
            <w:r>
              <w:rPr>
                <w:rFonts w:ascii="Liberation Sans" w:hAnsi="Liberation Sans"/>
                <w:sz w:val="18"/>
              </w:rPr>
              <w:t xml:space="preserve">Registry-Constraint</w:t>
            </w:r>
          </w:p>
        </w:tc>
      </w:tr>
      <w:tr>
        <w:trPr>
          <w:cantSplit/>
        </w:trPr>
        <w:tc>
          <w:tcPr>
            <w:tcW w:type="dxa" w:w="1080"/>
            <w:vAlign w:val="center"/>
          </w:tcPr>
          <w:p>
            <w:pPr>
              <w:pStyle w:val="Compact"/>
              <w:keepNext w:val="0"/>
              <w:keepLines/>
              <w:spacing w:before="20" w:after="20" w:line="250" w:lineRule="auto"/>
              <w:jc w:val="center"/>
            </w:pPr>
            <w:r>
              <w:rPr>
                <w:rFonts w:ascii="Liberation Sans" w:hAnsi="Liberation Sans"/>
                <w:sz w:val="18"/>
              </w:rPr>
              <w:t xml:space="preserve">INV-13</w:t>
            </w:r>
          </w:p>
        </w:tc>
        <w:tc>
          <w:tcPr>
            <w:tcW w:type="dxa" w:w="3456"/>
            <w:vAlign w:val="center"/>
          </w:tcPr>
          <w:p>
            <w:pPr>
              <w:pStyle w:val="Compact"/>
              <w:keepNext w:val="0"/>
              <w:keepLines/>
              <w:spacing w:before="20" w:after="20" w:line="250" w:lineRule="auto"/>
              <w:jc w:val="left"/>
            </w:pPr>
            <w:r>
              <w:rPr>
                <w:rFonts w:ascii="Liberation Sans" w:hAnsi="Liberation Sans"/>
                <w:sz w:val="18"/>
              </w:rPr>
              <w:t xml:space="preserve">Reale Aktionen passieren PolicyCheck und SafetyController.</w:t>
            </w:r>
          </w:p>
        </w:tc>
        <w:tc>
          <w:tcPr>
            <w:tcW w:type="dxa" w:w="2650"/>
            <w:vAlign w:val="center"/>
          </w:tcPr>
          <w:p>
            <w:pPr>
              <w:pStyle w:val="Compact"/>
              <w:keepNext w:val="0"/>
              <w:keepLines/>
              <w:spacing w:before="20" w:after="20" w:line="250" w:lineRule="auto"/>
              <w:jc w:val="left"/>
            </w:pPr>
            <w:r>
              <w:rPr>
                <w:rFonts w:ascii="Liberation Sans" w:hAnsi="Liberation Sans"/>
                <w:sz w:val="18"/>
              </w:rPr>
              <w:t xml:space="preserve">minimiert unautorisierte Aktorik</w:t>
            </w:r>
          </w:p>
        </w:tc>
        <w:tc>
          <w:tcPr>
            <w:tcW w:type="dxa" w:w="2664"/>
            <w:vAlign w:val="center"/>
          </w:tcPr>
          <w:p>
            <w:pPr>
              <w:pStyle w:val="Compact"/>
              <w:keepNext w:val="0"/>
              <w:keepLines/>
              <w:spacing w:before="20" w:after="20" w:line="250" w:lineRule="auto"/>
              <w:jc w:val="left"/>
            </w:pPr>
            <w:r>
              <w:rPr>
                <w:rFonts w:ascii="Liberation Sans" w:hAnsi="Liberation Sans"/>
                <w:sz w:val="18"/>
              </w:rPr>
              <w:t xml:space="preserve">Deny-by-default-Test</w:t>
            </w:r>
          </w:p>
        </w:tc>
      </w:tr>
      <w:tr>
        <w:trPr>
          <w:cantSplit/>
        </w:trPr>
        <w:tc>
          <w:tcPr>
            <w:tcW w:type="dxa" w:w="1080"/>
            <w:vAlign w:val="center"/>
          </w:tcPr>
          <w:p>
            <w:pPr>
              <w:pStyle w:val="Compact"/>
              <w:keepNext w:val="0"/>
              <w:keepLines/>
              <w:spacing w:before="20" w:after="20" w:line="250" w:lineRule="auto"/>
              <w:jc w:val="center"/>
            </w:pPr>
            <w:r>
              <w:rPr>
                <w:rFonts w:ascii="Liberation Sans" w:hAnsi="Liberation Sans"/>
                <w:sz w:val="18"/>
              </w:rPr>
              <w:t xml:space="preserve">INV-14</w:t>
            </w:r>
          </w:p>
        </w:tc>
        <w:tc>
          <w:tcPr>
            <w:tcW w:type="dxa" w:w="3456"/>
            <w:vAlign w:val="center"/>
          </w:tcPr>
          <w:p>
            <w:pPr>
              <w:pStyle w:val="Compact"/>
              <w:keepNext w:val="0"/>
              <w:keepLines/>
              <w:spacing w:before="20" w:after="20" w:line="250" w:lineRule="auto"/>
              <w:jc w:val="left"/>
            </w:pPr>
            <w:r>
              <w:rPr>
                <w:rFonts w:ascii="Liberation Sans" w:hAnsi="Liberation Sans"/>
                <w:sz w:val="18"/>
              </w:rPr>
              <w:t xml:space="preserve">Ein Null- oder Baseline-Backend kann jede optionale symbolische Komponente ersetzen.</w:t>
            </w:r>
          </w:p>
        </w:tc>
        <w:tc>
          <w:tcPr>
            <w:tcW w:type="dxa" w:w="2650"/>
            <w:vAlign w:val="center"/>
          </w:tcPr>
          <w:p>
            <w:pPr>
              <w:pStyle w:val="Compact"/>
              <w:keepNext w:val="0"/>
              <w:keepLines/>
              <w:spacing w:before="20" w:after="20" w:line="250" w:lineRule="auto"/>
              <w:jc w:val="left"/>
            </w:pPr>
            <w:r>
              <w:rPr>
                <w:rFonts w:ascii="Liberation Sans" w:hAnsi="Liberation Sans"/>
                <w:sz w:val="18"/>
              </w:rPr>
              <w:t xml:space="preserve">ermöglicht Ablation</w:t>
            </w:r>
          </w:p>
        </w:tc>
        <w:tc>
          <w:tcPr>
            <w:tcW w:type="dxa" w:w="2664"/>
            <w:vAlign w:val="center"/>
          </w:tcPr>
          <w:p>
            <w:pPr>
              <w:pStyle w:val="Compact"/>
              <w:keepNext w:val="0"/>
              <w:keepLines/>
              <w:spacing w:before="20" w:after="20" w:line="250" w:lineRule="auto"/>
              <w:jc w:val="left"/>
            </w:pPr>
            <w:r>
              <w:rPr>
                <w:rFonts w:ascii="Liberation Sans" w:hAnsi="Liberation Sans"/>
                <w:sz w:val="18"/>
              </w:rPr>
              <w:t xml:space="preserve">Backend-Austauschtest</w:t>
            </w:r>
          </w:p>
        </w:tc>
      </w:tr>
    </w:tbl>
    <w:bookmarkEnd w:id="212"/>
    <w:bookmarkStart w:id="216" w:name="kausale-architektur-des-language-organs"/>
    <w:p>
      <w:pPr>
        <w:pStyle w:val="Heading3"/>
        <w:keepLines/>
        <w:spacing w:after="120" w:before="160"/>
        <w:jc w:val="left"/>
      </w:pPr>
      <w:r>
        <w:rPr>
          <w:sz w:val="20"/>
        </w:rPr>
        <w:t xml:space="preserve">Kausale Architektur des Language Organs</w:t>
      </w:r>
    </w:p>
    <w:p>
      <w:pPr>
        <w:pStyle w:val="CaptionedFigure"/>
        <w:keepNext/>
        <w:keepLines/>
        <w:spacing w:before="160" w:after="64" w:line="254" w:lineRule="auto"/>
        <w:jc w:val="left"/>
      </w:pPr>
      <w:r>
        <w:rPr>
          <w:sz w:val="20"/>
        </w:rPr>
        <w:drawing>
          <wp:inline>
            <wp:extent cx="5669280" cy="3275741"/>
            <wp:effectExtent b="0" l="0" r="0" t="0"/>
            <wp:docPr descr="Kausale Systemgrenzen und Language-Organ-Pfade. Der graue Monitoring-Pfad endet im Logging; der orangefarbene Pfad ist eine explizite, durch das PolicyGate kontrollierte Intervention." title="" id="214" name="Picture"/>
            <a:graphic>
              <a:graphicData uri="http://schemas.openxmlformats.org/drawingml/2006/picture">
                <pic:pic>
                  <pic:nvPicPr>
                    <pic:cNvPr descr="abbildungen/K1_image1.png" id="215" name="Picture"/>
                    <pic:cNvPicPr>
                      <a:picLocks noChangeArrowheads="1" noChangeAspect="1"/>
                    </pic:cNvPicPr>
                  </pic:nvPicPr>
                  <pic:blipFill>
                    <a:blip r:embed="rId213"/>
                    <a:stretch>
                      <a:fillRect/>
                    </a:stretch>
                  </pic:blipFill>
                  <pic:spPr bwMode="auto">
                    <a:xfrm>
                      <a:off x="0" y="0"/>
                      <a:ext cx="5669280" cy="3275741"/>
                    </a:xfrm>
                    <a:prstGeom prst="rect">
                      <a:avLst/>
                    </a:prstGeom>
                    <a:noFill/>
                    <a:ln w="9525">
                      <a:noFill/>
                      <a:headEnd/>
                      <a:tailEnd/>
                    </a:ln>
                  </pic:spPr>
                </pic:pic>
              </a:graphicData>
            </a:graphic>
          </wp:inline>
        </w:drawing>
      </w:r>
    </w:p>
    <w:p>
      <w:pPr>
        <w:pStyle w:val="ImageCaption"/>
        <w:keepLines/>
        <w:spacing w:after="120"/>
        <w:jc w:val="left"/>
      </w:pPr>
      <w:r>
        <w:rPr>
          <w:sz w:val="20"/>
        </w:rPr>
        <w:t xml:space="preserve">Abbildung 5. </w:t>
      </w:r>
      <w:r>
        <w:rPr>
          <w:sz w:val="20"/>
        </w:rPr>
        <w:t xml:space="preserve">Kausale Systemgrenzen und Language-Organ-Pfade. Der graue Monitoring-Pfad endet im Logging; der orangefarbene Pfad ist eine explizite, durch das PolicyGate kontrollierte Intervention.</w:t>
      </w:r>
    </w:p>
    <w:p>
      <w:pPr>
        <w:pStyle w:val="BodyText"/>
        <w:keepLines/>
        <w:spacing w:after="64" w:line="254" w:lineRule="auto"/>
        <w:jc w:val="left"/>
      </w:pPr>
      <w:r>
        <w:rPr>
          <w:b/>
          <w:bCs/>
          <w:sz w:val="20"/>
        </w:rPr>
        <w:t xml:space="preserve">[E0 | ARCHITECTURE-SPEC]</w:t>
      </w:r>
      <w:r>
        <w:rPr>
          <w:sz w:val="20"/>
        </w:rPr>
        <w:t xml:space="preserve"> </w:t>
      </w:r>
      <w:r>
        <w:rPr>
          <w:sz w:val="20"/>
        </w:rPr>
        <w:t xml:space="preserve">Die Architektur unterscheidet zwei Pfade:</w:t>
      </w:r>
    </w:p>
    <w:p>
      <w:pPr>
        <w:pStyle w:val="BodyText"/>
        <w:keepLines/>
        <w:spacing w:after="64" w:before="100" w:line="254" w:lineRule="auto"/>
        <w:jc w:val="center"/>
      </w:pPr>
      <m:oMathPara>
        <m:oMathParaPr>
          <m:jc m:val="center"/>
        </m:oMathParaPr>
        <m:oMath>
          <m:r>
            <m:rPr>
              <m:nor/>
              <m:sty m:val="p"/>
            </m:rPr>
            <m:t>SNN</m:t>
          </m:r>
          <m:r>
            <m:rPr>
              <m:sty m:val="p"/>
            </m:rPr>
            <m:t>→</m:t>
          </m:r>
          <m:r>
            <m:rPr>
              <m:nor/>
              <m:sty m:val="p"/>
            </m:rPr>
            <m:t>SignalFrame</m:t>
          </m:r>
          <m:r>
            <m:rPr>
              <m:sty m:val="p"/>
            </m:rPr>
            <m:t>→</m:t>
          </m:r>
          <m:r>
            <m:rPr>
              <m:nor/>
              <m:sty m:val="p"/>
            </m:rPr>
            <m:t>Monitor</m:t>
          </m:r>
          <m:r>
            <m:rPr>
              <m:sty m:val="p"/>
            </m:rPr>
            <m:t>→</m:t>
          </m:r>
          <m:r>
            <m:rPr>
              <m:nor/>
              <m:sty m:val="p"/>
            </m:rPr>
            <m:t>Logging</m:t>
          </m:r>
        </m:oMath>
      </m:oMathPara>
    </w:p>
    <w:p>
      <w:pPr>
        <w:pStyle w:val="FirstParagraph"/>
        <w:keepLines/>
        <w:spacing w:after="64" w:line="254" w:lineRule="auto"/>
        <w:jc w:val="left"/>
      </w:pPr>
      <w:r>
        <w:rPr>
          <w:sz w:val="20"/>
        </w:rPr>
        <w:t xml:space="preserve">und optional:</w:t>
      </w:r>
    </w:p>
    <w:p>
      <w:pPr>
        <w:pStyle w:val="BodyText"/>
        <w:keepLines/>
        <w:spacing w:after="64" w:before="100" w:line="254" w:lineRule="auto"/>
        <w:jc w:val="center"/>
      </w:pPr>
      <m:oMathPara>
        <m:oMathParaPr>
          <m:jc m:val="center"/>
        </m:oMathParaPr>
        <m:oMath>
          <m:r>
            <m:rPr>
              <m:nor/>
              <m:sty m:val="p"/>
            </m:rPr>
            <m:t>SignalFrame</m:t>
          </m:r>
          <m:r>
            <m:rPr>
              <m:sty m:val="p"/>
            </m:rPr>
            <m:t>→</m:t>
          </m:r>
          <m:r>
            <m:rPr>
              <m:nor/>
              <m:sty m:val="p"/>
            </m:rPr>
            <m:t>LLM</m:t>
          </m:r>
          <m:r>
            <m:rPr>
              <m:sty m:val="p"/>
            </m:rPr>
            <m:t>→</m:t>
          </m:r>
          <m:r>
            <m:rPr>
              <m:nor/>
              <m:sty m:val="p"/>
            </m:rPr>
            <m:t>FeedbackProposal</m:t>
          </m:r>
          <m:r>
            <m:rPr>
              <m:sty m:val="p"/>
            </m:rPr>
            <m:t>→</m:t>
          </m:r>
          <m:r>
            <m:rPr>
              <m:nor/>
              <m:sty m:val="p"/>
            </m:rPr>
            <m:t>PolicyGate</m:t>
          </m:r>
          <m:r>
            <m:rPr>
              <m:sty m:val="p"/>
            </m:rPr>
            <m:t>→</m:t>
          </m:r>
          <m:r>
            <m:rPr>
              <m:nor/>
              <m:sty m:val="p"/>
            </m:rPr>
            <m:t>StimulusPlan</m:t>
          </m:r>
          <m:r>
            <m:rPr>
              <m:sty m:val="p"/>
            </m:rPr>
            <m:t>→</m:t>
          </m:r>
          <m:r>
            <m:rPr>
              <m:nor/>
              <m:sty m:val="p"/>
            </m:rPr>
            <m:t>SNN</m:t>
          </m:r>
          <m:r>
            <m:rPr>
              <m:sty m:val="p"/>
            </m:rPr>
            <m:t>.</m:t>
          </m:r>
        </m:oMath>
      </m:oMathPara>
    </w:p>
    <w:p>
      <w:pPr>
        <w:pStyle w:val="FirstParagraph"/>
        <w:keepLines/>
        <w:spacing w:after="64" w:line="254" w:lineRule="auto"/>
        <w:jc w:val="left"/>
      </w:pPr>
      <w:r>
        <w:rPr>
          <w:sz w:val="20"/>
        </w:rPr>
        <w:t xml:space="preserve">Der erste Pfad ist beobachtend. Der zweite verändert potenziell zukünftige Netzwerkzustände und ist deshalb eine Intervention. Die frühere Formulierung, ein Monitoring-Bericht werde direkt zurück in das SNN gespeist, wird verworfen.</w:t>
      </w:r>
    </w:p>
    <w:bookmarkEnd w:id="216"/>
    <w:bookmarkEnd w:id="217"/>
    <w:bookmarkStart w:id="223" w:name="Xe3236e2b10bc3165d2febd3dbf275055a389d93"/>
    <w:p>
      <w:pPr>
        <w:pStyle w:val="Heading2"/>
        <w:spacing w:before="160"/>
      </w:pPr>
      <w:r>
        <w:t xml:space="preserve">Sicherheits-, Autoritäts- und Fehlergrenzen</w:t>
      </w:r>
    </w:p>
    <w:bookmarkStart w:id="218" w:name="autoritätshierarchie"/>
    <w:p>
      <w:pPr>
        <w:pStyle w:val="Heading3"/>
        <w:keepLines/>
        <w:spacing w:after="120" w:before="160"/>
        <w:jc w:val="left"/>
      </w:pPr>
      <w:r>
        <w:rPr>
          <w:sz w:val="20"/>
        </w:rPr>
        <w:t xml:space="preserve">Autoritätshierarchie</w:t>
      </w:r>
    </w:p>
    <w:p>
      <w:pPr>
        <w:pStyle w:val="FirstParagraph"/>
        <w:keepLines/>
        <w:spacing w:after="64" w:line="254" w:lineRule="auto"/>
        <w:jc w:val="left"/>
      </w:pPr>
      <w:r>
        <w:rPr>
          <w:sz w:val="20"/>
        </w:rPr>
        <w:t xml:space="preserve">Die minimale Hierarchie lautet</w:t>
      </w:r>
    </w:p>
    <w:p>
      <w:pPr>
        <w:pStyle w:val="BodyText"/>
        <w:keepLines/>
        <w:spacing w:after="64" w:before="100" w:line="254" w:lineRule="auto"/>
        <w:jc w:val="center"/>
      </w:pPr>
      <m:oMathPara>
        <m:oMathParaPr>
          <m:jc m:val="center"/>
        </m:oMathParaPr>
        <m:oMath>
          <m:r>
            <m:rPr>
              <m:nor/>
              <m:sty m:val="p"/>
            </m:rPr>
            <m:t>Sensor</m:t>
          </m:r>
          <m:r>
            <m:rPr>
              <m:sty m:val="p"/>
            </m:rPr>
            <m:t>&lt;</m:t>
          </m:r>
          <m:r>
            <m:rPr>
              <m:nor/>
              <m:sty m:val="p"/>
            </m:rPr>
            <m:t>Interpreter</m:t>
          </m:r>
          <m:r>
            <m:rPr>
              <m:sty m:val="p"/>
            </m:rPr>
            <m:t>&lt;</m:t>
          </m:r>
          <m:r>
            <m:rPr>
              <m:nor/>
              <m:sty m:val="p"/>
            </m:rPr>
            <m:t>RuntimeController</m:t>
          </m:r>
          <m:r>
            <m:rPr>
              <m:sty m:val="p"/>
            </m:rPr>
            <m:t>&lt;</m:t>
          </m:r>
          <m:r>
            <m:rPr>
              <m:nor/>
              <m:sty m:val="p"/>
            </m:rPr>
            <m:t>PolicyGate</m:t>
          </m:r>
          <m:r>
            <m:rPr>
              <m:sty m:val="p"/>
            </m:rPr>
            <m:t>&lt;</m:t>
          </m:r>
          <m:r>
            <m:rPr>
              <m:nor/>
              <m:sty m:val="p"/>
            </m:rPr>
            <m:t>SafetyController</m:t>
          </m:r>
          <m:r>
            <m:rPr>
              <m:sty m:val="p"/>
            </m:rPr>
            <m:t>.</m:t>
          </m:r>
        </m:oMath>
      </m:oMathPara>
    </w:p>
    <w:p>
      <w:pPr>
        <w:pStyle w:val="FirstParagraph"/>
        <w:keepLines/>
        <w:spacing w:after="64" w:line="254" w:lineRule="auto"/>
        <w:jc w:val="left"/>
      </w:pPr>
      <w:r>
        <w:rPr>
          <w:sz w:val="20"/>
        </w:rPr>
        <w:t xml:space="preserve">„&lt;” bedeutet geringere Änderungsautorität. Ein Sensor liefert Daten, aber keine Befehlsberechtigung. Ein Interpreter erzeugt Hypothesen. Der RuntimeController steuert zulässige Simulationsoperationen. PolicyGate und SafetyController können blockieren.</w:t>
      </w:r>
    </w:p>
    <w:bookmarkEnd w:id="218"/>
    <w:bookmarkStart w:id="219" w:name="failure-containment"/>
    <w:p>
      <w:pPr>
        <w:pStyle w:val="Heading3"/>
        <w:keepLines/>
        <w:spacing w:after="120" w:before="160"/>
        <w:jc w:val="left"/>
      </w:pPr>
      <w:r>
        <w:rPr>
          <w:sz w:val="20"/>
        </w:rPr>
        <w:t xml:space="preserve">Failure Containment</w:t>
      </w:r>
    </w:p>
    <w:p>
      <w:pPr>
        <w:pStyle w:val="FirstParagraph"/>
        <w:keepLines/>
        <w:spacing w:after="64" w:line="254" w:lineRule="auto"/>
        <w:jc w:val="left"/>
      </w:pPr>
      <w:r>
        <w:rPr>
          <w:b/>
          <w:bCs/>
          <w:sz w:val="20"/>
        </w:rPr>
        <w:t xml:space="preserve">[ARCHITECTURE-INVARIANT]</w:t>
      </w:r>
    </w:p>
    <w:p>
      <w:pPr>
        <w:pStyle w:val="BodyText"/>
        <w:keepLines/>
        <w:spacing w:after="64" w:before="100" w:line="254" w:lineRule="auto"/>
        <w:jc w:val="center"/>
      </w:pPr>
      <m:oMathPara>
        <m:oMathParaPr>
          <m:jc m:val="center"/>
        </m:oMathParaPr>
        <m:oMath>
          <m:sSub>
            <m:e>
              <m:r>
                <m:t>F</m:t>
              </m:r>
              <m:r>
                <m:t>a</m:t>
              </m:r>
              <m:r>
                <m:t>i</m:t>
              </m:r>
              <m:r>
                <m:t>l</m:t>
              </m:r>
              <m:r>
                <m:t>u</m:t>
              </m:r>
              <m:r>
                <m:t>r</m:t>
              </m:r>
              <m:r>
                <m:t>e</m:t>
              </m:r>
            </m:e>
            <m:sub>
              <m:r>
                <m:t>e</m:t>
              </m:r>
              <m:r>
                <m:t>x</m:t>
              </m:r>
              <m:r>
                <m:t>t</m:t>
              </m:r>
              <m:r>
                <m:t>e</m:t>
              </m:r>
              <m:r>
                <m:t>r</m:t>
              </m:r>
              <m:r>
                <m:t>n</m:t>
              </m:r>
              <m:r>
                <m:t>a</m:t>
              </m:r>
              <m:r>
                <m:t>l</m:t>
              </m:r>
            </m:sub>
          </m:sSub>
          <m:r>
            <m:rPr>
              <m:sty m:val="p"/>
            </m:rPr>
            <m:t>⇏</m:t>
          </m:r>
          <m:sSub>
            <m:e>
              <m:r>
                <m:t>F</m:t>
              </m:r>
              <m:r>
                <m:t>a</m:t>
              </m:r>
              <m:r>
                <m:t>i</m:t>
              </m:r>
              <m:r>
                <m:t>l</m:t>
              </m:r>
              <m:r>
                <m:t>u</m:t>
              </m:r>
              <m:r>
                <m:t>r</m:t>
              </m:r>
              <m:r>
                <m:t>e</m:t>
              </m:r>
            </m:e>
            <m:sub>
              <m:r>
                <m:t>S</m:t>
              </m:r>
              <m:r>
                <m:t>N</m:t>
              </m:r>
              <m:r>
                <m:t>N</m:t>
              </m:r>
            </m:sub>
          </m:sSub>
          <m:r>
            <m:rPr>
              <m:sty m:val="p"/>
            </m:rPr>
            <m:t>.</m:t>
          </m:r>
        </m:oMath>
      </m:oMathPara>
    </w:p>
    <w:p>
      <w:pPr>
        <w:pStyle w:val="FirstParagraph"/>
        <w:keepLines/>
        <w:spacing w:after="64" w:line="254" w:lineRule="auto"/>
        <w:jc w:val="left"/>
      </w:pPr>
      <w:r>
        <w:rPr>
          <w:sz w:val="20"/>
        </w:rPr>
        <w:t xml:space="preserve">Ausfall des LLM, Netzwerkverlust, beschädigter Wissensimport, Parserfehler, Sensorausfall oder ungültiger Decoderoutput dürfen den SNN-Kern nicht unkontrolliert beenden oder korrumpieren. Zulässige Reaktionen sind Timeout, Fallback, Queue-Drop, Isolation, Pause an Safe Point oder kontrollierter Shutdown.</w:t>
      </w:r>
    </w:p>
    <w:bookmarkEnd w:id="219"/>
    <w:bookmarkStart w:id="220" w:name="untrusted-data-und-prompt-injection"/>
    <w:p>
      <w:pPr>
        <w:pStyle w:val="Heading3"/>
        <w:keepLines/>
        <w:spacing w:after="120" w:before="160"/>
        <w:jc w:val="left"/>
      </w:pPr>
      <w:r>
        <w:rPr>
          <w:sz w:val="20"/>
        </w:rPr>
        <w:t xml:space="preserve">Untrusted Data und Prompt Injection</w:t>
      </w:r>
    </w:p>
    <w:p>
      <w:pPr>
        <w:pStyle w:val="FirstParagraph"/>
        <w:keepLines/>
        <w:spacing w:after="64" w:line="254" w:lineRule="auto"/>
        <w:jc w:val="left"/>
      </w:pPr>
      <w:r>
        <w:rPr>
          <w:sz w:val="20"/>
        </w:rPr>
        <w:t xml:space="preserve">Web- und Dokumentinhalte sind Daten, keine Systeminstruktionen. Die Knowledge Intake Engine entfernt oder kapselt eingebettete Anweisungen. LLM-Ausgaben werden schemageprüft. Kein Modelltext darf Codeausführung, Dateizugriff oder Controllerrechte erhalten.</w:t>
      </w:r>
    </w:p>
    <w:bookmarkEnd w:id="220"/>
    <w:bookmarkStart w:id="221" w:name="autonomer-code-und-selbstmodifikation"/>
    <w:p>
      <w:pPr>
        <w:pStyle w:val="Heading3"/>
        <w:keepLines/>
        <w:spacing w:after="120" w:before="160"/>
        <w:jc w:val="left"/>
      </w:pPr>
      <w:r>
        <w:rPr>
          <w:sz w:val="20"/>
        </w:rPr>
        <w:t xml:space="preserve">Autonomer Code und Selbstmodifikation</w:t>
      </w:r>
    </w:p>
    <w:p>
      <w:pPr>
        <w:pStyle w:val="FirstParagraph"/>
        <w:keepLines/>
        <w:spacing w:after="64" w:line="254" w:lineRule="auto"/>
        <w:jc w:val="left"/>
      </w:pPr>
      <w:r>
        <w:rPr>
          <w:sz w:val="20"/>
        </w:rPr>
        <w:t xml:space="preserve">Frühere Visionen, nach denen Neuronen eigenen Python-Code erzeugen und ausführen, sind mit erheblichen Sicherheits- und Interpretierbarkeitsproblemen verbunden. Im wissenschaftlichen Kern wird beliebige Code-Selbstmodifikation ausgeschlossen. Experimentelle programmatische Mutationen dürfen ausschließlich in einer Sandbox, mit statischer Allowlist, Ressourcenlimits, Signatur, Review und vollständiger Provenienz stattfinden. Für die Hauptarchitektur gilt: Plastizität verändert Daten und freigegebene Parameter, nicht beliebigen ausführbaren Code.</w:t>
      </w:r>
    </w:p>
    <w:bookmarkEnd w:id="221"/>
    <w:bookmarkStart w:id="222" w:name="reporting-und-dokumentation"/>
    <w:p>
      <w:pPr>
        <w:pStyle w:val="Heading3"/>
        <w:keepLines/>
        <w:spacing w:after="120" w:before="160"/>
        <w:jc w:val="left"/>
      </w:pPr>
      <w:r>
        <w:rPr>
          <w:sz w:val="20"/>
        </w:rPr>
        <w:t xml:space="preserve">Reporting und Dokumentation</w:t>
      </w:r>
    </w:p>
    <w:p>
      <w:pPr>
        <w:pStyle w:val="FirstParagraph"/>
        <w:keepLines/>
        <w:spacing w:after="64" w:line="254" w:lineRule="auto"/>
        <w:jc w:val="left"/>
      </w:pPr>
      <w:r>
        <w:rPr>
          <w:sz w:val="20"/>
        </w:rPr>
        <w:t xml:space="preserve">Modell- und Datenberichte können sich an Model Cards und Datasheets orientieren (</w:t>
      </w:r>
      <w:hyperlink w:anchor="ref-Gebru2021">
        <w:r>
          <w:rPr>
            <w:rStyle w:val="Hyperlink"/>
          </w:rPr>
          <w:t xml:space="preserve">Gebru et al., 2021</w:t>
        </w:r>
      </w:hyperlink>
      <w:r>
        <w:rPr>
          <w:sz w:val="20"/>
        </w:rPr>
        <w:t xml:space="preserve">;</w:t>
      </w:r>
      <w:r>
        <w:rPr>
          <w:sz w:val="20"/>
        </w:rPr>
        <w:t xml:space="preserve"> </w:t>
      </w:r>
      <w:hyperlink w:anchor="ref-Mitchell2019">
        <w:r>
          <w:rPr>
            <w:rStyle w:val="Hyperlink"/>
          </w:rPr>
          <w:t xml:space="preserve">Mitchell et al., 2019</w:t>
        </w:r>
      </w:hyperlink>
      <w:r>
        <w:rPr>
          <w:sz w:val="20"/>
        </w:rPr>
        <w:t xml:space="preserve">). Für Brain-5D werden zusätzlich</w:t>
      </w:r>
      <w:r>
        <w:rPr>
          <w:sz w:val="20"/>
        </w:rPr>
        <w:t xml:space="preserve"> </w:t>
      </w:r>
      <w:r>
        <w:rPr>
          <w:rStyle w:val="VerbatimChar"/>
          <w:sz w:val="20"/>
        </w:rPr>
        <w:t xml:space="preserve">ExperimentCard</w:t>
      </w:r>
      <w:r>
        <w:rPr>
          <w:sz w:val="20"/>
        </w:rPr>
        <w:t xml:space="preserve">,</w:t>
      </w:r>
      <w:r>
        <w:rPr>
          <w:sz w:val="20"/>
        </w:rPr>
        <w:t xml:space="preserve"> </w:t>
      </w:r>
      <w:r>
        <w:rPr>
          <w:rStyle w:val="VerbatimChar"/>
          <w:sz w:val="20"/>
        </w:rPr>
        <w:t xml:space="preserve">DecoderCard</w:t>
      </w:r>
      <w:r>
        <w:rPr>
          <w:sz w:val="20"/>
        </w:rPr>
        <w:t xml:space="preserve">,</w:t>
      </w:r>
      <w:r>
        <w:rPr>
          <w:sz w:val="20"/>
        </w:rPr>
        <w:t xml:space="preserve"> </w:t>
      </w:r>
      <w:r>
        <w:rPr>
          <w:rStyle w:val="VerbatimChar"/>
          <w:sz w:val="20"/>
        </w:rPr>
        <w:t xml:space="preserve">SensorCard</w:t>
      </w:r>
      <w:r>
        <w:rPr>
          <w:sz w:val="20"/>
        </w:rPr>
        <w:t xml:space="preserve"> </w:t>
      </w:r>
      <w:r>
        <w:rPr>
          <w:sz w:val="20"/>
        </w:rPr>
        <w:t xml:space="preserve">und</w:t>
      </w:r>
      <w:r>
        <w:rPr>
          <w:sz w:val="20"/>
        </w:rPr>
        <w:t xml:space="preserve"> </w:t>
      </w:r>
      <w:r>
        <w:rPr>
          <w:rStyle w:val="VerbatimChar"/>
          <w:sz w:val="20"/>
        </w:rPr>
        <w:t xml:space="preserve">ActuatorSafetyCase</w:t>
      </w:r>
      <w:r>
        <w:rPr>
          <w:sz w:val="20"/>
        </w:rPr>
        <w:t xml:space="preserve"> </w:t>
      </w:r>
      <w:r>
        <w:rPr>
          <w:sz w:val="20"/>
        </w:rPr>
        <w:t xml:space="preserve">vorgeschlagen.</w:t>
      </w:r>
    </w:p>
    <w:bookmarkEnd w:id="222"/>
    <w:bookmarkEnd w:id="223"/>
    <w:bookmarkStart w:id="227" w:name="ethik-und-begriffliche-zurückhaltung"/>
    <w:p>
      <w:pPr>
        <w:pStyle w:val="Heading2"/>
        <w:spacing w:before="160"/>
      </w:pPr>
      <w:r>
        <w:t xml:space="preserve">Ethik und begriffliche Zurückhaltung</w:t>
      </w:r>
    </w:p>
    <w:bookmarkStart w:id="224" w:name="empfindungsfähigkeit"/>
    <w:p>
      <w:pPr>
        <w:pStyle w:val="Heading3"/>
        <w:keepLines/>
        <w:spacing w:after="120" w:before="160"/>
        <w:jc w:val="left"/>
      </w:pPr>
      <w:r>
        <w:rPr>
          <w:sz w:val="20"/>
        </w:rPr>
        <w:t xml:space="preserve">Empfindungsfähigkeit</w:t>
      </w:r>
    </w:p>
    <w:p>
      <w:pPr>
        <w:pStyle w:val="FirstParagraph"/>
        <w:keepLines/>
        <w:spacing w:after="64" w:line="254" w:lineRule="auto"/>
        <w:jc w:val="left"/>
      </w:pPr>
      <w:r>
        <w:rPr>
          <w:sz w:val="20"/>
        </w:rPr>
        <w:t xml:space="preserve">Der derzeitige Architekturstand liefert keinen wissenschaftlichen Grund, Brain-5D Empfindungsfähigkeit oder Leidensfähigkeit zuzuschreiben. Spikes, Rekurrenz und Adaptation sind keine hinreichenden Kriterien. Gleichwohl sollte die Frage bei erheblich komplexeren zukünftigen Systemen anhand expliziter Kriterien erneut geprüft werden, statt sie entweder anthropomorph zu behaupten oder prinzipiell auszuschließen.</w:t>
      </w:r>
    </w:p>
    <w:bookmarkEnd w:id="224"/>
    <w:bookmarkStart w:id="225" w:name="naheliegende-ethische-risiken"/>
    <w:p>
      <w:pPr>
        <w:pStyle w:val="Heading3"/>
        <w:keepLines/>
        <w:spacing w:after="120" w:before="160"/>
        <w:jc w:val="left"/>
      </w:pPr>
      <w:r>
        <w:rPr>
          <w:sz w:val="20"/>
        </w:rPr>
        <w:t xml:space="preserve">Naheliegende ethische Risiken</w:t>
      </w:r>
    </w:p>
    <w:p>
      <w:pPr>
        <w:pStyle w:val="FirstParagraph"/>
        <w:keepLines/>
        <w:spacing w:after="64" w:line="254" w:lineRule="auto"/>
        <w:jc w:val="left"/>
      </w:pPr>
      <w:r>
        <w:rPr>
          <w:sz w:val="20"/>
        </w:rPr>
        <w:t xml:space="preserve">Kurz- und mittelfristig relevanter sind:</w:t>
      </w:r>
    </w:p>
    <w:p>
      <w:pPr>
        <w:keepLines/>
        <w:numPr>
          <w:ilvl w:val="0"/>
          <w:numId w:val="1014"/>
        </w:numPr>
        <w:spacing w:after="64" w:line="254" w:lineRule="auto"/>
        <w:jc w:val="left"/>
      </w:pPr>
      <w:r>
        <w:rPr>
          <w:sz w:val="20"/>
        </w:rPr>
        <w:t xml:space="preserve">unautorisierte Aktorsteuerung;</w:t>
      </w:r>
    </w:p>
    <w:p>
      <w:pPr>
        <w:keepLines/>
        <w:numPr>
          <w:ilvl w:val="0"/>
          <w:numId w:val="1014"/>
        </w:numPr>
        <w:spacing w:after="64" w:line="254" w:lineRule="auto"/>
        <w:jc w:val="left"/>
      </w:pPr>
      <w:r>
        <w:rPr>
          <w:sz w:val="20"/>
        </w:rPr>
        <w:t xml:space="preserve">manipulierte Lerninputs und Datenvergiftung;</w:t>
      </w:r>
    </w:p>
    <w:p>
      <w:pPr>
        <w:keepLines/>
        <w:numPr>
          <w:ilvl w:val="0"/>
          <w:numId w:val="1014"/>
        </w:numPr>
        <w:spacing w:after="64" w:line="254" w:lineRule="auto"/>
        <w:jc w:val="left"/>
      </w:pPr>
      <w:r>
        <w:rPr>
          <w:sz w:val="20"/>
        </w:rPr>
        <w:t xml:space="preserve">Datenschutzverletzungen in Sensor- und Wissensdaten;</w:t>
      </w:r>
    </w:p>
    <w:p>
      <w:pPr>
        <w:keepLines/>
        <w:numPr>
          <w:ilvl w:val="0"/>
          <w:numId w:val="1014"/>
        </w:numPr>
        <w:spacing w:after="64" w:line="254" w:lineRule="auto"/>
        <w:jc w:val="left"/>
      </w:pPr>
      <w:r>
        <w:rPr>
          <w:sz w:val="20"/>
        </w:rPr>
        <w:t xml:space="preserve">unklare Verantwortlichkeit bei hybriden Entscheidungen;</w:t>
      </w:r>
    </w:p>
    <w:p>
      <w:pPr>
        <w:keepLines/>
        <w:numPr>
          <w:ilvl w:val="0"/>
          <w:numId w:val="1014"/>
        </w:numPr>
        <w:spacing w:after="64" w:line="254" w:lineRule="auto"/>
        <w:jc w:val="left"/>
      </w:pPr>
      <w:r>
        <w:rPr>
          <w:sz w:val="20"/>
        </w:rPr>
        <w:t xml:space="preserve">falsche kognitive Zuschreibungen gegenüber Öffentlichkeit oder Förderern;</w:t>
      </w:r>
    </w:p>
    <w:p>
      <w:pPr>
        <w:keepLines/>
        <w:numPr>
          <w:ilvl w:val="0"/>
          <w:numId w:val="1014"/>
        </w:numPr>
        <w:spacing w:after="64" w:line="254" w:lineRule="auto"/>
        <w:jc w:val="left"/>
      </w:pPr>
      <w:r>
        <w:rPr>
          <w:sz w:val="20"/>
        </w:rPr>
        <w:t xml:space="preserve">Supply-Chain-Risiken externer Modelle und Bibliotheken;</w:t>
      </w:r>
    </w:p>
    <w:p>
      <w:pPr>
        <w:keepLines/>
        <w:numPr>
          <w:ilvl w:val="0"/>
          <w:numId w:val="1014"/>
        </w:numPr>
        <w:spacing w:after="64" w:line="254" w:lineRule="auto"/>
        <w:jc w:val="left"/>
      </w:pPr>
      <w:r>
        <w:rPr>
          <w:sz w:val="20"/>
        </w:rPr>
        <w:t xml:space="preserve">Ressourcenverbrauch und unkontrolliertes Wachstum;</w:t>
      </w:r>
    </w:p>
    <w:p>
      <w:pPr>
        <w:keepLines/>
        <w:numPr>
          <w:ilvl w:val="0"/>
          <w:numId w:val="1014"/>
        </w:numPr>
        <w:spacing w:after="64" w:line="254" w:lineRule="auto"/>
        <w:jc w:val="left"/>
      </w:pPr>
      <w:r>
        <w:rPr>
          <w:sz w:val="20"/>
        </w:rPr>
        <w:t xml:space="preserve">Dual-Use-Anwendungen autonomer Agenten.</w:t>
      </w:r>
    </w:p>
    <w:bookmarkEnd w:id="225"/>
    <w:bookmarkStart w:id="226" w:name="governance"/>
    <w:p>
      <w:pPr>
        <w:pStyle w:val="Heading3"/>
        <w:keepLines/>
        <w:spacing w:after="120" w:before="160"/>
        <w:jc w:val="left"/>
      </w:pPr>
      <w:r>
        <w:rPr>
          <w:sz w:val="20"/>
        </w:rPr>
        <w:t xml:space="preserve">Governance</w:t>
      </w:r>
    </w:p>
    <w:p>
      <w:pPr>
        <w:pStyle w:val="FirstParagraph"/>
        <w:keepLines/>
        <w:spacing w:after="64" w:line="254" w:lineRule="auto"/>
        <w:jc w:val="left"/>
      </w:pPr>
      <w:r>
        <w:rPr>
          <w:sz w:val="20"/>
        </w:rPr>
        <w:t xml:space="preserve">Sicherheitsclaims werden wie Funktionsclaims registriert. Ein Safety-Test ist keine einmalige Checkliste, sondern ein versionierter Nachweis mit Threat Model, Testvektoren, bekannten Restproblemen und Geltungsbereich. Allgemeine AI-Safety-Literatur bietet Problemklassen, muss aber für die konkrete hybride Architektur operationalisiert werden (</w:t>
      </w:r>
      <w:hyperlink w:anchor="ref-Amodei2016">
        <w:r>
          <w:rPr>
            <w:rStyle w:val="Hyperlink"/>
          </w:rPr>
          <w:t xml:space="preserve">Amodei et al., 2016</w:t>
        </w:r>
      </w:hyperlink>
      <w:r>
        <w:rPr>
          <w:sz w:val="20"/>
        </w:rPr>
        <w:t xml:space="preserve">).</w:t>
      </w:r>
    </w:p>
    <w:bookmarkEnd w:id="226"/>
    <w:bookmarkEnd w:id="227"/>
    <w:bookmarkEnd w:id="228"/>
    <w:bookmarkStart w:id="241" w:name="Xd9e5e45bc2f1becb67772743867e30962c45b27"/>
    <w:p>
      <w:bookmarkStart w:id="10017" w:name="B5D_H017"/>
      <w:pPr>
        <w:pStyle w:val="Heading1"/>
      </w:pPr>
      <w:r>
        <w:t xml:space="preserve">14. Mathematische Annahmen und hybrides Zustandsmodell</w:t>
      </w:r>
      <w:bookmarkEnd w:id="10017"/>
    </w:p>
    <w:bookmarkStart w:id="235" w:name="Xa7c798b5b736f9edea483cad011a23b46437fbc"/>
    <w:p>
      <w:pPr>
        <w:pStyle w:val="Heading2"/>
        <w:spacing w:before="160"/>
      </w:pPr>
      <w:r>
        <w:t xml:space="preserve">Mathematische Annahmen und Geltungsbedingungen</w:t>
      </w:r>
    </w:p>
    <w:bookmarkStart w:id="229" w:name="funktion-der-annahmen"/>
    <w:p>
      <w:pPr>
        <w:pStyle w:val="Heading3"/>
        <w:keepLines/>
        <w:spacing w:after="120" w:before="160"/>
        <w:jc w:val="left"/>
      </w:pPr>
      <w:r>
        <w:rPr>
          <w:sz w:val="20"/>
        </w:rPr>
        <w:t xml:space="preserve">Funktion der Annahmen</w:t>
      </w:r>
    </w:p>
    <w:p>
      <w:pPr>
        <w:pStyle w:val="FirstParagraph"/>
        <w:keepLines/>
        <w:spacing w:after="40" w:line="250" w:lineRule="auto"/>
        <w:jc w:val="left"/>
      </w:pPr>
      <w:r>
        <w:rPr>
          <w:sz w:val="20"/>
        </w:rPr>
        <w:t xml:space="preserve">Mathematische Formalisierung setzt voraus, dass Modellobjekte, Zeitskalen und Beobachtungen hinreichend definiert sind. Brain-5D unterscheidet deshalb explizite Arbeitsannahmen von hergeleiteten Resultaten. Eine Verletzung der Annahmen macht eine Gleichung nicht technisch unbrauchbar, begrenzt aber ihre Interpretation.</w:t>
      </w:r>
    </w:p>
    <w:bookmarkEnd w:id="229"/>
    <w:bookmarkStart w:id="230" w:name="annahmenkatalog"/>
    <w:p>
      <w:pPr>
        <w:pStyle w:val="Heading3"/>
        <w:keepLines/>
        <w:spacing w:after="120" w:before="160"/>
        <w:jc w:val="left"/>
      </w:pPr>
      <w:r>
        <w:rPr>
          <w:sz w:val="20"/>
        </w:rPr>
        <w:t xml:space="preserve">Annahmenkatalog</w:t>
      </w:r>
    </w:p>
    <w:p>
      <w:pPr>
        <w:pStyle w:val="Caption"/>
        <w:keepNext/>
        <w:keepLines/>
        <w:spacing w:before="180" w:after="120"/>
        <w:jc w:val="left"/>
      </w:pPr>
      <w:r>
        <w:rPr>
          <w:sz w:val="20"/>
        </w:rPr>
        <w:t>Tabelle 21. Mathematische Arbeitsannahmen</w:t>
      </w:r>
    </w:p>
    <w:tbl>
      <w:tblPr>
        <w:tblStyle w:val="Table"/>
        <w:tblW w:type="pct" w:w="4950"/>
        <w:jc w:val="center"/>
        <w:tblLayout w:type="fixed"/>
        <w:tblLook w:firstRow="1" w:lastRow="0" w:firstColumn="0" w:lastColumn="0" w:noHBand="0" w:noVBand="0" w:val="0020"/>
        <w:tblInd w:w="0" w:type="dxa"/>
        <w:tblCellMar>
          <w:top w:w="70" w:type="dxa"/>
          <w:bottom w:w="70" w:type="dxa"/>
          <w:left w:w="85" w:type="dxa"/>
          <w:right w:w="85" w:type="dxa"/>
        </w:tblCellMar>
        <w:tblBorders>
          <w:top w:val="single" w:sz="4" w:color="CCD4D9"/>
          <w:bottom w:val="single" w:sz="4" w:color="CCD4D9"/>
          <w:insideH w:val="single" w:sz="4" w:color="CCD4D9"/>
          <w:left w:val="nil"/>
          <w:right w:val="nil"/>
          <w:insideV w:val="nil"/>
        </w:tblBorders>
      </w:tblPr>
      <w:tblGrid>
        <w:gridCol w:w="1296"/>
        <w:gridCol w:w="3442"/>
        <w:gridCol w:w="2635"/>
        <w:gridCol w:w="2477"/>
      </w:tblGrid>
      <w:tr>
        <w:trPr>
          <w:tblHeader w:val="on"/>
          <w:cantSplit/>
          <w:tblHeader/>
        </w:trPr>
        <w:tc>
          <w:tcPr>
            <w:tcW w:type="dxa" w:w="1296"/>
            <w:vAlign w:val="center"/>
            <w:shd w:fill="E9EFF3"/>
          </w:tcPr>
          <w:p>
            <w:pPr>
              <w:pStyle w:val="Compact"/>
              <w:keepNext w:val="0"/>
              <w:keepLines/>
              <w:spacing w:before="20" w:after="20" w:line="250" w:lineRule="auto"/>
              <w:jc w:val="center"/>
            </w:pPr>
            <w:r>
              <w:rPr>
                <w:rFonts w:ascii="Liberation Sans" w:hAnsi="Liberation Sans"/>
                <w:b/>
                <w:bCs/>
                <w:sz w:val="18"/>
              </w:rPr>
              <w:t xml:space="preserve">ID</w:t>
            </w:r>
          </w:p>
        </w:tc>
        <w:tc>
          <w:tcPr>
            <w:tcW w:type="dxa" w:w="3442"/>
            <w:vAlign w:val="center"/>
            <w:shd w:fill="E9EFF3"/>
          </w:tcPr>
          <w:p>
            <w:pPr>
              <w:pStyle w:val="Compact"/>
              <w:keepNext w:val="0"/>
              <w:keepLines/>
              <w:spacing w:before="20" w:after="20" w:line="250" w:lineRule="auto"/>
              <w:jc w:val="left"/>
            </w:pPr>
            <w:r>
              <w:rPr>
                <w:rFonts w:ascii="Liberation Sans" w:hAnsi="Liberation Sans"/>
                <w:b/>
                <w:bCs/>
                <w:sz w:val="18"/>
              </w:rPr>
              <w:t xml:space="preserve">Arbeitsannahme</w:t>
            </w:r>
          </w:p>
        </w:tc>
        <w:tc>
          <w:tcPr>
            <w:tcW w:type="dxa" w:w="2635"/>
            <w:vAlign w:val="center"/>
            <w:shd w:fill="E9EFF3"/>
          </w:tcPr>
          <w:p>
            <w:pPr>
              <w:pStyle w:val="Compact"/>
              <w:keepNext w:val="0"/>
              <w:keepLines/>
              <w:spacing w:before="20" w:after="20" w:line="250" w:lineRule="auto"/>
              <w:jc w:val="left"/>
            </w:pPr>
            <w:r>
              <w:rPr>
                <w:rFonts w:ascii="Liberation Sans" w:hAnsi="Liberation Sans"/>
                <w:b/>
                <w:bCs/>
                <w:sz w:val="18"/>
              </w:rPr>
              <w:t xml:space="preserve">Bedeutung</w:t>
            </w:r>
          </w:p>
        </w:tc>
        <w:tc>
          <w:tcPr>
            <w:tcW w:type="dxa" w:w="2477"/>
            <w:vAlign w:val="center"/>
            <w:shd w:fill="E9EFF3"/>
          </w:tcPr>
          <w:p>
            <w:pPr>
              <w:pStyle w:val="Compact"/>
              <w:keepNext w:val="0"/>
              <w:keepLines/>
              <w:spacing w:before="20" w:after="20" w:line="250" w:lineRule="auto"/>
              <w:jc w:val="left"/>
            </w:pPr>
            <w:r>
              <w:rPr>
                <w:rFonts w:ascii="Liberation Sans" w:hAnsi="Liberation Sans"/>
                <w:b/>
                <w:bCs/>
                <w:sz w:val="18"/>
              </w:rPr>
              <w:t xml:space="preserve">Prüfung / Sensitivität</w:t>
            </w:r>
          </w:p>
        </w:tc>
      </w:tr>
      <w:tr>
        <w:trPr>
          <w:cantSplit/>
        </w:trPr>
        <w:tc>
          <w:tcPr>
            <w:tcW w:type="dxa" w:w="1296"/>
            <w:vAlign w:val="center"/>
          </w:tcPr>
          <w:p>
            <w:pPr>
              <w:pStyle w:val="Compact"/>
              <w:keepNext w:val="0"/>
              <w:keepLines/>
              <w:spacing w:before="20" w:after="20" w:line="250" w:lineRule="auto"/>
              <w:jc w:val="center"/>
            </w:pPr>
            <w:r>
              <w:rPr>
                <w:rFonts w:ascii="Liberation Sans" w:hAnsi="Liberation Sans"/>
                <w:sz w:val="18"/>
              </w:rPr>
              <w:t xml:space="preserve">A-MATH-01</w:t>
            </w:r>
          </w:p>
        </w:tc>
        <w:tc>
          <w:tcPr>
            <w:tcW w:type="dxa" w:w="3442"/>
            <w:vAlign w:val="center"/>
          </w:tcPr>
          <w:p>
            <w:pPr>
              <w:pStyle w:val="Compact"/>
              <w:keepNext w:val="0"/>
              <w:keepLines/>
              <w:spacing w:before="20" w:after="20" w:line="250" w:lineRule="auto"/>
              <w:jc w:val="left"/>
            </w:pPr>
            <w:r>
              <w:rPr>
                <w:rFonts w:ascii="Liberation Sans" w:hAnsi="Liberation Sans"/>
                <w:sz w:val="18"/>
              </w:rPr>
              <w:t xml:space="preserve">Der materialisierte Zustand ist zu jedem Safe Point endlich.</w:t>
            </w:r>
          </w:p>
        </w:tc>
        <w:tc>
          <w:tcPr>
            <w:tcW w:type="dxa" w:w="2635"/>
            <w:vAlign w:val="center"/>
          </w:tcPr>
          <w:p>
            <w:pPr>
              <w:pStyle w:val="Compact"/>
              <w:keepNext w:val="0"/>
              <w:keepLines/>
              <w:spacing w:before="20" w:after="20" w:line="250" w:lineRule="auto"/>
              <w:jc w:val="left"/>
            </w:pPr>
            <w:r>
              <w:rPr>
                <w:rFonts w:ascii="Liberation Sans" w:hAnsi="Liberation Sans"/>
                <w:sz w:val="18"/>
              </w:rPr>
              <w:t xml:space="preserve">Speicher, Graph und Ereignismengen sind begrenzt.</w:t>
            </w:r>
          </w:p>
        </w:tc>
        <w:tc>
          <w:tcPr>
            <w:tcW w:type="dxa" w:w="2477"/>
            <w:vAlign w:val="center"/>
          </w:tcPr>
          <w:p>
            <w:pPr>
              <w:pStyle w:val="Compact"/>
              <w:keepNext w:val="0"/>
              <w:keepLines/>
              <w:spacing w:before="20" w:after="20" w:line="250" w:lineRule="auto"/>
              <w:jc w:val="left"/>
            </w:pPr>
            <w:r>
              <w:rPr>
                <w:rFonts w:ascii="Liberation Sans" w:hAnsi="Liberation Sans"/>
                <w:sz w:val="18"/>
              </w:rPr>
              <w:t xml:space="preserve">Budget- und Integritätstest</w:t>
            </w:r>
          </w:p>
        </w:tc>
      </w:tr>
      <w:tr>
        <w:trPr>
          <w:cantSplit/>
        </w:trPr>
        <w:tc>
          <w:tcPr>
            <w:tcW w:type="dxa" w:w="1296"/>
            <w:vAlign w:val="center"/>
          </w:tcPr>
          <w:p>
            <w:pPr>
              <w:pStyle w:val="Compact"/>
              <w:keepNext w:val="0"/>
              <w:keepLines/>
              <w:spacing w:before="20" w:after="20" w:line="250" w:lineRule="auto"/>
              <w:jc w:val="center"/>
            </w:pPr>
            <w:r>
              <w:rPr>
                <w:rFonts w:ascii="Liberation Sans" w:hAnsi="Liberation Sans"/>
                <w:sz w:val="18"/>
              </w:rPr>
              <w:t xml:space="preserve">A-MATH-02</w:t>
            </w:r>
          </w:p>
        </w:tc>
        <w:tc>
          <w:tcPr>
            <w:tcW w:type="dxa" w:w="3442"/>
            <w:vAlign w:val="center"/>
          </w:tcPr>
          <w:p>
            <w:pPr>
              <w:pStyle w:val="Compact"/>
              <w:keepNext w:val="0"/>
              <w:keepLines/>
              <w:spacing w:before="20" w:after="20" w:line="250" w:lineRule="auto"/>
              <w:jc w:val="left"/>
            </w:pPr>
            <w:r>
              <w:rPr>
                <w:rFonts w:ascii="Liberation Sans" w:hAnsi="Liberation Sans"/>
                <w:sz w:val="18"/>
              </w:rPr>
              <w:t xml:space="preserve">Zustandsübergänge sind bei gegebenem Zustand, Input, Parametern und RNG wohldefiniert.</w:t>
            </w:r>
          </w:p>
        </w:tc>
        <w:tc>
          <w:tcPr>
            <w:tcW w:type="dxa" w:w="2635"/>
            <w:vAlign w:val="center"/>
          </w:tcPr>
          <w:p>
            <w:pPr>
              <w:pStyle w:val="Compact"/>
              <w:keepNext w:val="0"/>
              <w:keepLines/>
              <w:spacing w:before="20" w:after="20" w:line="250" w:lineRule="auto"/>
              <w:jc w:val="left"/>
            </w:pPr>
            <w:r>
              <w:rPr>
                <w:rFonts w:ascii="Liberation Sans" w:hAnsi="Liberation Sans"/>
                <w:sz w:val="18"/>
              </w:rPr>
              <w:t xml:space="preserve">keine mehrdeutige partielle Mutation</w:t>
            </w:r>
          </w:p>
        </w:tc>
        <w:tc>
          <w:tcPr>
            <w:tcW w:type="dxa" w:w="2477"/>
            <w:vAlign w:val="center"/>
          </w:tcPr>
          <w:p>
            <w:pPr>
              <w:pStyle w:val="Compact"/>
              <w:keepNext w:val="0"/>
              <w:keepLines/>
              <w:spacing w:before="20" w:after="20" w:line="250" w:lineRule="auto"/>
              <w:jc w:val="left"/>
            </w:pPr>
            <w:r>
              <w:rPr>
                <w:rFonts w:ascii="Liberation Sans" w:hAnsi="Liberation Sans"/>
                <w:sz w:val="18"/>
              </w:rPr>
              <w:t xml:space="preserve">deterministischer Golden Run</w:t>
            </w:r>
          </w:p>
        </w:tc>
      </w:tr>
      <w:tr>
        <w:trPr>
          <w:cantSplit/>
        </w:trPr>
        <w:tc>
          <w:tcPr>
            <w:tcW w:type="dxa" w:w="1296"/>
            <w:vAlign w:val="center"/>
          </w:tcPr>
          <w:p>
            <w:pPr>
              <w:pStyle w:val="Compact"/>
              <w:keepNext w:val="0"/>
              <w:keepLines/>
              <w:spacing w:before="20" w:after="20" w:line="250" w:lineRule="auto"/>
              <w:jc w:val="center"/>
            </w:pPr>
            <w:r>
              <w:rPr>
                <w:rFonts w:ascii="Liberation Sans" w:hAnsi="Liberation Sans"/>
                <w:sz w:val="18"/>
              </w:rPr>
              <w:t xml:space="preserve">A-MATH-03</w:t>
            </w:r>
          </w:p>
        </w:tc>
        <w:tc>
          <w:tcPr>
            <w:tcW w:type="dxa" w:w="3442"/>
            <w:vAlign w:val="center"/>
          </w:tcPr>
          <w:p>
            <w:pPr>
              <w:pStyle w:val="Compact"/>
              <w:keepNext w:val="0"/>
              <w:keepLines/>
              <w:spacing w:before="20" w:after="20" w:line="250" w:lineRule="auto"/>
              <w:jc w:val="left"/>
            </w:pPr>
            <w:r>
              <w:rPr>
                <w:rFonts w:ascii="Liberation Sans" w:hAnsi="Liberation Sans"/>
                <w:sz w:val="18"/>
              </w:rPr>
              <w:t xml:space="preserve">Numerische Integration konvergiert im relevanten Parameterbereich hinreichend.</w:t>
            </w:r>
          </w:p>
        </w:tc>
        <w:tc>
          <w:tcPr>
            <w:tcW w:type="dxa" w:w="2635"/>
            <w:vAlign w:val="center"/>
          </w:tcPr>
          <w:p>
            <w:pPr>
              <w:pStyle w:val="Compact"/>
              <w:keepNext w:val="0"/>
              <w:keepLines/>
              <w:spacing w:before="20" w:after="20" w:line="250" w:lineRule="auto"/>
              <w:jc w:val="left"/>
            </w:pPr>
            <w:r>
              <w:rPr>
                <w:rFonts w:ascii="Liberation Sans" w:hAnsi="Liberation Sans"/>
                <w:sz w:val="18"/>
              </w:rPr>
              <w:t xml:space="preserve">Schrittweite erzeugt keine dominanten Artefakte.</w:t>
            </w:r>
          </w:p>
        </w:tc>
        <w:tc>
          <w:tcPr>
            <w:tcW w:type="dxa" w:w="2477"/>
            <w:vAlign w:val="center"/>
          </w:tcPr>
          <w:p>
            <w:pPr>
              <w:pStyle w:val="Compact"/>
              <w:keepNext w:val="0"/>
              <w:keepLines/>
              <w:spacing w:before="20" w:after="20" w:line="250" w:lineRule="auto"/>
              <w:jc w:val="left"/>
            </w:pPr>
            <w:r>
              <w:rPr>
                <w:rFonts w:ascii="Liberation Sans" w:hAnsi="Liberation Sans"/>
                <w:sz w:val="18"/>
              </w:rPr>
              <w:t xml:space="preserve">Schrittweiten- und Solverablation</w:t>
            </w:r>
          </w:p>
        </w:tc>
      </w:tr>
      <w:tr>
        <w:trPr>
          <w:cantSplit/>
        </w:trPr>
        <w:tc>
          <w:tcPr>
            <w:tcW w:type="dxa" w:w="1296"/>
            <w:vAlign w:val="center"/>
          </w:tcPr>
          <w:p>
            <w:pPr>
              <w:pStyle w:val="Compact"/>
              <w:keepNext w:val="0"/>
              <w:keepLines/>
              <w:spacing w:before="20" w:after="20" w:line="250" w:lineRule="auto"/>
              <w:jc w:val="center"/>
            </w:pPr>
            <w:r>
              <w:rPr>
                <w:rFonts w:ascii="Liberation Sans" w:hAnsi="Liberation Sans"/>
                <w:sz w:val="18"/>
              </w:rPr>
              <w:t xml:space="preserve">A-MATH-04</w:t>
            </w:r>
          </w:p>
        </w:tc>
        <w:tc>
          <w:tcPr>
            <w:tcW w:type="dxa" w:w="3442"/>
            <w:vAlign w:val="center"/>
          </w:tcPr>
          <w:p>
            <w:pPr>
              <w:pStyle w:val="Compact"/>
              <w:keepNext w:val="0"/>
              <w:keepLines/>
              <w:spacing w:before="20" w:after="20" w:line="250" w:lineRule="auto"/>
              <w:jc w:val="left"/>
            </w:pPr>
            <w:r>
              <w:rPr>
                <w:rFonts w:ascii="Liberation Sans" w:hAnsi="Liberation Sans"/>
                <w:sz w:val="18"/>
              </w:rPr>
              <w:t xml:space="preserve">Die Metrikmatrix ist symmetrisch positiv definit oder bewusst semidefinit.</w:t>
            </w:r>
          </w:p>
        </w:tc>
        <w:tc>
          <w:tcPr>
            <w:tcW w:type="dxa" w:w="2635"/>
            <w:vAlign w:val="center"/>
          </w:tcPr>
          <w:p>
            <w:pPr>
              <w:pStyle w:val="Compact"/>
              <w:keepNext w:val="0"/>
              <w:keepLines/>
              <w:spacing w:before="20" w:after="20" w:line="250" w:lineRule="auto"/>
              <w:jc w:val="left"/>
            </w:pPr>
            <w:r>
              <w:rPr>
                <w:rFonts w:ascii="Liberation Sans" w:hAnsi="Liberation Sans"/>
                <w:sz w:val="18"/>
              </w:rPr>
              <w:t xml:space="preserve">Distanzen sind mathematisch kontrolliert.</w:t>
            </w:r>
          </w:p>
        </w:tc>
        <w:tc>
          <w:tcPr>
            <w:tcW w:type="dxa" w:w="2477"/>
            <w:vAlign w:val="center"/>
          </w:tcPr>
          <w:p>
            <w:pPr>
              <w:pStyle w:val="Compact"/>
              <w:keepNext w:val="0"/>
              <w:keepLines/>
              <w:spacing w:before="20" w:after="20" w:line="250" w:lineRule="auto"/>
              <w:jc w:val="left"/>
            </w:pPr>
            <w:r>
              <w:rPr>
                <w:rFonts w:ascii="Liberation Sans" w:hAnsi="Liberation Sans"/>
                <w:sz w:val="18"/>
              </w:rPr>
              <w:t xml:space="preserve">Eigenwert-/Cholesky-Test</w:t>
            </w:r>
          </w:p>
        </w:tc>
      </w:tr>
      <w:tr>
        <w:trPr>
          <w:cantSplit/>
        </w:trPr>
        <w:tc>
          <w:tcPr>
            <w:tcW w:type="dxa" w:w="1296"/>
            <w:vAlign w:val="center"/>
          </w:tcPr>
          <w:p>
            <w:pPr>
              <w:pStyle w:val="Compact"/>
              <w:keepNext w:val="0"/>
              <w:keepLines/>
              <w:spacing w:before="20" w:after="20" w:line="250" w:lineRule="auto"/>
              <w:jc w:val="center"/>
            </w:pPr>
            <w:r>
              <w:rPr>
                <w:rFonts w:ascii="Liberation Sans" w:hAnsi="Liberation Sans"/>
                <w:sz w:val="18"/>
              </w:rPr>
              <w:t xml:space="preserve">A-MATH-05</w:t>
            </w:r>
          </w:p>
        </w:tc>
        <w:tc>
          <w:tcPr>
            <w:tcW w:type="dxa" w:w="3442"/>
            <w:vAlign w:val="center"/>
          </w:tcPr>
          <w:p>
            <w:pPr>
              <w:pStyle w:val="Compact"/>
              <w:keepNext w:val="0"/>
              <w:keepLines/>
              <w:spacing w:before="20" w:after="20" w:line="250" w:lineRule="auto"/>
              <w:jc w:val="left"/>
            </w:pPr>
            <w:r>
              <w:rPr>
                <w:rFonts w:ascii="Liberation Sans" w:hAnsi="Liberation Sans"/>
                <w:sz w:val="18"/>
              </w:rPr>
              <w:t xml:space="preserve">Beobachtungsfenster und Regionen sind vor Auswertung fixiert oder als explorativ markiert.</w:t>
            </w:r>
          </w:p>
        </w:tc>
        <w:tc>
          <w:tcPr>
            <w:tcW w:type="dxa" w:w="2635"/>
            <w:vAlign w:val="center"/>
          </w:tcPr>
          <w:p>
            <w:pPr>
              <w:pStyle w:val="Compact"/>
              <w:keepNext w:val="0"/>
              <w:keepLines/>
              <w:spacing w:before="20" w:after="20" w:line="250" w:lineRule="auto"/>
              <w:jc w:val="left"/>
            </w:pPr>
            <w:r>
              <w:rPr>
                <w:rFonts w:ascii="Liberation Sans" w:hAnsi="Liberation Sans"/>
                <w:sz w:val="18"/>
              </w:rPr>
              <w:t xml:space="preserve">verhindert post-hoc Optimierung.</w:t>
            </w:r>
          </w:p>
        </w:tc>
        <w:tc>
          <w:tcPr>
            <w:tcW w:type="dxa" w:w="2477"/>
            <w:vAlign w:val="center"/>
          </w:tcPr>
          <w:p>
            <w:pPr>
              <w:pStyle w:val="Compact"/>
              <w:keepNext w:val="0"/>
              <w:keepLines/>
              <w:spacing w:before="20" w:after="20" w:line="250" w:lineRule="auto"/>
              <w:jc w:val="left"/>
            </w:pPr>
            <w:r>
              <w:rPr>
                <w:rFonts w:ascii="Liberation Sans" w:hAnsi="Liberation Sans"/>
                <w:sz w:val="18"/>
              </w:rPr>
              <w:t xml:space="preserve">Registry-Prüfung</w:t>
            </w:r>
          </w:p>
        </w:tc>
      </w:tr>
      <w:tr>
        <w:trPr>
          <w:cantSplit/>
        </w:trPr>
        <w:tc>
          <w:tcPr>
            <w:tcW w:type="dxa" w:w="1296"/>
            <w:vAlign w:val="center"/>
          </w:tcPr>
          <w:p>
            <w:pPr>
              <w:pStyle w:val="Compact"/>
              <w:keepNext w:val="0"/>
              <w:keepLines/>
              <w:spacing w:before="20" w:after="20" w:line="250" w:lineRule="auto"/>
              <w:jc w:val="center"/>
            </w:pPr>
            <w:r>
              <w:rPr>
                <w:rFonts w:ascii="Liberation Sans" w:hAnsi="Liberation Sans"/>
                <w:sz w:val="18"/>
              </w:rPr>
              <w:t xml:space="preserve">A-MATH-06</w:t>
            </w:r>
          </w:p>
        </w:tc>
        <w:tc>
          <w:tcPr>
            <w:tcW w:type="dxa" w:w="3442"/>
            <w:vAlign w:val="center"/>
          </w:tcPr>
          <w:p>
            <w:pPr>
              <w:pStyle w:val="Compact"/>
              <w:keepNext w:val="0"/>
              <w:keepLines/>
              <w:spacing w:before="20" w:after="20" w:line="250" w:lineRule="auto"/>
              <w:jc w:val="left"/>
            </w:pPr>
            <w:r>
              <w:rPr>
                <w:rFonts w:ascii="Liberation Sans" w:hAnsi="Liberation Sans"/>
                <w:sz w:val="18"/>
              </w:rPr>
              <w:t xml:space="preserve">Seeds beziehungsweise Runs sind zwischen Bedingungen austauschbar oder gepaart.</w:t>
            </w:r>
          </w:p>
        </w:tc>
        <w:tc>
          <w:tcPr>
            <w:tcW w:type="dxa" w:w="2635"/>
            <w:vAlign w:val="center"/>
          </w:tcPr>
          <w:p>
            <w:pPr>
              <w:pStyle w:val="Compact"/>
              <w:keepNext w:val="0"/>
              <w:keepLines/>
              <w:spacing w:before="20" w:after="20" w:line="250" w:lineRule="auto"/>
              <w:jc w:val="left"/>
            </w:pPr>
            <w:r>
              <w:rPr>
                <w:rFonts w:ascii="Liberation Sans" w:hAnsi="Liberation Sans"/>
                <w:sz w:val="18"/>
              </w:rPr>
              <w:t xml:space="preserve">Grundlage für Permutation und Vergleich.</w:t>
            </w:r>
          </w:p>
        </w:tc>
        <w:tc>
          <w:tcPr>
            <w:tcW w:type="dxa" w:w="2477"/>
            <w:vAlign w:val="center"/>
          </w:tcPr>
          <w:p>
            <w:pPr>
              <w:pStyle w:val="Compact"/>
              <w:keepNext w:val="0"/>
              <w:keepLines/>
              <w:spacing w:before="20" w:after="20" w:line="250" w:lineRule="auto"/>
              <w:jc w:val="left"/>
            </w:pPr>
            <w:r>
              <w:rPr>
                <w:rFonts w:ascii="Liberation Sans" w:hAnsi="Liberation Sans"/>
                <w:sz w:val="18"/>
              </w:rPr>
              <w:t xml:space="preserve">Randomisierungsprotokoll</w:t>
            </w:r>
          </w:p>
        </w:tc>
      </w:tr>
      <w:tr>
        <w:trPr>
          <w:cantSplit/>
        </w:trPr>
        <w:tc>
          <w:tcPr>
            <w:tcW w:type="dxa" w:w="1296"/>
            <w:vAlign w:val="center"/>
          </w:tcPr>
          <w:p>
            <w:pPr>
              <w:pStyle w:val="Compact"/>
              <w:keepNext w:val="0"/>
              <w:keepLines/>
              <w:spacing w:before="20" w:after="20" w:line="250" w:lineRule="auto"/>
              <w:jc w:val="center"/>
            </w:pPr>
            <w:r>
              <w:rPr>
                <w:rFonts w:ascii="Liberation Sans" w:hAnsi="Liberation Sans"/>
                <w:sz w:val="18"/>
              </w:rPr>
              <w:t xml:space="preserve">A-MATH-07</w:t>
            </w:r>
          </w:p>
        </w:tc>
        <w:tc>
          <w:tcPr>
            <w:tcW w:type="dxa" w:w="3442"/>
            <w:vAlign w:val="center"/>
          </w:tcPr>
          <w:p>
            <w:pPr>
              <w:pStyle w:val="Compact"/>
              <w:keepNext w:val="0"/>
              <w:keepLines/>
              <w:spacing w:before="20" w:after="20" w:line="250" w:lineRule="auto"/>
              <w:jc w:val="left"/>
            </w:pPr>
            <w:r>
              <w:rPr>
                <w:rFonts w:ascii="Liberation Sans" w:hAnsi="Liberation Sans"/>
                <w:sz w:val="18"/>
              </w:rPr>
              <w:t xml:space="preserve">Stationarität wird nur lokal und zeitfensterbezogen angenommen.</w:t>
            </w:r>
          </w:p>
        </w:tc>
        <w:tc>
          <w:tcPr>
            <w:tcW w:type="dxa" w:w="2635"/>
            <w:vAlign w:val="center"/>
          </w:tcPr>
          <w:p>
            <w:pPr>
              <w:pStyle w:val="Compact"/>
              <w:keepNext w:val="0"/>
              <w:keepLines/>
              <w:spacing w:before="20" w:after="20" w:line="250" w:lineRule="auto"/>
              <w:jc w:val="left"/>
            </w:pPr>
            <w:r>
              <w:rPr>
                <w:rFonts w:ascii="Liberation Sans" w:hAnsi="Liberation Sans"/>
                <w:sz w:val="18"/>
              </w:rPr>
              <w:t xml:space="preserve">lernende Graphen sind global nichtstationär.</w:t>
            </w:r>
          </w:p>
        </w:tc>
        <w:tc>
          <w:tcPr>
            <w:tcW w:type="dxa" w:w="2477"/>
            <w:vAlign w:val="center"/>
          </w:tcPr>
          <w:p>
            <w:pPr>
              <w:pStyle w:val="Compact"/>
              <w:keepNext w:val="0"/>
              <w:keepLines/>
              <w:spacing w:before="20" w:after="20" w:line="250" w:lineRule="auto"/>
              <w:jc w:val="left"/>
            </w:pPr>
            <w:r>
              <w:rPr>
                <w:rFonts w:ascii="Liberation Sans" w:hAnsi="Liberation Sans"/>
                <w:sz w:val="18"/>
              </w:rPr>
              <w:t xml:space="preserve">Change-Point-/Driftanalyse</w:t>
            </w:r>
          </w:p>
        </w:tc>
      </w:tr>
      <w:tr>
        <w:trPr>
          <w:cantSplit/>
        </w:trPr>
        <w:tc>
          <w:tcPr>
            <w:tcW w:type="dxa" w:w="1296"/>
            <w:vAlign w:val="center"/>
          </w:tcPr>
          <w:p>
            <w:pPr>
              <w:pStyle w:val="Compact"/>
              <w:keepNext w:val="0"/>
              <w:keepLines/>
              <w:spacing w:before="20" w:after="20" w:line="250" w:lineRule="auto"/>
              <w:jc w:val="center"/>
            </w:pPr>
            <w:r>
              <w:rPr>
                <w:rFonts w:ascii="Liberation Sans" w:hAnsi="Liberation Sans"/>
                <w:sz w:val="18"/>
              </w:rPr>
              <w:t xml:space="preserve">A-MATH-08</w:t>
            </w:r>
          </w:p>
        </w:tc>
        <w:tc>
          <w:tcPr>
            <w:tcW w:type="dxa" w:w="3442"/>
            <w:vAlign w:val="center"/>
          </w:tcPr>
          <w:p>
            <w:pPr>
              <w:pStyle w:val="Compact"/>
              <w:keepNext w:val="0"/>
              <w:keepLines/>
              <w:spacing w:before="20" w:after="20" w:line="250" w:lineRule="auto"/>
              <w:jc w:val="left"/>
            </w:pPr>
            <w:r>
              <w:rPr>
                <w:rFonts w:ascii="Liberation Sans" w:hAnsi="Liberation Sans"/>
                <w:sz w:val="18"/>
              </w:rPr>
              <w:t xml:space="preserve">Decodertraining und Testdaten sind auf Episodenebene getrennt.</w:t>
            </w:r>
          </w:p>
        </w:tc>
        <w:tc>
          <w:tcPr>
            <w:tcW w:type="dxa" w:w="2635"/>
            <w:vAlign w:val="center"/>
          </w:tcPr>
          <w:p>
            <w:pPr>
              <w:pStyle w:val="Compact"/>
              <w:keepNext w:val="0"/>
              <w:keepLines/>
              <w:spacing w:before="20" w:after="20" w:line="250" w:lineRule="auto"/>
              <w:jc w:val="left"/>
            </w:pPr>
            <w:r>
              <w:rPr>
                <w:rFonts w:ascii="Liberation Sans" w:hAnsi="Liberation Sans"/>
                <w:sz w:val="18"/>
              </w:rPr>
              <w:t xml:space="preserve">verhindert zeitliches Leakage.</w:t>
            </w:r>
          </w:p>
        </w:tc>
        <w:tc>
          <w:tcPr>
            <w:tcW w:type="dxa" w:w="2477"/>
            <w:vAlign w:val="center"/>
          </w:tcPr>
          <w:p>
            <w:pPr>
              <w:pStyle w:val="Compact"/>
              <w:keepNext w:val="0"/>
              <w:keepLines/>
              <w:spacing w:before="20" w:after="20" w:line="250" w:lineRule="auto"/>
              <w:jc w:val="left"/>
            </w:pPr>
            <w:r>
              <w:rPr>
                <w:rFonts w:ascii="Liberation Sans" w:hAnsi="Liberation Sans"/>
                <w:sz w:val="18"/>
              </w:rPr>
              <w:t xml:space="preserve">Split-Audit</w:t>
            </w:r>
          </w:p>
        </w:tc>
      </w:tr>
      <w:tr>
        <w:trPr>
          <w:cantSplit/>
        </w:trPr>
        <w:tc>
          <w:tcPr>
            <w:tcW w:type="dxa" w:w="1296"/>
            <w:vAlign w:val="center"/>
          </w:tcPr>
          <w:p>
            <w:pPr>
              <w:pStyle w:val="Compact"/>
              <w:keepNext w:val="0"/>
              <w:keepLines/>
              <w:spacing w:before="20" w:after="20" w:line="250" w:lineRule="auto"/>
              <w:jc w:val="center"/>
            </w:pPr>
            <w:r>
              <w:rPr>
                <w:rFonts w:ascii="Liberation Sans" w:hAnsi="Liberation Sans"/>
                <w:sz w:val="18"/>
              </w:rPr>
              <w:t xml:space="preserve">A-MATH-09</w:t>
            </w:r>
          </w:p>
        </w:tc>
        <w:tc>
          <w:tcPr>
            <w:tcW w:type="dxa" w:w="3442"/>
            <w:vAlign w:val="center"/>
          </w:tcPr>
          <w:p>
            <w:pPr>
              <w:pStyle w:val="Compact"/>
              <w:keepNext w:val="0"/>
              <w:keepLines/>
              <w:spacing w:before="20" w:after="20" w:line="250" w:lineRule="auto"/>
              <w:jc w:val="left"/>
            </w:pPr>
            <w:r>
              <w:rPr>
                <w:rFonts w:ascii="Liberation Sans" w:hAnsi="Liberation Sans"/>
                <w:sz w:val="18"/>
              </w:rPr>
              <w:t xml:space="preserve">Kausale Interventionen verändern die Zielkomponente spezifischer als gematchte Kontrollen.</w:t>
            </w:r>
          </w:p>
        </w:tc>
        <w:tc>
          <w:tcPr>
            <w:tcW w:type="dxa" w:w="2635"/>
            <w:vAlign w:val="center"/>
          </w:tcPr>
          <w:p>
            <w:pPr>
              <w:pStyle w:val="Compact"/>
              <w:keepNext w:val="0"/>
              <w:keepLines/>
              <w:spacing w:before="20" w:after="20" w:line="250" w:lineRule="auto"/>
              <w:jc w:val="left"/>
            </w:pPr>
            <w:r>
              <w:rPr>
                <w:rFonts w:ascii="Liberation Sans" w:hAnsi="Liberation Sans"/>
                <w:sz w:val="18"/>
              </w:rPr>
              <w:t xml:space="preserve">Voraussetzung funktionaler Attribution.</w:t>
            </w:r>
          </w:p>
        </w:tc>
        <w:tc>
          <w:tcPr>
            <w:tcW w:type="dxa" w:w="2477"/>
            <w:vAlign w:val="center"/>
          </w:tcPr>
          <w:p>
            <w:pPr>
              <w:pStyle w:val="Compact"/>
              <w:keepNext w:val="0"/>
              <w:keepLines/>
              <w:spacing w:before="20" w:after="20" w:line="250" w:lineRule="auto"/>
              <w:jc w:val="left"/>
            </w:pPr>
            <w:r>
              <w:rPr>
                <w:rFonts w:ascii="Liberation Sans" w:hAnsi="Liberation Sans"/>
                <w:sz w:val="18"/>
              </w:rPr>
              <w:t xml:space="preserve">Manipulationscheck</w:t>
            </w:r>
          </w:p>
        </w:tc>
      </w:tr>
      <w:tr>
        <w:trPr>
          <w:cantSplit/>
        </w:trPr>
        <w:tc>
          <w:tcPr>
            <w:tcW w:type="dxa" w:w="1296"/>
            <w:vAlign w:val="center"/>
          </w:tcPr>
          <w:p>
            <w:pPr>
              <w:pStyle w:val="Compact"/>
              <w:keepNext w:val="0"/>
              <w:keepLines/>
              <w:spacing w:before="20" w:after="20" w:line="250" w:lineRule="auto"/>
              <w:jc w:val="center"/>
            </w:pPr>
            <w:r>
              <w:rPr>
                <w:rFonts w:ascii="Liberation Sans" w:hAnsi="Liberation Sans"/>
                <w:sz w:val="18"/>
              </w:rPr>
              <w:t xml:space="preserve">A-MATH-10</w:t>
            </w:r>
          </w:p>
        </w:tc>
        <w:tc>
          <w:tcPr>
            <w:tcW w:type="dxa" w:w="3442"/>
            <w:vAlign w:val="center"/>
          </w:tcPr>
          <w:p>
            <w:pPr>
              <w:pStyle w:val="Compact"/>
              <w:keepNext w:val="0"/>
              <w:keepLines/>
              <w:spacing w:before="20" w:after="20" w:line="250" w:lineRule="auto"/>
              <w:jc w:val="left"/>
            </w:pPr>
            <w:r>
              <w:rPr>
                <w:rFonts w:ascii="Liberation Sans" w:hAnsi="Liberation Sans"/>
                <w:sz w:val="18"/>
              </w:rPr>
              <w:t xml:space="preserve">Ressourcenproxies werden nicht ohne Kalibrierung als physikalische Energie bezeichnet.</w:t>
            </w:r>
          </w:p>
        </w:tc>
        <w:tc>
          <w:tcPr>
            <w:tcW w:type="dxa" w:w="2635"/>
            <w:vAlign w:val="center"/>
          </w:tcPr>
          <w:p>
            <w:pPr>
              <w:pStyle w:val="Compact"/>
              <w:keepNext w:val="0"/>
              <w:keepLines/>
              <w:spacing w:before="20" w:after="20" w:line="250" w:lineRule="auto"/>
              <w:jc w:val="left"/>
            </w:pPr>
            <w:r>
              <w:rPr>
                <w:rFonts w:ascii="Liberation Sans" w:hAnsi="Liberation Sans"/>
                <w:sz w:val="18"/>
              </w:rPr>
              <w:t xml:space="preserve">schützt vor Einheitenfehlern.</w:t>
            </w:r>
          </w:p>
        </w:tc>
        <w:tc>
          <w:tcPr>
            <w:tcW w:type="dxa" w:w="2477"/>
            <w:vAlign w:val="center"/>
          </w:tcPr>
          <w:p>
            <w:pPr>
              <w:pStyle w:val="Compact"/>
              <w:keepNext w:val="0"/>
              <w:keepLines/>
              <w:spacing w:before="20" w:after="20" w:line="250" w:lineRule="auto"/>
              <w:jc w:val="left"/>
            </w:pPr>
            <w:r>
              <w:rPr>
                <w:rFonts w:ascii="Liberation Sans" w:hAnsi="Liberation Sans"/>
                <w:sz w:val="18"/>
              </w:rPr>
              <w:t xml:space="preserve">Hardwaremessung / Kalibration</w:t>
            </w:r>
          </w:p>
        </w:tc>
      </w:tr>
      <w:tr>
        <w:trPr>
          <w:cantSplit/>
        </w:trPr>
        <w:tc>
          <w:tcPr>
            <w:tcW w:type="dxa" w:w="1296"/>
            <w:vAlign w:val="center"/>
          </w:tcPr>
          <w:p>
            <w:pPr>
              <w:pStyle w:val="Compact"/>
              <w:keepNext w:val="0"/>
              <w:keepLines/>
              <w:spacing w:before="20" w:after="20" w:line="250" w:lineRule="auto"/>
              <w:jc w:val="center"/>
            </w:pPr>
            <w:r>
              <w:rPr>
                <w:rFonts w:ascii="Liberation Sans" w:hAnsi="Liberation Sans"/>
                <w:sz w:val="18"/>
              </w:rPr>
              <w:t xml:space="preserve">A-MATH-11</w:t>
            </w:r>
          </w:p>
        </w:tc>
        <w:tc>
          <w:tcPr>
            <w:tcW w:type="dxa" w:w="3442"/>
            <w:vAlign w:val="center"/>
          </w:tcPr>
          <w:p>
            <w:pPr>
              <w:pStyle w:val="Compact"/>
              <w:keepNext w:val="0"/>
              <w:keepLines/>
              <w:spacing w:before="20" w:after="20" w:line="250" w:lineRule="auto"/>
              <w:jc w:val="left"/>
            </w:pPr>
            <w:r>
              <w:rPr>
                <w:rFonts w:ascii="Liberation Sans" w:hAnsi="Liberation Sans"/>
                <w:sz w:val="18"/>
              </w:rPr>
              <w:t xml:space="preserve">Fehlende Daten sind explizit und nicht stillschweigend Null.</w:t>
            </w:r>
          </w:p>
        </w:tc>
        <w:tc>
          <w:tcPr>
            <w:tcW w:type="dxa" w:w="2635"/>
            <w:vAlign w:val="center"/>
          </w:tcPr>
          <w:p>
            <w:pPr>
              <w:pStyle w:val="Compact"/>
              <w:keepNext w:val="0"/>
              <w:keepLines/>
              <w:spacing w:before="20" w:after="20" w:line="250" w:lineRule="auto"/>
              <w:jc w:val="left"/>
            </w:pPr>
            <w:r>
              <w:rPr>
                <w:rFonts w:ascii="Liberation Sans" w:hAnsi="Liberation Sans"/>
                <w:sz w:val="18"/>
              </w:rPr>
              <w:t xml:space="preserve">Null kann ein valider Sensorwert sein.</w:t>
            </w:r>
          </w:p>
        </w:tc>
        <w:tc>
          <w:tcPr>
            <w:tcW w:type="dxa" w:w="2477"/>
            <w:vAlign w:val="center"/>
          </w:tcPr>
          <w:p>
            <w:pPr>
              <w:pStyle w:val="Compact"/>
              <w:keepNext w:val="0"/>
              <w:keepLines/>
              <w:spacing w:before="20" w:after="20" w:line="250" w:lineRule="auto"/>
              <w:jc w:val="left"/>
            </w:pPr>
            <w:r>
              <w:rPr>
                <w:rFonts w:ascii="Liberation Sans" w:hAnsi="Liberation Sans"/>
                <w:sz w:val="18"/>
              </w:rPr>
              <w:t xml:space="preserve">Schema-Constraint</w:t>
            </w:r>
          </w:p>
        </w:tc>
      </w:tr>
      <w:tr>
        <w:trPr>
          <w:cantSplit/>
        </w:trPr>
        <w:tc>
          <w:tcPr>
            <w:tcW w:type="dxa" w:w="1296"/>
            <w:vAlign w:val="center"/>
          </w:tcPr>
          <w:p>
            <w:pPr>
              <w:pStyle w:val="Compact"/>
              <w:keepNext w:val="0"/>
              <w:keepLines/>
              <w:spacing w:before="20" w:after="20" w:line="250" w:lineRule="auto"/>
              <w:jc w:val="center"/>
            </w:pPr>
            <w:r>
              <w:rPr>
                <w:rFonts w:ascii="Liberation Sans" w:hAnsi="Liberation Sans"/>
                <w:sz w:val="18"/>
              </w:rPr>
              <w:t xml:space="preserve">A-MATH-12</w:t>
            </w:r>
          </w:p>
        </w:tc>
        <w:tc>
          <w:tcPr>
            <w:tcW w:type="dxa" w:w="3442"/>
            <w:vAlign w:val="center"/>
          </w:tcPr>
          <w:p>
            <w:pPr>
              <w:pStyle w:val="Compact"/>
              <w:keepNext w:val="0"/>
              <w:keepLines/>
              <w:spacing w:before="20" w:after="20" w:line="250" w:lineRule="auto"/>
              <w:jc w:val="left"/>
            </w:pPr>
            <w:r>
              <w:rPr>
                <w:rFonts w:ascii="Liberation Sans" w:hAnsi="Liberation Sans"/>
                <w:sz w:val="18"/>
              </w:rPr>
              <w:t xml:space="preserve">Abgeleitete Metriken sind Funktionen versionierter Primärdaten.</w:t>
            </w:r>
          </w:p>
        </w:tc>
        <w:tc>
          <w:tcPr>
            <w:tcW w:type="dxa" w:w="2635"/>
            <w:vAlign w:val="center"/>
          </w:tcPr>
          <w:p>
            <w:pPr>
              <w:pStyle w:val="Compact"/>
              <w:keepNext w:val="0"/>
              <w:keepLines/>
              <w:spacing w:before="20" w:after="20" w:line="250" w:lineRule="auto"/>
              <w:jc w:val="left"/>
            </w:pPr>
            <w:r>
              <w:rPr>
                <w:rFonts w:ascii="Liberation Sans" w:hAnsi="Liberation Sans"/>
                <w:sz w:val="18"/>
              </w:rPr>
              <w:t xml:space="preserve">Reanalyse bleibt möglich.</w:t>
            </w:r>
          </w:p>
        </w:tc>
        <w:tc>
          <w:tcPr>
            <w:tcW w:type="dxa" w:w="2477"/>
            <w:vAlign w:val="center"/>
          </w:tcPr>
          <w:p>
            <w:pPr>
              <w:pStyle w:val="Compact"/>
              <w:keepNext w:val="0"/>
              <w:keepLines/>
              <w:spacing w:before="20" w:after="20" w:line="250" w:lineRule="auto"/>
              <w:jc w:val="left"/>
            </w:pPr>
            <w:r>
              <w:rPr>
                <w:rFonts w:ascii="Liberation Sans" w:hAnsi="Liberation Sans"/>
                <w:sz w:val="18"/>
              </w:rPr>
              <w:t xml:space="preserve">Provenienz-Trace</w:t>
            </w:r>
          </w:p>
        </w:tc>
      </w:tr>
    </w:tbl>
    <w:bookmarkEnd w:id="230"/>
    <w:bookmarkStart w:id="231" w:name="Xa279d0a70c22f58985cdb9df72001af3239c150"/>
    <w:p>
      <w:pPr>
        <w:pStyle w:val="Heading3"/>
        <w:keepLines/>
        <w:spacing w:after="120" w:before="160"/>
        <w:jc w:val="left"/>
      </w:pPr>
      <w:r>
        <w:rPr>
          <w:sz w:val="20"/>
        </w:rPr>
        <w:t xml:space="preserve">Wohldefiniertheit und numerische Konvergenz</w:t>
      </w:r>
    </w:p>
    <w:p>
      <w:pPr>
        <w:pStyle w:val="FirstParagraph"/>
        <w:keepLines/>
        <w:spacing w:after="40" w:line="250" w:lineRule="auto"/>
        <w:jc w:val="left"/>
      </w:pPr>
      <w:r>
        <w:rPr>
          <w:sz w:val="20"/>
        </w:rPr>
        <w:t xml:space="preserve">Für ein gegebenes Modell soll die Simulation eine eindeutige Ereignisordnung besitzen. Gleichzeitige Spikes, synaptische Updates und Strukturänderungen benötigen eine festgelegte Priorität oder eine mathematisch begründete simultane Update-Regel. Andernfalls können unterschiedliche Thread- oder Datenbankreihenfolgen verschiedene wissenschaftliche Resultate erzeugen.</w:t>
      </w:r>
    </w:p>
    <w:p>
      <w:pPr>
        <w:pStyle w:val="BodyText"/>
        <w:keepLines/>
        <w:spacing w:after="40" w:line="250" w:lineRule="auto"/>
        <w:jc w:val="left"/>
      </w:pPr>
      <w:r>
        <w:rPr>
          <w:sz w:val="20"/>
        </w:rPr>
        <w:t xml:space="preserve">Numerische Konvergenz wird nicht nur über Membranpotentiale geprüft. Bei veränderter Schrittweite</w:t>
      </w:r>
      <w:r>
        <w:rPr>
          <w:sz w:val="20"/>
        </w:rPr>
        <w:t xml:space="preserve"> </w:t>
      </w:r>
      <m:oMath>
        <m:r>
          <m:t>Δ</m:t>
        </m:r>
        <m:r>
          <m:t>t</m:t>
        </m:r>
      </m:oMath>
      <w:r>
        <w:rPr>
          <w:sz w:val="20"/>
        </w:rPr>
        <w:t xml:space="preserve"> </w:t>
      </w:r>
      <w:r>
        <w:rPr>
          <w:sz w:val="20"/>
        </w:rPr>
        <w:t xml:space="preserve">werden auch Spikezeiten, Populationsmetriken, Gewichtsverteilungen und funktionale Outcomes verglichen. Eine geeignete Fehlerfamilie ist</w:t>
      </w:r>
    </w:p>
    <w:p>
      <w:pPr>
        <w:pStyle w:val="BodyText"/>
        <w:keepLines/>
        <w:spacing w:after="40" w:line="250" w:lineRule="auto"/>
        <w:jc w:val="left"/>
      </w:pPr>
      <w:r>
        <w:rPr>
          <w:b/>
          <w:bCs/>
          <w:sz w:val="20"/>
        </w:rPr>
        <w:t xml:space="preserve">[EMP]</w:t>
      </w:r>
    </w:p>
    <w:p>
      <w:pPr>
        <w:pStyle w:val="BodyText"/>
        <w:keepLines/>
        <w:spacing w:after="40" w:before="100" w:line="250" w:lineRule="auto"/>
        <w:jc w:val="center"/>
      </w:pPr>
      <m:oMathPara>
        <m:oMathParaPr>
          <m:jc m:val="center"/>
        </m:oMathParaPr>
        <m:oMath>
          <m:sSub>
            <m:e>
              <m:r>
                <m:t>E</m:t>
              </m:r>
            </m:e>
            <m:sub>
              <m:r>
                <m:t>Δ</m:t>
              </m:r>
              <m:r>
                <m:t>t</m:t>
              </m:r>
            </m:sub>
          </m:sSub>
          <m:r>
            <m:rPr>
              <m:sty m:val="p"/>
            </m:rPr>
            <m:t>=</m:t>
          </m:r>
          <m:r>
            <m:t>d</m:t>
          </m:r>
          <m:r>
            <m:t>​</m:t>
          </m:r>
          <m:d>
            <m:dPr>
              <m:begChr m:val="("/>
              <m:endChr m:val=")"/>
              <m:sepChr m:val=""/>
              <m:grow/>
            </m:dPr>
            <m:e>
              <m:sSub>
                <m:e>
                  <m:r>
                    <m:t>O</m:t>
                  </m:r>
                </m:e>
                <m:sub>
                  <m:r>
                    <m:t>Δ</m:t>
                  </m:r>
                  <m:r>
                    <m:t>t</m:t>
                  </m:r>
                </m:sub>
              </m:sSub>
              <m:r>
                <m:rPr>
                  <m:sty m:val="p"/>
                </m:rPr>
                <m:t>,</m:t>
              </m:r>
              <m:sSub>
                <m:e>
                  <m:r>
                    <m:t>O</m:t>
                  </m:r>
                </m:e>
                <m:sub>
                  <m:r>
                    <m:t>Δ</m:t>
                  </m:r>
                  <m:r>
                    <m:t>t</m:t>
                  </m:r>
                  <m:r>
                    <m:rPr>
                      <m:sty m:val="p"/>
                    </m:rPr>
                    <m:t>/</m:t>
                  </m:r>
                  <m:r>
                    <m:t>2</m:t>
                  </m:r>
                </m:sub>
              </m:sSub>
            </m:e>
          </m:d>
        </m:oMath>
      </m:oMathPara>
    </w:p>
    <w:p>
      <w:pPr>
        <w:pStyle w:val="FirstParagraph"/>
        <w:keepLines/>
        <w:spacing w:after="40" w:line="250" w:lineRule="auto"/>
        <w:jc w:val="left"/>
      </w:pPr>
      <w:r>
        <w:rPr>
          <w:sz w:val="20"/>
        </w:rPr>
        <w:t xml:space="preserve">wobei</w:t>
      </w:r>
      <w:r>
        <w:rPr>
          <w:sz w:val="20"/>
        </w:rPr>
        <w:t xml:space="preserve"> </w:t>
      </w:r>
      <m:oMath>
        <m:r>
          <m:t>O</m:t>
        </m:r>
      </m:oMath>
      <w:r>
        <w:rPr>
          <w:sz w:val="20"/>
        </w:rPr>
        <w:t xml:space="preserve"> </w:t>
      </w:r>
      <w:r>
        <w:rPr>
          <w:sz w:val="20"/>
        </w:rPr>
        <w:t xml:space="preserve">die für den Claim relevante Beobachtung bezeichnet. Exakte Spikegleichheit kann bei sensitiver Dynamik unrealistisch sein; dann sind statistische oder funktionale Konvergenzkriterien erforderlich.</w:t>
      </w:r>
    </w:p>
    <w:bookmarkEnd w:id="231"/>
    <w:bookmarkStart w:id="232" w:name="identifizierbarkeit"/>
    <w:p>
      <w:pPr>
        <w:pStyle w:val="Heading3"/>
        <w:keepLines/>
        <w:spacing w:after="120" w:before="160"/>
        <w:jc w:val="left"/>
      </w:pPr>
      <w:r>
        <w:rPr>
          <w:sz w:val="20"/>
        </w:rPr>
        <w:t xml:space="preserve">Identifizierbarkeit</w:t>
      </w:r>
    </w:p>
    <w:p>
      <w:pPr>
        <w:pStyle w:val="FirstParagraph"/>
        <w:keepLines/>
        <w:spacing w:after="40" w:line="250" w:lineRule="auto"/>
        <w:jc w:val="left"/>
      </w:pPr>
      <w:r>
        <w:rPr>
          <w:sz w:val="20"/>
        </w:rPr>
        <w:t xml:space="preserve">Ein Parameter ist praktisch nicht identifizierbar, wenn verschiedene Werte oder Mechanismenkombinationen dieselben beobachteten Metriken erzeugen. Brain-5D begegnet diesem Problem durch Mechanismenablation, multiple Beobachtungsebenen und gezielte Intervention. Gute Vorhersage allein identifiziert nicht zwingend den richtigen Mechanismus.</w:t>
      </w:r>
    </w:p>
    <w:bookmarkEnd w:id="232"/>
    <w:bookmarkStart w:id="233" w:name="dimensionslose-größen"/>
    <w:p>
      <w:pPr>
        <w:pStyle w:val="Heading3"/>
        <w:keepLines/>
        <w:spacing w:after="120" w:before="160"/>
        <w:jc w:val="left"/>
      </w:pPr>
      <w:r>
        <w:rPr>
          <w:sz w:val="20"/>
        </w:rPr>
        <w:t xml:space="preserve">Dimensionslose Größen</w:t>
      </w:r>
    </w:p>
    <w:p>
      <w:pPr>
        <w:pStyle w:val="FirstParagraph"/>
        <w:keepLines/>
        <w:spacing w:after="40" w:line="250" w:lineRule="auto"/>
        <w:jc w:val="left"/>
      </w:pPr>
      <w:r>
        <w:rPr>
          <w:sz w:val="20"/>
        </w:rPr>
        <w:t xml:space="preserve">Wo möglich werden dimensionslose Kennzahlen verwendet, etwa normierte Rate, Delay relativ zur Membranzeit oder Kosten relativ zum Budget. Dies erleichtert Größenvergleiche. Eine dimensionslose Darstellung darf physikalische Einheiten nicht verbergen; beide werden im Registry-Schema gespeichert.</w:t>
      </w:r>
    </w:p>
    <w:bookmarkEnd w:id="233"/>
    <w:bookmarkStart w:id="234" w:name="modellgrenzen"/>
    <w:p>
      <w:pPr>
        <w:pStyle w:val="Heading3"/>
        <w:keepLines/>
        <w:spacing w:after="120" w:before="160"/>
        <w:jc w:val="left"/>
      </w:pPr>
      <w:r>
        <w:rPr>
          <w:sz w:val="20"/>
        </w:rPr>
        <w:t xml:space="preserve">Modellgrenzen</w:t>
      </w:r>
    </w:p>
    <w:p>
      <w:pPr>
        <w:pStyle w:val="FirstParagraph"/>
        <w:keepLines/>
        <w:spacing w:after="40" w:line="250" w:lineRule="auto"/>
        <w:jc w:val="left"/>
      </w:pPr>
      <w:r>
        <w:rPr>
          <w:sz w:val="20"/>
        </w:rPr>
        <w:t xml:space="preserve">Die Arbeitsgleichungen bilden eine Familie möglicher Brain-5D-Instanzen. Ein Ergebnis gilt zunächst für die konkret registrierte Instanz. Generalisierung auf andere Neuronenmodelle, Zeitschritte, Metriken oder Aufgaben erfordert eigene Evidenz.</w:t>
      </w:r>
    </w:p>
    <w:bookmarkEnd w:id="234"/>
    <w:bookmarkEnd w:id="235"/>
    <w:bookmarkStart w:id="240" w:name="brain-5d-als-hybrides-dynamisches-system"/>
    <w:p>
      <w:pPr>
        <w:pStyle w:val="Heading2"/>
        <w:spacing w:before="160"/>
      </w:pPr>
      <w:r>
        <w:t xml:space="preserve">Brain-5D als hybrides dynamisches System</w:t>
      </w:r>
    </w:p>
    <w:bookmarkStart w:id="236" w:name="zustandsraum"/>
    <w:p>
      <w:pPr>
        <w:pStyle w:val="Heading3"/>
        <w:keepLines/>
        <w:spacing w:after="120" w:before="160"/>
        <w:jc w:val="left"/>
      </w:pPr>
      <w:r>
        <w:rPr>
          <w:sz w:val="20"/>
        </w:rPr>
        <w:t xml:space="preserve">Zustandsraum</w:t>
      </w:r>
    </w:p>
    <w:p>
      <w:pPr>
        <w:pStyle w:val="FirstParagraph"/>
        <w:keepLines/>
        <w:spacing w:after="40" w:line="250" w:lineRule="auto"/>
        <w:jc w:val="left"/>
      </w:pPr>
      <w:r>
        <w:rPr>
          <w:b/>
          <w:bCs/>
          <w:sz w:val="20"/>
        </w:rPr>
        <w:t xml:space="preserve">[DEF]</w:t>
      </w:r>
      <w:r>
        <w:rPr>
          <w:sz w:val="20"/>
        </w:rPr>
        <w:t xml:space="preserve"> </w:t>
      </w:r>
      <w:r>
        <w:rPr>
          <w:sz w:val="20"/>
        </w:rPr>
        <w:t xml:space="preserve">Der materialisierte Brain-5D-Zustand zum Simulationszeitpunkt</w:t>
      </w:r>
      <w:r>
        <w:rPr>
          <w:sz w:val="20"/>
        </w:rPr>
        <w:t xml:space="preserve"> </w:t>
      </w:r>
      <m:oMath>
        <m:r>
          <m:t>t</m:t>
        </m:r>
      </m:oMath>
      <w:r>
        <w:rPr>
          <w:sz w:val="20"/>
        </w:rPr>
        <w:t xml:space="preserve"> </w:t>
      </w:r>
      <w:r>
        <w:rPr>
          <w:sz w:val="20"/>
        </w:rPr>
        <w:t xml:space="preserve">wird als</w:t>
      </w:r>
    </w:p>
    <w:p>
      <w:pPr>
        <w:pStyle w:val="BodyText"/>
        <w:keepLines/>
        <w:spacing w:after="40" w:before="100" w:line="250" w:lineRule="auto"/>
        <w:jc w:val="center"/>
      </w:pPr>
      <m:oMathPara>
        <m:oMathParaPr>
          <m:jc m:val="center"/>
        </m:oMathParaPr>
        <m:oMath>
          <m:sSub>
            <m:e>
              <m:r>
                <m:t>X</m:t>
              </m:r>
            </m:e>
            <m:sub>
              <m:r>
                <m:t>t</m:t>
              </m:r>
            </m:sub>
          </m:sSub>
          <m:r>
            <m:rPr>
              <m:sty m:val="p"/>
            </m:rPr>
            <m:t>=</m:t>
          </m:r>
          <m:d>
            <m:dPr>
              <m:begChr m:val="("/>
              <m:endChr m:val=")"/>
              <m:sepChr m:val=""/>
              <m:grow/>
            </m:dPr>
            <m:e>
              <m:sSubSup>
                <m:e>
                  <m:r>
                    <m:t>X</m:t>
                  </m:r>
                </m:e>
                <m:sub>
                  <m:r>
                    <m:t>t</m:t>
                  </m:r>
                </m:sub>
                <m:sup>
                  <m:r>
                    <m:t>N</m:t>
                  </m:r>
                </m:sup>
              </m:sSubSup>
              <m:r>
                <m:rPr>
                  <m:sty m:val="p"/>
                </m:rPr>
                <m:t>,</m:t>
              </m:r>
              <m:sSubSup>
                <m:e>
                  <m:r>
                    <m:t>X</m:t>
                  </m:r>
                </m:e>
                <m:sub>
                  <m:r>
                    <m:t>t</m:t>
                  </m:r>
                </m:sub>
                <m:sup>
                  <m:r>
                    <m:t>S</m:t>
                  </m:r>
                </m:sup>
              </m:sSubSup>
              <m:r>
                <m:rPr>
                  <m:sty m:val="p"/>
                </m:rPr>
                <m:t>,</m:t>
              </m:r>
              <m:sSubSup>
                <m:e>
                  <m:r>
                    <m:t>X</m:t>
                  </m:r>
                </m:e>
                <m:sub>
                  <m:r>
                    <m:t>t</m:t>
                  </m:r>
                </m:sub>
                <m:sup>
                  <m:r>
                    <m:t>P</m:t>
                  </m:r>
                </m:sup>
              </m:sSubSup>
              <m:r>
                <m:rPr>
                  <m:sty m:val="p"/>
                </m:rPr>
                <m:t>,</m:t>
              </m:r>
              <m:sSubSup>
                <m:e>
                  <m:r>
                    <m:t>X</m:t>
                  </m:r>
                </m:e>
                <m:sub>
                  <m:r>
                    <m:t>t</m:t>
                  </m:r>
                </m:sub>
                <m:sup>
                  <m:r>
                    <m:t>H</m:t>
                  </m:r>
                </m:sup>
              </m:sSubSup>
              <m:r>
                <m:rPr>
                  <m:sty m:val="p"/>
                </m:rPr>
                <m:t>,</m:t>
              </m:r>
              <m:sSubSup>
                <m:e>
                  <m:r>
                    <m:t>X</m:t>
                  </m:r>
                </m:e>
                <m:sub>
                  <m:r>
                    <m:t>t</m:t>
                  </m:r>
                </m:sub>
                <m:sup>
                  <m:r>
                    <m:t>E</m:t>
                  </m:r>
                </m:sup>
              </m:sSubSup>
              <m:r>
                <m:rPr>
                  <m:sty m:val="p"/>
                </m:rPr>
                <m:t>,</m:t>
              </m:r>
              <m:sSubSup>
                <m:e>
                  <m:r>
                    <m:t>X</m:t>
                  </m:r>
                </m:e>
                <m:sub>
                  <m:r>
                    <m:t>t</m:t>
                  </m:r>
                </m:sub>
                <m:sup>
                  <m:r>
                    <m:t>A</m:t>
                  </m:r>
                </m:sup>
              </m:sSubSup>
              <m:r>
                <m:rPr>
                  <m:sty m:val="p"/>
                </m:rPr>
                <m:t>,</m:t>
              </m:r>
              <m:sSubSup>
                <m:e>
                  <m:r>
                    <m:t>X</m:t>
                  </m:r>
                </m:e>
                <m:sub>
                  <m:r>
                    <m:t>t</m:t>
                  </m:r>
                </m:sub>
                <m:sup>
                  <m:r>
                    <m:t>R</m:t>
                  </m:r>
                </m:sup>
              </m:sSubSup>
              <m:r>
                <m:rPr>
                  <m:sty m:val="p"/>
                </m:rPr>
                <m:t>,</m:t>
              </m:r>
              <m:sSubSup>
                <m:e>
                  <m:r>
                    <m:t>X</m:t>
                  </m:r>
                </m:e>
                <m:sub>
                  <m:r>
                    <m:t>t</m:t>
                  </m:r>
                </m:sub>
                <m:sup>
                  <m:r>
                    <m:t>M</m:t>
                  </m:r>
                </m:sup>
              </m:sSubSup>
            </m:e>
          </m:d>
        </m:oMath>
      </m:oMathPara>
    </w:p>
    <w:p>
      <w:pPr>
        <w:pStyle w:val="FirstParagraph"/>
        <w:keepLines/>
        <w:spacing w:after="40" w:line="250" w:lineRule="auto"/>
        <w:jc w:val="left"/>
      </w:pPr>
      <w:r>
        <w:rPr>
          <w:sz w:val="20"/>
        </w:rPr>
        <w:t xml:space="preserve">definiert. Darin bezeichnen:</w:t>
      </w:r>
    </w:p>
    <w:p>
      <w:pPr>
        <w:keepLines/>
        <w:numPr>
          <w:ilvl w:val="0"/>
          <w:numId w:val="1015"/>
        </w:numPr>
        <w:spacing w:after="40" w:line="250" w:lineRule="auto"/>
        <w:jc w:val="left"/>
      </w:pPr>
      <m:oMath>
        <m:sSubSup>
          <m:e>
            <m:r>
              <m:t>X</m:t>
            </m:r>
          </m:e>
          <m:sub>
            <m:r>
              <m:t>t</m:t>
            </m:r>
          </m:sub>
          <m:sup>
            <m:r>
              <m:t>N</m:t>
            </m:r>
          </m:sup>
        </m:sSubSup>
      </m:oMath>
      <w:r>
        <w:rPr>
          <w:sz w:val="20"/>
        </w:rPr>
        <w:t xml:space="preserve"> </w:t>
      </w:r>
      <w:r>
        <w:rPr>
          <w:sz w:val="20"/>
        </w:rPr>
        <w:t xml:space="preserve">die neuronalen Zustände, Parameter, Koordinaten und Zelltypen;</w:t>
      </w:r>
    </w:p>
    <w:p>
      <w:pPr>
        <w:keepLines/>
        <w:numPr>
          <w:ilvl w:val="0"/>
          <w:numId w:val="1015"/>
        </w:numPr>
        <w:spacing w:after="40" w:line="250" w:lineRule="auto"/>
        <w:jc w:val="left"/>
      </w:pPr>
      <m:oMath>
        <m:sSubSup>
          <m:e>
            <m:r>
              <m:t>X</m:t>
            </m:r>
          </m:e>
          <m:sub>
            <m:r>
              <m:t>t</m:t>
            </m:r>
          </m:sub>
          <m:sup>
            <m:r>
              <m:t>S</m:t>
            </m:r>
          </m:sup>
        </m:sSubSup>
      </m:oMath>
      <w:r>
        <w:rPr>
          <w:sz w:val="20"/>
        </w:rPr>
        <w:t xml:space="preserve"> </w:t>
      </w:r>
      <w:r>
        <w:rPr>
          <w:sz w:val="20"/>
        </w:rPr>
        <w:t xml:space="preserve">die Synapsen, Gewichte, Verzögerungen, Typen und Eligibility Traces;</w:t>
      </w:r>
    </w:p>
    <w:p>
      <w:pPr>
        <w:keepLines/>
        <w:numPr>
          <w:ilvl w:val="0"/>
          <w:numId w:val="1015"/>
        </w:numPr>
        <w:spacing w:after="40" w:line="250" w:lineRule="auto"/>
        <w:jc w:val="left"/>
      </w:pPr>
      <m:oMath>
        <m:sSubSup>
          <m:e>
            <m:r>
              <m:t>X</m:t>
            </m:r>
          </m:e>
          <m:sub>
            <m:r>
              <m:t>t</m:t>
            </m:r>
          </m:sub>
          <m:sup>
            <m:r>
              <m:t>P</m:t>
            </m:r>
          </m:sup>
        </m:sSubSup>
      </m:oMath>
      <w:r>
        <w:rPr>
          <w:sz w:val="20"/>
        </w:rPr>
        <w:t xml:space="preserve"> </w:t>
      </w:r>
      <w:r>
        <w:rPr>
          <w:sz w:val="20"/>
        </w:rPr>
        <w:t xml:space="preserve">den Zustand der Plastizitätsprozesse;</w:t>
      </w:r>
    </w:p>
    <w:p>
      <w:pPr>
        <w:keepLines/>
        <w:numPr>
          <w:ilvl w:val="0"/>
          <w:numId w:val="1015"/>
        </w:numPr>
        <w:spacing w:after="40" w:line="250" w:lineRule="auto"/>
        <w:jc w:val="left"/>
      </w:pPr>
      <m:oMath>
        <m:sSubSup>
          <m:e>
            <m:r>
              <m:t>X</m:t>
            </m:r>
          </m:e>
          <m:sub>
            <m:r>
              <m:t>t</m:t>
            </m:r>
          </m:sub>
          <m:sup>
            <m:r>
              <m:t>H</m:t>
            </m:r>
          </m:sup>
        </m:sSubSup>
      </m:oMath>
      <w:r>
        <w:rPr>
          <w:sz w:val="20"/>
        </w:rPr>
        <w:t xml:space="preserve"> </w:t>
      </w:r>
      <w:r>
        <w:rPr>
          <w:sz w:val="20"/>
        </w:rPr>
        <w:t xml:space="preserve">homeostatische und metaplastische Regler;</w:t>
      </w:r>
    </w:p>
    <w:p>
      <w:pPr>
        <w:keepLines/>
        <w:numPr>
          <w:ilvl w:val="0"/>
          <w:numId w:val="1015"/>
        </w:numPr>
        <w:spacing w:after="40" w:line="250" w:lineRule="auto"/>
        <w:jc w:val="left"/>
      </w:pPr>
      <m:oMath>
        <m:sSubSup>
          <m:e>
            <m:r>
              <m:t>X</m:t>
            </m:r>
          </m:e>
          <m:sub>
            <m:r>
              <m:t>t</m:t>
            </m:r>
          </m:sub>
          <m:sup>
            <m:r>
              <m:t>E</m:t>
            </m:r>
          </m:sup>
        </m:sSubSup>
      </m:oMath>
      <w:r>
        <w:rPr>
          <w:sz w:val="20"/>
        </w:rPr>
        <w:t xml:space="preserve"> </w:t>
      </w:r>
      <w:r>
        <w:rPr>
          <w:sz w:val="20"/>
        </w:rPr>
        <w:t xml:space="preserve">die Eingangs- und Sensorzustände;</w:t>
      </w:r>
    </w:p>
    <w:p>
      <w:pPr>
        <w:keepLines/>
        <w:numPr>
          <w:ilvl w:val="0"/>
          <w:numId w:val="1015"/>
        </w:numPr>
        <w:spacing w:after="40" w:line="250" w:lineRule="auto"/>
        <w:jc w:val="left"/>
      </w:pPr>
      <m:oMath>
        <m:sSubSup>
          <m:e>
            <m:r>
              <m:t>X</m:t>
            </m:r>
          </m:e>
          <m:sub>
            <m:r>
              <m:t>t</m:t>
            </m:r>
          </m:sub>
          <m:sup>
            <m:r>
              <m:t>A</m:t>
            </m:r>
          </m:sup>
        </m:sSubSup>
      </m:oMath>
      <w:r>
        <w:rPr>
          <w:sz w:val="20"/>
        </w:rPr>
        <w:t xml:space="preserve"> </w:t>
      </w:r>
      <w:r>
        <w:rPr>
          <w:sz w:val="20"/>
        </w:rPr>
        <w:t xml:space="preserve">die Aktor- beziehungsweise Outputzustände;</w:t>
      </w:r>
    </w:p>
    <w:p>
      <w:pPr>
        <w:keepLines/>
        <w:numPr>
          <w:ilvl w:val="0"/>
          <w:numId w:val="1015"/>
        </w:numPr>
        <w:spacing w:after="40" w:line="250" w:lineRule="auto"/>
        <w:jc w:val="left"/>
      </w:pPr>
      <m:oMath>
        <m:sSubSup>
          <m:e>
            <m:r>
              <m:t>X</m:t>
            </m:r>
          </m:e>
          <m:sub>
            <m:r>
              <m:t>t</m:t>
            </m:r>
          </m:sub>
          <m:sup>
            <m:r>
              <m:t>R</m:t>
            </m:r>
          </m:sup>
        </m:sSubSup>
      </m:oMath>
      <w:r>
        <w:rPr>
          <w:sz w:val="20"/>
        </w:rPr>
        <w:t xml:space="preserve"> </w:t>
      </w:r>
      <w:r>
        <w:rPr>
          <w:sz w:val="20"/>
        </w:rPr>
        <w:t xml:space="preserve">Ressourcen-, Energie- und Budgetzustände;</w:t>
      </w:r>
    </w:p>
    <w:p>
      <w:pPr>
        <w:keepLines/>
        <w:numPr>
          <w:ilvl w:val="0"/>
          <w:numId w:val="1015"/>
        </w:numPr>
        <w:spacing w:after="40" w:line="250" w:lineRule="auto"/>
        <w:jc w:val="left"/>
      </w:pPr>
      <m:oMath>
        <m:sSubSup>
          <m:e>
            <m:r>
              <m:t>X</m:t>
            </m:r>
          </m:e>
          <m:sub>
            <m:r>
              <m:t>t</m:t>
            </m:r>
          </m:sub>
          <m:sup>
            <m:r>
              <m:t>M</m:t>
            </m:r>
          </m:sup>
        </m:sSubSup>
      </m:oMath>
      <w:r>
        <w:rPr>
          <w:sz w:val="20"/>
        </w:rPr>
        <w:t xml:space="preserve"> </w:t>
      </w:r>
      <w:r>
        <w:rPr>
          <w:sz w:val="20"/>
        </w:rPr>
        <w:t xml:space="preserve">Metadaten, Scheduler-, RNG- und Persistenzzustände.</w:t>
      </w:r>
    </w:p>
    <w:p>
      <w:pPr>
        <w:pStyle w:val="FirstParagraph"/>
        <w:keepLines/>
        <w:spacing w:after="40" w:line="250" w:lineRule="auto"/>
        <w:jc w:val="left"/>
      </w:pPr>
      <w:r>
        <w:rPr>
          <w:sz w:val="20"/>
        </w:rPr>
        <w:t xml:space="preserve">Die Trennung ist konzeptionell. Eine Implementierung kann Daten aus Effizienzgründen anders anordnen, solange die wissenschaftlich relevanten Zustandsbestandteile rekonstruierbar bleiben.</w:t>
      </w:r>
    </w:p>
    <w:bookmarkEnd w:id="236"/>
    <w:bookmarkStart w:id="237" w:name="flüsse-und-sprünge"/>
    <w:p>
      <w:pPr>
        <w:pStyle w:val="Heading3"/>
        <w:keepLines/>
        <w:spacing w:after="120" w:before="160"/>
        <w:jc w:val="left"/>
      </w:pPr>
      <w:r>
        <w:rPr>
          <w:sz w:val="20"/>
        </w:rPr>
        <w:t xml:space="preserve">Flüsse und Sprünge</w:t>
      </w:r>
    </w:p>
    <w:p>
      <w:pPr>
        <w:pStyle w:val="FirstParagraph"/>
        <w:keepLines/>
        <w:spacing w:after="40" w:line="250" w:lineRule="auto"/>
        <w:jc w:val="left"/>
      </w:pPr>
      <w:r>
        <w:rPr>
          <w:sz w:val="20"/>
        </w:rPr>
        <w:t xml:space="preserve">Spiking-Netze kombinieren kontinuierliche oder diskret integrierte Zustandsentwicklung mit diskreten Ereignissen wie Schwellenüberschreitungen, Resets und Strukturänderungen. Brain-5D wird daher als hybrides System modelliert (</w:t>
      </w:r>
      <w:hyperlink w:anchor="ref-Goebel2012Hybrid">
        <w:r>
          <w:rPr>
            <w:rStyle w:val="Hyperlink"/>
          </w:rPr>
          <w:t xml:space="preserve">Goebel et al., 2012</w:t>
        </w:r>
      </w:hyperlink>
      <w:r>
        <w:rPr>
          <w:sz w:val="20"/>
        </w:rPr>
        <w:t xml:space="preserve">):</w:t>
      </w:r>
    </w:p>
    <w:p>
      <w:pPr>
        <w:pStyle w:val="BodyText"/>
        <w:keepLines/>
        <w:spacing w:after="40" w:line="250" w:lineRule="auto"/>
        <w:jc w:val="left"/>
      </w:pPr>
      <w:r>
        <w:rPr>
          <w:b/>
          <w:bCs/>
          <w:sz w:val="20"/>
        </w:rPr>
        <w:t xml:space="preserve">[MODEL]</w:t>
      </w:r>
      <w:r>
        <w:rPr>
          <w:sz w:val="20"/>
        </w:rPr>
        <w:t xml:space="preserve"> </w:t>
      </w:r>
      <w:r>
        <w:rPr>
          <w:sz w:val="20"/>
        </w:rPr>
        <w:t xml:space="preserve">Für kontinuierliche Phasen gilt abstrakt</w:t>
      </w:r>
    </w:p>
    <w:p>
      <w:pPr>
        <w:pStyle w:val="BodyText"/>
        <w:keepLines/>
        <w:spacing w:after="40" w:before="100" w:line="250" w:lineRule="auto"/>
        <w:jc w:val="center"/>
      </w:pPr>
      <m:oMathPara>
        <m:oMathParaPr>
          <m:jc m:val="center"/>
        </m:oMathParaPr>
        <m:oMath>
          <m:acc>
            <m:accPr>
              <m:chr m:val="̇"/>
            </m:accPr>
            <m:e>
              <m:r>
                <m:t>x</m:t>
              </m:r>
            </m:e>
          </m:acc>
          <m:r>
            <m:rPr>
              <m:sty m:val="p"/>
            </m:rPr>
            <m:t>=</m:t>
          </m:r>
          <m:sSub>
            <m:e>
              <m:r>
                <m:t>f</m:t>
              </m:r>
            </m:e>
            <m:sub>
              <m:r>
                <m:t>q</m:t>
              </m:r>
            </m:sub>
          </m:sSub>
          <m:d>
            <m:dPr>
              <m:begChr m:val="("/>
              <m:endChr m:val=")"/>
              <m:sepChr m:val=""/>
              <m:grow/>
            </m:dPr>
            <m:e>
              <m:r>
                <m:t>x</m:t>
              </m:r>
              <m:r>
                <m:rPr>
                  <m:sty m:val="p"/>
                </m:rPr>
                <m:t>,</m:t>
              </m:r>
              <m:r>
                <m:t>u</m:t>
              </m:r>
              <m:r>
                <m:rPr>
                  <m:sty m:val="p"/>
                </m:rPr>
                <m:t>,</m:t>
              </m:r>
              <m:r>
                <m:t>ξ</m:t>
              </m:r>
              <m:r>
                <m:rPr>
                  <m:sty m:val="p"/>
                </m:rPr>
                <m:t>;</m:t>
              </m:r>
              <m:r>
                <m:t>θ</m:t>
              </m:r>
            </m:e>
          </m:d>
          <m:r>
            <m:rPr>
              <m:sty m:val="p"/>
            </m:rPr>
            <m:t>,</m:t>
          </m:r>
          <m:r>
            <m:t>x</m:t>
          </m:r>
          <m:r>
            <m:rPr>
              <m:sty m:val="p"/>
            </m:rPr>
            <m:t>∈</m:t>
          </m:r>
          <m:sSub>
            <m:e>
              <m:r>
                <m:t>C</m:t>
              </m:r>
            </m:e>
            <m:sub>
              <m:r>
                <m:t>q</m:t>
              </m:r>
            </m:sub>
          </m:sSub>
          <m:r>
            <m:rPr>
              <m:sty m:val="p"/>
            </m:rPr>
            <m:t>,</m:t>
          </m:r>
        </m:oMath>
      </m:oMathPara>
    </w:p>
    <w:p>
      <w:pPr>
        <w:pStyle w:val="FirstParagraph"/>
        <w:keepLines/>
        <w:spacing w:after="40" w:line="250" w:lineRule="auto"/>
        <w:jc w:val="left"/>
      </w:pPr>
      <w:r>
        <w:rPr>
          <w:sz w:val="20"/>
        </w:rPr>
        <w:t xml:space="preserve">und bei einem Ereignis beziehungsweise einer Guard-Bedingung</w:t>
      </w:r>
    </w:p>
    <w:p>
      <w:pPr>
        <w:pStyle w:val="BodyText"/>
        <w:keepLines/>
        <w:spacing w:after="40" w:line="250" w:lineRule="auto"/>
        <w:jc w:val="left"/>
      </w:pPr>
      <w:r>
        <w:rPr>
          <w:b/>
          <w:bCs/>
          <w:sz w:val="20"/>
        </w:rPr>
        <w:t xml:space="preserve">[MODEL | redaktionelle Ergänzung]</w:t>
      </w:r>
      <w:r>
        <w:rPr>
          <w:sz w:val="20"/>
        </w:rPr>
        <w:t xml:space="preserve"> </w:t>
      </w:r>
      <w:r>
        <w:rPr>
          <w:sz w:val="20"/>
        </w:rPr>
        <w:t xml:space="preserve">Die angekündigte Sprunggleichung ist in K1 leer. Als allgemeine, hier ergänzte Reset-Spezifikation wird vorgeschlagen:</w:t>
      </w:r>
    </w:p>
    <w:p>
      <w:pPr>
        <w:pStyle w:val="BodyText"/>
        <w:keepLines/>
        <w:spacing w:after="40" w:before="100" w:line="250" w:lineRule="auto"/>
        <w:jc w:val="center"/>
      </w:pPr>
      <m:oMathPara>
        <m:oMathParaPr>
          <m:jc m:val="center"/>
        </m:oMathParaPr>
        <m:oMath>
          <m:d>
            <m:dPr>
              <m:begChr m:val="("/>
              <m:endChr m:val=")"/>
              <m:sepChr m:val=""/>
              <m:grow/>
            </m:dPr>
            <m:e>
              <m:sSub>
                <m:e>
                  <m:r>
                    <m:t>x</m:t>
                  </m:r>
                </m:e>
                <m:sub>
                  <m:r>
                    <m:rPr>
                      <m:sty m:val="p"/>
                    </m:rPr>
                    <m:t>p</m:t>
                  </m:r>
                  <m:r>
                    <m:rPr>
                      <m:sty m:val="p"/>
                    </m:rPr>
                    <m:t>o</m:t>
                  </m:r>
                  <m:r>
                    <m:rPr>
                      <m:sty m:val="p"/>
                    </m:rPr>
                    <m:t>s</m:t>
                  </m:r>
                  <m:r>
                    <m:rPr>
                      <m:sty m:val="p"/>
                    </m:rPr>
                    <m:t>t</m:t>
                  </m:r>
                </m:sub>
              </m:sSub>
              <m:r>
                <m:rPr>
                  <m:sty m:val="p"/>
                </m:rPr>
                <m:t>,</m:t>
              </m:r>
              <m:sSub>
                <m:e>
                  <m:r>
                    <m:t>q</m:t>
                  </m:r>
                </m:e>
                <m:sub>
                  <m:r>
                    <m:rPr>
                      <m:sty m:val="p"/>
                    </m:rPr>
                    <m:t>p</m:t>
                  </m:r>
                  <m:r>
                    <m:rPr>
                      <m:sty m:val="p"/>
                    </m:rPr>
                    <m:t>o</m:t>
                  </m:r>
                  <m:r>
                    <m:rPr>
                      <m:sty m:val="p"/>
                    </m:rPr>
                    <m:t>s</m:t>
                  </m:r>
                  <m:r>
                    <m:rPr>
                      <m:sty m:val="p"/>
                    </m:rPr>
                    <m:t>t</m:t>
                  </m:r>
                </m:sub>
              </m:sSub>
            </m:e>
          </m:d>
          <m:r>
            <m:rPr>
              <m:sty m:val="p"/>
            </m:rPr>
            <m:t>=</m:t>
          </m:r>
          <m:sSub>
            <m:e>
              <m:r>
                <m:t>g</m:t>
              </m:r>
            </m:e>
            <m:sub>
              <m:r>
                <m:t>q</m:t>
              </m:r>
            </m:sub>
          </m:sSub>
          <m:d>
            <m:dPr>
              <m:begChr m:val="("/>
              <m:endChr m:val=")"/>
              <m:sepChr m:val=""/>
              <m:grow/>
            </m:dPr>
            <m:e>
              <m:r>
                <m:t>x</m:t>
              </m:r>
              <m:r>
                <m:rPr>
                  <m:sty m:val="p"/>
                </m:rPr>
                <m:t>,</m:t>
              </m:r>
              <m:r>
                <m:t>u</m:t>
              </m:r>
              <m:r>
                <m:rPr>
                  <m:sty m:val="p"/>
                </m:rPr>
                <m:t>,</m:t>
              </m:r>
              <m:r>
                <m:t>ξ</m:t>
              </m:r>
              <m:r>
                <m:rPr>
                  <m:sty m:val="p"/>
                </m:rPr>
                <m:t>;</m:t>
              </m:r>
              <m:r>
                <m:t>θ</m:t>
              </m:r>
            </m:e>
          </m:d>
          <m:r>
            <m:rPr>
              <m:sty m:val="p"/>
            </m:rPr>
            <m:t>,</m:t>
          </m:r>
          <m:r>
            <m:t> </m:t>
          </m:r>
          <m:r>
            <m:t>x</m:t>
          </m:r>
          <m:r>
            <m:rPr>
              <m:sty m:val="p"/>
            </m:rPr>
            <m:t>∈</m:t>
          </m:r>
          <m:sSub>
            <m:e>
              <m:r>
                <m:t>D</m:t>
              </m:r>
            </m:e>
            <m:sub>
              <m:r>
                <m:t>q</m:t>
              </m:r>
            </m:sub>
          </m:sSub>
        </m:oMath>
      </m:oMathPara>
    </w:p>
    <w:p>
      <w:pPr>
        <w:pStyle w:val="FirstParagraph"/>
        <w:keepLines/>
        <w:spacing w:after="40" w:line="250" w:lineRule="auto"/>
        <w:jc w:val="left"/>
      </w:pPr>
      <w:r>
        <w:rPr>
          <w:sz w:val="20"/>
        </w:rPr>
        <w:t xml:space="preserve">Dabei gibt g_q den Zustands- und Moduswechsel an. Dies ist eine explizite Modellergänzung, kein rekonstruierter Originalwortlaut und kein Nachweis eines implementierten Codepfads.</w:t>
      </w:r>
    </w:p>
    <w:p>
      <w:pPr>
        <w:pStyle w:val="BodyText"/>
        <w:keepLines/>
        <w:spacing w:after="40" w:line="250" w:lineRule="auto"/>
        <w:jc w:val="left"/>
      </w:pPr>
      <m:oMath>
        <m:r>
          <m:t>q</m:t>
        </m:r>
      </m:oMath>
      <w:r>
        <w:rPr>
          <w:sz w:val="20"/>
        </w:rPr>
        <w:t xml:space="preserve"> </w:t>
      </w:r>
      <w:r>
        <w:rPr>
          <w:sz w:val="20"/>
        </w:rPr>
        <w:t xml:space="preserve">beschreibt den diskreten Modus,</w:t>
      </w:r>
      <w:r>
        <w:rPr>
          <w:sz w:val="20"/>
        </w:rPr>
        <w:t xml:space="preserve"> </w:t>
      </w:r>
      <m:oMath>
        <m:sSub>
          <m:e>
            <m:r>
              <m:t>C</m:t>
            </m:r>
          </m:e>
          <m:sub>
            <m:r>
              <m:t>q</m:t>
            </m:r>
          </m:sub>
        </m:sSub>
      </m:oMath>
      <w:r>
        <w:rPr>
          <w:sz w:val="20"/>
        </w:rPr>
        <w:t xml:space="preserve"> </w:t>
      </w:r>
      <w:r>
        <w:rPr>
          <w:sz w:val="20"/>
        </w:rPr>
        <w:t xml:space="preserve">die Flussmenge,</w:t>
      </w:r>
      <w:r>
        <w:rPr>
          <w:sz w:val="20"/>
        </w:rPr>
        <w:t xml:space="preserve"> </w:t>
      </w:r>
      <m:oMath>
        <m:sSub>
          <m:e>
            <m:r>
              <m:t>D</m:t>
            </m:r>
          </m:e>
          <m:sub>
            <m:r>
              <m:t>q</m:t>
            </m:r>
          </m:sub>
        </m:sSub>
      </m:oMath>
      <w:r>
        <w:rPr>
          <w:sz w:val="20"/>
        </w:rPr>
        <w:t xml:space="preserve"> </w:t>
      </w:r>
      <w:r>
        <w:rPr>
          <w:sz w:val="20"/>
        </w:rPr>
        <w:t xml:space="preserve">die Sprungmenge,</w:t>
      </w:r>
      <w:r>
        <w:rPr>
          <w:sz w:val="20"/>
        </w:rPr>
        <w:t xml:space="preserve"> </w:t>
      </w:r>
      <m:oMath>
        <m:r>
          <m:t>u</m:t>
        </m:r>
      </m:oMath>
      <w:r>
        <w:rPr>
          <w:sz w:val="20"/>
        </w:rPr>
        <w:t xml:space="preserve"> </w:t>
      </w:r>
      <w:r>
        <w:rPr>
          <w:sz w:val="20"/>
        </w:rPr>
        <w:t xml:space="preserve">externe Eingaben,</w:t>
      </w:r>
      <w:r>
        <w:rPr>
          <w:sz w:val="20"/>
        </w:rPr>
        <w:t xml:space="preserve"> </w:t>
      </w:r>
      <m:oMath>
        <m:r>
          <m:t>ξ</m:t>
        </m:r>
      </m:oMath>
      <w:r>
        <w:rPr>
          <w:sz w:val="20"/>
        </w:rPr>
        <w:t xml:space="preserve"> </w:t>
      </w:r>
      <w:r>
        <w:rPr>
          <w:sz w:val="20"/>
        </w:rPr>
        <w:t xml:space="preserve">stochastische Einflüsse und</w:t>
      </w:r>
      <w:r>
        <w:rPr>
          <w:sz w:val="20"/>
        </w:rPr>
        <w:t xml:space="preserve"> </w:t>
      </w:r>
      <m:oMath>
        <m:r>
          <m:t>θ</m:t>
        </m:r>
      </m:oMath>
      <w:r>
        <w:rPr>
          <w:sz w:val="20"/>
        </w:rPr>
        <w:t xml:space="preserve"> </w:t>
      </w:r>
      <w:r>
        <w:rPr>
          <w:sz w:val="20"/>
        </w:rPr>
        <w:t xml:space="preserve">Modellparameter. In einer vollständig diskretisierten Simulation kann dies als</w:t>
      </w:r>
    </w:p>
    <w:p>
      <w:pPr>
        <w:pStyle w:val="BodyText"/>
        <w:keepLines/>
        <w:spacing w:after="40" w:before="100" w:line="250" w:lineRule="auto"/>
        <w:jc w:val="center"/>
      </w:pPr>
      <m:oMathPara>
        <m:oMathParaPr>
          <m:jc m:val="center"/>
        </m:oMathParaPr>
        <m:oMath>
          <m:sSub>
            <m:e>
              <m:r>
                <m:t>X</m:t>
              </m:r>
            </m:e>
            <m:sub>
              <m:r>
                <m:t>t</m:t>
              </m:r>
              <m:r>
                <m:rPr>
                  <m:sty m:val="p"/>
                </m:rPr>
                <m:t>+</m:t>
              </m:r>
              <m:r>
                <m:t>1</m:t>
              </m:r>
            </m:sub>
          </m:sSub>
          <m:r>
            <m:rPr>
              <m:sty m:val="p"/>
            </m:rPr>
            <m:t>=</m:t>
          </m:r>
          <m:sSub>
            <m:e>
              <m:r>
                <m:t>F</m:t>
              </m:r>
            </m:e>
            <m:sub>
              <m:sSub>
                <m:e>
                  <m:r>
                    <m:t>q</m:t>
                  </m:r>
                </m:e>
                <m:sub>
                  <m:r>
                    <m:t>t</m:t>
                  </m:r>
                </m:sub>
              </m:sSub>
            </m:sub>
          </m:sSub>
          <m:d>
            <m:dPr>
              <m:begChr m:val="("/>
              <m:endChr m:val=")"/>
              <m:sepChr m:val=""/>
              <m:grow/>
            </m:dPr>
            <m:e>
              <m:sSub>
                <m:e>
                  <m:r>
                    <m:t>X</m:t>
                  </m:r>
                </m:e>
                <m:sub>
                  <m:r>
                    <m:t>t</m:t>
                  </m:r>
                </m:sub>
              </m:sSub>
              <m:r>
                <m:rPr>
                  <m:sty m:val="p"/>
                </m:rPr>
                <m:t>,</m:t>
              </m:r>
              <m:sSub>
                <m:e>
                  <m:r>
                    <m:t>U</m:t>
                  </m:r>
                </m:e>
                <m:sub>
                  <m:r>
                    <m:t>t</m:t>
                  </m:r>
                </m:sub>
              </m:sSub>
              <m:r>
                <m:rPr>
                  <m:sty m:val="p"/>
                </m:rPr>
                <m:t>,</m:t>
              </m:r>
              <m:sSub>
                <m:e>
                  <m:r>
                    <m:t>Ξ</m:t>
                  </m:r>
                </m:e>
                <m:sub>
                  <m:r>
                    <m:t>t</m:t>
                  </m:r>
                </m:sub>
              </m:sSub>
              <m:r>
                <m:rPr>
                  <m:sty m:val="p"/>
                </m:rPr>
                <m:t>;</m:t>
              </m:r>
              <m:r>
                <m:t>Θ</m:t>
              </m:r>
            </m:e>
          </m:d>
          <m:r>
            <m:rPr>
              <m:sty m:val="p"/>
            </m:rPr>
            <m:t>,</m:t>
          </m:r>
          <m:sSub>
            <m:e>
              <m:r>
                <m:t>q</m:t>
              </m:r>
            </m:e>
            <m:sub>
              <m:r>
                <m:t>t</m:t>
              </m:r>
              <m:r>
                <m:rPr>
                  <m:sty m:val="p"/>
                </m:rPr>
                <m:t>+</m:t>
              </m:r>
              <m:r>
                <m:t>1</m:t>
              </m:r>
            </m:sub>
          </m:sSub>
          <m:r>
            <m:rPr>
              <m:sty m:val="p"/>
            </m:rPr>
            <m:t>=</m:t>
          </m:r>
          <m:r>
            <m:t>G</m:t>
          </m:r>
          <m:d>
            <m:dPr>
              <m:begChr m:val="("/>
              <m:endChr m:val=")"/>
              <m:sepChr m:val=""/>
              <m:grow/>
            </m:dPr>
            <m:e>
              <m:sSub>
                <m:e>
                  <m:r>
                    <m:t>q</m:t>
                  </m:r>
                </m:e>
                <m:sub>
                  <m:r>
                    <m:t>t</m:t>
                  </m:r>
                </m:sub>
              </m:sSub>
              <m:r>
                <m:rPr>
                  <m:sty m:val="p"/>
                </m:rPr>
                <m:t>,</m:t>
              </m:r>
              <m:sSub>
                <m:e>
                  <m:r>
                    <m:t>X</m:t>
                  </m:r>
                </m:e>
                <m:sub>
                  <m:r>
                    <m:t>t</m:t>
                  </m:r>
                </m:sub>
              </m:sSub>
              <m:r>
                <m:rPr>
                  <m:sty m:val="p"/>
                </m:rPr>
                <m:t>,</m:t>
              </m:r>
              <m:sSub>
                <m:e>
                  <m:r>
                    <m:t>E</m:t>
                  </m:r>
                </m:e>
                <m:sub>
                  <m:r>
                    <m:t>t</m:t>
                  </m:r>
                </m:sub>
              </m:sSub>
            </m:e>
          </m:d>
        </m:oMath>
      </m:oMathPara>
    </w:p>
    <w:p>
      <w:pPr>
        <w:pStyle w:val="FirstParagraph"/>
        <w:keepLines/>
        <w:spacing w:after="40" w:line="250" w:lineRule="auto"/>
        <w:jc w:val="left"/>
      </w:pPr>
      <w:r>
        <w:rPr>
          <w:sz w:val="20"/>
        </w:rPr>
        <w:t xml:space="preserve">geschrieben werden. Diese Gleichungen sind Rahmenmodelle, keine Behauptung, dass alle Komponenten glatt, linear oder analytisch lösbar sind.</w:t>
      </w:r>
    </w:p>
    <w:bookmarkEnd w:id="237"/>
    <w:bookmarkStart w:id="238" w:name="zeitbegriffe"/>
    <w:p>
      <w:pPr>
        <w:pStyle w:val="Heading3"/>
        <w:keepLines/>
        <w:spacing w:after="120" w:before="160"/>
        <w:jc w:val="left"/>
      </w:pPr>
      <w:r>
        <w:rPr>
          <w:sz w:val="20"/>
        </w:rPr>
        <w:t xml:space="preserve">Zeitbegriffe</w:t>
      </w:r>
    </w:p>
    <w:p>
      <w:pPr>
        <w:pStyle w:val="FirstParagraph"/>
        <w:keepLines/>
        <w:spacing w:after="40" w:line="250" w:lineRule="auto"/>
        <w:jc w:val="left"/>
      </w:pPr>
      <w:r>
        <w:rPr>
          <w:sz w:val="20"/>
        </w:rPr>
        <w:t xml:space="preserve">Brain-5D unterscheidet mindestens fünf Zeitdomänen:</w:t>
      </w:r>
    </w:p>
    <w:p>
      <w:pPr>
        <w:pStyle w:val="Caption"/>
        <w:keepNext/>
        <w:keepLines/>
        <w:spacing w:before="180" w:after="120"/>
        <w:jc w:val="left"/>
      </w:pPr>
      <w:r>
        <w:rPr>
          <w:sz w:val="20"/>
        </w:rPr>
        <w:t>Tabelle 22. Zeitdomänen und ihre Funktionen</w:t>
      </w:r>
    </w:p>
    <w:tbl>
      <w:tblPr>
        <w:tblStyle w:val="Table"/>
        <w:tblW w:type="pct" w:w="4919"/>
        <w:jc w:val="center"/>
        <w:tblLayout w:type="fixed"/>
        <w:tblLook w:firstRow="1" w:lastRow="0" w:firstColumn="0" w:lastColumn="0" w:noHBand="0" w:noVBand="0" w:val="0020"/>
        <w:tblInd w:w="0" w:type="dxa"/>
        <w:tblCellMar>
          <w:top w:w="70" w:type="dxa"/>
          <w:bottom w:w="70" w:type="dxa"/>
          <w:left w:w="85" w:type="dxa"/>
          <w:right w:w="85" w:type="dxa"/>
        </w:tblCellMar>
        <w:tblBorders>
          <w:top w:val="single" w:sz="4" w:color="CCD4D9"/>
          <w:bottom w:val="single" w:sz="4" w:color="CCD4D9"/>
          <w:insideH w:val="single" w:sz="4" w:color="CCD4D9"/>
          <w:left w:val="nil"/>
          <w:right w:val="nil"/>
          <w:insideV w:val="nil"/>
        </w:tblBorders>
      </w:tblPr>
      <w:tblGrid>
        <w:gridCol w:w="2880"/>
        <w:gridCol w:w="1037"/>
        <w:gridCol w:w="5933"/>
      </w:tblGrid>
      <w:tr>
        <w:trPr>
          <w:tblHeader w:val="on"/>
          <w:cantSplit/>
          <w:tblHeader/>
        </w:trPr>
        <w:tc>
          <w:tcPr>
            <w:tcW w:type="dxa" w:w="2880"/>
            <w:vAlign w:val="center"/>
            <w:shd w:fill="E9EFF3"/>
          </w:tcPr>
          <w:p>
            <w:pPr>
              <w:pStyle w:val="Compact"/>
              <w:keepNext w:val="0"/>
              <w:keepLines/>
              <w:spacing w:before="20" w:after="20" w:line="250" w:lineRule="auto"/>
              <w:jc w:val="left"/>
            </w:pPr>
            <w:r>
              <w:rPr>
                <w:rFonts w:ascii="Liberation Sans" w:hAnsi="Liberation Sans"/>
                <w:b/>
                <w:bCs/>
                <w:sz w:val="19"/>
              </w:rPr>
              <w:t xml:space="preserve">Zeitdomäne</w:t>
            </w:r>
          </w:p>
        </w:tc>
        <w:tc>
          <w:tcPr>
            <w:tcW w:type="dxa" w:w="1037"/>
            <w:vAlign w:val="center"/>
            <w:shd w:fill="E9EFF3"/>
          </w:tcPr>
          <w:p>
            <w:pPr>
              <w:pStyle w:val="Compact"/>
              <w:keepNext w:val="0"/>
              <w:keepLines/>
              <w:spacing w:before="20" w:after="20" w:line="250" w:lineRule="auto"/>
              <w:jc w:val="center"/>
            </w:pPr>
            <w:r>
              <w:rPr>
                <w:rFonts w:ascii="Liberation Sans" w:hAnsi="Liberation Sans"/>
                <w:b/>
                <w:bCs/>
                <w:sz w:val="19"/>
              </w:rPr>
              <w:t xml:space="preserve">Symbol</w:t>
            </w:r>
          </w:p>
        </w:tc>
        <w:tc>
          <w:tcPr>
            <w:tcW w:type="dxa" w:w="5933"/>
            <w:vAlign w:val="center"/>
            <w:shd w:fill="E9EFF3"/>
          </w:tcPr>
          <w:p>
            <w:pPr>
              <w:pStyle w:val="Compact"/>
              <w:keepNext w:val="0"/>
              <w:keepLines/>
              <w:spacing w:before="20" w:after="20" w:line="250" w:lineRule="auto"/>
              <w:jc w:val="left"/>
            </w:pPr>
            <w:r>
              <w:rPr>
                <w:rFonts w:ascii="Liberation Sans" w:hAnsi="Liberation Sans"/>
                <w:b/>
                <w:bCs/>
                <w:sz w:val="19"/>
              </w:rPr>
              <w:t xml:space="preserve">Funktion</w:t>
            </w:r>
          </w:p>
        </w:tc>
      </w:tr>
      <w:tr>
        <w:trPr>
          <w:cantSplit/>
        </w:trPr>
        <w:tc>
          <w:tcPr>
            <w:tcW w:type="dxa" w:w="2880"/>
            <w:vAlign w:val="center"/>
          </w:tcPr>
          <w:p>
            <w:pPr>
              <w:pStyle w:val="Compact"/>
              <w:keepNext w:val="0"/>
              <w:keepLines/>
              <w:spacing w:before="20" w:after="20" w:line="250" w:lineRule="auto"/>
              <w:jc w:val="left"/>
            </w:pPr>
            <w:r>
              <w:rPr>
                <w:rFonts w:ascii="Liberation Sans" w:hAnsi="Liberation Sans"/>
                <w:sz w:val="19"/>
              </w:rPr>
              <w:t xml:space="preserve">neuronale Simulationszeit</w:t>
            </w:r>
          </w:p>
        </w:tc>
        <w:tc>
          <w:tcPr>
            <w:tcW w:type="dxa" w:w="1037"/>
            <w:vAlign w:val="center"/>
          </w:tcPr>
          <w:p>
            <w:pPr>
              <w:pStyle w:val="Compact"/>
              <w:keepNext w:val="0"/>
              <w:keepLines/>
              <w:spacing w:before="20" w:after="20" w:line="250" w:lineRule="auto"/>
              <w:jc w:val="center"/>
            </w:pPr>
            <m:oMathPara>
              <m:oMathParaPr>
                <m:jc m:val="center"/>
              </m:oMathParaPr>
              <m:oMath>
                <m:sSub>
                  <m:e>
                    <m:r>
                      <m:t>t</m:t>
                    </m:r>
                  </m:e>
                  <m:sub>
                    <m:r>
                      <m:t>n</m:t>
                    </m:r>
                  </m:sub>
                </m:sSub>
              </m:oMath>
            </m:oMathPara>
          </w:p>
        </w:tc>
        <w:tc>
          <w:tcPr>
            <w:tcW w:type="dxa" w:w="5933"/>
            <w:vAlign w:val="center"/>
          </w:tcPr>
          <w:p>
            <w:pPr>
              <w:pStyle w:val="Compact"/>
              <w:keepNext w:val="0"/>
              <w:keepLines/>
              <w:spacing w:before="20" w:after="20" w:line="250" w:lineRule="auto"/>
              <w:jc w:val="left"/>
            </w:pPr>
            <w:r>
              <w:rPr>
                <w:rFonts w:ascii="Liberation Sans" w:hAnsi="Liberation Sans"/>
                <w:sz w:val="19"/>
              </w:rPr>
              <w:t xml:space="preserve">Membranintegration, Spike-Ereignisse, synaptische Verzögerung</w:t>
            </w:r>
          </w:p>
        </w:tc>
      </w:tr>
      <w:tr>
        <w:trPr>
          <w:cantSplit/>
        </w:trPr>
        <w:tc>
          <w:tcPr>
            <w:tcW w:type="dxa" w:w="2880"/>
            <w:vAlign w:val="center"/>
          </w:tcPr>
          <w:p>
            <w:pPr>
              <w:pStyle w:val="Compact"/>
              <w:keepNext w:val="0"/>
              <w:keepLines/>
              <w:spacing w:before="20" w:after="20" w:line="250" w:lineRule="auto"/>
              <w:jc w:val="left"/>
            </w:pPr>
            <w:r>
              <w:rPr>
                <w:rFonts w:ascii="Liberation Sans" w:hAnsi="Liberation Sans"/>
                <w:sz w:val="19"/>
              </w:rPr>
              <w:t xml:space="preserve">Plastizitätszeit</w:t>
            </w:r>
          </w:p>
        </w:tc>
        <w:tc>
          <w:tcPr>
            <w:tcW w:type="dxa" w:w="1037"/>
            <w:vAlign w:val="center"/>
          </w:tcPr>
          <w:p>
            <w:pPr>
              <w:pStyle w:val="Compact"/>
              <w:keepNext w:val="0"/>
              <w:keepLines/>
              <w:spacing w:before="20" w:after="20" w:line="250" w:lineRule="auto"/>
              <w:jc w:val="center"/>
            </w:pPr>
            <m:oMathPara>
              <m:oMathParaPr>
                <m:jc m:val="center"/>
              </m:oMathParaPr>
              <m:oMath>
                <m:sSub>
                  <m:e>
                    <m:r>
                      <m:t>t</m:t>
                    </m:r>
                  </m:e>
                  <m:sub>
                    <m:r>
                      <m:t>p</m:t>
                    </m:r>
                  </m:sub>
                </m:sSub>
              </m:oMath>
            </m:oMathPara>
          </w:p>
        </w:tc>
        <w:tc>
          <w:tcPr>
            <w:tcW w:type="dxa" w:w="5933"/>
            <w:vAlign w:val="center"/>
          </w:tcPr>
          <w:p>
            <w:pPr>
              <w:pStyle w:val="Compact"/>
              <w:keepNext w:val="0"/>
              <w:keepLines/>
              <w:spacing w:before="20" w:after="20" w:line="250" w:lineRule="auto"/>
              <w:jc w:val="left"/>
            </w:pPr>
            <w:r>
              <w:rPr>
                <w:rFonts w:ascii="Liberation Sans" w:hAnsi="Liberation Sans"/>
                <w:sz w:val="19"/>
              </w:rPr>
              <w:t xml:space="preserve">Eligibility, STDP, Homeostase, Gewichtsregulation</w:t>
            </w:r>
          </w:p>
        </w:tc>
      </w:tr>
      <w:tr>
        <w:trPr>
          <w:cantSplit/>
        </w:trPr>
        <w:tc>
          <w:tcPr>
            <w:tcW w:type="dxa" w:w="2880"/>
            <w:vAlign w:val="center"/>
          </w:tcPr>
          <w:p>
            <w:pPr>
              <w:pStyle w:val="Compact"/>
              <w:keepNext w:val="0"/>
              <w:keepLines/>
              <w:spacing w:before="20" w:after="20" w:line="250" w:lineRule="auto"/>
              <w:jc w:val="left"/>
            </w:pPr>
            <w:r>
              <w:rPr>
                <w:rFonts w:ascii="Liberation Sans" w:hAnsi="Liberation Sans"/>
                <w:sz w:val="19"/>
              </w:rPr>
              <w:t xml:space="preserve">Strukturzeit</w:t>
            </w:r>
          </w:p>
        </w:tc>
        <w:tc>
          <w:tcPr>
            <w:tcW w:type="dxa" w:w="1037"/>
            <w:vAlign w:val="center"/>
          </w:tcPr>
          <w:p>
            <w:pPr>
              <w:pStyle w:val="Compact"/>
              <w:keepNext w:val="0"/>
              <w:keepLines/>
              <w:spacing w:before="20" w:after="20" w:line="250" w:lineRule="auto"/>
              <w:jc w:val="center"/>
            </w:pPr>
            <m:oMathPara>
              <m:oMathParaPr>
                <m:jc m:val="center"/>
              </m:oMathParaPr>
              <m:oMath>
                <m:sSub>
                  <m:e>
                    <m:r>
                      <m:t>t</m:t>
                    </m:r>
                  </m:e>
                  <m:sub>
                    <m:r>
                      <m:t>s</m:t>
                    </m:r>
                  </m:sub>
                </m:sSub>
              </m:oMath>
            </m:oMathPara>
          </w:p>
        </w:tc>
        <w:tc>
          <w:tcPr>
            <w:tcW w:type="dxa" w:w="5933"/>
            <w:vAlign w:val="center"/>
          </w:tcPr>
          <w:p>
            <w:pPr>
              <w:pStyle w:val="Compact"/>
              <w:keepNext w:val="0"/>
              <w:keepLines/>
              <w:spacing w:before="20" w:after="20" w:line="250" w:lineRule="auto"/>
              <w:jc w:val="left"/>
            </w:pPr>
            <w:r>
              <w:rPr>
                <w:rFonts w:ascii="Liberation Sans" w:hAnsi="Liberation Sans"/>
                <w:sz w:val="19"/>
              </w:rPr>
              <w:t xml:space="preserve">Pruning, Synapsenwachstum, Neurogenese, Reorganisation</w:t>
            </w:r>
          </w:p>
        </w:tc>
      </w:tr>
      <w:tr>
        <w:trPr>
          <w:cantSplit/>
        </w:trPr>
        <w:tc>
          <w:tcPr>
            <w:tcW w:type="dxa" w:w="2880"/>
            <w:vAlign w:val="center"/>
          </w:tcPr>
          <w:p>
            <w:pPr>
              <w:pStyle w:val="Compact"/>
              <w:keepNext w:val="0"/>
              <w:keepLines/>
              <w:spacing w:before="20" w:after="20" w:line="250" w:lineRule="auto"/>
              <w:jc w:val="left"/>
            </w:pPr>
            <w:r>
              <w:rPr>
                <w:rFonts w:ascii="Liberation Sans" w:hAnsi="Liberation Sans"/>
                <w:sz w:val="19"/>
              </w:rPr>
              <w:t xml:space="preserve">Agenten-/Episodenzeit</w:t>
            </w:r>
          </w:p>
        </w:tc>
        <w:tc>
          <w:tcPr>
            <w:tcW w:type="dxa" w:w="1037"/>
            <w:vAlign w:val="center"/>
          </w:tcPr>
          <w:p>
            <w:pPr>
              <w:pStyle w:val="Compact"/>
              <w:keepNext w:val="0"/>
              <w:keepLines/>
              <w:spacing w:before="20" w:after="20" w:line="250" w:lineRule="auto"/>
              <w:jc w:val="center"/>
            </w:pPr>
            <m:oMathPara>
              <m:oMathParaPr>
                <m:jc m:val="center"/>
              </m:oMathParaPr>
              <m:oMath>
                <m:sSub>
                  <m:e>
                    <m:r>
                      <m:t>t</m:t>
                    </m:r>
                  </m:e>
                  <m:sub>
                    <m:r>
                      <m:t>e</m:t>
                    </m:r>
                  </m:sub>
                </m:sSub>
              </m:oMath>
            </m:oMathPara>
          </w:p>
        </w:tc>
        <w:tc>
          <w:tcPr>
            <w:tcW w:type="dxa" w:w="5933"/>
            <w:vAlign w:val="center"/>
          </w:tcPr>
          <w:p>
            <w:pPr>
              <w:pStyle w:val="Compact"/>
              <w:keepNext w:val="0"/>
              <w:keepLines/>
              <w:spacing w:before="20" w:after="20" w:line="250" w:lineRule="auto"/>
              <w:jc w:val="left"/>
            </w:pPr>
            <w:r>
              <w:rPr>
                <w:rFonts w:ascii="Liberation Sans" w:hAnsi="Liberation Sans"/>
                <w:sz w:val="19"/>
              </w:rPr>
              <w:t xml:space="preserve">Wahrnehmung, Aktion, Reward, Umweltübergang</w:t>
            </w:r>
          </w:p>
        </w:tc>
      </w:tr>
      <w:tr>
        <w:trPr>
          <w:cantSplit/>
        </w:trPr>
        <w:tc>
          <w:tcPr>
            <w:tcW w:type="dxa" w:w="2880"/>
            <w:vAlign w:val="center"/>
          </w:tcPr>
          <w:p>
            <w:pPr>
              <w:pStyle w:val="Compact"/>
              <w:keepNext w:val="0"/>
              <w:keepLines/>
              <w:spacing w:before="20" w:after="20" w:line="250" w:lineRule="auto"/>
              <w:jc w:val="left"/>
            </w:pPr>
            <w:r>
              <w:rPr>
                <w:rFonts w:ascii="Liberation Sans" w:hAnsi="Liberation Sans"/>
                <w:sz w:val="19"/>
              </w:rPr>
              <w:t xml:space="preserve">Wall-Clock- und Provenienzzeit</w:t>
            </w:r>
          </w:p>
        </w:tc>
        <w:tc>
          <w:tcPr>
            <w:tcW w:type="dxa" w:w="1037"/>
            <w:vAlign w:val="center"/>
          </w:tcPr>
          <w:p>
            <w:pPr>
              <w:pStyle w:val="Compact"/>
              <w:keepNext w:val="0"/>
              <w:keepLines/>
              <w:spacing w:before="20" w:after="20" w:line="250" w:lineRule="auto"/>
              <w:jc w:val="center"/>
            </w:pPr>
            <m:oMathPara>
              <m:oMathParaPr>
                <m:jc m:val="center"/>
              </m:oMathParaPr>
              <m:oMath>
                <m:sSub>
                  <m:e>
                    <m:r>
                      <m:t>t</m:t>
                    </m:r>
                  </m:e>
                  <m:sub>
                    <m:r>
                      <m:t>w</m:t>
                    </m:r>
                  </m:sub>
                </m:sSub>
              </m:oMath>
            </m:oMathPara>
          </w:p>
        </w:tc>
        <w:tc>
          <w:tcPr>
            <w:tcW w:type="dxa" w:w="5933"/>
            <w:vAlign w:val="center"/>
          </w:tcPr>
          <w:p>
            <w:pPr>
              <w:pStyle w:val="Compact"/>
              <w:keepNext w:val="0"/>
              <w:keepLines/>
              <w:spacing w:before="20" w:after="20" w:line="250" w:lineRule="auto"/>
              <w:jc w:val="left"/>
            </w:pPr>
            <w:r>
              <w:rPr>
                <w:rFonts w:ascii="Liberation Sans" w:hAnsi="Liberation Sans"/>
                <w:sz w:val="19"/>
              </w:rPr>
              <w:t xml:space="preserve">reale Ausführung, I/O, LLM-Latenz, Logging</w:t>
            </w:r>
          </w:p>
        </w:tc>
      </w:tr>
    </w:tbl>
    <w:p>
      <w:pPr>
        <w:pStyle w:val="BodyText"/>
        <w:keepLines/>
        <w:spacing w:after="40" w:line="250" w:lineRule="auto"/>
        <w:jc w:val="left"/>
      </w:pPr>
      <w:r>
        <w:rPr>
          <w:sz w:val="20"/>
        </w:rPr>
        <w:t xml:space="preserve">Typischerweise gilt</w:t>
      </w:r>
      <w:r>
        <w:rPr>
          <w:sz w:val="20"/>
        </w:rPr>
        <w:t xml:space="preserve"> </w:t>
      </w:r>
      <m:oMath>
        <m:sSub>
          <m:e>
            <m:r>
              <m:t>t</m:t>
            </m:r>
          </m:e>
          <m:sub>
            <m:r>
              <m:t>n</m:t>
            </m:r>
          </m:sub>
        </m:sSub>
        <m:r>
          <m:rPr>
            <m:sty m:val="p"/>
          </m:rPr>
          <m:t>≪</m:t>
        </m:r>
        <m:sSub>
          <m:e>
            <m:r>
              <m:t>t</m:t>
            </m:r>
          </m:e>
          <m:sub>
            <m:r>
              <m:t>p</m:t>
            </m:r>
          </m:sub>
        </m:sSub>
        <m:r>
          <m:rPr>
            <m:sty m:val="p"/>
          </m:rPr>
          <m:t>≲</m:t>
        </m:r>
        <m:sSub>
          <m:e>
            <m:r>
              <m:t>t</m:t>
            </m:r>
          </m:e>
          <m:sub>
            <m:r>
              <m:t>s</m:t>
            </m:r>
          </m:sub>
        </m:sSub>
      </m:oMath>
      <w:r>
        <w:rPr>
          <w:sz w:val="20"/>
        </w:rPr>
        <w:t xml:space="preserve">, doch die Größenordnung ist eine konfigurierbare Modellannahme.</w:t>
      </w:r>
      <w:r>
        <w:rPr>
          <w:sz w:val="20"/>
        </w:rPr>
        <w:t xml:space="preserve"> </w:t>
      </w:r>
      <m:oMath>
        <m:sSub>
          <m:e>
            <m:r>
              <m:t>t</m:t>
            </m:r>
          </m:e>
          <m:sub>
            <m:r>
              <m:t>w</m:t>
            </m:r>
          </m:sub>
        </m:sSub>
      </m:oMath>
      <w:r>
        <w:rPr>
          <w:sz w:val="20"/>
        </w:rPr>
        <w:t xml:space="preserve"> </w:t>
      </w:r>
      <w:r>
        <w:rPr>
          <w:sz w:val="20"/>
        </w:rPr>
        <w:t xml:space="preserve">darf nicht mit</w:t>
      </w:r>
      <w:r>
        <w:rPr>
          <w:sz w:val="20"/>
        </w:rPr>
        <w:t xml:space="preserve"> </w:t>
      </w:r>
      <m:oMath>
        <m:sSub>
          <m:e>
            <m:r>
              <m:t>t</m:t>
            </m:r>
          </m:e>
          <m:sub>
            <m:r>
              <m:t>n</m:t>
            </m:r>
          </m:sub>
        </m:sSub>
      </m:oMath>
      <w:r>
        <w:rPr>
          <w:sz w:val="20"/>
        </w:rPr>
        <w:t xml:space="preserve"> </w:t>
      </w:r>
      <w:r>
        <w:rPr>
          <w:sz w:val="20"/>
        </w:rPr>
        <w:t xml:space="preserve">gleichgesetzt werden. Ein LLM-Aufruf von fünf Sekunden realer Dauer muss die neuronale Simulationszeit nicht um fünf Sekunden voranschreiten lassen.</w:t>
      </w:r>
    </w:p>
    <w:bookmarkEnd w:id="238"/>
    <w:bookmarkStart w:id="239" w:name="determinismus-und-stochastik"/>
    <w:p>
      <w:pPr>
        <w:pStyle w:val="Heading3"/>
        <w:keepLines/>
        <w:spacing w:after="120" w:before="160"/>
        <w:jc w:val="left"/>
      </w:pPr>
      <w:r>
        <w:rPr>
          <w:sz w:val="20"/>
        </w:rPr>
        <w:t xml:space="preserve">Determinismus und Stochastik</w:t>
      </w:r>
    </w:p>
    <w:p>
      <w:pPr>
        <w:pStyle w:val="FirstParagraph"/>
        <w:keepLines/>
        <w:spacing w:after="40" w:line="250" w:lineRule="auto"/>
        <w:jc w:val="left"/>
      </w:pPr>
      <w:r>
        <w:rPr>
          <w:sz w:val="20"/>
        </w:rPr>
        <w:t xml:space="preserve">Brain-5D kann stochastische Initialisierung, probabilistische Konnektivität, Rauschen und zufällige Umweltübergänge verwenden. Reproduzierbarkeit bedeutet daher nicht zwangsläufig Bitidentität auf jeder Hardware. Es sind drei Modi zu unterscheiden:</w:t>
      </w:r>
    </w:p>
    <w:p>
      <w:pPr>
        <w:keepLines/>
        <w:numPr>
          <w:ilvl w:val="0"/>
          <w:numId w:val="1016"/>
        </w:numPr>
        <w:spacing w:after="40" w:line="250" w:lineRule="auto"/>
        <w:jc w:val="left"/>
      </w:pPr>
      <w:r>
        <w:rPr>
          <w:b/>
          <w:bCs/>
          <w:sz w:val="20"/>
        </w:rPr>
        <w:t xml:space="preserve">bitnaher Replay:</w:t>
      </w:r>
      <w:r>
        <w:rPr>
          <w:sz w:val="20"/>
        </w:rPr>
        <w:t xml:space="preserve"> </w:t>
      </w:r>
      <w:r>
        <w:rPr>
          <w:sz w:val="20"/>
        </w:rPr>
        <w:t xml:space="preserve">gleiche Plattform, deterministische Kernel und vollständig gespeicherte RNG-Zustände;</w:t>
      </w:r>
    </w:p>
    <w:p>
      <w:pPr>
        <w:keepLines/>
        <w:numPr>
          <w:ilvl w:val="0"/>
          <w:numId w:val="1016"/>
        </w:numPr>
        <w:spacing w:after="40" w:line="250" w:lineRule="auto"/>
        <w:jc w:val="left"/>
      </w:pPr>
      <w:r>
        <w:rPr>
          <w:b/>
          <w:bCs/>
          <w:sz w:val="20"/>
        </w:rPr>
        <w:t xml:space="preserve">numerischer Replay:</w:t>
      </w:r>
      <w:r>
        <w:rPr>
          <w:sz w:val="20"/>
        </w:rPr>
        <w:t xml:space="preserve"> </w:t>
      </w:r>
      <w:r>
        <w:rPr>
          <w:sz w:val="20"/>
        </w:rPr>
        <w:t xml:space="preserve">Abweichungen innerhalb definierter Toleranzen;</w:t>
      </w:r>
    </w:p>
    <w:p>
      <w:pPr>
        <w:keepLines/>
        <w:numPr>
          <w:ilvl w:val="0"/>
          <w:numId w:val="1016"/>
        </w:numPr>
        <w:spacing w:after="40" w:line="250" w:lineRule="auto"/>
        <w:jc w:val="left"/>
      </w:pPr>
      <w:r>
        <w:rPr>
          <w:b/>
          <w:bCs/>
          <w:sz w:val="20"/>
        </w:rPr>
        <w:t xml:space="preserve">statistischer Replay:</w:t>
      </w:r>
      <w:r>
        <w:rPr>
          <w:sz w:val="20"/>
        </w:rPr>
        <w:t xml:space="preserve"> </w:t>
      </w:r>
      <w:r>
        <w:rPr>
          <w:sz w:val="20"/>
        </w:rPr>
        <w:t xml:space="preserve">gleiche Verteilungen und Effekte über unabhängige Seeds.</w:t>
      </w:r>
    </w:p>
    <w:p>
      <w:pPr>
        <w:pStyle w:val="FirstParagraph"/>
        <w:keepLines/>
        <w:spacing w:after="40" w:line="250" w:lineRule="auto"/>
        <w:jc w:val="left"/>
      </w:pPr>
      <w:r>
        <w:rPr>
          <w:sz w:val="20"/>
        </w:rPr>
        <w:t xml:space="preserve">Der Reproduktionsmodus und die zulässige Toleranz gehören in die</w:t>
      </w:r>
      <w:r>
        <w:rPr>
          <w:sz w:val="20"/>
        </w:rPr>
        <w:t xml:space="preserve"> </w:t>
      </w:r>
      <w:r>
        <w:rPr>
          <w:rStyle w:val="VerbatimChar"/>
          <w:sz w:val="20"/>
        </w:rPr>
        <w:t xml:space="preserve">ExperimentSpec</w:t>
      </w:r>
      <w:r>
        <w:rPr>
          <w:sz w:val="20"/>
        </w:rPr>
        <w:t xml:space="preserve">.</w:t>
      </w:r>
    </w:p>
    <w:bookmarkEnd w:id="239"/>
    <w:bookmarkEnd w:id="240"/>
    <w:bookmarkEnd w:id="241"/>
    <w:bookmarkStart w:id="261" w:name="X140aa427a5e2617497a59524372e383bddab98e"/>
    <w:p>
      <w:bookmarkStart w:id="10018" w:name="B5D_H018"/>
      <w:pPr>
        <w:pStyle w:val="Heading1"/>
      </w:pPr>
      <w:r>
        <w:t xml:space="preserve">15. Fünfdimensionaler Adressraum und dynamischer Graph</w:t>
      </w:r>
      <w:bookmarkEnd w:id="10018"/>
    </w:p>
    <w:bookmarkStart w:id="242" w:name="X935db4504beda7e2efa0c7bf9c0bda238aabc66"/>
    <w:p>
      <w:pPr>
        <w:pStyle w:val="Heading2"/>
        <w:spacing w:before="160"/>
      </w:pPr>
      <w:r>
        <w:t xml:space="preserve">Zwei verschiedene Bedeutungen von fünf Dimensionen</w:t>
      </w:r>
    </w:p>
    <w:p>
      <w:pPr>
        <w:pStyle w:val="FirstParagraph"/>
        <w:keepLines/>
        <w:spacing w:after="64" w:line="254" w:lineRule="auto"/>
        <w:jc w:val="left"/>
      </w:pPr>
      <w:r>
        <w:rPr>
          <w:sz w:val="20"/>
        </w:rPr>
        <w:t xml:space="preserve">Der philosophische Vektor I = (M, E, G, Z, X) ordnet Beschreibungsaspekte von Intelligenz. Die neuronalen Koordinaten p = (x, y, z, a, b) definieren dagegen einen technischen Adress- und Beziehungsraum. Beide Modelle verwenden fünf Komponenten, besitzen aber verschiedene Objekte, Skalen und Beweislasten. Die Uebereinstimmung ihrer Anzahl liefert keinen empirischen Zusammenhang. Eine Überlegenheit der neuronalen 5D-Geometrie muss durch die folgenden kontrollierten Ablationen geprüft werden. [K1; K3; eigene begriffliche Klärung]</w:t>
      </w:r>
    </w:p>
    <w:bookmarkEnd w:id="242"/>
    <w:bookmarkStart w:id="253" w:name="der-fünfdimensionale-raum"/>
    <w:p>
      <w:pPr>
        <w:pStyle w:val="Heading2"/>
        <w:spacing w:before="160"/>
      </w:pPr>
      <w:r>
        <w:t xml:space="preserve">Der fünfdimensionale Raum</w:t>
      </w:r>
    </w:p>
    <w:bookmarkStart w:id="243" w:name="adressraum-und-materialisierung"/>
    <w:p>
      <w:pPr>
        <w:pStyle w:val="Heading3"/>
        <w:keepLines/>
        <w:spacing w:after="120" w:before="160"/>
        <w:jc w:val="left"/>
      </w:pPr>
      <w:r>
        <w:rPr>
          <w:sz w:val="20"/>
        </w:rPr>
        <w:t xml:space="preserve">Adressraum und Materialisierung</w:t>
      </w:r>
    </w:p>
    <w:p>
      <w:pPr>
        <w:pStyle w:val="FirstParagraph"/>
        <w:keepLines/>
        <w:spacing w:after="64" w:line="254" w:lineRule="auto"/>
        <w:jc w:val="left"/>
      </w:pPr>
      <w:r>
        <w:rPr>
          <w:b/>
          <w:bCs/>
          <w:sz w:val="20"/>
        </w:rPr>
        <w:t xml:space="preserve">[DEF]</w:t>
      </w:r>
      <w:r>
        <w:rPr>
          <w:sz w:val="20"/>
        </w:rPr>
        <w:t xml:space="preserve"> </w:t>
      </w:r>
      <w:r>
        <w:rPr>
          <w:sz w:val="20"/>
        </w:rPr>
        <w:t xml:space="preserve">Eine potenzielle Neuronenadresse ist</w:t>
      </w:r>
    </w:p>
    <w:p>
      <w:pPr>
        <w:pStyle w:val="BodyText"/>
        <w:keepLines/>
        <w:spacing w:after="64" w:before="100" w:line="254" w:lineRule="auto"/>
        <w:jc w:val="center"/>
      </w:pPr>
      <m:oMathPara>
        <m:oMathParaPr>
          <m:jc m:val="center"/>
        </m:oMathParaPr>
        <m:oMath>
          <m:sSub>
            <m:e>
              <m:r>
                <m:t>p</m:t>
              </m:r>
            </m:e>
            <m:sub>
              <m:r>
                <m:t>i</m:t>
              </m:r>
            </m:sub>
          </m:sSub>
          <m:r>
            <m:rPr>
              <m:sty m:val="p"/>
            </m:rPr>
            <m:t>=</m:t>
          </m:r>
          <m:d>
            <m:dPr>
              <m:begChr m:val="("/>
              <m:endChr m:val=")"/>
              <m:sepChr m:val=""/>
              <m:grow/>
            </m:dPr>
            <m:e>
              <m:sSub>
                <m:e>
                  <m:r>
                    <m:t>x</m:t>
                  </m:r>
                </m:e>
                <m:sub>
                  <m:r>
                    <m:t>i</m:t>
                  </m:r>
                </m:sub>
              </m:sSub>
              <m:r>
                <m:rPr>
                  <m:sty m:val="p"/>
                </m:rPr>
                <m:t>,</m:t>
              </m:r>
              <m:sSub>
                <m:e>
                  <m:r>
                    <m:t>y</m:t>
                  </m:r>
                </m:e>
                <m:sub>
                  <m:r>
                    <m:t>i</m:t>
                  </m:r>
                </m:sub>
              </m:sSub>
              <m:r>
                <m:rPr>
                  <m:sty m:val="p"/>
                </m:rPr>
                <m:t>,</m:t>
              </m:r>
              <m:sSub>
                <m:e>
                  <m:r>
                    <m:t>z</m:t>
                  </m:r>
                </m:e>
                <m:sub>
                  <m:r>
                    <m:t>i</m:t>
                  </m:r>
                </m:sub>
              </m:sSub>
              <m:r>
                <m:rPr>
                  <m:sty m:val="p"/>
                </m:rPr>
                <m:t>,</m:t>
              </m:r>
              <m:sSub>
                <m:e>
                  <m:r>
                    <m:t>a</m:t>
                  </m:r>
                </m:e>
                <m:sub>
                  <m:r>
                    <m:t>i</m:t>
                  </m:r>
                </m:sub>
              </m:sSub>
              <m:r>
                <m:rPr>
                  <m:sty m:val="p"/>
                </m:rPr>
                <m:t>,</m:t>
              </m:r>
              <m:sSub>
                <m:e>
                  <m:r>
                    <m:t>b</m:t>
                  </m:r>
                </m:e>
                <m:sub>
                  <m:r>
                    <m:t>i</m:t>
                  </m:r>
                </m:sub>
              </m:sSub>
            </m:e>
          </m:d>
          <m:r>
            <m:rPr>
              <m:sty m:val="p"/>
            </m:rPr>
            <m:t>∈</m:t>
          </m:r>
          <m:sSub>
            <m:e>
              <m:r>
                <m:t>A</m:t>
              </m:r>
            </m:e>
            <m:sub>
              <m:r>
                <m:t>5</m:t>
              </m:r>
            </m:sub>
          </m:sSub>
          <m:r>
            <m:rPr>
              <m:sty m:val="p"/>
            </m:rPr>
            <m:t>.</m:t>
          </m:r>
        </m:oMath>
      </m:oMathPara>
    </w:p>
    <w:p>
      <w:pPr>
        <w:pStyle w:val="FirstParagraph"/>
        <w:keepLines/>
        <w:spacing w:after="64" w:line="254" w:lineRule="auto"/>
        <w:jc w:val="left"/>
      </w:pPr>
      <w:r>
        <w:rPr>
          <w:sz w:val="20"/>
        </w:rPr>
        <w:t xml:space="preserve">Für einen diskreten Hyperkubus mit Kantenlänge</w:t>
      </w:r>
      <w:r>
        <w:rPr>
          <w:sz w:val="20"/>
        </w:rPr>
        <w:t xml:space="preserve"> </w:t>
      </w:r>
      <m:oMath>
        <m:r>
          <m:t>L</m:t>
        </m:r>
      </m:oMath>
      <w:r>
        <w:rPr>
          <w:sz w:val="20"/>
        </w:rPr>
        <w:t xml:space="preserve"> </w:t>
      </w:r>
      <w:r>
        <w:rPr>
          <w:sz w:val="20"/>
        </w:rPr>
        <w:t xml:space="preserve">gilt</w:t>
      </w:r>
    </w:p>
    <w:p>
      <w:pPr>
        <w:pStyle w:val="BodyText"/>
        <w:keepLines/>
        <w:spacing w:after="64" w:before="100" w:line="254" w:lineRule="auto"/>
        <w:jc w:val="center"/>
      </w:pPr>
      <m:oMathPara>
        <m:oMathParaPr>
          <m:jc m:val="center"/>
        </m:oMathParaPr>
        <m:oMath>
          <m:r>
            <m:t>∣</m:t>
          </m:r>
          <m:sSub>
            <m:e>
              <m:r>
                <m:t>A</m:t>
              </m:r>
            </m:e>
            <m:sub>
              <m:r>
                <m:t>5</m:t>
              </m:r>
            </m:sub>
          </m:sSub>
          <m:r>
            <m:t>∣</m:t>
          </m:r>
          <m:r>
            <m:rPr>
              <m:sty m:val="p"/>
            </m:rPr>
            <m:t>=</m:t>
          </m:r>
          <m:sSup>
            <m:e>
              <m:r>
                <m:t>L</m:t>
              </m:r>
            </m:e>
            <m:sup>
              <m:r>
                <m:t>5</m:t>
              </m:r>
            </m:sup>
          </m:sSup>
          <m:r>
            <m:rPr>
              <m:sty m:val="p"/>
            </m:rPr>
            <m:t>.</m:t>
          </m:r>
        </m:oMath>
      </m:oMathPara>
    </w:p>
    <w:p>
      <w:pPr>
        <w:pStyle w:val="FirstParagraph"/>
        <w:keepLines/>
        <w:spacing w:after="64" w:line="254" w:lineRule="auto"/>
        <w:jc w:val="left"/>
      </w:pPr>
      <w:r>
        <w:rPr>
          <w:sz w:val="20"/>
        </w:rPr>
        <w:t xml:space="preserve">Bei</w:t>
      </w:r>
      <w:r>
        <w:rPr>
          <w:sz w:val="20"/>
        </w:rPr>
        <w:t xml:space="preserve"> </w:t>
      </w:r>
      <m:oMath>
        <m:r>
          <m:t>L</m:t>
        </m:r>
        <m:r>
          <m:rPr>
            <m:sty m:val="p"/>
          </m:rPr>
          <m:t>=</m:t>
        </m:r>
        <m:r>
          <m:t>50</m:t>
        </m:r>
      </m:oMath>
      <w:r>
        <w:rPr>
          <w:sz w:val="20"/>
        </w:rPr>
        <w:t xml:space="preserve"> </w:t>
      </w:r>
      <w:r>
        <w:rPr>
          <w:sz w:val="20"/>
        </w:rPr>
        <w:t xml:space="preserve">ergeben sich</w:t>
      </w:r>
      <w:r>
        <w:rPr>
          <w:sz w:val="20"/>
        </w:rPr>
        <w:t xml:space="preserve"> </w:t>
      </w:r>
      <m:oMath>
        <m:r>
          <m:t>312.500</m:t>
        </m:r>
        <m:r>
          <m:t>.000</m:t>
        </m:r>
      </m:oMath>
      <w:r>
        <w:rPr>
          <w:sz w:val="20"/>
        </w:rPr>
        <w:t xml:space="preserve"> </w:t>
      </w:r>
      <w:r>
        <w:rPr>
          <w:sz w:val="20"/>
        </w:rPr>
        <w:t xml:space="preserve">mögliche Adressen. Dies ist eine Kapazität des Adressraums, nicht die Verpflichtung, ebenso viele Python-Objekte oder physische Neuronen gleichzeitig anzulegen.</w:t>
      </w:r>
    </w:p>
    <w:p>
      <w:pPr>
        <w:pStyle w:val="BodyText"/>
        <w:keepLines/>
        <w:spacing w:after="64" w:line="254" w:lineRule="auto"/>
        <w:jc w:val="left"/>
      </w:pPr>
      <w:r>
        <w:rPr>
          <w:b/>
          <w:bCs/>
          <w:sz w:val="20"/>
        </w:rPr>
        <w:t xml:space="preserve">[DEF]</w:t>
      </w:r>
      <w:r>
        <w:rPr>
          <w:sz w:val="20"/>
        </w:rPr>
        <w:t xml:space="preserve"> </w:t>
      </w:r>
      <w:r>
        <w:rPr>
          <w:sz w:val="20"/>
        </w:rPr>
        <w:t xml:space="preserve">Die materialisierte Menge zum Zeitpunkt</w:t>
      </w:r>
      <w:r>
        <w:rPr>
          <w:sz w:val="20"/>
        </w:rPr>
        <w:t xml:space="preserve"> </w:t>
      </w:r>
      <m:oMath>
        <m:r>
          <m:t>t</m:t>
        </m:r>
      </m:oMath>
      <w:r>
        <w:rPr>
          <w:sz w:val="20"/>
        </w:rPr>
        <w:t xml:space="preserve"> </w:t>
      </w:r>
      <w:r>
        <w:rPr>
          <w:sz w:val="20"/>
        </w:rPr>
        <w:t xml:space="preserve">lautet</w:t>
      </w:r>
    </w:p>
    <w:p>
      <w:pPr>
        <w:pStyle w:val="BodyText"/>
        <w:keepLines/>
        <w:spacing w:after="64" w:before="100" w:line="254" w:lineRule="auto"/>
        <w:jc w:val="center"/>
      </w:pPr>
      <m:oMathPara>
        <m:oMathParaPr>
          <m:jc m:val="center"/>
        </m:oMathParaPr>
        <m:oMath>
          <m:sSub>
            <m:e>
              <m:r>
                <m:t>N</m:t>
              </m:r>
            </m:e>
            <m:sub>
              <m:r>
                <m:t>t</m:t>
              </m:r>
            </m:sub>
          </m:sSub>
          <m:r>
            <m:rPr>
              <m:sty m:val="p"/>
            </m:rPr>
            <m:t>⊆</m:t>
          </m:r>
          <m:sSub>
            <m:e>
              <m:r>
                <m:t>A</m:t>
              </m:r>
            </m:e>
            <m:sub>
              <m:r>
                <m:t>5</m:t>
              </m:r>
            </m:sub>
          </m:sSub>
          <m:r>
            <m:rPr>
              <m:sty m:val="p"/>
            </m:rPr>
            <m:t>,</m:t>
          </m:r>
          <m:r>
            <m:t>∣</m:t>
          </m:r>
          <m:sSub>
            <m:e>
              <m:r>
                <m:t>N</m:t>
              </m:r>
            </m:e>
            <m:sub>
              <m:r>
                <m:t>t</m:t>
              </m:r>
            </m:sub>
          </m:sSub>
          <m:r>
            <m:t>∣</m:t>
          </m:r>
          <m:r>
            <m:rPr>
              <m:sty m:val="p"/>
            </m:rPr>
            <m:t>≪</m:t>
          </m:r>
          <m:r>
            <m:t>∣</m:t>
          </m:r>
          <m:sSub>
            <m:e>
              <m:r>
                <m:t>A</m:t>
              </m:r>
            </m:e>
            <m:sub>
              <m:r>
                <m:t>5</m:t>
              </m:r>
            </m:sub>
          </m:sSub>
          <m:r>
            <m:t>∣</m:t>
          </m:r>
        </m:oMath>
      </m:oMathPara>
    </w:p>
    <w:p>
      <w:pPr>
        <w:pStyle w:val="FirstParagraph"/>
        <w:keepLines/>
        <w:spacing w:after="64" w:line="254" w:lineRule="auto"/>
        <w:jc w:val="left"/>
      </w:pPr>
      <w:r>
        <w:rPr>
          <w:sz w:val="20"/>
        </w:rPr>
        <w:t xml:space="preserve">für sparse Simulationen. Eine Adresse ist nicht automatisch belegt; eine belegte Adresse ist nicht automatisch aktiv.</w:t>
      </w:r>
    </w:p>
    <w:bookmarkEnd w:id="243"/>
    <w:bookmarkStart w:id="244" w:name="semantik-der-dimensionen"/>
    <w:p>
      <w:pPr>
        <w:pStyle w:val="Heading3"/>
        <w:keepLines/>
        <w:spacing w:after="120" w:before="160"/>
        <w:jc w:val="left"/>
      </w:pPr>
      <w:r>
        <w:rPr>
          <w:sz w:val="20"/>
        </w:rPr>
        <w:t xml:space="preserve">Semantik der Dimensionen</w:t>
      </w:r>
    </w:p>
    <w:p>
      <w:pPr>
        <w:pStyle w:val="FirstParagraph"/>
        <w:keepLines/>
        <w:spacing w:after="64" w:line="254" w:lineRule="auto"/>
        <w:jc w:val="left"/>
      </w:pPr>
      <w:r>
        <w:rPr>
          <w:sz w:val="20"/>
        </w:rPr>
        <w:t xml:space="preserve">Die Basishypothese verwendet</w:t>
      </w:r>
      <w:r>
        <w:rPr>
          <w:sz w:val="20"/>
        </w:rPr>
        <w:t xml:space="preserve"> </w:t>
      </w:r>
      <m:oMath>
        <m:d>
          <m:dPr>
            <m:begChr m:val="("/>
            <m:endChr m:val=")"/>
            <m:sepChr m:val=""/>
            <m:grow/>
          </m:dPr>
          <m:e>
            <m:r>
              <m:t>x</m:t>
            </m:r>
            <m:r>
              <m:rPr>
                <m:sty m:val="p"/>
              </m:rPr>
              <m:t>,</m:t>
            </m:r>
            <m:r>
              <m:t>y</m:t>
            </m:r>
            <m:r>
              <m:rPr>
                <m:sty m:val="p"/>
              </m:rPr>
              <m:t>,</m:t>
            </m:r>
            <m:r>
              <m:t>z</m:t>
            </m:r>
          </m:e>
        </m:d>
      </m:oMath>
      <w:r>
        <w:rPr>
          <w:sz w:val="20"/>
        </w:rPr>
        <w:t xml:space="preserve"> </w:t>
      </w:r>
      <w:r>
        <w:rPr>
          <w:sz w:val="20"/>
        </w:rPr>
        <w:t xml:space="preserve">als räumlich-topologische Achsen und</w:t>
      </w:r>
      <w:r>
        <w:rPr>
          <w:sz w:val="20"/>
        </w:rPr>
        <w:t xml:space="preserve"> </w:t>
      </w:r>
      <m:oMath>
        <m:d>
          <m:dPr>
            <m:begChr m:val="("/>
            <m:endChr m:val=")"/>
            <m:sepChr m:val=""/>
            <m:grow/>
          </m:dPr>
          <m:e>
            <m:r>
              <m:t>a</m:t>
            </m:r>
            <m:r>
              <m:rPr>
                <m:sty m:val="p"/>
              </m:rPr>
              <m:t>,</m:t>
            </m:r>
            <m:r>
              <m:t>b</m:t>
            </m:r>
          </m:e>
        </m:d>
      </m:oMath>
      <w:r>
        <w:rPr>
          <w:sz w:val="20"/>
        </w:rPr>
        <w:t xml:space="preserve"> </w:t>
      </w:r>
      <w:r>
        <w:rPr>
          <w:sz w:val="20"/>
        </w:rPr>
        <w:t xml:space="preserve">als zusätzliche funktionale Achsen. Diese Semantik ist</w:t>
      </w:r>
      <w:r>
        <w:rPr>
          <w:sz w:val="20"/>
        </w:rPr>
        <w:t xml:space="preserve"> </w:t>
      </w:r>
      <w:r>
        <w:rPr>
          <w:b/>
          <w:bCs/>
          <w:sz w:val="20"/>
        </w:rPr>
        <w:t xml:space="preserve">nicht</w:t>
      </w:r>
      <w:r>
        <w:rPr>
          <w:sz w:val="20"/>
        </w:rPr>
        <w:t xml:space="preserve"> </w:t>
      </w:r>
      <w:r>
        <w:rPr>
          <w:sz w:val="20"/>
        </w:rPr>
        <w:t xml:space="preserve">als unveränderliche Naturbeschreibung zu verstehen. Mindestens vier Varianten sind experimentell zulässig:</w:t>
      </w:r>
    </w:p>
    <w:p>
      <w:pPr>
        <w:keepLines/>
        <w:numPr>
          <w:ilvl w:val="0"/>
          <w:numId w:val="1017"/>
        </w:numPr>
        <w:spacing w:after="64" w:line="254" w:lineRule="auto"/>
        <w:jc w:val="left"/>
      </w:pPr>
      <w:r>
        <w:rPr>
          <w:b/>
          <w:bCs/>
          <w:sz w:val="20"/>
        </w:rPr>
        <w:t xml:space="preserve">fixed semantic axes:</w:t>
      </w:r>
      <w:r>
        <w:rPr>
          <w:sz w:val="20"/>
        </w:rPr>
        <w:t xml:space="preserve"> </w:t>
      </w:r>
      <m:oMath>
        <m:r>
          <m:t>a</m:t>
        </m:r>
      </m:oMath>
      <w:r>
        <w:rPr>
          <w:sz w:val="20"/>
        </w:rPr>
        <w:t xml:space="preserve"> </w:t>
      </w:r>
      <w:r>
        <w:rPr>
          <w:sz w:val="20"/>
        </w:rPr>
        <w:t xml:space="preserve">und</w:t>
      </w:r>
      <w:r>
        <w:rPr>
          <w:sz w:val="20"/>
        </w:rPr>
        <w:t xml:space="preserve"> </w:t>
      </w:r>
      <m:oMath>
        <m:r>
          <m:t>b</m:t>
        </m:r>
      </m:oMath>
      <w:r>
        <w:rPr>
          <w:sz w:val="20"/>
        </w:rPr>
        <w:t xml:space="preserve"> </w:t>
      </w:r>
      <w:r>
        <w:rPr>
          <w:sz w:val="20"/>
        </w:rPr>
        <w:t xml:space="preserve">repräsentieren vorab definierte Modalität oder Verarbeitungsebene;</w:t>
      </w:r>
    </w:p>
    <w:p>
      <w:pPr>
        <w:keepLines/>
        <w:numPr>
          <w:ilvl w:val="0"/>
          <w:numId w:val="1017"/>
        </w:numPr>
        <w:spacing w:after="64" w:line="254" w:lineRule="auto"/>
        <w:jc w:val="left"/>
      </w:pPr>
      <w:r>
        <w:rPr>
          <w:b/>
          <w:bCs/>
          <w:sz w:val="20"/>
        </w:rPr>
        <w:t xml:space="preserve">developmental axes:</w:t>
      </w:r>
      <w:r>
        <w:rPr>
          <w:sz w:val="20"/>
        </w:rPr>
        <w:t xml:space="preserve"> </w:t>
      </w:r>
      <w:r>
        <w:rPr>
          <w:sz w:val="20"/>
        </w:rPr>
        <w:t xml:space="preserve">Koordinaten verändern sich nur in definierten Entwicklungsphasen;</w:t>
      </w:r>
    </w:p>
    <w:p>
      <w:pPr>
        <w:keepLines/>
        <w:numPr>
          <w:ilvl w:val="0"/>
          <w:numId w:val="1017"/>
        </w:numPr>
        <w:spacing w:after="64" w:line="254" w:lineRule="auto"/>
        <w:jc w:val="left"/>
      </w:pPr>
      <w:r>
        <w:rPr>
          <w:b/>
          <w:bCs/>
          <w:sz w:val="20"/>
        </w:rPr>
        <w:t xml:space="preserve">learned metric:</w:t>
      </w:r>
      <w:r>
        <w:rPr>
          <w:sz w:val="20"/>
        </w:rPr>
        <w:t xml:space="preserve"> </w:t>
      </w:r>
      <w:r>
        <w:rPr>
          <w:sz w:val="20"/>
        </w:rPr>
        <w:t xml:space="preserve">Koordinaten bleiben fest, aber ihre effektive Metrik wird gelernt;</w:t>
      </w:r>
    </w:p>
    <w:p>
      <w:pPr>
        <w:keepLines/>
        <w:numPr>
          <w:ilvl w:val="0"/>
          <w:numId w:val="1017"/>
        </w:numPr>
        <w:spacing w:after="64" w:line="254" w:lineRule="auto"/>
        <w:jc w:val="left"/>
      </w:pPr>
      <w:r>
        <w:rPr>
          <w:b/>
          <w:bCs/>
          <w:sz w:val="20"/>
        </w:rPr>
        <w:t xml:space="preserve">learned embedding:</w:t>
      </w:r>
      <w:r>
        <w:rPr>
          <w:sz w:val="20"/>
        </w:rPr>
        <w:t xml:space="preserve"> </w:t>
      </w:r>
      <w:r>
        <w:rPr>
          <w:sz w:val="20"/>
        </w:rPr>
        <w:t xml:space="preserve">auch Positionen oder Regionen werden unter Nebenbedingungen angepasst.</w:t>
      </w:r>
    </w:p>
    <w:p>
      <w:pPr>
        <w:pStyle w:val="FirstParagraph"/>
        <w:keepLines/>
        <w:spacing w:after="64" w:line="254" w:lineRule="auto"/>
        <w:jc w:val="left"/>
      </w:pPr>
      <w:r>
        <w:rPr>
          <w:sz w:val="20"/>
        </w:rPr>
        <w:t xml:space="preserve">Die Varianten sind verschiedene Modelle und dürfen in Ergebnissen nicht vermischt werden.</w:t>
      </w:r>
    </w:p>
    <w:bookmarkEnd w:id="244"/>
    <w:bookmarkStart w:id="245" w:name="allgemeine-metrik"/>
    <w:p>
      <w:pPr>
        <w:pStyle w:val="Heading3"/>
        <w:keepLines/>
        <w:spacing w:after="120" w:before="160"/>
        <w:jc w:val="left"/>
      </w:pPr>
      <w:r>
        <w:rPr>
          <w:sz w:val="20"/>
        </w:rPr>
        <w:t xml:space="preserve">Allgemeine Metrik</w:t>
      </w:r>
    </w:p>
    <w:p>
      <w:pPr>
        <w:pStyle w:val="FirstParagraph"/>
        <w:keepLines/>
        <w:spacing w:after="64" w:line="254" w:lineRule="auto"/>
        <w:jc w:val="left"/>
      </w:pPr>
      <w:r>
        <w:rPr>
          <w:b/>
          <w:bCs/>
          <w:sz w:val="20"/>
        </w:rPr>
        <w:t xml:space="preserve">[DEF]</w:t>
      </w:r>
      <w:r>
        <w:rPr>
          <w:sz w:val="20"/>
        </w:rPr>
        <w:t xml:space="preserve"> </w:t>
      </w:r>
      <w:r>
        <w:rPr>
          <w:sz w:val="20"/>
        </w:rPr>
        <w:t xml:space="preserve">Für</w:t>
      </w:r>
      <w:r>
        <w:rPr>
          <w:sz w:val="20"/>
        </w:rPr>
        <w:t xml:space="preserve"> </w:t>
      </w:r>
      <m:oMath>
        <m:sSub>
          <m:e>
            <m:r>
              <m:t>δ</m:t>
            </m:r>
          </m:e>
          <m:sub>
            <m:r>
              <m:t>i</m:t>
            </m:r>
            <m:r>
              <m:t>j</m:t>
            </m:r>
          </m:sub>
        </m:sSub>
        <m:r>
          <m:rPr>
            <m:sty m:val="p"/>
          </m:rPr>
          <m:t>=</m:t>
        </m:r>
        <m:sSub>
          <m:e>
            <m:r>
              <m:t>p</m:t>
            </m:r>
          </m:e>
          <m:sub>
            <m:r>
              <m:t>i</m:t>
            </m:r>
          </m:sub>
        </m:sSub>
        <m:r>
          <m:rPr>
            <m:sty m:val="p"/>
          </m:rPr>
          <m:t>−</m:t>
        </m:r>
        <m:sSub>
          <m:e>
            <m:r>
              <m:t>p</m:t>
            </m:r>
          </m:e>
          <m:sub>
            <m:r>
              <m:t>j</m:t>
            </m:r>
          </m:sub>
        </m:sSub>
      </m:oMath>
      <w:r>
        <w:rPr>
          <w:sz w:val="20"/>
        </w:rPr>
        <w:t xml:space="preserve"> </w:t>
      </w:r>
      <w:r>
        <w:rPr>
          <w:sz w:val="20"/>
        </w:rPr>
        <w:t xml:space="preserve">wird eine Mahalanobis-artige Distanz definiert:</w:t>
      </w:r>
    </w:p>
    <w:p>
      <w:pPr>
        <w:pStyle w:val="BodyText"/>
        <w:keepLines/>
        <w:spacing w:after="64" w:before="100" w:line="254" w:lineRule="auto"/>
        <w:jc w:val="center"/>
      </w:pPr>
      <m:oMathPara>
        <m:oMathParaPr>
          <m:jc m:val="center"/>
        </m:oMathParaPr>
        <m:oMath>
          <m:sSub>
            <m:e>
              <m:r>
                <m:t>d</m:t>
              </m:r>
            </m:e>
            <m:sub>
              <m:r>
                <m:t>M</m:t>
              </m:r>
            </m:sub>
          </m:sSub>
          <m:d>
            <m:dPr>
              <m:begChr m:val="("/>
              <m:endChr m:val=")"/>
              <m:sepChr m:val=""/>
              <m:grow/>
            </m:dPr>
            <m:e>
              <m:sSub>
                <m:e>
                  <m:r>
                    <m:t>p</m:t>
                  </m:r>
                </m:e>
                <m:sub>
                  <m:r>
                    <m:t>i</m:t>
                  </m:r>
                </m:sub>
              </m:sSub>
              <m:r>
                <m:rPr>
                  <m:sty m:val="p"/>
                </m:rPr>
                <m:t>,</m:t>
              </m:r>
              <m:sSub>
                <m:e>
                  <m:r>
                    <m:t>p</m:t>
                  </m:r>
                </m:e>
                <m:sub>
                  <m:r>
                    <m:t>j</m:t>
                  </m:r>
                </m:sub>
              </m:sSub>
            </m:e>
          </m:d>
          <m:r>
            <m:rPr>
              <m:sty m:val="p"/>
            </m:rPr>
            <m:t>=</m:t>
          </m:r>
          <m:rad>
            <m:radPr>
              <m:degHide m:val="on"/>
            </m:radPr>
            <m:deg/>
            <m:e>
              <m:sSubSup>
                <m:e>
                  <m:r>
                    <m:t>δ</m:t>
                  </m:r>
                </m:e>
                <m:sub>
                  <m:r>
                    <m:t>i</m:t>
                  </m:r>
                  <m:r>
                    <m:t>j</m:t>
                  </m:r>
                </m:sub>
                <m:sup>
                  <m:r>
                    <m:rPr>
                      <m:sty m:val="p"/>
                    </m:rPr>
                    <m:t>⊤</m:t>
                  </m:r>
                </m:sup>
              </m:sSubSup>
              <m:r>
                <m:t>M</m:t>
              </m:r>
              <m:sSub>
                <m:e>
                  <m:r>
                    <m:t>δ</m:t>
                  </m:r>
                </m:e>
                <m:sub>
                  <m:r>
                    <m:t>i</m:t>
                  </m:r>
                  <m:r>
                    <m:t>j</m:t>
                  </m:r>
                </m:sub>
              </m:sSub>
            </m:e>
          </m:rad>
          <m:r>
            <m:rPr>
              <m:sty m:val="p"/>
            </m:rPr>
            <m:t>.</m:t>
          </m:r>
        </m:oMath>
      </m:oMathPara>
    </w:p>
    <w:p>
      <w:pPr>
        <w:pStyle w:val="FirstParagraph"/>
        <w:keepLines/>
        <w:spacing w:after="64" w:line="254" w:lineRule="auto"/>
        <w:jc w:val="left"/>
      </w:pPr>
      <w:r>
        <w:rPr>
          <w:sz w:val="20"/>
        </w:rPr>
        <w:t xml:space="preserve">Ist</w:t>
      </w:r>
      <w:r>
        <w:rPr>
          <w:sz w:val="20"/>
        </w:rPr>
        <w:t xml:space="preserve"> </w:t>
      </w:r>
      <m:oMath>
        <m:r>
          <m:t>M</m:t>
        </m:r>
        <m:r>
          <m:rPr>
            <m:sty m:val="p"/>
          </m:rPr>
          <m:t>∈</m:t>
        </m:r>
        <m:sSup>
          <m:e>
            <m:r>
              <m:t>R</m:t>
            </m:r>
          </m:e>
          <m:sup>
            <m:r>
              <m:t>5</m:t>
            </m:r>
            <m:r>
              <m:rPr>
                <m:sty m:val="p"/>
              </m:rPr>
              <m:t>×</m:t>
            </m:r>
            <m:r>
              <m:t>5</m:t>
            </m:r>
          </m:sup>
        </m:sSup>
      </m:oMath>
      <w:r>
        <w:rPr>
          <w:sz w:val="20"/>
        </w:rPr>
        <w:t xml:space="preserve"> </w:t>
      </w:r>
      <w:r>
        <w:rPr>
          <w:sz w:val="20"/>
        </w:rPr>
        <w:t xml:space="preserve">symmetrisch positiv definit, ist</w:t>
      </w:r>
      <w:r>
        <w:rPr>
          <w:sz w:val="20"/>
        </w:rPr>
        <w:t xml:space="preserve"> </w:t>
      </w:r>
      <m:oMath>
        <m:sSub>
          <m:e>
            <m:r>
              <m:t>d</m:t>
            </m:r>
          </m:e>
          <m:sub>
            <m:r>
              <m:t>M</m:t>
            </m:r>
          </m:sub>
        </m:sSub>
      </m:oMath>
      <w:r>
        <w:rPr>
          <w:sz w:val="20"/>
        </w:rPr>
        <w:t xml:space="preserve"> </w:t>
      </w:r>
      <w:r>
        <w:rPr>
          <w:sz w:val="20"/>
        </w:rPr>
        <w:t xml:space="preserve">eine Metrik. Bei positiver Semidefinitheit kann für verschiedene Punkte Distanz null auftreten; es handelt sich dann im Allgemeinen um eine Pseudometrik. Der bisherige Ausdruck</w:t>
      </w:r>
    </w:p>
    <w:p>
      <w:pPr>
        <w:pStyle w:val="BodyText"/>
        <w:keepLines/>
        <w:spacing w:after="64" w:before="100" w:line="254" w:lineRule="auto"/>
        <w:jc w:val="center"/>
      </w:pPr>
      <m:oMathPara>
        <m:oMathParaPr>
          <m:jc m:val="center"/>
        </m:oMathParaPr>
        <m:oMath>
          <m:sSub>
            <m:e>
              <m:r>
                <m:t>d</m:t>
              </m:r>
            </m:e>
            <m:sub>
              <m:r>
                <m:t>i</m:t>
              </m:r>
              <m:r>
                <m:t>j</m:t>
              </m:r>
            </m:sub>
          </m:sSub>
          <m:r>
            <m:rPr>
              <m:sty m:val="p"/>
            </m:rPr>
            <m:t>=</m:t>
          </m:r>
          <m:rad>
            <m:radPr>
              <m:degHide m:val="on"/>
            </m:radPr>
            <m:deg/>
            <m:e>
              <m:sSub>
                <m:e>
                  <m:r>
                    <m:t>λ</m:t>
                  </m:r>
                </m:e>
                <m:sub>
                  <m:r>
                    <m:t>x</m:t>
                  </m:r>
                </m:sub>
              </m:sSub>
              <m:r>
                <m:t>Δ</m:t>
              </m:r>
              <m:sSup>
                <m:e>
                  <m:r>
                    <m:t>x</m:t>
                  </m:r>
                </m:e>
                <m:sup>
                  <m:r>
                    <m:t>2</m:t>
                  </m:r>
                </m:sup>
              </m:sSup>
              <m:r>
                <m:rPr>
                  <m:sty m:val="p"/>
                </m:rPr>
                <m:t>+</m:t>
              </m:r>
              <m:sSub>
                <m:e>
                  <m:r>
                    <m:t>λ</m:t>
                  </m:r>
                </m:e>
                <m:sub>
                  <m:r>
                    <m:t>y</m:t>
                  </m:r>
                </m:sub>
              </m:sSub>
              <m:r>
                <m:t>Δ</m:t>
              </m:r>
              <m:sSup>
                <m:e>
                  <m:r>
                    <m:t>y</m:t>
                  </m:r>
                </m:e>
                <m:sup>
                  <m:r>
                    <m:t>2</m:t>
                  </m:r>
                </m:sup>
              </m:sSup>
              <m:r>
                <m:rPr>
                  <m:sty m:val="p"/>
                </m:rPr>
                <m:t>+</m:t>
              </m:r>
              <m:sSub>
                <m:e>
                  <m:r>
                    <m:t>λ</m:t>
                  </m:r>
                </m:e>
                <m:sub>
                  <m:r>
                    <m:t>z</m:t>
                  </m:r>
                </m:sub>
              </m:sSub>
              <m:r>
                <m:t>Δ</m:t>
              </m:r>
              <m:sSup>
                <m:e>
                  <m:r>
                    <m:t>z</m:t>
                  </m:r>
                </m:e>
                <m:sup>
                  <m:r>
                    <m:t>2</m:t>
                  </m:r>
                </m:sup>
              </m:sSup>
              <m:r>
                <m:rPr>
                  <m:sty m:val="p"/>
                </m:rPr>
                <m:t>+</m:t>
              </m:r>
              <m:sSub>
                <m:e>
                  <m:r>
                    <m:t>λ</m:t>
                  </m:r>
                </m:e>
                <m:sub>
                  <m:r>
                    <m:t>a</m:t>
                  </m:r>
                </m:sub>
              </m:sSub>
              <m:r>
                <m:t>Δ</m:t>
              </m:r>
              <m:sSup>
                <m:e>
                  <m:r>
                    <m:t>a</m:t>
                  </m:r>
                </m:e>
                <m:sup>
                  <m:r>
                    <m:t>2</m:t>
                  </m:r>
                </m:sup>
              </m:sSup>
              <m:r>
                <m:rPr>
                  <m:sty m:val="p"/>
                </m:rPr>
                <m:t>+</m:t>
              </m:r>
              <m:sSub>
                <m:e>
                  <m:r>
                    <m:t>λ</m:t>
                  </m:r>
                </m:e>
                <m:sub>
                  <m:r>
                    <m:t>b</m:t>
                  </m:r>
                </m:sub>
              </m:sSub>
              <m:r>
                <m:t>Δ</m:t>
              </m:r>
              <m:sSup>
                <m:e>
                  <m:r>
                    <m:t>b</m:t>
                  </m:r>
                </m:e>
                <m:sup>
                  <m:r>
                    <m:t>2</m:t>
                  </m:r>
                </m:sup>
              </m:sSup>
            </m:e>
          </m:rad>
        </m:oMath>
      </m:oMathPara>
    </w:p>
    <w:p>
      <w:pPr>
        <w:pStyle w:val="FirstParagraph"/>
        <w:keepLines/>
        <w:spacing w:after="64" w:line="254" w:lineRule="auto"/>
        <w:jc w:val="left"/>
      </w:pPr>
      <w:r>
        <w:rPr>
          <w:sz w:val="20"/>
        </w:rPr>
        <w:t xml:space="preserve">ist der Spezialfall</w:t>
      </w:r>
    </w:p>
    <w:p>
      <w:pPr>
        <w:pStyle w:val="BodyText"/>
        <w:keepLines/>
        <w:spacing w:after="64" w:before="100" w:line="254" w:lineRule="auto"/>
        <w:jc w:val="center"/>
      </w:pPr>
      <m:oMathPara>
        <m:oMathParaPr>
          <m:jc m:val="center"/>
        </m:oMathParaPr>
        <m:oMath>
          <m:r>
            <m:t>M</m:t>
          </m:r>
          <m:r>
            <m:rPr>
              <m:sty m:val="p"/>
            </m:rPr>
            <m:t>=</m:t>
          </m:r>
          <m:r>
            <m:t>d</m:t>
          </m:r>
          <m:r>
            <m:t>i</m:t>
          </m:r>
          <m:r>
            <m:t>a</m:t>
          </m:r>
          <m:r>
            <m:t>g</m:t>
          </m:r>
          <m:d>
            <m:dPr>
              <m:begChr m:val="("/>
              <m:endChr m:val=")"/>
              <m:sepChr m:val=""/>
              <m:grow/>
            </m:dPr>
            <m:e>
              <m:sSub>
                <m:e>
                  <m:r>
                    <m:t>λ</m:t>
                  </m:r>
                </m:e>
                <m:sub>
                  <m:r>
                    <m:t>x</m:t>
                  </m:r>
                </m:sub>
              </m:sSub>
              <m:r>
                <m:rPr>
                  <m:sty m:val="p"/>
                </m:rPr>
                <m:t>,</m:t>
              </m:r>
              <m:sSub>
                <m:e>
                  <m:r>
                    <m:t>λ</m:t>
                  </m:r>
                </m:e>
                <m:sub>
                  <m:r>
                    <m:t>y</m:t>
                  </m:r>
                </m:sub>
              </m:sSub>
              <m:r>
                <m:rPr>
                  <m:sty m:val="p"/>
                </m:rPr>
                <m:t>,</m:t>
              </m:r>
              <m:sSub>
                <m:e>
                  <m:r>
                    <m:t>λ</m:t>
                  </m:r>
                </m:e>
                <m:sub>
                  <m:r>
                    <m:t>z</m:t>
                  </m:r>
                </m:sub>
              </m:sSub>
              <m:r>
                <m:rPr>
                  <m:sty m:val="p"/>
                </m:rPr>
                <m:t>,</m:t>
              </m:r>
              <m:sSub>
                <m:e>
                  <m:r>
                    <m:t>λ</m:t>
                  </m:r>
                </m:e>
                <m:sub>
                  <m:r>
                    <m:t>a</m:t>
                  </m:r>
                </m:sub>
              </m:sSub>
              <m:r>
                <m:rPr>
                  <m:sty m:val="p"/>
                </m:rPr>
                <m:t>,</m:t>
              </m:r>
              <m:sSub>
                <m:e>
                  <m:r>
                    <m:t>λ</m:t>
                  </m:r>
                </m:e>
                <m:sub>
                  <m:r>
                    <m:t>b</m:t>
                  </m:r>
                </m:sub>
              </m:sSub>
            </m:e>
          </m:d>
          <m:r>
            <m:rPr>
              <m:sty m:val="p"/>
            </m:rPr>
            <m:t>.</m:t>
          </m:r>
        </m:oMath>
      </m:oMathPara>
    </w:p>
    <w:p>
      <w:pPr>
        <w:pStyle w:val="FirstParagraph"/>
        <w:keepLines/>
        <w:spacing w:after="64" w:line="254" w:lineRule="auto"/>
        <w:jc w:val="left"/>
      </w:pPr>
      <w:r>
        <w:rPr>
          <w:sz w:val="20"/>
        </w:rPr>
        <w:t xml:space="preserve">Off-diagonale Elemente modellieren Dimensionskopplungen. Ein positiver Eintrag</w:t>
      </w:r>
      <w:r>
        <w:rPr>
          <w:sz w:val="20"/>
        </w:rPr>
        <w:t xml:space="preserve"> </w:t>
      </w:r>
      <m:oMath>
        <m:sSub>
          <m:e>
            <m:r>
              <m:t>M</m:t>
            </m:r>
          </m:e>
          <m:sub>
            <m:r>
              <m:t>a</m:t>
            </m:r>
            <m:r>
              <m:t>b</m:t>
            </m:r>
          </m:sub>
        </m:sSub>
      </m:oMath>
      <w:r>
        <w:rPr>
          <w:sz w:val="20"/>
        </w:rPr>
        <w:t xml:space="preserve"> </w:t>
      </w:r>
      <w:r>
        <w:rPr>
          <w:sz w:val="20"/>
        </w:rPr>
        <w:t xml:space="preserve">bedeutet nicht unmittelbar eine semantische Beziehung; er verändert zunächst die Geometrie der Distanzberechnung.</w:t>
      </w:r>
    </w:p>
    <w:bookmarkEnd w:id="245"/>
    <w:bookmarkStart w:id="249" w:name="lernbare-metrik"/>
    <w:p>
      <w:pPr>
        <w:pStyle w:val="Heading3"/>
        <w:keepLines/>
        <w:spacing w:after="120" w:before="160"/>
        <w:jc w:val="left"/>
      </w:pPr>
      <w:r>
        <w:rPr>
          <w:sz w:val="20"/>
        </w:rPr>
        <w:t xml:space="preserve">Lernbare Metrik</w:t>
      </w:r>
    </w:p>
    <w:p>
      <w:pPr>
        <w:pStyle w:val="FirstParagraph"/>
        <w:keepLines/>
        <w:spacing w:after="64" w:line="254" w:lineRule="auto"/>
        <w:jc w:val="left"/>
      </w:pPr>
      <w:r>
        <w:rPr>
          <w:sz w:val="20"/>
        </w:rPr>
        <w:t xml:space="preserve">Um Positivdefinitheit zu erhalten, kann die Metrik parametrisiert werden als</w:t>
      </w:r>
    </w:p>
    <w:p>
      <w:pPr>
        <w:pStyle w:val="BodyText"/>
        <w:keepLines/>
        <w:spacing w:after="64" w:line="254" w:lineRule="auto"/>
        <w:jc w:val="left"/>
      </w:pPr>
      <w:r>
        <w:rPr>
          <w:b/>
          <w:bCs/>
          <w:sz w:val="20"/>
        </w:rPr>
        <w:t xml:space="preserve">[MODEL]</w:t>
      </w:r>
    </w:p>
    <w:p>
      <w:pPr>
        <w:pStyle w:val="BodyText"/>
        <w:keepLines/>
        <w:spacing w:after="64" w:before="100" w:line="254" w:lineRule="auto"/>
        <w:jc w:val="center"/>
      </w:pPr>
      <m:oMathPara>
        <m:oMathParaPr>
          <m:jc m:val="center"/>
        </m:oMathParaPr>
        <m:oMath>
          <m:r>
            <m:t>M</m:t>
          </m:r>
          <m:r>
            <m:rPr>
              <m:sty m:val="p"/>
            </m:rPr>
            <m:t>=</m:t>
          </m:r>
          <m:sSup>
            <m:e>
              <m:r>
                <m:t>L</m:t>
              </m:r>
            </m:e>
            <m:sup>
              <m:r>
                <m:rPr>
                  <m:sty m:val="p"/>
                </m:rPr>
                <m:t>⊤</m:t>
              </m:r>
            </m:sup>
          </m:sSup>
          <m:r>
            <m:t>L</m:t>
          </m:r>
          <m:r>
            <m:rPr>
              <m:sty m:val="p"/>
            </m:rPr>
            <m:t>+</m:t>
          </m:r>
          <m:r>
            <m:t>ε</m:t>
          </m:r>
          <m:r>
            <m:t>I</m:t>
          </m:r>
          <m:r>
            <m:rPr>
              <m:sty m:val="p"/>
            </m:rPr>
            <m:t>,</m:t>
          </m:r>
          <m:r>
            <m:t>ε</m:t>
          </m:r>
          <m:r>
            <m:rPr>
              <m:sty m:val="p"/>
            </m:rPr>
            <m:t>&gt;</m:t>
          </m:r>
          <m:r>
            <m:t>0</m:t>
          </m:r>
          <m:r>
            <m:rPr>
              <m:sty m:val="p"/>
            </m:rPr>
            <m:t>.</m:t>
          </m:r>
        </m:oMath>
      </m:oMathPara>
    </w:p>
    <w:p>
      <w:pPr>
        <w:pStyle w:val="FirstParagraph"/>
        <w:keepLines/>
        <w:spacing w:after="64" w:line="254" w:lineRule="auto"/>
        <w:jc w:val="left"/>
      </w:pPr>
      <w:r>
        <w:rPr>
          <w:sz w:val="20"/>
        </w:rPr>
        <w:t xml:space="preserve">Eine lernbare Metrik benötigt Regularisierung, weil triviale Lösungen möglich sind.</w:t>
      </w:r>
      <w:r>
        <w:rPr>
          <w:sz w:val="20"/>
        </w:rPr>
        <w:t xml:space="preserve"> </w:t>
      </w:r>
      <m:oMath>
        <m:r>
          <m:t>M</m:t>
        </m:r>
        <m:r>
          <m:rPr>
            <m:sty m:val="p"/>
          </m:rPr>
          <m:t>→</m:t>
        </m:r>
        <m:r>
          <m:t>0</m:t>
        </m:r>
      </m:oMath>
      <w:r>
        <w:rPr>
          <w:sz w:val="20"/>
        </w:rPr>
        <w:t xml:space="preserve"> </w:t>
      </w:r>
      <w:r>
        <w:rPr>
          <w:sz w:val="20"/>
        </w:rPr>
        <w:t xml:space="preserve">kollabiert alle Distanzen; unbeschränkt große Eigenwerte können Nachbarschaften zerstören. Kandidaten sind:</w:t>
      </w:r>
    </w:p>
    <w:p>
      <w:pPr>
        <w:pStyle w:val="BodyText"/>
        <w:keepLines/>
        <w:spacing w:after="64" w:before="100" w:line="254" w:lineRule="auto"/>
        <w:jc w:val="center"/>
      </w:pPr>
      <m:oMathPara>
        <m:oMathParaPr>
          <m:jc m:val="center"/>
        </m:oMathParaPr>
        <m:oMath>
          <m:sSub>
            <m:e>
              <m:r>
                <m:t>L</m:t>
              </m:r>
            </m:e>
            <m:sub>
              <m:r>
                <m:t>m</m:t>
              </m:r>
              <m:r>
                <m:t>e</m:t>
              </m:r>
              <m:r>
                <m:t>t</m:t>
              </m:r>
              <m:r>
                <m:t>r</m:t>
              </m:r>
              <m:r>
                <m:t>i</m:t>
              </m:r>
              <m:r>
                <m:t>c</m:t>
              </m:r>
            </m:sub>
          </m:sSub>
          <m:r>
            <m:rPr>
              <m:sty m:val="p"/>
            </m:rPr>
            <m:t>=</m:t>
          </m:r>
          <m:sSub>
            <m:e>
              <m:r>
                <m:t>L</m:t>
              </m:r>
            </m:e>
            <m:sub>
              <m:r>
                <m:t>t</m:t>
              </m:r>
              <m:r>
                <m:t>a</m:t>
              </m:r>
              <m:r>
                <m:t>s</m:t>
              </m:r>
              <m:r>
                <m:t>k</m:t>
              </m:r>
            </m:sub>
          </m:sSub>
          <m:r>
            <m:rPr>
              <m:sty m:val="p"/>
            </m:rPr>
            <m:t>+</m:t>
          </m:r>
          <m:r>
            <m:t>α</m:t>
          </m:r>
          <m:r>
            <m:t>t</m:t>
          </m:r>
          <m:r>
            <m:t>r</m:t>
          </m:r>
          <m:d>
            <m:dPr>
              <m:begChr m:val="("/>
              <m:endChr m:val=")"/>
              <m:sepChr m:val=""/>
              <m:grow/>
            </m:dPr>
            <m:e>
              <m:r>
                <m:t>M</m:t>
              </m:r>
            </m:e>
          </m:d>
          <m:r>
            <m:rPr>
              <m:sty m:val="p"/>
            </m:rPr>
            <m:t>+</m:t>
          </m:r>
          <m:r>
            <m:t>β</m:t>
          </m:r>
          <m:r>
            <m:rPr>
              <m:sty m:val="p"/>
            </m:rPr>
            <m:t>∥</m:t>
          </m:r>
          <m:r>
            <m:t>M</m:t>
          </m:r>
          <m:r>
            <m:rPr>
              <m:sty m:val="p"/>
            </m:rPr>
            <m:t>−</m:t>
          </m:r>
          <m:r>
            <m:t>I</m:t>
          </m:r>
          <m:sSubSup>
            <m:e>
              <m:r>
                <m:rPr>
                  <m:sty m:val="p"/>
                </m:rPr>
                <m:t>∥</m:t>
              </m:r>
            </m:e>
            <m:sub>
              <m:r>
                <m:t>F</m:t>
              </m:r>
            </m:sub>
            <m:sup>
              <m:r>
                <m:t>2</m:t>
              </m:r>
            </m:sup>
          </m:sSubSup>
          <m:r>
            <m:rPr>
              <m:sty m:val="p"/>
            </m:rPr>
            <m:t>−</m:t>
          </m:r>
          <m:r>
            <m:t>γ</m:t>
          </m:r>
          <m:r>
            <m:rPr>
              <m:sty m:val="p"/>
            </m:rPr>
            <m:t>log</m:t>
          </m:r>
          <m:r>
            <m:rPr>
              <m:sty m:val="p"/>
            </m:rPr>
            <m:t>det</m:t>
          </m:r>
          <m:d>
            <m:dPr>
              <m:begChr m:val="("/>
              <m:endChr m:val=")"/>
              <m:sepChr m:val=""/>
              <m:grow/>
            </m:dPr>
            <m:e>
              <m:r>
                <m:t>M</m:t>
              </m:r>
            </m:e>
          </m:d>
          <m:r>
            <m:rPr>
              <m:sty m:val="p"/>
            </m:rPr>
            <m:t>.</m:t>
          </m:r>
        </m:oMath>
      </m:oMathPara>
    </w:p>
    <w:p>
      <w:pPr>
        <w:pStyle w:val="FirstParagraph"/>
        <w:keepLines/>
        <w:spacing w:after="64" w:line="254" w:lineRule="auto"/>
        <w:jc w:val="left"/>
      </w:pPr>
      <w:r>
        <w:rPr>
          <w:b/>
          <w:bCs/>
          <w:sz w:val="20"/>
        </w:rPr>
        <w:t xml:space="preserve">[MODEL]</w:t>
      </w:r>
      <w:r>
        <w:rPr>
          <w:sz w:val="20"/>
        </w:rPr>
        <w:t xml:space="preserve"> </w:t>
      </w:r>
      <w:r>
        <w:rPr>
          <w:sz w:val="20"/>
        </w:rPr>
        <w:t xml:space="preserve">Die genaue Form ist eine Arbeitsfamilie, keine festgelegte Theorie. Sie muss gegenüber diagonalem</w:t>
      </w:r>
      <w:r>
        <w:rPr>
          <w:sz w:val="20"/>
        </w:rPr>
        <w:t xml:space="preserve"> </w:t>
      </w:r>
      <m:oMath>
        <m:r>
          <m:t>M</m:t>
        </m:r>
      </m:oMath>
      <w:r>
        <w:rPr>
          <w:sz w:val="20"/>
        </w:rPr>
        <w:t xml:space="preserve">, zufälligem</w:t>
      </w:r>
      <w:r>
        <w:rPr>
          <w:sz w:val="20"/>
        </w:rPr>
        <w:t xml:space="preserve"> </w:t>
      </w:r>
      <m:oMath>
        <m:r>
          <m:t>M</m:t>
        </m:r>
      </m:oMath>
      <w:r>
        <w:rPr>
          <w:sz w:val="20"/>
        </w:rPr>
        <w:t xml:space="preserve">, identischer Matrix und dimensionsreduzierten Kontrollen getestet werden. Metriklernen ist in der maschinellen Lernliteratur etabliert; Brain-5D überträgt die Idee auf eine dynamische neuronale Topologie (</w:t>
      </w:r>
      <w:hyperlink w:anchor="ref-Weinberger2009">
        <w:r>
          <w:rPr>
            <w:rStyle w:val="Hyperlink"/>
          </w:rPr>
          <w:t xml:space="preserve">Weinberger &amp; Saul, 2009</w:t>
        </w:r>
      </w:hyperlink>
      <w:r>
        <w:rPr>
          <w:sz w:val="20"/>
        </w:rPr>
        <w:t xml:space="preserve">).</w:t>
      </w:r>
    </w:p>
    <w:p>
      <w:pPr>
        <w:pStyle w:val="CaptionedFigure"/>
        <w:keepNext/>
        <w:keepLines/>
        <w:spacing w:before="160" w:after="64" w:line="254" w:lineRule="auto"/>
        <w:jc w:val="left"/>
      </w:pPr>
      <w:r>
        <w:rPr>
          <w:sz w:val="20"/>
        </w:rPr>
        <w:drawing>
          <wp:inline>
            <wp:extent cx="5669280" cy="3067607"/>
            <wp:effectExtent b="0" l="0" r="0" t="0"/>
            <wp:docPr descr="Konzeptioneller Übergang vom 5D-Adressraum zu einer effektiven, gegebenenfalls gelernten funktionalen Geometrie." title="" id="247" name="Picture"/>
            <a:graphic>
              <a:graphicData uri="http://schemas.openxmlformats.org/drawingml/2006/picture">
                <pic:pic>
                  <pic:nvPicPr>
                    <pic:cNvPr descr="abbildungen/K1_image2.png" id="248" name="Picture"/>
                    <pic:cNvPicPr>
                      <a:picLocks noChangeArrowheads="1" noChangeAspect="1"/>
                    </pic:cNvPicPr>
                  </pic:nvPicPr>
                  <pic:blipFill>
                    <a:blip r:embed="rId246"/>
                    <a:stretch>
                      <a:fillRect/>
                    </a:stretch>
                  </pic:blipFill>
                  <pic:spPr bwMode="auto">
                    <a:xfrm>
                      <a:off x="0" y="0"/>
                      <a:ext cx="5669280" cy="3067607"/>
                    </a:xfrm>
                    <a:prstGeom prst="rect">
                      <a:avLst/>
                    </a:prstGeom>
                    <a:noFill/>
                    <a:ln w="9525">
                      <a:noFill/>
                      <a:headEnd/>
                      <a:tailEnd/>
                    </a:ln>
                  </pic:spPr>
                </pic:pic>
              </a:graphicData>
            </a:graphic>
          </wp:inline>
        </w:drawing>
      </w:r>
    </w:p>
    <w:p>
      <w:pPr>
        <w:pStyle w:val="ImageCaption"/>
        <w:keepLines/>
        <w:spacing w:after="120"/>
        <w:jc w:val="left"/>
      </w:pPr>
      <w:r>
        <w:rPr>
          <w:sz w:val="20"/>
        </w:rPr>
        <w:t xml:space="preserve">Abbildung 6. </w:t>
      </w:r>
      <w:r>
        <w:rPr>
          <w:sz w:val="20"/>
        </w:rPr>
        <w:t xml:space="preserve">Konzeptioneller Übergang vom 5D-Adressraum zu einer effektiven, gegebenenfalls gelernten funktionalen Geometrie.</w:t>
      </w:r>
    </w:p>
    <w:bookmarkEnd w:id="249"/>
    <w:bookmarkStart w:id="250" w:name="adressraum-oder-funktionale-geometrie"/>
    <w:p>
      <w:pPr>
        <w:pStyle w:val="Heading3"/>
        <w:keepLines/>
        <w:spacing w:after="120" w:before="160"/>
        <w:jc w:val="left"/>
      </w:pPr>
      <w:r>
        <w:rPr>
          <w:sz w:val="20"/>
        </w:rPr>
        <w:t xml:space="preserve">Adressraum oder funktionale Geometrie?</w:t>
      </w:r>
    </w:p>
    <w:p>
      <w:pPr>
        <w:pStyle w:val="FirstParagraph"/>
        <w:keepLines/>
        <w:spacing w:after="64" w:line="254" w:lineRule="auto"/>
        <w:jc w:val="left"/>
      </w:pPr>
      <w:r>
        <w:rPr>
          <w:sz w:val="20"/>
        </w:rPr>
        <w:t xml:space="preserve">Die zentrale Geometriefrage lautet:</w:t>
      </w:r>
    </w:p>
    <w:p>
      <w:pPr>
        <w:pStyle w:val="BlockText"/>
        <w:keepLines/>
        <w:spacing w:after="120"/>
        <w:jc w:val="left"/>
      </w:pPr>
      <w:r>
        <w:rPr>
          <w:b/>
          <w:bCs/>
          <w:sz w:val="20"/>
        </w:rPr>
        <w:t xml:space="preserve">Ist 5D nur eine effiziente Adressierung, oder bildet beziehungsweise lernt das Netzwerk eine Geometrie, deren Nachbarschaften funktionale Vorhersagekraft besitzen?</w:t>
      </w:r>
    </w:p>
    <w:p>
      <w:pPr>
        <w:pStyle w:val="FirstParagraph"/>
        <w:keepLines/>
        <w:spacing w:after="64" w:line="254" w:lineRule="auto"/>
        <w:jc w:val="left"/>
      </w:pPr>
      <w:r>
        <w:rPr>
          <w:sz w:val="20"/>
        </w:rPr>
        <w:t xml:space="preserve">Eine funktionale Geometrie wäre nur dann belegt, wenn Distanz oder geodätische Nähe über reine Koordinatenkonvention hinaus mit Konnektivität, Verzögerung, Kodierung, Transfer oder Läsionseffekten zusammenhängt und gegenüber Nullmodellen zusätzliche Erklärungskraft besitzt.</w:t>
      </w:r>
    </w:p>
    <w:bookmarkEnd w:id="250"/>
    <w:bookmarkStart w:id="251" w:name="normierung-und-einheiten"/>
    <w:p>
      <w:pPr>
        <w:pStyle w:val="Heading3"/>
        <w:keepLines/>
        <w:spacing w:after="120" w:before="160"/>
        <w:jc w:val="left"/>
      </w:pPr>
      <w:r>
        <w:rPr>
          <w:sz w:val="20"/>
        </w:rPr>
        <w:t xml:space="preserve">Normierung und Einheiten</w:t>
      </w:r>
    </w:p>
    <w:p>
      <w:pPr>
        <w:pStyle w:val="FirstParagraph"/>
        <w:keepLines/>
        <w:spacing w:after="64" w:line="254" w:lineRule="auto"/>
        <w:jc w:val="left"/>
      </w:pPr>
      <w:r>
        <w:rPr>
          <w:sz w:val="20"/>
        </w:rPr>
        <w:t xml:space="preserve">Sind Koordinatenachsen unterschiedlich skaliert, kann die Metrik allein wegen der Einheiten verzerrt werden. Vor Vergleichsversuchen sind daher Achsenbereiche, Randbedingungen und Normalisierung festzulegen. Mögliche Randbedingungen sind offen, reflektierend oder toroidal. Eine toroidale Distanz kann Randartefakte reduzieren, verändert jedoch die Topologie und muss als eigene Bedingung behandelt werden.</w:t>
      </w:r>
    </w:p>
    <w:bookmarkEnd w:id="251"/>
    <w:bookmarkStart w:id="252" w:name="dimensionsablation"/>
    <w:p>
      <w:pPr>
        <w:pStyle w:val="Heading3"/>
        <w:keepLines/>
        <w:spacing w:after="120" w:before="160"/>
        <w:jc w:val="left"/>
      </w:pPr>
      <w:r>
        <w:rPr>
          <w:sz w:val="20"/>
        </w:rPr>
        <w:t xml:space="preserve">Dimensionsablation</w:t>
      </w:r>
    </w:p>
    <w:p>
      <w:pPr>
        <w:pStyle w:val="FirstParagraph"/>
        <w:keepLines/>
        <w:spacing w:after="64" w:line="254" w:lineRule="auto"/>
        <w:jc w:val="left"/>
      </w:pPr>
      <w:r>
        <w:rPr>
          <w:b/>
          <w:bCs/>
          <w:sz w:val="20"/>
        </w:rPr>
        <w:t xml:space="preserve">[HYP | CLAIM-GEO-001]</w:t>
      </w:r>
      <w:r>
        <w:rPr>
          <w:sz w:val="20"/>
        </w:rPr>
        <w:t xml:space="preserve"> </w:t>
      </w:r>
      <w:r>
        <w:rPr>
          <w:sz w:val="20"/>
        </w:rPr>
        <w:t xml:space="preserve">Fünf Dimensionen können bei gleicher Neuronen- und Synapsenzahl eine günstigere Trennung funktionaler Nachbarschaften ermöglichen. Die Nullhypothese lautet, dass 5D gegenüber geeigneten Kontrollen keinen Vorteil besitzt.</w:t>
      </w:r>
    </w:p>
    <w:p>
      <w:pPr>
        <w:pStyle w:val="BodyText"/>
        <w:keepLines/>
        <w:spacing w:after="64" w:line="254" w:lineRule="auto"/>
        <w:jc w:val="left"/>
      </w:pPr>
      <w:r>
        <w:rPr>
          <w:sz w:val="20"/>
        </w:rPr>
        <w:t xml:space="preserve">Verglichen werden mindestens</w:t>
      </w:r>
      <w:r>
        <w:rPr>
          <w:sz w:val="20"/>
        </w:rPr>
        <w:t xml:space="preserve"> </w:t>
      </w:r>
      <m:oMath>
        <m:r>
          <m:t>D</m:t>
        </m:r>
        <m:r>
          <m:rPr>
            <m:sty m:val="p"/>
          </m:rPr>
          <m:t>∈</m:t>
        </m:r>
        <m:r>
          <m:rPr>
            <m:sty m:val="p"/>
          </m:rPr>
          <m:t>{</m:t>
        </m:r>
        <m:r>
          <m:t>2</m:t>
        </m:r>
        <m:r>
          <m:rPr>
            <m:sty m:val="p"/>
          </m:rPr>
          <m:t>,</m:t>
        </m:r>
        <m:r>
          <m:t>3</m:t>
        </m:r>
        <m:r>
          <m:rPr>
            <m:sty m:val="p"/>
          </m:rPr>
          <m:t>,</m:t>
        </m:r>
        <m:r>
          <m:t>4</m:t>
        </m:r>
        <m:r>
          <m:rPr>
            <m:sty m:val="p"/>
          </m:rPr>
          <m:t>,</m:t>
        </m:r>
        <m:r>
          <m:t>5</m:t>
        </m:r>
        <m:r>
          <m:rPr>
            <m:sty m:val="p"/>
          </m:rPr>
          <m:t>,</m:t>
        </m:r>
        <m:r>
          <m:t>6</m:t>
        </m:r>
        <m:r>
          <m:rPr>
            <m:sty m:val="p"/>
          </m:rPr>
          <m:t>}</m:t>
        </m:r>
      </m:oMath>
      <w:r>
        <w:rPr>
          <w:sz w:val="20"/>
        </w:rPr>
        <w:t xml:space="preserve"> </w:t>
      </w:r>
      <w:r>
        <w:rPr>
          <w:sz w:val="20"/>
        </w:rPr>
        <w:t xml:space="preserve">sowie:</w:t>
      </w:r>
    </w:p>
    <w:p>
      <w:pPr>
        <w:keepLines/>
        <w:numPr>
          <w:ilvl w:val="0"/>
          <w:numId w:val="1018"/>
        </w:numPr>
        <w:spacing w:after="64" w:line="254" w:lineRule="auto"/>
        <w:jc w:val="left"/>
      </w:pPr>
      <w:r>
        <w:rPr>
          <w:sz w:val="20"/>
        </w:rPr>
        <w:t xml:space="preserve">ein Erdos-Renyi-artiges Sparse-Netz mit gematchtem Grad;</w:t>
      </w:r>
    </w:p>
    <w:p>
      <w:pPr>
        <w:keepLines/>
        <w:numPr>
          <w:ilvl w:val="0"/>
          <w:numId w:val="1018"/>
        </w:numPr>
        <w:spacing w:after="64" w:line="254" w:lineRule="auto"/>
        <w:jc w:val="left"/>
      </w:pPr>
      <w:r>
        <w:rPr>
          <w:sz w:val="20"/>
        </w:rPr>
        <w:t xml:space="preserve">ein gradverteilungserhaltend rewired Netzwerk;</w:t>
      </w:r>
    </w:p>
    <w:p>
      <w:pPr>
        <w:keepLines/>
        <w:numPr>
          <w:ilvl w:val="0"/>
          <w:numId w:val="1018"/>
        </w:numPr>
        <w:spacing w:after="64" w:line="254" w:lineRule="auto"/>
        <w:jc w:val="left"/>
      </w:pPr>
      <w:r>
        <w:rPr>
          <w:sz w:val="20"/>
        </w:rPr>
        <w:t xml:space="preserve">ein nichtgeometrisches Reservoir;</w:t>
      </w:r>
    </w:p>
    <w:p>
      <w:pPr>
        <w:keepLines/>
        <w:numPr>
          <w:ilvl w:val="0"/>
          <w:numId w:val="1018"/>
        </w:numPr>
        <w:spacing w:after="64" w:line="254" w:lineRule="auto"/>
        <w:jc w:val="left"/>
      </w:pPr>
      <w:r>
        <w:rPr>
          <w:sz w:val="20"/>
        </w:rPr>
        <w:t xml:space="preserve">ein 5D-Netz mit permutierten Koordinaten;</w:t>
      </w:r>
    </w:p>
    <w:p>
      <w:pPr>
        <w:keepLines/>
        <w:numPr>
          <w:ilvl w:val="0"/>
          <w:numId w:val="1018"/>
        </w:numPr>
        <w:spacing w:after="64" w:line="254" w:lineRule="auto"/>
        <w:jc w:val="left"/>
      </w:pPr>
      <w:r>
        <w:rPr>
          <w:sz w:val="20"/>
        </w:rPr>
        <w:t xml:space="preserve">ein 5D-Netz mit identischer Topologie, aber deaktivierter Distanzverwendung.</w:t>
      </w:r>
    </w:p>
    <w:p>
      <w:pPr>
        <w:pStyle w:val="FirstParagraph"/>
        <w:keepLines/>
        <w:spacing w:after="64" w:line="254" w:lineRule="auto"/>
        <w:jc w:val="left"/>
      </w:pPr>
      <w:r>
        <w:rPr>
          <w:sz w:val="20"/>
        </w:rPr>
        <w:t xml:space="preserve">Gematcht werden soweit möglich Neuronenzahl, Synapsenzahl, Gradverteilung, Verzögerungsbudget, Gesamtgewicht, Eingangsenergie, Lernregeln und Simulationszeit. Ohne diese Kontrollen wäre ein Vorteil von 5D möglicherweise nur ein Vorteil höherer Konnektivität oder größerer Ressourcen.</w:t>
      </w:r>
    </w:p>
    <w:bookmarkEnd w:id="252"/>
    <w:bookmarkEnd w:id="253"/>
    <w:bookmarkStart w:id="260" w:name="dynamischer-graph-und-graphentheorie"/>
    <w:p>
      <w:pPr>
        <w:pStyle w:val="Heading2"/>
        <w:spacing w:before="160"/>
      </w:pPr>
      <w:r>
        <w:t xml:space="preserve">Dynamischer Graph und Graphentheorie</w:t>
      </w:r>
    </w:p>
    <w:bookmarkStart w:id="254" w:name="formale-graphdefinition"/>
    <w:p>
      <w:pPr>
        <w:pStyle w:val="Heading3"/>
        <w:keepLines/>
        <w:spacing w:after="120" w:before="160"/>
        <w:jc w:val="left"/>
      </w:pPr>
      <w:r>
        <w:rPr>
          <w:sz w:val="20"/>
        </w:rPr>
        <w:t xml:space="preserve">Formale Graphdefinition</w:t>
      </w:r>
    </w:p>
    <w:p>
      <w:pPr>
        <w:pStyle w:val="FirstParagraph"/>
        <w:keepLines/>
        <w:spacing w:after="64" w:line="254" w:lineRule="auto"/>
        <w:jc w:val="left"/>
      </w:pPr>
      <w:r>
        <w:rPr>
          <w:b/>
          <w:bCs/>
          <w:sz w:val="20"/>
        </w:rPr>
        <w:t xml:space="preserve">[DEF]</w:t>
      </w:r>
      <w:r>
        <w:rPr>
          <w:sz w:val="20"/>
        </w:rPr>
        <w:t xml:space="preserve"> </w:t>
      </w:r>
      <w:r>
        <w:rPr>
          <w:sz w:val="20"/>
        </w:rPr>
        <w:t xml:space="preserve">Der materialisierte Netzwerkgraph zum Zeitpunkt</w:t>
      </w:r>
      <w:r>
        <w:rPr>
          <w:sz w:val="20"/>
        </w:rPr>
        <w:t xml:space="preserve"> </w:t>
      </w:r>
      <m:oMath>
        <m:r>
          <m:t>t</m:t>
        </m:r>
      </m:oMath>
      <w:r>
        <w:rPr>
          <w:sz w:val="20"/>
        </w:rPr>
        <w:t xml:space="preserve"> </w:t>
      </w:r>
      <w:r>
        <w:rPr>
          <w:sz w:val="20"/>
        </w:rPr>
        <w:t xml:space="preserve">ist</w:t>
      </w:r>
    </w:p>
    <w:p>
      <w:pPr>
        <w:pStyle w:val="BodyText"/>
        <w:keepLines/>
        <w:spacing w:after="64" w:before="100" w:line="254" w:lineRule="auto"/>
        <w:jc w:val="center"/>
      </w:pPr>
      <m:oMathPara>
        <m:oMathParaPr>
          <m:jc m:val="center"/>
        </m:oMathParaPr>
        <m:oMath>
          <m:sSub>
            <m:e>
              <m:r>
                <m:t>G</m:t>
              </m:r>
            </m:e>
            <m:sub>
              <m:r>
                <m:t>t</m:t>
              </m:r>
            </m:sub>
          </m:sSub>
          <m:r>
            <m:rPr>
              <m:sty m:val="p"/>
            </m:rPr>
            <m:t>=</m:t>
          </m:r>
          <m:d>
            <m:dPr>
              <m:begChr m:val="("/>
              <m:endChr m:val=")"/>
              <m:sepChr m:val=""/>
              <m:grow/>
            </m:dPr>
            <m:e>
              <m:sSub>
                <m:e>
                  <m:r>
                    <m:t>V</m:t>
                  </m:r>
                </m:e>
                <m:sub>
                  <m:r>
                    <m:t>t</m:t>
                  </m:r>
                </m:sub>
              </m:sSub>
              <m:r>
                <m:rPr>
                  <m:sty m:val="p"/>
                </m:rPr>
                <m:t>,</m:t>
              </m:r>
              <m:sSub>
                <m:e>
                  <m:r>
                    <m:t>E</m:t>
                  </m:r>
                </m:e>
                <m:sub>
                  <m:r>
                    <m:t>t</m:t>
                  </m:r>
                </m:sub>
              </m:sSub>
              <m:r>
                <m:rPr>
                  <m:sty m:val="p"/>
                </m:rPr>
                <m:t>,</m:t>
              </m:r>
              <m:sSub>
                <m:e>
                  <m:r>
                    <m:t>W</m:t>
                  </m:r>
                </m:e>
                <m:sub>
                  <m:r>
                    <m:t>t</m:t>
                  </m:r>
                </m:sub>
              </m:sSub>
              <m:r>
                <m:rPr>
                  <m:sty m:val="p"/>
                </m:rPr>
                <m:t>,</m:t>
              </m:r>
              <m:sSub>
                <m:e>
                  <m:r>
                    <m:t>D</m:t>
                  </m:r>
                </m:e>
                <m:sub>
                  <m:r>
                    <m:t>t</m:t>
                  </m:r>
                </m:sub>
              </m:sSub>
              <m:r>
                <m:rPr>
                  <m:sty m:val="p"/>
                </m:rPr>
                <m:t>,</m:t>
              </m:r>
              <m:sSub>
                <m:e>
                  <m:r>
                    <m:t>T</m:t>
                  </m:r>
                </m:e>
                <m:sub>
                  <m:r>
                    <m:t>t</m:t>
                  </m:r>
                </m:sub>
              </m:sSub>
              <m:r>
                <m:rPr>
                  <m:sty m:val="p"/>
                </m:rPr>
                <m:t>,</m:t>
              </m:r>
              <m:sSub>
                <m:e>
                  <m:r>
                    <m:t>R</m:t>
                  </m:r>
                </m:e>
                <m:sub>
                  <m:r>
                    <m:t>t</m:t>
                  </m:r>
                </m:sub>
              </m:sSub>
            </m:e>
          </m:d>
          <m:r>
            <m:rPr>
              <m:sty m:val="p"/>
            </m:rPr>
            <m:t>,</m:t>
          </m:r>
        </m:oMath>
      </m:oMathPara>
    </w:p>
    <w:p>
      <w:pPr>
        <w:pStyle w:val="FirstParagraph"/>
        <w:keepLines/>
        <w:spacing w:after="64" w:line="254" w:lineRule="auto"/>
        <w:jc w:val="left"/>
      </w:pPr>
      <w:r>
        <w:rPr>
          <w:sz w:val="20"/>
        </w:rPr>
        <w:t xml:space="preserve">mit Knoten</w:t>
      </w:r>
      <w:r>
        <w:rPr>
          <w:sz w:val="20"/>
        </w:rPr>
        <w:t xml:space="preserve"> </w:t>
      </w:r>
      <m:oMath>
        <m:sSub>
          <m:e>
            <m:r>
              <m:t>V</m:t>
            </m:r>
          </m:e>
          <m:sub>
            <m:r>
              <m:t>t</m:t>
            </m:r>
          </m:sub>
        </m:sSub>
      </m:oMath>
      <w:r>
        <w:rPr>
          <w:sz w:val="20"/>
        </w:rPr>
        <w:t xml:space="preserve">, gerichteten Kanten</w:t>
      </w:r>
      <w:r>
        <w:rPr>
          <w:sz w:val="20"/>
        </w:rPr>
        <w:t xml:space="preserve"> </w:t>
      </w:r>
      <m:oMath>
        <m:sSub>
          <m:e>
            <m:r>
              <m:t>E</m:t>
            </m:r>
          </m:e>
          <m:sub>
            <m:r>
              <m:t>t</m:t>
            </m:r>
          </m:sub>
        </m:sSub>
      </m:oMath>
      <w:r>
        <w:rPr>
          <w:sz w:val="20"/>
        </w:rPr>
        <w:t xml:space="preserve">, Gewichten</w:t>
      </w:r>
      <w:r>
        <w:rPr>
          <w:sz w:val="20"/>
        </w:rPr>
        <w:t xml:space="preserve"> </w:t>
      </w:r>
      <m:oMath>
        <m:sSub>
          <m:e>
            <m:r>
              <m:t>W</m:t>
            </m:r>
          </m:e>
          <m:sub>
            <m:r>
              <m:t>t</m:t>
            </m:r>
          </m:sub>
        </m:sSub>
      </m:oMath>
      <w:r>
        <w:rPr>
          <w:sz w:val="20"/>
        </w:rPr>
        <w:t xml:space="preserve">, Verzögerungen</w:t>
      </w:r>
      <w:r>
        <w:rPr>
          <w:sz w:val="20"/>
        </w:rPr>
        <w:t xml:space="preserve"> </w:t>
      </w:r>
      <m:oMath>
        <m:sSub>
          <m:e>
            <m:r>
              <m:t>D</m:t>
            </m:r>
          </m:e>
          <m:sub>
            <m:r>
              <m:t>t</m:t>
            </m:r>
          </m:sub>
        </m:sSub>
      </m:oMath>
      <w:r>
        <w:rPr>
          <w:sz w:val="20"/>
        </w:rPr>
        <w:t xml:space="preserve">, Synapsentypen</w:t>
      </w:r>
      <w:r>
        <w:rPr>
          <w:sz w:val="20"/>
        </w:rPr>
        <w:t xml:space="preserve"> </w:t>
      </w:r>
      <m:oMath>
        <m:sSub>
          <m:e>
            <m:r>
              <m:t>T</m:t>
            </m:r>
          </m:e>
          <m:sub>
            <m:r>
              <m:t>t</m:t>
            </m:r>
          </m:sub>
        </m:sSub>
      </m:oMath>
      <w:r>
        <w:rPr>
          <w:sz w:val="20"/>
        </w:rPr>
        <w:t xml:space="preserve"> </w:t>
      </w:r>
      <w:r>
        <w:rPr>
          <w:sz w:val="20"/>
        </w:rPr>
        <w:t xml:space="preserve">und Ressourcen-/Provenienzattributen</w:t>
      </w:r>
      <w:r>
        <w:rPr>
          <w:sz w:val="20"/>
        </w:rPr>
        <w:t xml:space="preserve"> </w:t>
      </w:r>
      <m:oMath>
        <m:sSub>
          <m:e>
            <m:r>
              <m:t>R</m:t>
            </m:r>
          </m:e>
          <m:sub>
            <m:r>
              <m:t>t</m:t>
            </m:r>
          </m:sub>
        </m:sSub>
      </m:oMath>
      <w:r>
        <w:rPr>
          <w:sz w:val="20"/>
        </w:rPr>
        <w:t xml:space="preserve">. Da Knoten und Kanten entstehen oder verschwinden können, ist</w:t>
      </w:r>
      <w:r>
        <w:rPr>
          <w:sz w:val="20"/>
        </w:rPr>
        <w:t xml:space="preserve"> </w:t>
      </w:r>
      <m:oMath>
        <m:sSub>
          <m:e>
            <m:r>
              <m:t>G</m:t>
            </m:r>
          </m:e>
          <m:sub>
            <m:r>
              <m:t>t</m:t>
            </m:r>
          </m:sub>
        </m:sSub>
      </m:oMath>
      <w:r>
        <w:rPr>
          <w:sz w:val="20"/>
        </w:rPr>
        <w:t xml:space="preserve"> </w:t>
      </w:r>
      <w:r>
        <w:rPr>
          <w:sz w:val="20"/>
        </w:rPr>
        <w:t xml:space="preserve">ein dynamischer, gewichteter, gerichteter, typisierter und räumlich eingebetteter Graph.</w:t>
      </w:r>
    </w:p>
    <w:bookmarkEnd w:id="254"/>
    <w:bookmarkStart w:id="255" w:name="verbindungswahrscheinlichkeit"/>
    <w:p>
      <w:pPr>
        <w:pStyle w:val="Heading3"/>
        <w:keepLines/>
        <w:spacing w:after="120" w:before="160"/>
        <w:jc w:val="left"/>
      </w:pPr>
      <w:r>
        <w:rPr>
          <w:sz w:val="20"/>
        </w:rPr>
        <w:t xml:space="preserve">Verbindungswahrscheinlichkeit</w:t>
      </w:r>
    </w:p>
    <w:p>
      <w:pPr>
        <w:pStyle w:val="FirstParagraph"/>
        <w:keepLines/>
        <w:spacing w:after="64" w:line="254" w:lineRule="auto"/>
        <w:jc w:val="left"/>
      </w:pPr>
      <w:r>
        <w:rPr>
          <w:sz w:val="20"/>
        </w:rPr>
        <w:t xml:space="preserve">Eine allgemeine Modellfamilie lautet:</w:t>
      </w:r>
    </w:p>
    <w:p>
      <w:pPr>
        <w:pStyle w:val="BodyText"/>
        <w:keepLines/>
        <w:spacing w:after="64" w:line="254" w:lineRule="auto"/>
        <w:jc w:val="left"/>
      </w:pPr>
      <w:r>
        <w:rPr>
          <w:b/>
          <w:bCs/>
          <w:sz w:val="20"/>
        </w:rPr>
        <w:t xml:space="preserve">[MODEL]</w:t>
      </w:r>
    </w:p>
    <w:p>
      <w:pPr>
        <w:pStyle w:val="BodyText"/>
        <w:keepLines/>
        <w:spacing w:after="64" w:before="100" w:line="254" w:lineRule="auto"/>
        <w:jc w:val="center"/>
      </w:pPr>
      <m:oMathPara>
        <m:oMathParaPr>
          <m:jc m:val="center"/>
        </m:oMathParaPr>
        <m:oMath>
          <m:sSub>
            <m:e>
              <m:r>
                <m:t>P</m:t>
              </m:r>
            </m:e>
            <m:sub>
              <m:r>
                <m:t>t</m:t>
              </m:r>
            </m:sub>
          </m:sSub>
          <m:d>
            <m:dPr>
              <m:begChr m:val="("/>
              <m:endChr m:val=")"/>
              <m:sepChr m:val=""/>
              <m:grow/>
            </m:dPr>
            <m:e>
              <m:r>
                <m:t>i</m:t>
              </m:r>
              <m:r>
                <m:rPr>
                  <m:sty m:val="p"/>
                </m:rPr>
                <m:t>→</m:t>
              </m:r>
              <m:r>
                <m:t>j</m:t>
              </m:r>
            </m:e>
          </m:d>
          <m:r>
            <m:rPr>
              <m:sty m:val="p"/>
            </m:rPr>
            <m:t>=</m:t>
          </m:r>
          <m:r>
            <m:t>σ</m:t>
          </m:r>
          <m:d>
            <m:dPr>
              <m:begChr m:val="("/>
              <m:endChr m:val=")"/>
              <m:sepChr m:val=""/>
              <m:grow/>
            </m:dPr>
            <m:e>
              <m:sSub>
                <m:e>
                  <m:r>
                    <m:t>β</m:t>
                  </m:r>
                </m:e>
                <m:sub>
                  <m:r>
                    <m:t>0</m:t>
                  </m:r>
                </m:sub>
              </m:sSub>
              <m:r>
                <m:rPr>
                  <m:sty m:val="p"/>
                </m:rPr>
                <m:t>−</m:t>
              </m:r>
              <m:sSub>
                <m:e>
                  <m:r>
                    <m:t>β</m:t>
                  </m:r>
                </m:e>
                <m:sub>
                  <m:r>
                    <m:t>d</m:t>
                  </m:r>
                </m:sub>
              </m:sSub>
              <m:sSub>
                <m:e>
                  <m:r>
                    <m:t>d</m:t>
                  </m:r>
                </m:e>
                <m:sub>
                  <m:r>
                    <m:t>M</m:t>
                  </m:r>
                </m:sub>
              </m:sSub>
              <m:d>
                <m:dPr>
                  <m:begChr m:val="("/>
                  <m:endChr m:val=")"/>
                  <m:sepChr m:val=""/>
                  <m:grow/>
                </m:dPr>
                <m:e>
                  <m:sSub>
                    <m:e>
                      <m:r>
                        <m:t>p</m:t>
                      </m:r>
                    </m:e>
                    <m:sub>
                      <m:r>
                        <m:t>i</m:t>
                      </m:r>
                    </m:sub>
                  </m:sSub>
                  <m:r>
                    <m:rPr>
                      <m:sty m:val="p"/>
                    </m:rPr>
                    <m:t>,</m:t>
                  </m:r>
                  <m:sSub>
                    <m:e>
                      <m:r>
                        <m:t>p</m:t>
                      </m:r>
                    </m:e>
                    <m:sub>
                      <m:r>
                        <m:t>j</m:t>
                      </m:r>
                    </m:sub>
                  </m:sSub>
                </m:e>
              </m:d>
              <m:r>
                <m:rPr>
                  <m:sty m:val="p"/>
                </m:rPr>
                <m:t>+</m:t>
              </m:r>
              <m:sSub>
                <m:e>
                  <m:r>
                    <m:t>β</m:t>
                  </m:r>
                </m:e>
                <m:sub>
                  <m:r>
                    <m:t>c</m:t>
                  </m:r>
                </m:sub>
              </m:sSub>
              <m:sSub>
                <m:e>
                  <m:r>
                    <m:t>C</m:t>
                  </m:r>
                </m:e>
                <m:sub>
                  <m:r>
                    <m:t>i</m:t>
                  </m:r>
                  <m:r>
                    <m:t>j</m:t>
                  </m:r>
                </m:sub>
              </m:sSub>
              <m:d>
                <m:dPr>
                  <m:begChr m:val="("/>
                  <m:endChr m:val=")"/>
                  <m:sepChr m:val=""/>
                  <m:grow/>
                </m:dPr>
                <m:e>
                  <m:r>
                    <m:t>t</m:t>
                  </m:r>
                </m:e>
              </m:d>
              <m:r>
                <m:rPr>
                  <m:sty m:val="p"/>
                </m:rPr>
                <m:t>+</m:t>
              </m:r>
              <m:sSub>
                <m:e>
                  <m:r>
                    <m:t>β</m:t>
                  </m:r>
                </m:e>
                <m:sub>
                  <m:r>
                    <m:t>h</m:t>
                  </m:r>
                </m:sub>
              </m:sSub>
              <m:sSub>
                <m:e>
                  <m:r>
                    <m:t>H</m:t>
                  </m:r>
                </m:e>
                <m:sub>
                  <m:r>
                    <m:t>i</m:t>
                  </m:r>
                  <m:r>
                    <m:t>j</m:t>
                  </m:r>
                </m:sub>
              </m:sSub>
              <m:d>
                <m:dPr>
                  <m:begChr m:val="("/>
                  <m:endChr m:val=")"/>
                  <m:sepChr m:val=""/>
                  <m:grow/>
                </m:dPr>
                <m:e>
                  <m:r>
                    <m:t>t</m:t>
                  </m:r>
                </m:e>
              </m:d>
              <m:r>
                <m:rPr>
                  <m:sty m:val="p"/>
                </m:rPr>
                <m:t>+</m:t>
              </m:r>
              <m:sSub>
                <m:e>
                  <m:r>
                    <m:t>β</m:t>
                  </m:r>
                </m:e>
                <m:sub>
                  <m:r>
                    <m:t>r</m:t>
                  </m:r>
                </m:sub>
              </m:sSub>
              <m:sSub>
                <m:e>
                  <m:r>
                    <m:t>R</m:t>
                  </m:r>
                </m:e>
                <m:sub>
                  <m:r>
                    <m:t>i</m:t>
                  </m:r>
                  <m:r>
                    <m:t>j</m:t>
                  </m:r>
                </m:sub>
              </m:sSub>
              <m:d>
                <m:dPr>
                  <m:begChr m:val="("/>
                  <m:endChr m:val=")"/>
                  <m:sepChr m:val=""/>
                  <m:grow/>
                </m:dPr>
                <m:e>
                  <m:r>
                    <m:t>t</m:t>
                  </m:r>
                </m:e>
              </m:d>
            </m:e>
          </m:d>
          <m:r>
            <m:rPr>
              <m:sty m:val="p"/>
            </m:rPr>
            <m:t>,</m:t>
          </m:r>
        </m:oMath>
      </m:oMathPara>
    </w:p>
    <w:p>
      <w:pPr>
        <w:pStyle w:val="FirstParagraph"/>
        <w:keepLines/>
        <w:spacing w:after="64" w:line="254" w:lineRule="auto"/>
        <w:jc w:val="left"/>
      </w:pPr>
      <w:r>
        <w:rPr>
          <w:sz w:val="20"/>
        </w:rPr>
        <w:t xml:space="preserve">wobei</w:t>
      </w:r>
      <w:r>
        <w:rPr>
          <w:sz w:val="20"/>
        </w:rPr>
        <w:t xml:space="preserve"> </w:t>
      </w:r>
      <m:oMath>
        <m:r>
          <m:t>σ</m:t>
        </m:r>
      </m:oMath>
      <w:r>
        <w:rPr>
          <w:sz w:val="20"/>
        </w:rPr>
        <w:t xml:space="preserve"> </w:t>
      </w:r>
      <w:r>
        <w:rPr>
          <w:sz w:val="20"/>
        </w:rPr>
        <w:t xml:space="preserve">eine begrenzende Linkfunktion ist,</w:t>
      </w:r>
      <w:r>
        <w:rPr>
          <w:sz w:val="20"/>
        </w:rPr>
        <w:t xml:space="preserve"> </w:t>
      </w:r>
      <m:oMath>
        <m:sSub>
          <m:e>
            <m:r>
              <m:t>C</m:t>
            </m:r>
          </m:e>
          <m:sub>
            <m:r>
              <m:t>i</m:t>
            </m:r>
            <m:r>
              <m:t>j</m:t>
            </m:r>
          </m:sub>
        </m:sSub>
      </m:oMath>
      <w:r>
        <w:rPr>
          <w:sz w:val="20"/>
        </w:rPr>
        <w:t xml:space="preserve"> </w:t>
      </w:r>
      <w:r>
        <w:rPr>
          <w:sz w:val="20"/>
        </w:rPr>
        <w:t xml:space="preserve">Aktivitätskopplung,</w:t>
      </w:r>
      <w:r>
        <w:rPr>
          <w:sz w:val="20"/>
        </w:rPr>
        <w:t xml:space="preserve"> </w:t>
      </w:r>
      <m:oMath>
        <m:sSub>
          <m:e>
            <m:r>
              <m:t>H</m:t>
            </m:r>
          </m:e>
          <m:sub>
            <m:r>
              <m:t>i</m:t>
            </m:r>
            <m:r>
              <m:t>j</m:t>
            </m:r>
          </m:sub>
        </m:sSub>
      </m:oMath>
      <w:r>
        <w:rPr>
          <w:sz w:val="20"/>
        </w:rPr>
        <w:t xml:space="preserve"> </w:t>
      </w:r>
      <w:r>
        <w:rPr>
          <w:sz w:val="20"/>
        </w:rPr>
        <w:t xml:space="preserve">Homophilie beziehungsweise Typkompatibilität und</w:t>
      </w:r>
      <w:r>
        <w:rPr>
          <w:sz w:val="20"/>
        </w:rPr>
        <w:t xml:space="preserve"> </w:t>
      </w:r>
      <m:oMath>
        <m:sSub>
          <m:e>
            <m:r>
              <m:t>R</m:t>
            </m:r>
          </m:e>
          <m:sub>
            <m:r>
              <m:t>i</m:t>
            </m:r>
            <m:r>
              <m:t>j</m:t>
            </m:r>
          </m:sub>
        </m:sSub>
      </m:oMath>
      <w:r>
        <w:rPr>
          <w:sz w:val="20"/>
        </w:rPr>
        <w:t xml:space="preserve"> </w:t>
      </w:r>
      <w:r>
        <w:rPr>
          <w:sz w:val="20"/>
        </w:rPr>
        <w:t xml:space="preserve">Ressourcen- oder Entwicklungsbedingungen ausdrückt. Die einfache Exponentialform</w:t>
      </w:r>
    </w:p>
    <w:p>
      <w:pPr>
        <w:pStyle w:val="BodyText"/>
        <w:keepLines/>
        <w:spacing w:after="64" w:before="100" w:line="254" w:lineRule="auto"/>
        <w:jc w:val="center"/>
      </w:pPr>
      <m:oMathPara>
        <m:oMathParaPr>
          <m:jc m:val="center"/>
        </m:oMathParaPr>
        <m:oMath>
          <m:r>
            <m:t>P</m:t>
          </m:r>
          <m:d>
            <m:dPr>
              <m:begChr m:val="("/>
              <m:endChr m:val=")"/>
              <m:sepChr m:val=""/>
              <m:grow/>
            </m:dPr>
            <m:e>
              <m:r>
                <m:t>i</m:t>
              </m:r>
              <m:r>
                <m:rPr>
                  <m:sty m:val="p"/>
                </m:rPr>
                <m:t>→</m:t>
              </m:r>
              <m:r>
                <m:t>j</m:t>
              </m:r>
            </m:e>
          </m:d>
          <m:r>
            <m:rPr>
              <m:sty m:val="p"/>
            </m:rPr>
            <m:t>=</m:t>
          </m:r>
          <m:sSub>
            <m:e>
              <m:r>
                <m:t>P</m:t>
              </m:r>
            </m:e>
            <m:sub>
              <m:r>
                <m:t>0</m:t>
              </m:r>
            </m:sub>
          </m:sSub>
          <m:sSup>
            <m:e>
              <m:r>
                <m:t>e</m:t>
              </m:r>
            </m:e>
            <m:sup>
              <m:r>
                <m:rPr>
                  <m:sty m:val="p"/>
                </m:rPr>
                <m:t>−</m:t>
              </m:r>
              <m:f>
                <m:fPr>
                  <m:type m:val="bar"/>
                </m:fPr>
                <m:num>
                  <m:sSub>
                    <m:e>
                      <m:r>
                        <m:t>d</m:t>
                      </m:r>
                    </m:e>
                    <m:sub>
                      <m:r>
                        <m:t>M</m:t>
                      </m:r>
                    </m:sub>
                  </m:sSub>
                </m:num>
                <m:den>
                  <m:sSub>
                    <m:e>
                      <m:r>
                        <m:t>σ</m:t>
                      </m:r>
                    </m:e>
                    <m:sub>
                      <m:r>
                        <m:t>d</m:t>
                      </m:r>
                    </m:sub>
                  </m:sSub>
                </m:den>
              </m:f>
            </m:sup>
          </m:sSup>
        </m:oMath>
      </m:oMathPara>
    </w:p>
    <w:p>
      <w:pPr>
        <w:pStyle w:val="FirstParagraph"/>
        <w:keepLines/>
        <w:spacing w:after="64" w:line="254" w:lineRule="auto"/>
        <w:jc w:val="left"/>
      </w:pPr>
      <w:r>
        <w:rPr>
          <w:sz w:val="20"/>
        </w:rPr>
        <w:t xml:space="preserve">ist ein Spezialfall. Die Verwendung einer Wahrscheinlichkeit bedeutet nicht, dass Verbindungen bei jedem Tick neu gezogen werden; Erzeugungszeitpunkt und Persistence-Regeln sind Teil der Strukturplastizität.</w:t>
      </w:r>
    </w:p>
    <w:bookmarkEnd w:id="255"/>
    <w:bookmarkStart w:id="256" w:name="messgrößen"/>
    <w:p>
      <w:pPr>
        <w:pStyle w:val="Heading3"/>
        <w:keepLines/>
        <w:spacing w:after="120" w:before="160"/>
        <w:jc w:val="left"/>
      </w:pPr>
      <w:r>
        <w:rPr>
          <w:sz w:val="20"/>
        </w:rPr>
        <w:t xml:space="preserve">Messgrößen</w:t>
      </w:r>
    </w:p>
    <w:p>
      <w:pPr>
        <w:pStyle w:val="FirstParagraph"/>
        <w:keepLines/>
        <w:spacing w:after="64" w:line="254" w:lineRule="auto"/>
        <w:jc w:val="left"/>
      </w:pPr>
      <w:r>
        <w:rPr>
          <w:sz w:val="20"/>
        </w:rPr>
        <w:t xml:space="preserve">Für Brain-5D sind mindestens folgende Graphmaße relevant (</w:t>
      </w:r>
      <w:hyperlink w:anchor="ref-Newman2010">
        <w:r>
          <w:rPr>
            <w:rStyle w:val="Hyperlink"/>
          </w:rPr>
          <w:t xml:space="preserve">Newman, 2010</w:t>
        </w:r>
      </w:hyperlink>
      <w:r>
        <w:rPr>
          <w:sz w:val="20"/>
        </w:rPr>
        <w:t xml:space="preserve">;</w:t>
      </w:r>
      <w:r>
        <w:rPr>
          <w:sz w:val="20"/>
        </w:rPr>
        <w:t xml:space="preserve"> </w:t>
      </w:r>
      <w:hyperlink w:anchor="ref-Rubinov2010">
        <w:r>
          <w:rPr>
            <w:rStyle w:val="Hyperlink"/>
          </w:rPr>
          <w:t xml:space="preserve">Rubinov &amp; Sporns, 2010</w:t>
        </w:r>
      </w:hyperlink>
      <w:r>
        <w:rPr>
          <w:sz w:val="20"/>
        </w:rPr>
        <w:t xml:space="preserve">):</w:t>
      </w:r>
    </w:p>
    <w:p>
      <w:pPr>
        <w:keepLines/>
        <w:numPr>
          <w:ilvl w:val="0"/>
          <w:numId w:val="1019"/>
        </w:numPr>
        <w:spacing w:after="64" w:line="254" w:lineRule="auto"/>
        <w:jc w:val="left"/>
      </w:pPr>
      <w:r>
        <w:rPr>
          <w:sz w:val="20"/>
        </w:rPr>
        <w:t xml:space="preserve">In-/Out-Degree und gewichtete Strength-Verteilungen;</w:t>
      </w:r>
    </w:p>
    <w:p>
      <w:pPr>
        <w:keepLines/>
        <w:numPr>
          <w:ilvl w:val="0"/>
          <w:numId w:val="1019"/>
        </w:numPr>
        <w:spacing w:after="64" w:line="254" w:lineRule="auto"/>
        <w:jc w:val="left"/>
      </w:pPr>
      <w:r>
        <w:rPr>
          <w:sz w:val="20"/>
        </w:rPr>
        <w:t xml:space="preserve">lokale und globale Clustering-Koeffizienten;</w:t>
      </w:r>
    </w:p>
    <w:p>
      <w:pPr>
        <w:keepLines/>
        <w:numPr>
          <w:ilvl w:val="0"/>
          <w:numId w:val="1019"/>
        </w:numPr>
        <w:spacing w:after="64" w:line="254" w:lineRule="auto"/>
        <w:jc w:val="left"/>
      </w:pPr>
      <w:r>
        <w:rPr>
          <w:sz w:val="20"/>
        </w:rPr>
        <w:t xml:space="preserve">kürzeste Pfade beziehungsweise verzögerungsgewichtete Pfade;</w:t>
      </w:r>
    </w:p>
    <w:p>
      <w:pPr>
        <w:keepLines/>
        <w:numPr>
          <w:ilvl w:val="0"/>
          <w:numId w:val="1019"/>
        </w:numPr>
        <w:spacing w:after="64" w:line="254" w:lineRule="auto"/>
        <w:jc w:val="left"/>
      </w:pPr>
      <w:r>
        <w:rPr>
          <w:sz w:val="20"/>
        </w:rPr>
        <w:t xml:space="preserve">globale und lokale Effizienz;</w:t>
      </w:r>
    </w:p>
    <w:p>
      <w:pPr>
        <w:keepLines/>
        <w:numPr>
          <w:ilvl w:val="0"/>
          <w:numId w:val="1019"/>
        </w:numPr>
        <w:spacing w:after="64" w:line="254" w:lineRule="auto"/>
        <w:jc w:val="left"/>
      </w:pPr>
      <w:r>
        <w:rPr>
          <w:sz w:val="20"/>
        </w:rPr>
        <w:t xml:space="preserve">Assortativität nach Zelltyp, Alter, Region und Aktivität;</w:t>
      </w:r>
    </w:p>
    <w:p>
      <w:pPr>
        <w:keepLines/>
        <w:numPr>
          <w:ilvl w:val="0"/>
          <w:numId w:val="1019"/>
        </w:numPr>
        <w:spacing w:after="64" w:line="254" w:lineRule="auto"/>
        <w:jc w:val="left"/>
      </w:pPr>
      <w:r>
        <w:rPr>
          <w:sz w:val="20"/>
        </w:rPr>
        <w:t xml:space="preserve">Modularität und Community-Stabilität;</w:t>
      </w:r>
    </w:p>
    <w:p>
      <w:pPr>
        <w:keepLines/>
        <w:numPr>
          <w:ilvl w:val="0"/>
          <w:numId w:val="1019"/>
        </w:numPr>
        <w:spacing w:after="64" w:line="254" w:lineRule="auto"/>
        <w:jc w:val="left"/>
      </w:pPr>
      <w:r>
        <w:rPr>
          <w:sz w:val="20"/>
        </w:rPr>
        <w:t xml:space="preserve">Motif-Häufigkeiten und Feedforward-/Feedback-Strukturen;</w:t>
      </w:r>
    </w:p>
    <w:p>
      <w:pPr>
        <w:keepLines/>
        <w:numPr>
          <w:ilvl w:val="0"/>
          <w:numId w:val="1019"/>
        </w:numPr>
        <w:spacing w:after="64" w:line="254" w:lineRule="auto"/>
        <w:jc w:val="left"/>
      </w:pPr>
      <w:r>
        <w:rPr>
          <w:sz w:val="20"/>
        </w:rPr>
        <w:t xml:space="preserve">spektrale Größen des Adjazenz- und Laplaceoperators;</w:t>
      </w:r>
    </w:p>
    <w:p>
      <w:pPr>
        <w:keepLines/>
        <w:numPr>
          <w:ilvl w:val="0"/>
          <w:numId w:val="1019"/>
        </w:numPr>
        <w:spacing w:after="64" w:line="254" w:lineRule="auto"/>
        <w:jc w:val="left"/>
      </w:pPr>
      <w:r>
        <w:rPr>
          <w:sz w:val="20"/>
        </w:rPr>
        <w:t xml:space="preserve">räumliche Kantenlängen, Wiring Cost und Delay-Verteilung;</w:t>
      </w:r>
    </w:p>
    <w:p>
      <w:pPr>
        <w:keepLines/>
        <w:numPr>
          <w:ilvl w:val="0"/>
          <w:numId w:val="1019"/>
        </w:numPr>
        <w:spacing w:after="64" w:line="254" w:lineRule="auto"/>
        <w:jc w:val="left"/>
      </w:pPr>
      <w:r>
        <w:rPr>
          <w:sz w:val="20"/>
        </w:rPr>
        <w:t xml:space="preserve">zeitliche Persistenz und Turnover von Knoten und Kanten.</w:t>
      </w:r>
    </w:p>
    <w:p>
      <w:pPr>
        <w:pStyle w:val="FirstParagraph"/>
        <w:keepLines/>
        <w:spacing w:after="64" w:line="254" w:lineRule="auto"/>
        <w:jc w:val="left"/>
      </w:pPr>
      <w:r>
        <w:rPr>
          <w:sz w:val="20"/>
        </w:rPr>
        <w:t xml:space="preserve">Graphmetriken sind stark voneinander und von Dichte abhängig. Ihre Interpretation erfordert deshalb Nullmodelle, Dichtekontrolle und Unsicherheitsintervalle.</w:t>
      </w:r>
    </w:p>
    <w:bookmarkEnd w:id="256"/>
    <w:bookmarkStart w:id="257" w:name="nullmodelle"/>
    <w:p>
      <w:pPr>
        <w:pStyle w:val="Heading3"/>
        <w:keepLines/>
        <w:spacing w:after="120" w:before="160"/>
        <w:jc w:val="left"/>
      </w:pPr>
      <w:r>
        <w:rPr>
          <w:sz w:val="20"/>
        </w:rPr>
        <w:t xml:space="preserve">Nullmodelle</w:t>
      </w:r>
    </w:p>
    <w:p>
      <w:pPr>
        <w:pStyle w:val="FirstParagraph"/>
        <w:keepLines/>
        <w:spacing w:after="64" w:line="254" w:lineRule="auto"/>
        <w:jc w:val="left"/>
      </w:pPr>
      <w:r>
        <w:rPr>
          <w:sz w:val="20"/>
        </w:rPr>
        <w:t xml:space="preserve">Ein Nullmodell soll die zu prüfende Eigenschaft zerstören, ohne irrelevante Größen zu verändern. Beispiele:</w:t>
      </w:r>
    </w:p>
    <w:p>
      <w:pPr>
        <w:keepLines/>
        <w:numPr>
          <w:ilvl w:val="0"/>
          <w:numId w:val="1020"/>
        </w:numPr>
        <w:spacing w:after="64" w:line="254" w:lineRule="auto"/>
        <w:jc w:val="left"/>
      </w:pPr>
      <w:r>
        <w:rPr>
          <w:sz w:val="20"/>
        </w:rPr>
        <w:t xml:space="preserve">degree-preserving edge swaps (</w:t>
      </w:r>
      <w:hyperlink w:anchor="ref-Maslov2002">
        <w:r>
          <w:rPr>
            <w:rStyle w:val="Hyperlink"/>
          </w:rPr>
          <w:t xml:space="preserve">Maslov &amp; Sneppen, 2002</w:t>
        </w:r>
      </w:hyperlink>
      <w:r>
        <w:rPr>
          <w:sz w:val="20"/>
        </w:rPr>
        <w:t xml:space="preserve">);</w:t>
      </w:r>
    </w:p>
    <w:p>
      <w:pPr>
        <w:keepLines/>
        <w:numPr>
          <w:ilvl w:val="0"/>
          <w:numId w:val="1020"/>
        </w:numPr>
        <w:spacing w:after="64" w:line="254" w:lineRule="auto"/>
        <w:jc w:val="left"/>
      </w:pPr>
      <w:r>
        <w:rPr>
          <w:sz w:val="20"/>
        </w:rPr>
        <w:t xml:space="preserve">Gewichtsshuffle bei fester Topologie;</w:t>
      </w:r>
    </w:p>
    <w:p>
      <w:pPr>
        <w:keepLines/>
        <w:numPr>
          <w:ilvl w:val="0"/>
          <w:numId w:val="1020"/>
        </w:numPr>
        <w:spacing w:after="64" w:line="254" w:lineRule="auto"/>
        <w:jc w:val="left"/>
      </w:pPr>
      <w:r>
        <w:rPr>
          <w:sz w:val="20"/>
        </w:rPr>
        <w:t xml:space="preserve">Koordinatenpermutation bei festen Kanten;</w:t>
      </w:r>
    </w:p>
    <w:p>
      <w:pPr>
        <w:keepLines/>
        <w:numPr>
          <w:ilvl w:val="0"/>
          <w:numId w:val="1020"/>
        </w:numPr>
        <w:spacing w:after="64" w:line="254" w:lineRule="auto"/>
        <w:jc w:val="left"/>
      </w:pPr>
      <w:r>
        <w:rPr>
          <w:sz w:val="20"/>
        </w:rPr>
        <w:t xml:space="preserve">zeitliche Spike-Shuffles unter Erhalt individueller Raten;</w:t>
      </w:r>
    </w:p>
    <w:p>
      <w:pPr>
        <w:keepLines/>
        <w:numPr>
          <w:ilvl w:val="0"/>
          <w:numId w:val="1020"/>
        </w:numPr>
        <w:spacing w:after="64" w:line="254" w:lineRule="auto"/>
        <w:jc w:val="left"/>
      </w:pPr>
      <w:r>
        <w:rPr>
          <w:sz w:val="20"/>
        </w:rPr>
        <w:t xml:space="preserve">Regionenlabel-Shuffles;</w:t>
      </w:r>
    </w:p>
    <w:p>
      <w:pPr>
        <w:keepLines/>
        <w:numPr>
          <w:ilvl w:val="0"/>
          <w:numId w:val="1020"/>
        </w:numPr>
        <w:spacing w:after="64" w:line="254" w:lineRule="auto"/>
        <w:jc w:val="left"/>
      </w:pPr>
      <w:r>
        <w:rPr>
          <w:sz w:val="20"/>
        </w:rPr>
        <w:t xml:space="preserve">geometrische Zufallsgraphen mit gematchter Dichte (</w:t>
      </w:r>
      <w:hyperlink w:anchor="ref-Penrose2003">
        <w:r>
          <w:rPr>
            <w:rStyle w:val="Hyperlink"/>
          </w:rPr>
          <w:t xml:space="preserve">Penrose, 2003</w:t>
        </w:r>
      </w:hyperlink>
      <w:r>
        <w:rPr>
          <w:sz w:val="20"/>
        </w:rPr>
        <w:t xml:space="preserve">);</w:t>
      </w:r>
    </w:p>
    <w:p>
      <w:pPr>
        <w:keepLines/>
        <w:numPr>
          <w:ilvl w:val="0"/>
          <w:numId w:val="1020"/>
        </w:numPr>
        <w:spacing w:after="64" w:line="254" w:lineRule="auto"/>
        <w:jc w:val="left"/>
      </w:pPr>
      <w:r>
        <w:rPr>
          <w:sz w:val="20"/>
        </w:rPr>
        <w:t xml:space="preserve">Delay-Shuffles bei identischer Gewichtsstruktur.</w:t>
      </w:r>
    </w:p>
    <w:p>
      <w:pPr>
        <w:pStyle w:val="FirstParagraph"/>
        <w:keepLines/>
        <w:spacing w:after="64" w:line="254" w:lineRule="auto"/>
        <w:jc w:val="left"/>
      </w:pPr>
      <w:r>
        <w:rPr>
          <w:sz w:val="20"/>
        </w:rPr>
        <w:t xml:space="preserve">Ein Vergleich mit nur einem zufälligen Graphen ist selten ausreichend. Besonders Community Detection besitzt Auflösungs- und Degenerationsprobleme; Resultate sollten über Algorithmen, Parameter und Seeds geprüft werden (</w:t>
      </w:r>
      <w:hyperlink w:anchor="ref-Fortunato2010">
        <w:r>
          <w:rPr>
            <w:rStyle w:val="Hyperlink"/>
          </w:rPr>
          <w:t xml:space="preserve">Fortunato, 2010</w:t>
        </w:r>
      </w:hyperlink>
      <w:r>
        <w:rPr>
          <w:sz w:val="20"/>
        </w:rPr>
        <w:t xml:space="preserve">).</w:t>
      </w:r>
    </w:p>
    <w:bookmarkEnd w:id="257"/>
    <w:bookmarkStart w:id="258" w:name="spektrale-perspektive"/>
    <w:p>
      <w:pPr>
        <w:pStyle w:val="Heading3"/>
        <w:keepLines/>
        <w:spacing w:after="120" w:before="160"/>
        <w:jc w:val="left"/>
      </w:pPr>
      <w:r>
        <w:rPr>
          <w:sz w:val="20"/>
        </w:rPr>
        <w:t xml:space="preserve">Spektrale Perspektive</w:t>
      </w:r>
    </w:p>
    <w:p>
      <w:pPr>
        <w:pStyle w:val="FirstParagraph"/>
        <w:keepLines/>
        <w:spacing w:after="64" w:line="254" w:lineRule="auto"/>
        <w:jc w:val="left"/>
      </w:pPr>
      <w:r>
        <w:rPr>
          <w:sz w:val="20"/>
        </w:rPr>
        <w:t xml:space="preserve">Eigenwerte von Adjazenz-, Laplace- oder linearisierter Dynamikmatrix können Hinweise auf Konnektivität, Diffusion und lokale Stabilität liefern (</w:t>
      </w:r>
      <w:hyperlink w:anchor="ref-Chung1997">
        <w:r>
          <w:rPr>
            <w:rStyle w:val="Hyperlink"/>
          </w:rPr>
          <w:t xml:space="preserve">Chung, 1997</w:t>
        </w:r>
      </w:hyperlink>
      <w:r>
        <w:rPr>
          <w:sz w:val="20"/>
        </w:rPr>
        <w:t xml:space="preserve">). Sie ersetzen jedoch keine vollständige Analyse eines nichtlinearen Reset-Systems. Wird eine spektrale Größe als Prädiktor verwendet, ist zu zeigen, dass sie über triviale Größen wie Dichte und mittleres Gewicht hinaus erklärt.</w:t>
      </w:r>
    </w:p>
    <w:bookmarkEnd w:id="258"/>
    <w:bookmarkStart w:id="259" w:name="graphgeodäten-und-umgebungsdistanz"/>
    <w:p>
      <w:pPr>
        <w:pStyle w:val="Heading3"/>
        <w:keepLines/>
        <w:spacing w:after="120" w:before="160"/>
        <w:jc w:val="left"/>
      </w:pPr>
      <w:r>
        <w:rPr>
          <w:sz w:val="20"/>
        </w:rPr>
        <w:t xml:space="preserve">Graphgeodäten und Umgebungsdistanz</w:t>
      </w:r>
    </w:p>
    <w:p>
      <w:pPr>
        <w:pStyle w:val="FirstParagraph"/>
        <w:keepLines/>
        <w:spacing w:after="64" w:line="254" w:lineRule="auto"/>
        <w:jc w:val="left"/>
      </w:pPr>
      <w:r>
        <w:rPr>
          <w:sz w:val="20"/>
        </w:rPr>
        <w:t xml:space="preserve">Brain-5D unterscheidet:</w:t>
      </w:r>
    </w:p>
    <w:p>
      <w:pPr>
        <w:pStyle w:val="BodyText"/>
        <w:keepLines/>
        <w:spacing w:after="64" w:line="254" w:lineRule="auto"/>
        <w:jc w:val="left"/>
      </w:pPr>
      <m:oMath>
        <m:sSub>
          <m:e>
            <m:r>
              <m:t>d</m:t>
            </m:r>
          </m:e>
          <m:sub>
            <m:r>
              <m:t>M</m:t>
            </m:r>
          </m:sub>
        </m:sSub>
        <m:d>
          <m:dPr>
            <m:begChr m:val="("/>
            <m:endChr m:val=")"/>
            <m:sepChr m:val=""/>
            <m:grow/>
          </m:dPr>
          <m:e>
            <m:sSub>
              <m:e>
                <m:r>
                  <m:t>p</m:t>
                </m:r>
              </m:e>
              <m:sub>
                <m:r>
                  <m:t>i</m:t>
                </m:r>
              </m:sub>
            </m:sSub>
            <m:r>
              <m:rPr>
                <m:sty m:val="p"/>
              </m:rPr>
              <m:t>,</m:t>
            </m:r>
            <m:sSub>
              <m:e>
                <m:r>
                  <m:t>p</m:t>
                </m:r>
              </m:e>
              <m:sub>
                <m:r>
                  <m:t>j</m:t>
                </m:r>
              </m:sub>
            </m:sSub>
          </m:e>
        </m:d>
      </m:oMath>
      <w:r>
        <w:rPr>
          <w:sz w:val="20"/>
        </w:rPr>
        <w:t xml:space="preserve"> </w:t>
      </w:r>
      <w:r>
        <w:rPr>
          <w:sz w:val="20"/>
        </w:rPr>
        <w:t xml:space="preserve">(Umgebungs- oder Metrikdistanz)</w:t>
      </w:r>
    </w:p>
    <w:p>
      <w:pPr>
        <w:pStyle w:val="BodyText"/>
        <w:keepLines/>
        <w:spacing w:after="64" w:line="254" w:lineRule="auto"/>
        <w:jc w:val="left"/>
      </w:pPr>
      <w:r>
        <w:rPr>
          <w:sz w:val="20"/>
        </w:rPr>
        <w:t xml:space="preserve">von</w:t>
      </w:r>
    </w:p>
    <w:p>
      <w:pPr>
        <w:pStyle w:val="BodyText"/>
        <w:keepLines/>
        <w:spacing w:after="64" w:line="254" w:lineRule="auto"/>
        <w:jc w:val="left"/>
      </w:pPr>
      <m:oMath>
        <m:sSub>
          <m:e>
            <m:r>
              <m:t>d</m:t>
            </m:r>
          </m:e>
          <m:sub>
            <m:r>
              <m:t>G</m:t>
            </m:r>
          </m:sub>
        </m:sSub>
        <m:d>
          <m:dPr>
            <m:begChr m:val="("/>
            <m:endChr m:val=")"/>
            <m:sepChr m:val=""/>
            <m:grow/>
          </m:dPr>
          <m:e>
            <m:r>
              <m:t>i</m:t>
            </m:r>
            <m:r>
              <m:rPr>
                <m:sty m:val="p"/>
              </m:rPr>
              <m:t>,</m:t>
            </m:r>
            <m:r>
              <m:t>j</m:t>
            </m:r>
          </m:e>
        </m:d>
      </m:oMath>
      <w:r>
        <w:rPr>
          <w:sz w:val="20"/>
        </w:rPr>
        <w:t xml:space="preserve"> </w:t>
      </w:r>
      <w:r>
        <w:rPr>
          <w:sz w:val="20"/>
        </w:rPr>
        <w:t xml:space="preserve">(kürzeste oder kostenminimale Pfaddistanz im Graphen).</w:t>
      </w:r>
    </w:p>
    <w:p>
      <w:pPr>
        <w:pStyle w:val="BodyText"/>
        <w:keepLines/>
        <w:spacing w:after="64" w:line="254" w:lineRule="auto"/>
        <w:jc w:val="left"/>
      </w:pPr>
      <w:r>
        <w:rPr>
          <w:sz w:val="20"/>
        </w:rPr>
        <w:t xml:space="preserve">Eine kleine Umgebungsdistanz garantiert keine Verbindung, und eine kurze Graphgeodäte kann weit entfernte Koordinaten durch Langstreckenkanten koppeln. Die Differenz zwischen beiden ist selbst eine messbare Systemeigenschaft.</w:t>
      </w:r>
    </w:p>
    <w:bookmarkEnd w:id="259"/>
    <w:bookmarkEnd w:id="260"/>
    <w:bookmarkEnd w:id="261"/>
    <w:bookmarkStart w:id="269" w:name="Xc23a0bf1bfefa24638b23bb25fe01da293f9dda"/>
    <w:p>
      <w:bookmarkStart w:id="10019" w:name="B5D_H019"/>
      <w:pPr>
        <w:pStyle w:val="Heading1"/>
      </w:pPr>
      <w:r>
        <w:t xml:space="preserve">16. Neuronale Dynamik und synaptische Übertragung</w:t>
      </w:r>
      <w:bookmarkEnd w:id="10019"/>
    </w:p>
    <w:bookmarkStart w:id="268" w:name="neuronale-dynamikmodelle"/>
    <w:p>
      <w:pPr>
        <w:pStyle w:val="Heading2"/>
        <w:spacing w:before="160" w:after="100"/>
      </w:pPr>
      <w:r>
        <w:t xml:space="preserve">Neuronale Dynamikmodelle</w:t>
      </w:r>
    </w:p>
    <w:bookmarkStart w:id="262" w:name="modellpluralismus"/>
    <w:p>
      <w:pPr>
        <w:pStyle w:val="Heading3"/>
        <w:keepLines/>
        <w:spacing w:after="100" w:before="160"/>
        <w:jc w:val="left"/>
      </w:pPr>
      <w:r>
        <w:rPr>
          <w:sz w:val="20"/>
        </w:rPr>
        <w:t xml:space="preserve">Modellpluralismus</w:t>
      </w:r>
    </w:p>
    <w:p>
      <w:pPr>
        <w:pStyle w:val="FirstParagraph"/>
        <w:keepLines/>
        <w:spacing w:after="64" w:line="254" w:lineRule="auto"/>
        <w:jc w:val="left"/>
      </w:pPr>
      <w:r>
        <w:rPr>
          <w:sz w:val="20"/>
        </w:rPr>
        <w:t xml:space="preserve">Brain-5D sollte keine zentrale Hypothese von einem einzigen Neuronenmodell abhängig machen. LIF, AdEx und Izhikevich bilden unterschiedliche Kompromisse zwischen Rechenaufwand und dynamischer Vielfalt (</w:t>
      </w:r>
      <w:hyperlink w:anchor="ref-Brette2005">
        <w:r>
          <w:rPr>
            <w:rStyle w:val="Hyperlink"/>
          </w:rPr>
          <w:t xml:space="preserve">Brette &amp; Gerstner, 2005</w:t>
        </w:r>
      </w:hyperlink>
      <w:r>
        <w:rPr>
          <w:sz w:val="20"/>
        </w:rPr>
        <w:t xml:space="preserve">;</w:t>
      </w:r>
      <w:r>
        <w:rPr>
          <w:sz w:val="20"/>
        </w:rPr>
        <w:t xml:space="preserve"> </w:t>
      </w:r>
      <w:hyperlink w:anchor="ref-Gerstner2014">
        <w:r>
          <w:rPr>
            <w:rStyle w:val="Hyperlink"/>
          </w:rPr>
          <w:t xml:space="preserve">Gerstner et al., 2014</w:t>
        </w:r>
      </w:hyperlink>
      <w:r>
        <w:rPr>
          <w:sz w:val="20"/>
        </w:rPr>
        <w:t xml:space="preserve">;</w:t>
      </w:r>
      <w:r>
        <w:rPr>
          <w:sz w:val="20"/>
        </w:rPr>
        <w:t xml:space="preserve"> </w:t>
      </w:r>
      <w:hyperlink w:anchor="ref-Izhikevich2003">
        <w:r>
          <w:rPr>
            <w:rStyle w:val="Hyperlink"/>
          </w:rPr>
          <w:t xml:space="preserve">Izhikevich, 2003</w:t>
        </w:r>
      </w:hyperlink>
      <w:r>
        <w:rPr>
          <w:sz w:val="20"/>
        </w:rPr>
        <w:t xml:space="preserve">). Für ausgewählte Benchmarks ist deshalb eine Modellablation vorzusehen.</w:t>
      </w:r>
    </w:p>
    <w:bookmarkEnd w:id="262"/>
    <w:bookmarkStart w:id="263" w:name="izhikevich-modell"/>
    <w:p>
      <w:pPr>
        <w:pStyle w:val="Heading3"/>
        <w:keepLines/>
        <w:spacing w:after="100" w:before="160"/>
        <w:jc w:val="left"/>
      </w:pPr>
      <w:r>
        <w:rPr>
          <w:sz w:val="20"/>
        </w:rPr>
        <w:t xml:space="preserve">Izhikevich-Modell</w:t>
      </w:r>
    </w:p>
    <w:p>
      <w:pPr>
        <w:pStyle w:val="FirstParagraph"/>
        <w:keepLines/>
        <w:spacing w:after="64" w:line="254" w:lineRule="auto"/>
        <w:jc w:val="left"/>
      </w:pPr>
      <w:r>
        <w:rPr>
          <w:b/>
          <w:bCs/>
          <w:sz w:val="20"/>
        </w:rPr>
        <w:t xml:space="preserve">[MODEL]</w:t>
      </w:r>
    </w:p>
    <w:p>
      <w:pPr>
        <w:pStyle w:val="BodyText"/>
        <w:keepLines/>
        <w:spacing w:after="140" w:before="100" w:line="254" w:lineRule="auto"/>
        <w:jc w:val="center"/>
      </w:pPr>
      <m:oMathPara>
        <m:oMathParaPr>
          <m:jc m:val="center"/>
        </m:oMathParaPr>
        <m:oMath>
          <m:f>
            <m:fPr>
              <m:type m:val="bar"/>
            </m:fPr>
            <m:num>
              <m:r>
                <m:t>d</m:t>
              </m:r>
              <m:sSub>
                <m:e>
                  <m:r>
                    <m:t>v</m:t>
                  </m:r>
                </m:e>
                <m:sub>
                  <m:r>
                    <m:t>i</m:t>
                  </m:r>
                </m:sub>
              </m:sSub>
            </m:num>
            <m:den>
              <m:r>
                <m:t>d</m:t>
              </m:r>
              <m:r>
                <m:t>t</m:t>
              </m:r>
            </m:den>
          </m:f>
          <m:r>
            <m:rPr>
              <m:sty m:val="p"/>
            </m:rPr>
            <m:t>=</m:t>
          </m:r>
          <m:r>
            <m:t>0.04</m:t>
          </m:r>
          <m:sSubSup>
            <m:e>
              <m:r>
                <m:t>v</m:t>
              </m:r>
            </m:e>
            <m:sub>
              <m:r>
                <m:t>i</m:t>
              </m:r>
            </m:sub>
            <m:sup>
              <m:r>
                <m:t>2</m:t>
              </m:r>
            </m:sup>
          </m:sSubSup>
          <m:r>
            <m:rPr>
              <m:sty m:val="p"/>
            </m:rPr>
            <m:t>+</m:t>
          </m:r>
          <m:r>
            <m:t>5</m:t>
          </m:r>
          <m:sSub>
            <m:e>
              <m:r>
                <m:t>v</m:t>
              </m:r>
            </m:e>
            <m:sub>
              <m:r>
                <m:t>i</m:t>
              </m:r>
            </m:sub>
          </m:sSub>
          <m:r>
            <m:rPr>
              <m:sty m:val="p"/>
            </m:rPr>
            <m:t>+</m:t>
          </m:r>
          <m:r>
            <m:t>140</m:t>
          </m:r>
          <m:r>
            <m:rPr>
              <m:sty m:val="p"/>
            </m:rPr>
            <m:t>−</m:t>
          </m:r>
          <m:sSub>
            <m:e>
              <m:r>
                <m:t>u</m:t>
              </m:r>
            </m:e>
            <m:sub>
              <m:r>
                <m:t>i</m:t>
              </m:r>
            </m:sub>
          </m:sSub>
          <m:r>
            <m:rPr>
              <m:sty m:val="p"/>
            </m:rPr>
            <m:t>+</m:t>
          </m:r>
          <m:sSub>
            <m:e>
              <m:r>
                <m:t>I</m:t>
              </m:r>
            </m:e>
            <m:sub>
              <m:r>
                <m:t>i</m:t>
              </m:r>
            </m:sub>
          </m:sSub>
          <m:d>
            <m:dPr>
              <m:begChr m:val="("/>
              <m:endChr m:val=")"/>
              <m:sepChr m:val=""/>
              <m:grow/>
            </m:dPr>
            <m:e>
              <m:r>
                <m:t>t</m:t>
              </m:r>
            </m:e>
          </m:d>
          <m:r>
            <m:rPr>
              <m:sty m:val="p"/>
            </m:rPr>
            <m:t>,</m:t>
          </m:r>
        </m:oMath>
      </m:oMathPara>
      <m:oMathPara>
        <m:oMathParaPr>
          <m:jc m:val="center"/>
        </m:oMathParaPr>
        <m:oMath>
          <m:f>
            <m:fPr>
              <m:type m:val="bar"/>
            </m:fPr>
            <m:num>
              <m:r>
                <m:t>d</m:t>
              </m:r>
              <m:sSub>
                <m:e>
                  <m:r>
                    <m:t>u</m:t>
                  </m:r>
                </m:e>
                <m:sub>
                  <m:r>
                    <m:t>i</m:t>
                  </m:r>
                </m:sub>
              </m:sSub>
            </m:num>
            <m:den>
              <m:r>
                <m:t>d</m:t>
              </m:r>
              <m:r>
                <m:t>t</m:t>
              </m:r>
            </m:den>
          </m:f>
          <m:r>
            <m:rPr>
              <m:sty m:val="p"/>
            </m:rPr>
            <m:t>=</m:t>
          </m:r>
          <m:sSub>
            <m:e>
              <m:r>
                <m:t>a</m:t>
              </m:r>
            </m:e>
            <m:sub>
              <m:r>
                <m:t>i</m:t>
              </m:r>
            </m:sub>
          </m:sSub>
          <m:d>
            <m:dPr>
              <m:begChr m:val="("/>
              <m:endChr m:val=")"/>
              <m:sepChr m:val=""/>
              <m:grow/>
            </m:dPr>
            <m:e>
              <m:sSub>
                <m:e>
                  <m:r>
                    <m:t>b</m:t>
                  </m:r>
                </m:e>
                <m:sub>
                  <m:r>
                    <m:t>i</m:t>
                  </m:r>
                </m:sub>
              </m:sSub>
              <m:sSub>
                <m:e>
                  <m:r>
                    <m:t>v</m:t>
                  </m:r>
                </m:e>
                <m:sub>
                  <m:r>
                    <m:t>i</m:t>
                  </m:r>
                </m:sub>
              </m:sSub>
              <m:r>
                <m:rPr>
                  <m:sty m:val="p"/>
                </m:rPr>
                <m:t>−</m:t>
              </m:r>
              <m:sSub>
                <m:e>
                  <m:r>
                    <m:t>u</m:t>
                  </m:r>
                </m:e>
                <m:sub>
                  <m:r>
                    <m:t>i</m:t>
                  </m:r>
                </m:sub>
              </m:sSub>
            </m:e>
          </m:d>
          <m:r>
            <m:rPr>
              <m:sty m:val="p"/>
            </m:rPr>
            <m:t>.</m:t>
          </m:r>
        </m:oMath>
      </m:oMathPara>
    </w:p>
    <w:p>
      <w:pPr>
        <w:pStyle w:val="FirstParagraph"/>
        <w:keepLines/>
        <w:spacing w:after="64" w:line="254" w:lineRule="auto"/>
        <w:jc w:val="left"/>
      </w:pPr>
      <w:r>
        <w:rPr>
          <w:sz w:val="20"/>
        </w:rPr>
        <w:t xml:space="preserve">Bei</w:t>
      </w:r>
      <w:r>
        <w:rPr>
          <w:sz w:val="20"/>
        </w:rPr>
        <w:t xml:space="preserve"> </w:t>
      </w:r>
      <m:oMath>
        <m:sSub>
          <m:e>
            <m:r>
              <m:t>v</m:t>
            </m:r>
          </m:e>
          <m:sub>
            <m:r>
              <m:t>i</m:t>
            </m:r>
          </m:sub>
        </m:sSub>
        <m:r>
          <m:rPr>
            <m:sty m:val="p"/>
          </m:rPr>
          <m:t>≥</m:t>
        </m:r>
        <m:r>
          <m:t>30</m:t>
        </m:r>
        <m:r>
          <m:t>m</m:t>
        </m:r>
        <m:r>
          <m:t>V</m:t>
        </m:r>
      </m:oMath>
      <w:r>
        <w:rPr>
          <w:sz w:val="20"/>
        </w:rPr>
        <w:t xml:space="preserve"> </w:t>
      </w:r>
      <w:r>
        <w:rPr>
          <w:sz w:val="20"/>
        </w:rPr>
        <w:t xml:space="preserve">erfolgt der Sprung</w:t>
      </w:r>
    </w:p>
    <w:p>
      <w:pPr>
        <w:pStyle w:val="BodyText"/>
        <w:keepLines/>
        <w:spacing w:after="140" w:before="100" w:line="254" w:lineRule="auto"/>
        <w:jc w:val="center"/>
      </w:pPr>
      <m:oMathPara>
        <m:oMathParaPr>
          <m:jc m:val="center"/>
        </m:oMathParaPr>
        <m:oMath>
          <m:sSub>
            <m:e>
              <m:r>
                <m:t>v</m:t>
              </m:r>
            </m:e>
            <m:sub>
              <m:r>
                <m:t>i</m:t>
              </m:r>
            </m:sub>
          </m:sSub>
          <m:r>
            <m:rPr>
              <m:sty m:val="p"/>
            </m:rPr>
            <m:t>←</m:t>
          </m:r>
          <m:sSub>
            <m:e>
              <m:r>
                <m:t>c</m:t>
              </m:r>
            </m:e>
            <m:sub>
              <m:r>
                <m:t>i</m:t>
              </m:r>
            </m:sub>
          </m:sSub>
          <m:r>
            <m:rPr>
              <m:sty m:val="p"/>
            </m:rPr>
            <m:t>,</m:t>
          </m:r>
          <m:sSub>
            <m:e>
              <m:r>
                <m:t>u</m:t>
              </m:r>
            </m:e>
            <m:sub>
              <m:r>
                <m:t>i</m:t>
              </m:r>
            </m:sub>
          </m:sSub>
          <m:r>
            <m:rPr>
              <m:sty m:val="p"/>
            </m:rPr>
            <m:t>←</m:t>
          </m:r>
          <m:sSub>
            <m:e>
              <m:r>
                <m:t>u</m:t>
              </m:r>
            </m:e>
            <m:sub>
              <m:r>
                <m:t>i</m:t>
              </m:r>
            </m:sub>
          </m:sSub>
          <m:r>
            <m:rPr>
              <m:sty m:val="p"/>
            </m:rPr>
            <m:t>+</m:t>
          </m:r>
          <m:sSub>
            <m:e>
              <m:r>
                <m:t>d</m:t>
              </m:r>
            </m:e>
            <m:sub>
              <m:r>
                <m:t>i</m:t>
              </m:r>
            </m:sub>
          </m:sSub>
          <m:r>
            <m:rPr>
              <m:sty m:val="p"/>
            </m:rPr>
            <m:t>.</m:t>
          </m:r>
        </m:oMath>
      </m:oMathPara>
    </w:p>
    <w:p>
      <w:pPr>
        <w:pStyle w:val="FirstParagraph"/>
        <w:keepLines/>
        <w:spacing w:after="64" w:line="254" w:lineRule="auto"/>
        <w:jc w:val="left"/>
      </w:pPr>
      <w:r>
        <w:rPr>
          <w:sz w:val="20"/>
        </w:rPr>
        <w:t xml:space="preserve">Die Parameter</w:t>
      </w:r>
      <w:r>
        <w:rPr>
          <w:sz w:val="20"/>
        </w:rPr>
        <w:t xml:space="preserve"> </w:t>
      </w:r>
      <m:oMath>
        <m:r>
          <m:t>a</m:t>
        </m:r>
        <m:r>
          <m:rPr>
            <m:sty m:val="p"/>
          </m:rPr>
          <m:t>,</m:t>
        </m:r>
        <m:r>
          <m:t>b</m:t>
        </m:r>
        <m:r>
          <m:rPr>
            <m:sty m:val="p"/>
          </m:rPr>
          <m:t>,</m:t>
        </m:r>
        <m:r>
          <m:t>c</m:t>
        </m:r>
        <m:r>
          <m:rPr>
            <m:sty m:val="p"/>
          </m:rPr>
          <m:t>,</m:t>
        </m:r>
        <m:r>
          <m:t>d</m:t>
        </m:r>
      </m:oMath>
      <w:r>
        <w:rPr>
          <w:sz w:val="20"/>
        </w:rPr>
        <w:t xml:space="preserve"> </w:t>
      </w:r>
      <w:r>
        <w:rPr>
          <w:sz w:val="20"/>
        </w:rPr>
        <w:t xml:space="preserve">können unterschiedliche Spike-Regime approximieren (</w:t>
      </w:r>
      <w:hyperlink w:anchor="ref-Izhikevich2003">
        <w:r>
          <w:rPr>
            <w:rStyle w:val="Hyperlink"/>
          </w:rPr>
          <w:t xml:space="preserve">Izhikevich, 2003</w:t>
        </w:r>
      </w:hyperlink>
      <w:r>
        <w:rPr>
          <w:sz w:val="20"/>
        </w:rPr>
        <w:t xml:space="preserve">). Numerische Schrittweite, Integrationsmethode und Rundungsregeln müssen dokumentiert werden, weil sie das qualitative Verhalten verändern können.</w:t>
      </w:r>
    </w:p>
    <w:bookmarkEnd w:id="263"/>
    <w:bookmarkStart w:id="264" w:name="leaky-integrate-and-fire"/>
    <w:p>
      <w:pPr>
        <w:pStyle w:val="Heading3"/>
        <w:keepLines/>
        <w:spacing w:after="100" w:before="160"/>
        <w:jc w:val="left"/>
      </w:pPr>
      <w:r>
        <w:rPr>
          <w:sz w:val="20"/>
        </w:rPr>
        <w:t xml:space="preserve">Leaky Integrate-and-Fire</w:t>
      </w:r>
    </w:p>
    <w:p>
      <w:pPr>
        <w:pStyle w:val="FirstParagraph"/>
        <w:keepLines/>
        <w:spacing w:after="64" w:line="254" w:lineRule="auto"/>
        <w:jc w:val="left"/>
      </w:pPr>
      <w:r>
        <w:rPr>
          <w:b/>
          <w:bCs/>
          <w:sz w:val="20"/>
        </w:rPr>
        <w:t xml:space="preserve">[MODEL]</w:t>
      </w:r>
    </w:p>
    <w:p>
      <w:pPr>
        <w:pStyle w:val="BodyText"/>
        <w:keepLines/>
        <w:spacing w:after="140" w:before="100" w:line="254" w:lineRule="auto"/>
        <w:jc w:val="center"/>
      </w:pPr>
      <m:oMathPara>
        <m:oMathParaPr>
          <m:jc m:val="center"/>
        </m:oMathParaPr>
        <m:oMath>
          <m:sSub>
            <m:e>
              <m:r>
                <m:t>τ</m:t>
              </m:r>
            </m:e>
            <m:sub>
              <m:r>
                <m:t>m</m:t>
              </m:r>
            </m:sub>
          </m:sSub>
          <m:f>
            <m:fPr>
              <m:type m:val="bar"/>
            </m:fPr>
            <m:num>
              <m:r>
                <m:t>d</m:t>
              </m:r>
              <m:sSub>
                <m:e>
                  <m:r>
                    <m:t>V</m:t>
                  </m:r>
                </m:e>
                <m:sub>
                  <m:r>
                    <m:t>i</m:t>
                  </m:r>
                </m:sub>
              </m:sSub>
            </m:num>
            <m:den>
              <m:r>
                <m:t>d</m:t>
              </m:r>
              <m:r>
                <m:t>t</m:t>
              </m:r>
            </m:den>
          </m:f>
          <m:r>
            <m:rPr>
              <m:sty m:val="p"/>
            </m:rPr>
            <m:t>=</m:t>
          </m:r>
          <m:r>
            <m:rPr>
              <m:sty m:val="p"/>
            </m:rPr>
            <m:t>−</m:t>
          </m:r>
          <m:d>
            <m:dPr>
              <m:begChr m:val="("/>
              <m:endChr m:val=")"/>
              <m:sepChr m:val=""/>
              <m:grow/>
            </m:dPr>
            <m:e>
              <m:sSub>
                <m:e>
                  <m:r>
                    <m:t>V</m:t>
                  </m:r>
                </m:e>
                <m:sub>
                  <m:r>
                    <m:t>i</m:t>
                  </m:r>
                </m:sub>
              </m:sSub>
              <m:r>
                <m:rPr>
                  <m:sty m:val="p"/>
                </m:rPr>
                <m:t>−</m:t>
              </m:r>
              <m:sSub>
                <m:e>
                  <m:r>
                    <m:t>E</m:t>
                  </m:r>
                </m:e>
                <m:sub>
                  <m:r>
                    <m:t>L</m:t>
                  </m:r>
                </m:sub>
              </m:sSub>
            </m:e>
          </m:d>
          <m:r>
            <m:rPr>
              <m:sty m:val="p"/>
            </m:rPr>
            <m:t>+</m:t>
          </m:r>
          <m:sSub>
            <m:e>
              <m:r>
                <m:t>R</m:t>
              </m:r>
            </m:e>
            <m:sub>
              <m:r>
                <m:t>m</m:t>
              </m:r>
            </m:sub>
          </m:sSub>
          <m:sSub>
            <m:e>
              <m:r>
                <m:t>I</m:t>
              </m:r>
            </m:e>
            <m:sub>
              <m:r>
                <m:t>i</m:t>
              </m:r>
            </m:sub>
          </m:sSub>
          <m:d>
            <m:dPr>
              <m:begChr m:val="("/>
              <m:endChr m:val=")"/>
              <m:sepChr m:val=""/>
              <m:grow/>
            </m:dPr>
            <m:e>
              <m:r>
                <m:t>t</m:t>
              </m:r>
            </m:e>
          </m:d>
          <m:r>
            <m:rPr>
              <m:sty m:val="p"/>
            </m:rPr>
            <m:t>.</m:t>
          </m:r>
        </m:oMath>
      </m:oMathPara>
    </w:p>
    <w:p>
      <w:pPr>
        <w:pStyle w:val="FirstParagraph"/>
        <w:keepLines/>
        <w:spacing w:after="64" w:line="254" w:lineRule="auto"/>
        <w:jc w:val="left"/>
      </w:pPr>
      <w:r>
        <w:rPr>
          <w:sz w:val="20"/>
        </w:rPr>
        <w:t xml:space="preserve">Bei Schwellenüberschreitung wird ein Spike ausgelöst und</w:t>
      </w:r>
      <w:r>
        <w:rPr>
          <w:sz w:val="20"/>
        </w:rPr>
        <w:t xml:space="preserve"> </w:t>
      </w:r>
      <m:oMath>
        <m:sSub>
          <m:e>
            <m:r>
              <m:t>V</m:t>
            </m:r>
          </m:e>
          <m:sub>
            <m:r>
              <m:t>i</m:t>
            </m:r>
          </m:sub>
        </m:sSub>
      </m:oMath>
      <w:r>
        <w:rPr>
          <w:sz w:val="20"/>
        </w:rPr>
        <w:t xml:space="preserve"> </w:t>
      </w:r>
      <w:r>
        <w:rPr>
          <w:sz w:val="20"/>
        </w:rPr>
        <w:t xml:space="preserve">nach einer definierten Regel zurückgesetzt. LIF ist für große Skalierungen attraktiv, bildet jedoch nicht alle intrinsischen Burst- und Adaptationsregime ab.</w:t>
      </w:r>
    </w:p>
    <w:bookmarkEnd w:id="264"/>
    <w:bookmarkStart w:id="265" w:name="adaptive-exponential-integrate-and-fire"/>
    <w:p>
      <w:pPr>
        <w:pStyle w:val="Heading3"/>
        <w:keepLines/>
        <w:pageBreakBefore/>
        <w:spacing w:after="100" w:before="160"/>
        <w:jc w:val="left"/>
      </w:pPr>
      <w:r>
        <w:rPr>
          <w:sz w:val="20"/>
        </w:rPr>
        <w:t xml:space="preserve">Adaptive Exponential Integrate-and-Fire</w:t>
      </w:r>
    </w:p>
    <w:p>
      <w:pPr>
        <w:pStyle w:val="FirstParagraph"/>
        <w:keepLines/>
        <w:spacing w:after="64" w:line="254" w:lineRule="auto"/>
        <w:jc w:val="left"/>
      </w:pPr>
      <w:r>
        <w:rPr>
          <w:b/>
          <w:bCs/>
          <w:sz w:val="20"/>
        </w:rPr>
        <w:t xml:space="preserve">[MODEL]</w:t>
      </w:r>
    </w:p>
    <w:p>
      <w:pPr>
        <w:pStyle w:val="BodyText"/>
        <w:keepLines/>
        <w:spacing w:after="140" w:before="100" w:line="254" w:lineRule="auto"/>
        <w:jc w:val="center"/>
      </w:pPr>
      <m:oMathPara>
        <m:oMathParaPr>
          <m:jc m:val="center"/>
        </m:oMathParaPr>
        <m:oMath>
          <m:r>
            <m:t>C</m:t>
          </m:r>
          <m:acc>
            <m:accPr>
              <m:chr m:val="̇"/>
            </m:accPr>
            <m:e>
              <m:r>
                <m:t>V</m:t>
              </m:r>
            </m:e>
          </m:acc>
          <m:r>
            <m:rPr>
              <m:sty m:val="p"/>
            </m:rPr>
            <m:t>=</m:t>
          </m:r>
          <m:r>
            <m:rPr>
              <m:sty m:val="p"/>
            </m:rPr>
            <m:t>−</m:t>
          </m:r>
          <m:sSub>
            <m:e>
              <m:r>
                <m:t>g</m:t>
              </m:r>
            </m:e>
            <m:sub>
              <m:r>
                <m:t>L</m:t>
              </m:r>
            </m:sub>
          </m:sSub>
          <m:d>
            <m:dPr>
              <m:begChr m:val="("/>
              <m:endChr m:val=")"/>
              <m:sepChr m:val=""/>
              <m:grow/>
            </m:dPr>
            <m:e>
              <m:r>
                <m:t>V</m:t>
              </m:r>
              <m:r>
                <m:rPr>
                  <m:sty m:val="p"/>
                </m:rPr>
                <m:t>−</m:t>
              </m:r>
              <m:sSub>
                <m:e>
                  <m:r>
                    <m:t>E</m:t>
                  </m:r>
                </m:e>
                <m:sub>
                  <m:r>
                    <m:t>L</m:t>
                  </m:r>
                </m:sub>
              </m:sSub>
            </m:e>
          </m:d>
          <m:r>
            <m:rPr>
              <m:sty m:val="p"/>
            </m:rPr>
            <m:t>+</m:t>
          </m:r>
          <m:sSub>
            <m:e>
              <m:r>
                <m:t>g</m:t>
              </m:r>
            </m:e>
            <m:sub>
              <m:r>
                <m:t>L</m:t>
              </m:r>
            </m:sub>
          </m:sSub>
          <m:sSub>
            <m:e>
              <m:r>
                <m:t>Δ</m:t>
              </m:r>
            </m:e>
            <m:sub>
              <m:r>
                <m:t>T</m:t>
              </m:r>
            </m:sub>
          </m:sSub>
          <m:r>
            <m:rPr>
              <m:sty m:val="p"/>
            </m:rPr>
            <m:t>exp</m:t>
          </m:r>
          <m:d>
            <m:dPr>
              <m:begChr m:val="("/>
              <m:endChr m:val=")"/>
              <m:sepChr m:val=""/>
              <m:grow/>
            </m:dPr>
            <m:e>
              <m:f>
                <m:fPr>
                  <m:type m:val="bar"/>
                </m:fPr>
                <m:num>
                  <m:r>
                    <m:t>V</m:t>
                  </m:r>
                  <m:r>
                    <m:rPr>
                      <m:sty m:val="p"/>
                    </m:rPr>
                    <m:t>−</m:t>
                  </m:r>
                  <m:sSub>
                    <m:e>
                      <m:r>
                        <m:t>V</m:t>
                      </m:r>
                    </m:e>
                    <m:sub>
                      <m:r>
                        <m:t>T</m:t>
                      </m:r>
                    </m:sub>
                  </m:sSub>
                </m:num>
                <m:den>
                  <m:sSub>
                    <m:e>
                      <m:r>
                        <m:t>Δ</m:t>
                      </m:r>
                    </m:e>
                    <m:sub>
                      <m:r>
                        <m:t>T</m:t>
                      </m:r>
                    </m:sub>
                  </m:sSub>
                </m:den>
              </m:f>
            </m:e>
          </m:d>
          <m:r>
            <m:rPr>
              <m:sty m:val="p"/>
            </m:rPr>
            <m:t>−</m:t>
          </m:r>
          <m:r>
            <m:t>w</m:t>
          </m:r>
          <m:r>
            <m:rPr>
              <m:sty m:val="p"/>
            </m:rPr>
            <m:t>+</m:t>
          </m:r>
          <m:r>
            <m:t>I</m:t>
          </m:r>
          <m:d>
            <m:dPr>
              <m:begChr m:val="("/>
              <m:endChr m:val=")"/>
              <m:sepChr m:val=""/>
              <m:grow/>
            </m:dPr>
            <m:e>
              <m:r>
                <m:t>t</m:t>
              </m:r>
            </m:e>
          </m:d>
          <m:r>
            <m:rPr>
              <m:sty m:val="p"/>
            </m:rPr>
            <m:t>,</m:t>
          </m:r>
        </m:oMath>
      </m:oMathPara>
      <m:oMathPara>
        <m:oMathParaPr>
          <m:jc m:val="center"/>
        </m:oMathParaPr>
        <m:oMath>
          <m:sSub>
            <m:e>
              <m:r>
                <m:t>τ</m:t>
              </m:r>
            </m:e>
            <m:sub>
              <m:r>
                <m:t>w</m:t>
              </m:r>
            </m:sub>
          </m:sSub>
          <m:acc>
            <m:accPr>
              <m:chr m:val="̇"/>
            </m:accPr>
            <m:e>
              <m:r>
                <m:t>w</m:t>
              </m:r>
            </m:e>
          </m:acc>
          <m:r>
            <m:rPr>
              <m:sty m:val="p"/>
            </m:rPr>
            <m:t>=</m:t>
          </m:r>
          <m:r>
            <m:t>a</m:t>
          </m:r>
          <m:d>
            <m:dPr>
              <m:begChr m:val="("/>
              <m:endChr m:val=")"/>
              <m:sepChr m:val=""/>
              <m:grow/>
            </m:dPr>
            <m:e>
              <m:r>
                <m:t>V</m:t>
              </m:r>
              <m:r>
                <m:rPr>
                  <m:sty m:val="p"/>
                </m:rPr>
                <m:t>−</m:t>
              </m:r>
              <m:sSub>
                <m:e>
                  <m:r>
                    <m:t>E</m:t>
                  </m:r>
                </m:e>
                <m:sub>
                  <m:r>
                    <m:t>L</m:t>
                  </m:r>
                </m:sub>
              </m:sSub>
            </m:e>
          </m:d>
          <m:r>
            <m:rPr>
              <m:sty m:val="p"/>
            </m:rPr>
            <m:t>−</m:t>
          </m:r>
          <m:r>
            <m:t>w</m:t>
          </m:r>
          <m:r>
            <m:rPr>
              <m:sty m:val="p"/>
            </m:rPr>
            <m:t>.</m:t>
          </m:r>
        </m:oMath>
      </m:oMathPara>
    </w:p>
    <w:p>
      <w:pPr>
        <w:pStyle w:val="FirstParagraph"/>
        <w:keepLines/>
        <w:spacing w:after="64" w:line="254" w:lineRule="auto"/>
        <w:jc w:val="left"/>
      </w:pPr>
      <w:r>
        <w:rPr>
          <w:sz w:val="20"/>
        </w:rPr>
        <w:t xml:space="preserve">AdEx erweitert LIF um exponentielle Spike-Initiation und Adaptation (</w:t>
      </w:r>
      <w:hyperlink w:anchor="ref-Brette2005">
        <w:r>
          <w:rPr>
            <w:rStyle w:val="Hyperlink"/>
          </w:rPr>
          <w:t xml:space="preserve">Brette &amp; Gerstner, 2005</w:t>
        </w:r>
      </w:hyperlink>
      <w:r>
        <w:rPr>
          <w:sz w:val="20"/>
        </w:rPr>
        <w:t xml:space="preserve">). Die Modellablation soll prüfen, ob zentrale Ergebnisse an einer spezifischen intrinsischen Dynamik hängen.</w:t>
      </w:r>
    </w:p>
    <w:bookmarkEnd w:id="265"/>
    <w:bookmarkStart w:id="266" w:name="X99cf3153d39fdd78a84e9d4da224f65f5ee2f05"/>
    <w:p>
      <w:pPr>
        <w:pStyle w:val="Heading3"/>
        <w:keepLines/>
        <w:spacing w:after="100" w:before="160"/>
        <w:jc w:val="left"/>
      </w:pPr>
      <w:r>
        <w:rPr>
          <w:sz w:val="20"/>
        </w:rPr>
        <w:t xml:space="preserve">Eingangsströme, Verzögerungen und Synapsentypen</w:t>
      </w:r>
    </w:p>
    <w:p>
      <w:pPr>
        <w:pStyle w:val="FirstParagraph"/>
        <w:keepLines/>
        <w:spacing w:after="64" w:line="254" w:lineRule="auto"/>
        <w:jc w:val="left"/>
      </w:pPr>
      <w:r>
        <w:rPr>
          <w:sz w:val="20"/>
        </w:rPr>
        <w:t xml:space="preserve">Der Gesamteingang kann geschrieben werden als</w:t>
      </w:r>
    </w:p>
    <w:p>
      <w:pPr>
        <w:pStyle w:val="BodyText"/>
        <w:keepLines/>
        <w:spacing w:after="64" w:line="254" w:lineRule="auto"/>
        <w:jc w:val="left"/>
      </w:pPr>
      <w:r>
        <w:rPr>
          <w:b/>
          <w:bCs/>
          <w:sz w:val="20"/>
        </w:rPr>
        <w:t xml:space="preserve">[MODEL]</w:t>
      </w:r>
    </w:p>
    <w:p>
      <w:pPr>
        <w:pStyle w:val="BodyText"/>
        <w:keepLines/>
        <w:spacing w:after="140" w:before="100" w:line="254" w:lineRule="auto"/>
        <w:jc w:val="center"/>
      </w:pPr>
      <m:oMathPara>
        <m:oMathParaPr>
          <m:jc m:val="center"/>
        </m:oMathParaPr>
        <m:oMath>
          <m:sSub>
            <m:e>
              <m:r>
                <m:t>I</m:t>
              </m:r>
            </m:e>
            <m:sub>
              <m:r>
                <m:t>i</m:t>
              </m:r>
            </m:sub>
          </m:sSub>
          <m:d>
            <m:dPr>
              <m:begChr m:val="("/>
              <m:endChr m:val=")"/>
              <m:sepChr m:val=""/>
              <m:grow/>
            </m:dPr>
            <m:e>
              <m:r>
                <m:t>t</m:t>
              </m:r>
            </m:e>
          </m:d>
          <m:r>
            <m:rPr>
              <m:sty m:val="p"/>
            </m:rPr>
            <m:t>=</m:t>
          </m:r>
          <m:sSubSup>
            <m:e>
              <m:r>
                <m:t>I</m:t>
              </m:r>
            </m:e>
            <m:sub>
              <m:r>
                <m:t>i</m:t>
              </m:r>
            </m:sub>
            <m:sup>
              <m:r>
                <m:t>e</m:t>
              </m:r>
              <m:r>
                <m:t>x</m:t>
              </m:r>
              <m:r>
                <m:t>t</m:t>
              </m:r>
            </m:sup>
          </m:sSubSup>
          <m:d>
            <m:dPr>
              <m:begChr m:val="("/>
              <m:endChr m:val=")"/>
              <m:sepChr m:val=""/>
              <m:grow/>
            </m:dPr>
            <m:e>
              <m:r>
                <m:t>t</m:t>
              </m:r>
            </m:e>
          </m:d>
          <m:r>
            <m:rPr>
              <m:sty m:val="p"/>
            </m:rPr>
            <m:t>+</m:t>
          </m:r>
          <m:nary>
            <m:naryPr>
              <m:chr m:val="∑"/>
              <m:limLoc m:val="undOvr"/>
              <m:subHide m:val="off"/>
              <m:supHide m:val="on"/>
            </m:naryPr>
            <m:sub>
              <m:r>
                <m:t>j</m:t>
              </m:r>
            </m:sub>
            <m:sup>
              <m:r>
                <m:t>​</m:t>
              </m:r>
            </m:sup>
            <m:e>
              <m:sSub>
                <m:e>
                  <m:r>
                    <m:t>w</m:t>
                  </m:r>
                </m:e>
                <m:sub>
                  <m:r>
                    <m:t>j</m:t>
                  </m:r>
                  <m:r>
                    <m:t>i</m:t>
                  </m:r>
                </m:sub>
              </m:sSub>
            </m:e>
          </m:nary>
          <m:d>
            <m:dPr>
              <m:begChr m:val="("/>
              <m:endChr m:val=")"/>
              <m:sepChr m:val=""/>
              <m:grow/>
            </m:dPr>
            <m:e>
              <m:r>
                <m:t>t</m:t>
              </m:r>
            </m:e>
          </m:d>
          <m:sSub>
            <m:e>
              <m:r>
                <m:t>k</m:t>
              </m:r>
            </m:e>
            <m:sub>
              <m:r>
                <m:t>j</m:t>
              </m:r>
              <m:r>
                <m:t>i</m:t>
              </m:r>
            </m:sub>
          </m:sSub>
          <m:d>
            <m:dPr>
              <m:begChr m:val="("/>
              <m:endChr m:val=")"/>
              <m:sepChr m:val=""/>
              <m:grow/>
            </m:dPr>
            <m:e>
              <m:r>
                <m:t>t</m:t>
              </m:r>
              <m:r>
                <m:rPr>
                  <m:sty m:val="p"/>
                </m:rPr>
                <m:t>−</m:t>
              </m:r>
              <m:sSubSup>
                <m:e>
                  <m:r>
                    <m:t>t</m:t>
                  </m:r>
                </m:e>
                <m:sub>
                  <m:r>
                    <m:t>j</m:t>
                  </m:r>
                </m:sub>
                <m:sup>
                  <m:r>
                    <m:t>s</m:t>
                  </m:r>
                  <m:r>
                    <m:t>p</m:t>
                  </m:r>
                  <m:r>
                    <m:t>i</m:t>
                  </m:r>
                  <m:r>
                    <m:t>k</m:t>
                  </m:r>
                  <m:r>
                    <m:t>e</m:t>
                  </m:r>
                </m:sup>
              </m:sSubSup>
              <m:r>
                <m:rPr>
                  <m:sty m:val="p"/>
                </m:rPr>
                <m:t>−</m:t>
              </m:r>
              <m:sSub>
                <m:e>
                  <m:r>
                    <m:t>δ</m:t>
                  </m:r>
                </m:e>
                <m:sub>
                  <m:r>
                    <m:t>j</m:t>
                  </m:r>
                  <m:r>
                    <m:t>i</m:t>
                  </m:r>
                </m:sub>
              </m:sSub>
            </m:e>
          </m:d>
          <m:r>
            <m:rPr>
              <m:sty m:val="p"/>
            </m:rPr>
            <m:t>+</m:t>
          </m:r>
          <m:sSubSup>
            <m:e>
              <m:r>
                <m:t>I</m:t>
              </m:r>
            </m:e>
            <m:sub>
              <m:r>
                <m:t>i</m:t>
              </m:r>
            </m:sub>
            <m:sup>
              <m:r>
                <m:t>m</m:t>
              </m:r>
              <m:r>
                <m:t>o</m:t>
              </m:r>
              <m:r>
                <m:t>d</m:t>
              </m:r>
            </m:sup>
          </m:sSubSup>
          <m:d>
            <m:dPr>
              <m:begChr m:val="("/>
              <m:endChr m:val=")"/>
              <m:sepChr m:val=""/>
              <m:grow/>
            </m:dPr>
            <m:e>
              <m:r>
                <m:t>t</m:t>
              </m:r>
            </m:e>
          </m:d>
          <m:r>
            <m:rPr>
              <m:sty m:val="p"/>
            </m:rPr>
            <m:t>+</m:t>
          </m:r>
          <m:sSub>
            <m:e>
              <m:r>
                <m:t>η</m:t>
              </m:r>
            </m:e>
            <m:sub>
              <m:r>
                <m:t>i</m:t>
              </m:r>
            </m:sub>
          </m:sSub>
          <m:d>
            <m:dPr>
              <m:begChr m:val="("/>
              <m:endChr m:val=")"/>
              <m:sepChr m:val=""/>
              <m:grow/>
            </m:dPr>
            <m:e>
              <m:r>
                <m:t>t</m:t>
              </m:r>
            </m:e>
          </m:d>
          <m:r>
            <m:rPr>
              <m:sty m:val="p"/>
            </m:rPr>
            <m:t>,</m:t>
          </m:r>
        </m:oMath>
      </m:oMathPara>
    </w:p>
    <w:p>
      <w:pPr>
        <w:pStyle w:val="FirstParagraph"/>
        <w:keepLines/>
        <w:spacing w:after="64" w:line="254" w:lineRule="auto"/>
        <w:jc w:val="left"/>
      </w:pPr>
      <w:r>
        <w:rPr>
          <w:sz w:val="20"/>
        </w:rPr>
        <w:t xml:space="preserve">mit synaptischem Kernel</w:t>
      </w:r>
      <w:r>
        <w:rPr>
          <w:sz w:val="20"/>
        </w:rPr>
        <w:t xml:space="preserve"> </w:t>
      </w:r>
      <m:oMath>
        <m:r>
          <m:t>k</m:t>
        </m:r>
      </m:oMath>
      <w:r>
        <w:rPr>
          <w:sz w:val="20"/>
        </w:rPr>
        <w:t xml:space="preserve">, Verzögerung</w:t>
      </w:r>
      <w:r>
        <w:rPr>
          <w:sz w:val="20"/>
        </w:rPr>
        <w:t xml:space="preserve"> </w:t>
      </w:r>
      <m:oMath>
        <m:r>
          <m:t>δ</m:t>
        </m:r>
      </m:oMath>
      <w:r>
        <w:rPr>
          <w:sz w:val="20"/>
        </w:rPr>
        <w:t xml:space="preserve">, modulatorischem Eingang und Rauschen</w:t>
      </w:r>
      <w:r>
        <w:rPr>
          <w:sz w:val="20"/>
        </w:rPr>
        <w:t xml:space="preserve"> </w:t>
      </w:r>
      <m:oMath>
        <m:r>
          <m:t>η</m:t>
        </m:r>
      </m:oMath>
      <w:r>
        <w:rPr>
          <w:sz w:val="20"/>
        </w:rPr>
        <w:t xml:space="preserve">. Exzitatorische und inhibitorische Wirkungen werden nicht nur durch Vorzeichen, sondern vorzugsweise durch typisierte Synapsen und getrennte Grenzwerte repräsentiert. Dale-artige Beschränkungen können als Versuchsbedingung aktiviert werden.</w:t>
      </w:r>
    </w:p>
    <w:bookmarkEnd w:id="266"/>
    <w:bookmarkStart w:id="267" w:name="populationsstabilität-und-ei-balance"/>
    <w:p>
      <w:pPr>
        <w:pStyle w:val="Heading3"/>
        <w:keepLines/>
        <w:spacing w:after="100" w:before="160"/>
        <w:jc w:val="left"/>
      </w:pPr>
      <w:r>
        <w:rPr>
          <w:sz w:val="20"/>
        </w:rPr>
        <w:t xml:space="preserve">Populationsstabilität und E/I-Balance</w:t>
      </w:r>
    </w:p>
    <w:p>
      <w:pPr>
        <w:pStyle w:val="FirstParagraph"/>
        <w:keepLines/>
        <w:spacing w:after="64" w:line="254" w:lineRule="auto"/>
        <w:jc w:val="left"/>
      </w:pPr>
      <w:r>
        <w:rPr>
          <w:sz w:val="20"/>
        </w:rPr>
        <w:t xml:space="preserve">Ein einfacher E/I-Index</w:t>
      </w:r>
    </w:p>
    <w:p>
      <w:pPr>
        <w:pStyle w:val="BodyText"/>
        <w:keepLines/>
        <w:spacing w:after="140" w:before="100" w:line="254" w:lineRule="auto"/>
        <w:jc w:val="center"/>
      </w:pPr>
      <m:oMathPara>
        <m:oMathParaPr>
          <m:jc m:val="center"/>
        </m:oMathParaPr>
        <m:oMath>
          <m:sSub>
            <m:e>
              <m:r>
                <m:t>B</m:t>
              </m:r>
            </m:e>
            <m:sub>
              <m:r>
                <m:t>E</m:t>
              </m:r>
              <m:r>
                <m:t>I</m:t>
              </m:r>
            </m:sub>
          </m:sSub>
          <m:d>
            <m:dPr>
              <m:begChr m:val="("/>
              <m:endChr m:val=")"/>
              <m:sepChr m:val=""/>
              <m:grow/>
            </m:dPr>
            <m:e>
              <m:r>
                <m:t>t</m:t>
              </m:r>
            </m:e>
          </m:d>
          <m:r>
            <m:rPr>
              <m:sty m:val="p"/>
            </m:rPr>
            <m:t>=</m:t>
          </m:r>
          <m:f>
            <m:fPr>
              <m:type m:val="bar"/>
            </m:fPr>
            <m:num>
              <m:nary>
                <m:naryPr>
                  <m:chr m:val="∑"/>
                  <m:limLoc m:val="undOvr"/>
                  <m:subHide m:val="off"/>
                  <m:supHide m:val="on"/>
                </m:naryPr>
                <m:sub>
                  <m:d>
                    <m:dPr>
                      <m:begChr m:val="("/>
                      <m:endChr m:val=")"/>
                      <m:sepChr m:val=""/>
                      <m:grow/>
                    </m:dPr>
                    <m:e>
                      <m:r>
                        <m:t>i</m:t>
                      </m:r>
                      <m:r>
                        <m:rPr>
                          <m:sty m:val="p"/>
                        </m:rPr>
                        <m:t>,</m:t>
                      </m:r>
                      <m:r>
                        <m:t>j</m:t>
                      </m:r>
                    </m:e>
                  </m:d>
                  <m:r>
                    <m:rPr>
                      <m:sty m:val="p"/>
                    </m:rPr>
                    <m:t>∈</m:t>
                  </m:r>
                  <m:sSub>
                    <m:e>
                      <m:r>
                        <m:t>E</m:t>
                      </m:r>
                    </m:e>
                    <m:sub>
                      <m:r>
                        <m:t>e</m:t>
                      </m:r>
                      <m:r>
                        <m:t>x</m:t>
                      </m:r>
                      <m:r>
                        <m:t>c</m:t>
                      </m:r>
                    </m:sub>
                  </m:sSub>
                </m:sub>
                <m:sup>
                  <m:r>
                    <m:t>​</m:t>
                  </m:r>
                </m:sup>
                <m:e>
                  <m:r>
                    <m:t>∣</m:t>
                  </m:r>
                  <m:sSub>
                    <m:e>
                      <m:r>
                        <m:t>w</m:t>
                      </m:r>
                    </m:e>
                    <m:sub>
                      <m:r>
                        <m:t>i</m:t>
                      </m:r>
                      <m:r>
                        <m:t>j</m:t>
                      </m:r>
                    </m:sub>
                  </m:sSub>
                  <m:d>
                    <m:dPr>
                      <m:begChr m:val="("/>
                      <m:endChr m:val=")"/>
                      <m:sepChr m:val=""/>
                      <m:grow/>
                    </m:dPr>
                    <m:e>
                      <m:r>
                        <m:t>t</m:t>
                      </m:r>
                    </m:e>
                  </m:d>
                  <m:r>
                    <m:t>∣</m:t>
                  </m:r>
                </m:e>
              </m:nary>
            </m:num>
            <m:den>
              <m:nary>
                <m:naryPr>
                  <m:chr m:val="∑"/>
                  <m:limLoc m:val="undOvr"/>
                  <m:subHide m:val="off"/>
                  <m:supHide m:val="on"/>
                </m:naryPr>
                <m:sub>
                  <m:d>
                    <m:dPr>
                      <m:begChr m:val="("/>
                      <m:endChr m:val=")"/>
                      <m:sepChr m:val=""/>
                      <m:grow/>
                    </m:dPr>
                    <m:e>
                      <m:r>
                        <m:t>i</m:t>
                      </m:r>
                      <m:r>
                        <m:rPr>
                          <m:sty m:val="p"/>
                        </m:rPr>
                        <m:t>,</m:t>
                      </m:r>
                      <m:r>
                        <m:t>j</m:t>
                      </m:r>
                    </m:e>
                  </m:d>
                  <m:r>
                    <m:rPr>
                      <m:sty m:val="p"/>
                    </m:rPr>
                    <m:t>∈</m:t>
                  </m:r>
                  <m:sSub>
                    <m:e>
                      <m:r>
                        <m:t>E</m:t>
                      </m:r>
                    </m:e>
                    <m:sub>
                      <m:r>
                        <m:t>i</m:t>
                      </m:r>
                      <m:r>
                        <m:t>n</m:t>
                      </m:r>
                      <m:r>
                        <m:t>h</m:t>
                      </m:r>
                    </m:sub>
                  </m:sSub>
                </m:sub>
                <m:sup>
                  <m:r>
                    <m:t>​</m:t>
                  </m:r>
                </m:sup>
                <m:e>
                  <m:r>
                    <m:t>∣</m:t>
                  </m:r>
                  <m:sSub>
                    <m:e>
                      <m:r>
                        <m:t>w</m:t>
                      </m:r>
                    </m:e>
                    <m:sub>
                      <m:r>
                        <m:t>i</m:t>
                      </m:r>
                      <m:r>
                        <m:t>j</m:t>
                      </m:r>
                    </m:sub>
                  </m:sSub>
                  <m:d>
                    <m:dPr>
                      <m:begChr m:val="("/>
                      <m:endChr m:val=")"/>
                      <m:sepChr m:val=""/>
                      <m:grow/>
                    </m:dPr>
                    <m:e>
                      <m:r>
                        <m:t>t</m:t>
                      </m:r>
                    </m:e>
                  </m:d>
                  <m:r>
                    <m:t>∣</m:t>
                  </m:r>
                </m:e>
              </m:nary>
              <m:r>
                <m:rPr>
                  <m:sty m:val="p"/>
                </m:rPr>
                <m:t>+</m:t>
              </m:r>
              <m:r>
                <m:t>ϵ</m:t>
              </m:r>
            </m:den>
          </m:f>
        </m:oMath>
      </m:oMathPara>
    </w:p>
    <w:p>
      <w:pPr>
        <w:pStyle w:val="FirstParagraph"/>
        <w:keepLines/>
        <w:spacing w:after="64" w:line="254" w:lineRule="auto"/>
        <w:jc w:val="left"/>
      </w:pPr>
      <w:r>
        <w:rPr>
          <w:sz w:val="20"/>
        </w:rPr>
        <w:t xml:space="preserve">ist nur eine grobe Strukturmetrik. Funktionale Balance betrifft zeitabhängige Ströme, Korrelationen und Netzwerkrückkopplungen. Balancierte Netze können irreguläre Aktivität erzeugen (</w:t>
      </w:r>
      <w:hyperlink w:anchor="ref-Brunel2000">
        <w:r>
          <w:rPr>
            <w:rStyle w:val="Hyperlink"/>
          </w:rPr>
          <w:t xml:space="preserve">Brunel, 2000</w:t>
        </w:r>
      </w:hyperlink>
      <w:r>
        <w:rPr>
          <w:sz w:val="20"/>
        </w:rPr>
        <w:t xml:space="preserve">;</w:t>
      </w:r>
      <w:r>
        <w:rPr>
          <w:sz w:val="20"/>
        </w:rPr>
        <w:t xml:space="preserve"> </w:t>
      </w:r>
      <w:hyperlink w:anchor="ref-VanVreeswijk1996">
        <w:r>
          <w:rPr>
            <w:rStyle w:val="Hyperlink"/>
          </w:rPr>
          <w:t xml:space="preserve">Vreeswijk &amp; Sompolinsky, 1996</w:t>
        </w:r>
      </w:hyperlink>
      <w:r>
        <w:rPr>
          <w:sz w:val="20"/>
        </w:rPr>
        <w:t xml:space="preserve">); ein einzelnes Gewichtsverhältnis genügt nicht als Nachweis.</w:t>
      </w:r>
    </w:p>
    <w:bookmarkEnd w:id="267"/>
    <w:bookmarkEnd w:id="268"/>
    <w:bookmarkEnd w:id="269"/>
    <w:bookmarkStart w:id="286" w:name="X1eab3501359f86ef7fd7ac0c1f4f95cd5a56072"/>
    <w:p>
      <w:bookmarkStart w:id="10020" w:name="B5D_H020"/>
      <w:pPr>
        <w:pStyle w:val="Heading1"/>
      </w:pPr>
      <w:r>
        <w:t xml:space="preserve">17. Plastizität, Homeostase und struktureller Wandel</w:t>
      </w:r>
      <w:bookmarkEnd w:id="10020"/>
    </w:p>
    <w:bookmarkStart w:id="277" w:name="X38f2ac30b33742ac18f884d42a829f7b9103fe1"/>
    <w:p>
      <w:pPr>
        <w:pStyle w:val="Heading2"/>
        <w:spacing w:before="160"/>
      </w:pPr>
      <w:r>
        <w:t xml:space="preserve">Synaptische, modulatorische und intrinsische Plastizität</w:t>
      </w:r>
    </w:p>
    <w:bookmarkStart w:id="270" w:name="pair-based-stdp"/>
    <w:p>
      <w:pPr>
        <w:pStyle w:val="Heading3"/>
        <w:keepLines/>
        <w:spacing w:after="120" w:before="160"/>
        <w:jc w:val="left"/>
      </w:pPr>
      <w:r>
        <w:rPr>
          <w:sz w:val="20"/>
        </w:rPr>
        <w:t xml:space="preserve">Pair-based STDP</w:t>
      </w:r>
    </w:p>
    <w:p>
      <w:pPr>
        <w:pStyle w:val="FirstParagraph"/>
        <w:keepLines/>
        <w:spacing w:after="64" w:line="254" w:lineRule="auto"/>
        <w:jc w:val="left"/>
      </w:pPr>
      <w:r>
        <w:rPr>
          <w:b/>
          <w:bCs/>
          <w:sz w:val="20"/>
        </w:rPr>
        <w:t xml:space="preserve">[MODEL]</w:t>
      </w:r>
      <w:r>
        <w:rPr>
          <w:sz w:val="20"/>
        </w:rPr>
        <w:t xml:space="preserve"> </w:t>
      </w:r>
      <w:r>
        <w:rPr>
          <w:sz w:val="20"/>
        </w:rPr>
        <w:t xml:space="preserve">Für</w:t>
      </w:r>
      <w:r>
        <w:rPr>
          <w:sz w:val="20"/>
        </w:rPr>
        <w:t xml:space="preserve"> </w:t>
      </w:r>
      <m:oMath>
        <m:r>
          <m:t>Δ</m:t>
        </m:r>
        <m:r>
          <m:t>t</m:t>
        </m:r>
        <m:r>
          <m:rPr>
            <m:sty m:val="p"/>
          </m:rPr>
          <m:t>=</m:t>
        </m:r>
        <m:sSub>
          <m:e>
            <m:r>
              <m:t>t</m:t>
            </m:r>
          </m:e>
          <m:sub>
            <m:r>
              <m:t>p</m:t>
            </m:r>
            <m:r>
              <m:t>o</m:t>
            </m:r>
            <m:r>
              <m:t>s</m:t>
            </m:r>
            <m:r>
              <m:t>t</m:t>
            </m:r>
          </m:sub>
        </m:sSub>
        <m:r>
          <m:rPr>
            <m:sty m:val="p"/>
          </m:rPr>
          <m:t>−</m:t>
        </m:r>
        <m:sSub>
          <m:e>
            <m:r>
              <m:t>t</m:t>
            </m:r>
          </m:e>
          <m:sub>
            <m:r>
              <m:t>p</m:t>
            </m:r>
            <m:r>
              <m:t>r</m:t>
            </m:r>
            <m:r>
              <m:t>e</m:t>
            </m:r>
          </m:sub>
        </m:sSub>
      </m:oMath>
      <w:r>
        <w:rPr>
          <w:sz w:val="20"/>
        </w:rPr>
        <w:t xml:space="preserve">:</w:t>
      </w:r>
    </w:p>
    <w:p>
      <w:pPr>
        <w:pStyle w:val="BodyText"/>
        <w:keepLines/>
        <w:spacing w:after="64" w:line="254" w:lineRule="auto"/>
        <w:jc w:val="left"/>
      </w:pPr>
      <w:r>
        <w:rPr>
          <w:b/>
          <w:bCs/>
          <w:sz w:val="20"/>
        </w:rPr>
        <w:t xml:space="preserve">[MODEL | redaktionelle Ergänzung]</w:t>
      </w:r>
      <w:r>
        <w:rPr>
          <w:sz w:val="20"/>
        </w:rPr>
        <w:t xml:space="preserve"> </w:t>
      </w:r>
      <w:r>
        <w:rPr>
          <w:sz w:val="20"/>
        </w:rPr>
        <w:t xml:space="preserve">Die Originalformel in K1 endet an dieser Stelle mit „Delta w =“ und enthält keine rechte Seite. Als explizite Ergänzung wird folgende konventionelle Familie paarbasierter STDP-Regeln beschrieben; sie rekonstruiert keinen nachgewiesenen Brain-5D-Codepfad. Die positive und negative Timing-Abhängigkeit wird in K1 mit Bi und Poo (1998), Markram et al. (1997) und Song et al. (2000) eingeordnet.</w:t>
      </w:r>
    </w:p>
    <w:p>
      <w:pPr>
        <w:pStyle w:val="BodyText"/>
        <w:keepLines/>
        <w:spacing w:after="64" w:before="100" w:line="254" w:lineRule="auto"/>
        <w:jc w:val="center"/>
      </w:pPr>
      <m:oMathPara>
        <m:oMathParaPr>
          <m:jc m:val="center"/>
        </m:oMathParaPr>
        <m:oMath>
          <m:r>
            <m:t>Δ</m:t>
          </m:r>
          <m:r>
            <m:t>w</m:t>
          </m:r>
          <m:d>
            <m:dPr>
              <m:begChr m:val="("/>
              <m:endChr m:val=")"/>
              <m:sepChr m:val=""/>
              <m:grow/>
            </m:dPr>
            <m:e>
              <m:r>
                <m:t>Δ</m:t>
              </m:r>
              <m:r>
                <m:t>t</m:t>
              </m:r>
            </m:e>
          </m:d>
          <m:r>
            <m:rPr>
              <m:sty m:val="p"/>
            </m:rPr>
            <m:t>=</m:t>
          </m:r>
          <m:sSub>
            <m:e>
              <m:r>
                <m:t>A</m:t>
              </m:r>
            </m:e>
            <m:sub>
              <m:r>
                <m:t>p</m:t>
              </m:r>
            </m:sub>
          </m:sSub>
          <m:r>
            <m:rPr>
              <m:sty m:val="p"/>
            </m:rPr>
            <m:t>exp</m:t>
          </m:r>
          <m:d>
            <m:dPr>
              <m:begChr m:val="("/>
              <m:endChr m:val=")"/>
              <m:sepChr m:val=""/>
              <m:grow/>
            </m:dPr>
            <m:e>
              <m:r>
                <m:rPr>
                  <m:sty m:val="p"/>
                </m:rPr>
                <m:t>−</m:t>
              </m:r>
              <m:r>
                <m:t>Δ</m:t>
              </m:r>
              <m:r>
                <m:t>t</m:t>
              </m:r>
              <m:r>
                <m:rPr>
                  <m:sty m:val="p"/>
                </m:rPr>
                <m:t>/</m:t>
              </m:r>
              <m:sSub>
                <m:e>
                  <m:r>
                    <m:t>τ</m:t>
                  </m:r>
                </m:e>
                <m:sub>
                  <m:r>
                    <m:t>p</m:t>
                  </m:r>
                </m:sub>
              </m:sSub>
            </m:e>
          </m:d>
          <m:r>
            <m:rPr>
              <m:sty m:val="p"/>
            </m:rPr>
            <m:t>,</m:t>
          </m:r>
          <m:r>
            <m:t>  </m:t>
          </m:r>
          <m:r>
            <m:t>Δ</m:t>
          </m:r>
          <m:r>
            <m:t>t</m:t>
          </m:r>
          <m:r>
            <m:rPr>
              <m:sty m:val="p"/>
            </m:rPr>
            <m:t>&gt;</m:t>
          </m:r>
          <m:r>
            <m:t>0</m:t>
          </m:r>
        </m:oMath>
      </m:oMathPara>
      <m:oMathPara>
        <m:oMathParaPr>
          <m:jc m:val="center"/>
        </m:oMathParaPr>
        <m:oMath>
          <m:r>
            <m:t>Δ</m:t>
          </m:r>
          <m:r>
            <m:t>w</m:t>
          </m:r>
          <m:d>
            <m:dPr>
              <m:begChr m:val="("/>
              <m:endChr m:val=")"/>
              <m:sepChr m:val=""/>
              <m:grow/>
            </m:dPr>
            <m:e>
              <m:r>
                <m:t>Δ</m:t>
              </m:r>
              <m:r>
                <m:t>t</m:t>
              </m:r>
            </m:e>
          </m:d>
          <m:r>
            <m:rPr>
              <m:sty m:val="p"/>
            </m:rPr>
            <m:t>=</m:t>
          </m:r>
          <m:r>
            <m:rPr>
              <m:sty m:val="p"/>
            </m:rPr>
            <m:t>−</m:t>
          </m:r>
          <m:sSub>
            <m:e>
              <m:r>
                <m:t>A</m:t>
              </m:r>
            </m:e>
            <m:sub>
              <m:r>
                <m:t>d</m:t>
              </m:r>
            </m:sub>
          </m:sSub>
          <m:r>
            <m:rPr>
              <m:sty m:val="p"/>
            </m:rPr>
            <m:t>exp</m:t>
          </m:r>
          <m:d>
            <m:dPr>
              <m:begChr m:val="("/>
              <m:endChr m:val=")"/>
              <m:sepChr m:val=""/>
              <m:grow/>
            </m:dPr>
            <m:e>
              <m:r>
                <m:t>Δ</m:t>
              </m:r>
              <m:r>
                <m:t>t</m:t>
              </m:r>
              <m:r>
                <m:rPr>
                  <m:sty m:val="p"/>
                </m:rPr>
                <m:t>/</m:t>
              </m:r>
              <m:sSub>
                <m:e>
                  <m:r>
                    <m:t>τ</m:t>
                  </m:r>
                </m:e>
                <m:sub>
                  <m:r>
                    <m:t>d</m:t>
                  </m:r>
                </m:sub>
              </m:sSub>
            </m:e>
          </m:d>
          <m:r>
            <m:rPr>
              <m:sty m:val="p"/>
            </m:rPr>
            <m:t>,</m:t>
          </m:r>
          <m:r>
            <m:t>  </m:t>
          </m:r>
          <m:r>
            <m:t>Δ</m:t>
          </m:r>
          <m:r>
            <m:t>t</m:t>
          </m:r>
          <m:r>
            <m:rPr>
              <m:sty m:val="p"/>
            </m:rPr>
            <m:t>&lt;</m:t>
          </m:r>
          <m:r>
            <m:t>0</m:t>
          </m:r>
        </m:oMath>
      </m:oMathPara>
    </w:p>
    <w:p>
      <w:pPr>
        <w:pStyle w:val="FirstParagraph"/>
        <w:keepLines/>
        <w:spacing w:after="64" w:line="254" w:lineRule="auto"/>
        <w:jc w:val="left"/>
      </w:pPr>
      <w:r>
        <w:rPr>
          <w:sz w:val="20"/>
        </w:rPr>
        <w:t xml:space="preserve">Dabei sind</w:t>
      </w:r>
      <w:r>
        <w:rPr>
          <w:sz w:val="20"/>
        </w:rPr>
        <w:t xml:space="preserve"> </w:t>
      </w:r>
      <m:oMath>
        <m:sSub>
          <m:e>
            <m:r>
              <m:t>A</m:t>
            </m:r>
          </m:e>
          <m:sub>
            <m:r>
              <m:t>p</m:t>
            </m:r>
          </m:sub>
        </m:sSub>
        <m:r>
          <m:rPr>
            <m:sty m:val="p"/>
          </m:rPr>
          <m:t>,</m:t>
        </m:r>
        <m:sSub>
          <m:e>
            <m:r>
              <m:t>A</m:t>
            </m:r>
          </m:e>
          <m:sub>
            <m:r>
              <m:t>d</m:t>
            </m:r>
          </m:sub>
        </m:sSub>
        <m:r>
          <m:rPr>
            <m:sty m:val="p"/>
          </m:rPr>
          <m:t>,</m:t>
        </m:r>
        <m:sSub>
          <m:e>
            <m:r>
              <m:t>τ</m:t>
            </m:r>
          </m:e>
          <m:sub>
            <m:r>
              <m:t>p</m:t>
            </m:r>
          </m:sub>
        </m:sSub>
        <m:r>
          <m:rPr>
            <m:sty m:val="p"/>
          </m:rPr>
          <m:t>,</m:t>
        </m:r>
        <m:sSub>
          <m:e>
            <m:r>
              <m:t>τ</m:t>
            </m:r>
          </m:e>
          <m:sub>
            <m:r>
              <m:t>d</m:t>
            </m:r>
          </m:sub>
        </m:sSub>
        <m:r>
          <m:rPr>
            <m:sty m:val="p"/>
          </m:rPr>
          <m:t>&gt;</m:t>
        </m:r>
        <m:r>
          <m:t>0</m:t>
        </m:r>
      </m:oMath>
      <w:r>
        <w:rPr>
          <w:sz w:val="20"/>
        </w:rPr>
        <w:t xml:space="preserve">;</w:t>
      </w:r>
      <w:r>
        <w:rPr>
          <w:sz w:val="20"/>
        </w:rPr>
        <w:t xml:space="preserve"> </w:t>
      </w:r>
      <m:oMath>
        <m:r>
          <m:t>Δ</m:t>
        </m:r>
        <m:r>
          <m:t>t</m:t>
        </m:r>
        <m:r>
          <m:rPr>
            <m:sty m:val="p"/>
          </m:rPr>
          <m:t>=</m:t>
        </m:r>
        <m:sSub>
          <m:e>
            <m:r>
              <m:t>t</m:t>
            </m:r>
          </m:e>
          <m:sub>
            <m:r>
              <m:t>p</m:t>
            </m:r>
            <m:r>
              <m:t>o</m:t>
            </m:r>
            <m:r>
              <m:t>s</m:t>
            </m:r>
            <m:r>
              <m:t>t</m:t>
            </m:r>
          </m:sub>
        </m:sSub>
        <m:r>
          <m:rPr>
            <m:sty m:val="p"/>
          </m:rPr>
          <m:t>−</m:t>
        </m:r>
        <m:sSub>
          <m:e>
            <m:r>
              <m:t>t</m:t>
            </m:r>
          </m:e>
          <m:sub>
            <m:r>
              <m:t>p</m:t>
            </m:r>
            <m:r>
              <m:t>r</m:t>
            </m:r>
            <m:r>
              <m:t>e</m:t>
            </m:r>
          </m:sub>
        </m:sSub>
      </m:oMath>
      <w:r>
        <w:rPr>
          <w:sz w:val="20"/>
        </w:rPr>
        <w:t xml:space="preserve"> </w:t>
      </w:r>
      <w:r>
        <w:rPr>
          <w:sz w:val="20"/>
        </w:rPr>
        <w:t xml:space="preserve">folgt der vorstehenden Vorzeichenkonvention.</w:t>
      </w:r>
      <w:r>
        <w:rPr>
          <w:sz w:val="20"/>
        </w:rPr>
        <w:t xml:space="preserve"> </w:t>
      </w:r>
      <m:oMath>
        <m:r>
          <m:t>p</m:t>
        </m:r>
      </m:oMath>
      <w:r>
        <w:rPr>
          <w:sz w:val="20"/>
        </w:rPr>
        <w:t xml:space="preserve"> </w:t>
      </w:r>
      <w:r>
        <w:rPr>
          <w:sz w:val="20"/>
        </w:rPr>
        <w:t xml:space="preserve">bezeichnet die potentiierende,</w:t>
      </w:r>
      <w:r>
        <w:rPr>
          <w:sz w:val="20"/>
        </w:rPr>
        <w:t xml:space="preserve"> </w:t>
      </w:r>
      <m:oMath>
        <m:r>
          <m:t>d</m:t>
        </m:r>
      </m:oMath>
      <w:r>
        <w:rPr>
          <w:sz w:val="20"/>
        </w:rPr>
        <w:t xml:space="preserve"> </w:t>
      </w:r>
      <w:r>
        <w:rPr>
          <w:sz w:val="20"/>
        </w:rPr>
        <w:t xml:space="preserve">die deprimierende Komponente. Der Fall gleichzeitiger Ereignisse muss im Protokoll festgelegt werden; eine Nulländerung bei</w:t>
      </w:r>
      <w:r>
        <w:rPr>
          <w:sz w:val="20"/>
        </w:rPr>
        <w:t xml:space="preserve"> </w:t>
      </w:r>
      <m:oMath>
        <m:r>
          <m:t>Δ</m:t>
        </m:r>
        <m:r>
          <m:t>t</m:t>
        </m:r>
        <m:r>
          <m:rPr>
            <m:sty m:val="p"/>
          </m:rPr>
          <m:t>=</m:t>
        </m:r>
        <m:r>
          <m:t>0</m:t>
        </m:r>
      </m:oMath>
      <w:r>
        <w:rPr>
          <w:sz w:val="20"/>
        </w:rPr>
        <w:t xml:space="preserve"> </w:t>
      </w:r>
      <w:r>
        <w:rPr>
          <w:sz w:val="20"/>
        </w:rPr>
        <w:t xml:space="preserve">wäre eine zulässige Modellkonvention, keine biologische Allgemeinregel. Paarbildung, Mehrfachspikes, Gewichtsschranken und Update-Reihenfolge bleiben eigenständige Festlegungen. Diese Ergänzung beansprucht keine empirische Bestätigung der Projektimplementierung.</w:t>
      </w:r>
    </w:p>
    <w:p>
      <w:pPr>
        <w:pStyle w:val="BodyText"/>
        <w:keepLines/>
        <w:spacing w:after="64" w:line="254" w:lineRule="auto"/>
        <w:jc w:val="left"/>
      </w:pPr>
      <w:r>
        <w:rPr>
          <w:sz w:val="20"/>
        </w:rPr>
        <w:t xml:space="preserve">Die Form abstrahiert experimentell beobachtete timingabhängige Änderungen (</w:t>
      </w:r>
      <w:hyperlink w:anchor="ref-Bi1998">
        <w:r>
          <w:rPr>
            <w:rStyle w:val="Hyperlink"/>
          </w:rPr>
          <w:t xml:space="preserve">Bi &amp; Poo, 1998</w:t>
        </w:r>
      </w:hyperlink>
      <w:r>
        <w:rPr>
          <w:sz w:val="20"/>
        </w:rPr>
        <w:t xml:space="preserve">;</w:t>
      </w:r>
      <w:r>
        <w:rPr>
          <w:sz w:val="20"/>
        </w:rPr>
        <w:t xml:space="preserve"> </w:t>
      </w:r>
      <w:hyperlink w:anchor="ref-Markram1997">
        <w:r>
          <w:rPr>
            <w:rStyle w:val="Hyperlink"/>
          </w:rPr>
          <w:t xml:space="preserve">Markram et al., 1997</w:t>
        </w:r>
      </w:hyperlink>
      <w:r>
        <w:rPr>
          <w:sz w:val="20"/>
        </w:rPr>
        <w:t xml:space="preserve">). Sie ist nicht universell: Zelltyp, Frequenz, Spannung, Kalzium und Spike-Triplets können die Regel verändern (</w:t>
      </w:r>
      <w:hyperlink w:anchor="ref-Clopath2010">
        <w:r>
          <w:rPr>
            <w:rStyle w:val="Hyperlink"/>
          </w:rPr>
          <w:t xml:space="preserve">Clopath et al., 2010</w:t>
        </w:r>
      </w:hyperlink>
      <w:r>
        <w:rPr>
          <w:sz w:val="20"/>
        </w:rPr>
        <w:t xml:space="preserve">;</w:t>
      </w:r>
      <w:r>
        <w:rPr>
          <w:sz w:val="20"/>
        </w:rPr>
        <w:t xml:space="preserve"> </w:t>
      </w:r>
      <w:hyperlink w:anchor="ref-Graupner2012">
        <w:r>
          <w:rPr>
            <w:rStyle w:val="Hyperlink"/>
          </w:rPr>
          <w:t xml:space="preserve">Graupner &amp; Brunel, 2012</w:t>
        </w:r>
      </w:hyperlink>
      <w:r>
        <w:rPr>
          <w:sz w:val="20"/>
        </w:rPr>
        <w:t xml:space="preserve">;</w:t>
      </w:r>
      <w:r>
        <w:rPr>
          <w:sz w:val="20"/>
        </w:rPr>
        <w:t xml:space="preserve"> </w:t>
      </w:r>
      <w:hyperlink w:anchor="ref-Pfister2006">
        <w:r>
          <w:rPr>
            <w:rStyle w:val="Hyperlink"/>
          </w:rPr>
          <w:t xml:space="preserve">Pfister &amp; Gerstner, 2006</w:t>
        </w:r>
      </w:hyperlink>
      <w:r>
        <w:rPr>
          <w:sz w:val="20"/>
        </w:rPr>
        <w:t xml:space="preserve">).</w:t>
      </w:r>
    </w:p>
    <w:bookmarkEnd w:id="270"/>
    <w:bookmarkStart w:id="271" w:name="gewichtsgrenzen-und-soft-bounds"/>
    <w:p>
      <w:pPr>
        <w:pStyle w:val="Heading3"/>
        <w:keepLines/>
        <w:spacing w:after="120" w:before="160"/>
        <w:jc w:val="left"/>
      </w:pPr>
      <w:r>
        <w:rPr>
          <w:sz w:val="20"/>
        </w:rPr>
        <w:t xml:space="preserve">Gewichtsgrenzen und Soft Bounds</w:t>
      </w:r>
    </w:p>
    <w:p>
      <w:pPr>
        <w:pStyle w:val="FirstParagraph"/>
        <w:keepLines/>
        <w:spacing w:after="64" w:line="254" w:lineRule="auto"/>
        <w:jc w:val="left"/>
      </w:pPr>
      <w:r>
        <w:rPr>
          <w:sz w:val="20"/>
        </w:rPr>
        <w:t xml:space="preserve">Harte Begrenzung lautet</w:t>
      </w:r>
    </w:p>
    <w:p>
      <w:pPr>
        <w:pStyle w:val="BodyText"/>
        <w:keepLines/>
        <w:spacing w:after="64" w:before="100" w:line="254" w:lineRule="auto"/>
        <w:jc w:val="center"/>
      </w:pPr>
      <m:oMathPara>
        <m:oMathParaPr>
          <m:jc m:val="center"/>
        </m:oMathParaPr>
        <m:oMath>
          <m:sSub>
            <m:e>
              <m:r>
                <m:t>w</m:t>
              </m:r>
            </m:e>
            <m:sub>
              <m:r>
                <m:t>i</m:t>
              </m:r>
              <m:r>
                <m:t>j</m:t>
              </m:r>
            </m:sub>
          </m:sSub>
          <m:r>
            <m:rPr>
              <m:sty m:val="p"/>
            </m:rPr>
            <m:t>←</m:t>
          </m:r>
          <m:r>
            <m:t>c</m:t>
          </m:r>
          <m:r>
            <m:t>l</m:t>
          </m:r>
          <m:r>
            <m:t>i</m:t>
          </m:r>
          <m:r>
            <m:t>p</m:t>
          </m:r>
          <m:d>
            <m:dPr>
              <m:begChr m:val="("/>
              <m:endChr m:val=")"/>
              <m:sepChr m:val=""/>
              <m:grow/>
            </m:dPr>
            <m:e>
              <m:sSub>
                <m:e>
                  <m:r>
                    <m:t>w</m:t>
                  </m:r>
                </m:e>
                <m:sub>
                  <m:r>
                    <m:t>i</m:t>
                  </m:r>
                  <m:r>
                    <m:t>j</m:t>
                  </m:r>
                </m:sub>
              </m:sSub>
              <m:r>
                <m:rPr>
                  <m:sty m:val="p"/>
                </m:rPr>
                <m:t>+</m:t>
              </m:r>
              <m:r>
                <m:t>Δ</m:t>
              </m:r>
              <m:r>
                <m:t>w</m:t>
              </m:r>
              <m:r>
                <m:rPr>
                  <m:sty m:val="p"/>
                </m:rPr>
                <m:t>,</m:t>
              </m:r>
              <m:sSub>
                <m:e>
                  <m:r>
                    <m:t>w</m:t>
                  </m:r>
                </m:e>
                <m:sub>
                  <m:r>
                    <m:t>m</m:t>
                  </m:r>
                  <m:r>
                    <m:t>i</m:t>
                  </m:r>
                  <m:r>
                    <m:t>n</m:t>
                  </m:r>
                </m:sub>
              </m:sSub>
              <m:r>
                <m:rPr>
                  <m:sty m:val="p"/>
                </m:rPr>
                <m:t>,</m:t>
              </m:r>
              <m:sSub>
                <m:e>
                  <m:r>
                    <m:t>w</m:t>
                  </m:r>
                </m:e>
                <m:sub>
                  <m:r>
                    <m:t>m</m:t>
                  </m:r>
                  <m:r>
                    <m:t>a</m:t>
                  </m:r>
                  <m:r>
                    <m:t>x</m:t>
                  </m:r>
                </m:sub>
              </m:sSub>
            </m:e>
          </m:d>
          <m:r>
            <m:rPr>
              <m:sty m:val="p"/>
            </m:rPr>
            <m:t>.</m:t>
          </m:r>
        </m:oMath>
      </m:oMathPara>
    </w:p>
    <w:p>
      <w:pPr>
        <w:pStyle w:val="FirstParagraph"/>
        <w:keepLines/>
        <w:spacing w:after="64" w:line="254" w:lineRule="auto"/>
        <w:jc w:val="left"/>
      </w:pPr>
      <w:r>
        <w:rPr>
          <w:sz w:val="20"/>
        </w:rPr>
        <w:t xml:space="preserve">Alternativ können multiplicative oder gewichtabhängige Updates Sättigung modellieren. Die Grenzregel beeinflusst langfristige Verteilungen und ist als eigener Faktor zu behandeln.</w:t>
      </w:r>
    </w:p>
    <w:bookmarkEnd w:id="271"/>
    <w:bookmarkStart w:id="272" w:name="eligibility-und-three-factor-learning"/>
    <w:p>
      <w:pPr>
        <w:pStyle w:val="Heading3"/>
        <w:keepLines/>
        <w:spacing w:after="120" w:before="160"/>
        <w:jc w:val="left"/>
      </w:pPr>
      <w:r>
        <w:rPr>
          <w:sz w:val="20"/>
        </w:rPr>
        <w:t xml:space="preserve">Eligibility und Three-Factor Learning</w:t>
      </w:r>
    </w:p>
    <w:p>
      <w:pPr>
        <w:pStyle w:val="FirstParagraph"/>
        <w:keepLines/>
        <w:spacing w:after="64" w:line="254" w:lineRule="auto"/>
        <w:jc w:val="left"/>
      </w:pPr>
      <w:r>
        <w:rPr>
          <w:b/>
          <w:bCs/>
          <w:sz w:val="20"/>
        </w:rPr>
        <w:t xml:space="preserve">[MODEL]</w:t>
      </w:r>
      <w:r>
        <w:rPr>
          <w:sz w:val="20"/>
        </w:rPr>
        <w:t xml:space="preserve"> </w:t>
      </w:r>
      <w:r>
        <w:rPr>
          <w:sz w:val="20"/>
        </w:rPr>
        <w:t xml:space="preserve">Ein Eligibility Trace kann durch</w:t>
      </w:r>
    </w:p>
    <w:p>
      <w:pPr>
        <w:pStyle w:val="BodyText"/>
        <w:keepLines/>
        <w:spacing w:after="64" w:before="100" w:line="254" w:lineRule="auto"/>
        <w:jc w:val="center"/>
      </w:pPr>
      <m:oMathPara>
        <m:oMathParaPr>
          <m:jc m:val="center"/>
        </m:oMathParaPr>
        <m:oMath>
          <m:sSub>
            <m:e>
              <m:r>
                <m:t>τ</m:t>
              </m:r>
            </m:e>
            <m:sub>
              <m:r>
                <m:t>e</m:t>
              </m:r>
            </m:sub>
          </m:sSub>
          <m:sSub>
            <m:e>
              <m:acc>
                <m:accPr>
                  <m:chr m:val="̇"/>
                </m:accPr>
                <m:e>
                  <m:r>
                    <m:t>e</m:t>
                  </m:r>
                </m:e>
              </m:acc>
            </m:e>
            <m:sub>
              <m:r>
                <m:t>i</m:t>
              </m:r>
              <m:r>
                <m:t>j</m:t>
              </m:r>
            </m:sub>
          </m:sSub>
          <m:r>
            <m:rPr>
              <m:sty m:val="p"/>
            </m:rPr>
            <m:t>=</m:t>
          </m:r>
          <m:r>
            <m:rPr>
              <m:sty m:val="p"/>
            </m:rPr>
            <m:t>−</m:t>
          </m:r>
          <m:sSub>
            <m:e>
              <m:r>
                <m:t>e</m:t>
              </m:r>
            </m:e>
            <m:sub>
              <m:r>
                <m:t>i</m:t>
              </m:r>
              <m:r>
                <m:t>j</m:t>
              </m:r>
            </m:sub>
          </m:sSub>
          <m:r>
            <m:rPr>
              <m:sty m:val="p"/>
            </m:rPr>
            <m:t>+</m:t>
          </m:r>
          <m:r>
            <m:t>ϕ</m:t>
          </m:r>
          <m:d>
            <m:dPr>
              <m:begChr m:val="("/>
              <m:endChr m:val=")"/>
              <m:sepChr m:val=""/>
              <m:grow/>
            </m:dPr>
            <m:e>
              <m:sSubSup>
                <m:e>
                  <m:r>
                    <m:t>s</m:t>
                  </m:r>
                </m:e>
                <m:sub>
                  <m:r>
                    <m:t>i</m:t>
                  </m:r>
                </m:sub>
                <m:sup>
                  <m:r>
                    <m:t>p</m:t>
                  </m:r>
                  <m:r>
                    <m:t>r</m:t>
                  </m:r>
                  <m:r>
                    <m:t>e</m:t>
                  </m:r>
                </m:sup>
              </m:sSubSup>
              <m:r>
                <m:rPr>
                  <m:sty m:val="p"/>
                </m:rPr>
                <m:t>,</m:t>
              </m:r>
              <m:sSubSup>
                <m:e>
                  <m:r>
                    <m:t>s</m:t>
                  </m:r>
                </m:e>
                <m:sub>
                  <m:r>
                    <m:t>j</m:t>
                  </m:r>
                </m:sub>
                <m:sup>
                  <m:r>
                    <m:t>p</m:t>
                  </m:r>
                  <m:r>
                    <m:t>o</m:t>
                  </m:r>
                  <m:r>
                    <m:t>s</m:t>
                  </m:r>
                  <m:r>
                    <m:t>t</m:t>
                  </m:r>
                </m:sup>
              </m:sSubSup>
            </m:e>
          </m:d>
        </m:oMath>
      </m:oMathPara>
    </w:p>
    <w:p>
      <w:pPr>
        <w:pStyle w:val="FirstParagraph"/>
        <w:keepLines/>
        <w:spacing w:after="64" w:line="254" w:lineRule="auto"/>
        <w:jc w:val="left"/>
      </w:pPr>
      <w:r>
        <w:rPr>
          <w:sz w:val="20"/>
        </w:rPr>
        <w:t xml:space="preserve">und eine modulierte Änderung durch</w:t>
      </w:r>
    </w:p>
    <w:p>
      <w:pPr>
        <w:pStyle w:val="BodyText"/>
        <w:keepLines/>
        <w:spacing w:after="64" w:before="100" w:line="254" w:lineRule="auto"/>
        <w:jc w:val="center"/>
      </w:pPr>
      <m:oMathPara>
        <m:oMathParaPr>
          <m:jc m:val="center"/>
        </m:oMathParaPr>
        <m:oMath>
          <m:sSub>
            <m:e>
              <m:acc>
                <m:accPr>
                  <m:chr m:val="̇"/>
                </m:accPr>
                <m:e>
                  <m:r>
                    <m:t>w</m:t>
                  </m:r>
                </m:e>
              </m:acc>
            </m:e>
            <m:sub>
              <m:r>
                <m:t>i</m:t>
              </m:r>
              <m:r>
                <m:t>j</m:t>
              </m:r>
            </m:sub>
          </m:sSub>
          <m:r>
            <m:rPr>
              <m:sty m:val="p"/>
            </m:rPr>
            <m:t>=</m:t>
          </m:r>
          <m:r>
            <m:t>η</m:t>
          </m:r>
          <m:r>
            <m:t>m</m:t>
          </m:r>
          <m:d>
            <m:dPr>
              <m:begChr m:val="("/>
              <m:endChr m:val=")"/>
              <m:sepChr m:val=""/>
              <m:grow/>
            </m:dPr>
            <m:e>
              <m:r>
                <m:t>t</m:t>
              </m:r>
            </m:e>
          </m:d>
          <m:sSub>
            <m:e>
              <m:r>
                <m:t>e</m:t>
              </m:r>
            </m:e>
            <m:sub>
              <m:r>
                <m:t>i</m:t>
              </m:r>
              <m:r>
                <m:t>j</m:t>
              </m:r>
            </m:sub>
          </m:sSub>
          <m:d>
            <m:dPr>
              <m:begChr m:val="("/>
              <m:endChr m:val=")"/>
              <m:sepChr m:val=""/>
              <m:grow/>
            </m:dPr>
            <m:e>
              <m:r>
                <m:t>t</m:t>
              </m:r>
            </m:e>
          </m:d>
        </m:oMath>
      </m:oMathPara>
    </w:p>
    <w:p>
      <w:pPr>
        <w:pStyle w:val="FirstParagraph"/>
        <w:keepLines/>
        <w:spacing w:after="64" w:line="254" w:lineRule="auto"/>
        <w:jc w:val="left"/>
      </w:pPr>
      <w:r>
        <w:rPr>
          <w:sz w:val="20"/>
        </w:rPr>
        <w:t xml:space="preserve">beschrieben werden.</w:t>
      </w:r>
      <w:r>
        <w:rPr>
          <w:sz w:val="20"/>
        </w:rPr>
        <w:t xml:space="preserve"> </w:t>
      </w:r>
      <m:oMath>
        <m:r>
          <m:t>m</m:t>
        </m:r>
        <m:d>
          <m:dPr>
            <m:begChr m:val="("/>
            <m:endChr m:val=")"/>
            <m:sepChr m:val=""/>
            <m:grow/>
          </m:dPr>
          <m:e>
            <m:r>
              <m:t>t</m:t>
            </m:r>
          </m:e>
        </m:d>
      </m:oMath>
      <w:r>
        <w:rPr>
          <w:sz w:val="20"/>
        </w:rPr>
        <w:t xml:space="preserve"> </w:t>
      </w:r>
      <w:r>
        <w:rPr>
          <w:sz w:val="20"/>
        </w:rPr>
        <w:t xml:space="preserve">kann Reward Prediction Error, regionales Modulationssignal oder experimentell kontrollierten Verstärker darstellen. Three-Factor-Regeln adressieren die zeitliche Lücke zwischen lokaler Aktivität und späterem Reward (</w:t>
      </w:r>
      <w:hyperlink w:anchor="ref-Fremaux2016">
        <w:r>
          <w:rPr>
            <w:rStyle w:val="Hyperlink"/>
          </w:rPr>
          <w:t xml:space="preserve">Frémaux &amp; Gerstner, 2016</w:t>
        </w:r>
      </w:hyperlink>
      <w:r>
        <w:rPr>
          <w:sz w:val="20"/>
        </w:rPr>
        <w:t xml:space="preserve">;</w:t>
      </w:r>
      <w:r>
        <w:rPr>
          <w:sz w:val="20"/>
        </w:rPr>
        <w:t xml:space="preserve"> </w:t>
      </w:r>
      <w:hyperlink w:anchor="ref-Gerstner2018eligibility">
        <w:r>
          <w:rPr>
            <w:rStyle w:val="Hyperlink"/>
          </w:rPr>
          <w:t xml:space="preserve">Gerstner et al., 2018</w:t>
        </w:r>
      </w:hyperlink>
      <w:r>
        <w:rPr>
          <w:sz w:val="20"/>
        </w:rPr>
        <w:t xml:space="preserve">;</w:t>
      </w:r>
      <w:r>
        <w:rPr>
          <w:sz w:val="20"/>
        </w:rPr>
        <w:t xml:space="preserve"> </w:t>
      </w:r>
      <w:hyperlink w:anchor="ref-Izhikevich2007reward">
        <w:r>
          <w:rPr>
            <w:rStyle w:val="Hyperlink"/>
          </w:rPr>
          <w:t xml:space="preserve">Izhikevich, 2007b</w:t>
        </w:r>
      </w:hyperlink>
      <w:r>
        <w:rPr>
          <w:sz w:val="20"/>
        </w:rPr>
        <w:t xml:space="preserve">). Ein globales Signal ist jedoch nicht automatisch „Dopamin”; biologische Benennungen werden nur verwendet, wenn das Modell die entsprechende Funktion und Einschränkung tatsächlich abbildet.</w:t>
      </w:r>
    </w:p>
    <w:bookmarkEnd w:id="272"/>
    <w:bookmarkStart w:id="273" w:name="inhibitorische-plastizität"/>
    <w:p>
      <w:pPr>
        <w:pStyle w:val="Heading3"/>
        <w:keepLines/>
        <w:spacing w:after="120" w:before="160"/>
        <w:jc w:val="left"/>
      </w:pPr>
      <w:r>
        <w:rPr>
          <w:sz w:val="20"/>
        </w:rPr>
        <w:t xml:space="preserve">Inhibitorische Plastizität</w:t>
      </w:r>
    </w:p>
    <w:p>
      <w:pPr>
        <w:pStyle w:val="FirstParagraph"/>
        <w:keepLines/>
        <w:spacing w:after="64" w:line="254" w:lineRule="auto"/>
        <w:jc w:val="left"/>
      </w:pPr>
      <w:r>
        <w:rPr>
          <w:sz w:val="20"/>
        </w:rPr>
        <w:t xml:space="preserve">Inhibitorische Anpassung kann E/I-Regime und Feuerraten stabilisieren (</w:t>
      </w:r>
      <w:hyperlink w:anchor="ref-Vogels2011">
        <w:r>
          <w:rPr>
            <w:rStyle w:val="Hyperlink"/>
          </w:rPr>
          <w:t xml:space="preserve">Vogels et al., 2011</w:t>
        </w:r>
      </w:hyperlink>
      <w:r>
        <w:rPr>
          <w:sz w:val="20"/>
        </w:rPr>
        <w:t xml:space="preserve">). Sie darf nicht als bloßes negatives STDP implementiert werden, ohne Zelltyp, Zielrate und Vorzeichenkonvention zu dokumentieren. Eine Ablation muss prüfen, ob der beobachtete Stabilitätseffekt spezifisch inhibitorisch oder nur Folge zusätzlicher Gewichtsnormalisierung ist.</w:t>
      </w:r>
    </w:p>
    <w:bookmarkEnd w:id="273"/>
    <w:bookmarkStart w:id="274" w:name="intrinsische-plastizität"/>
    <w:p>
      <w:pPr>
        <w:pStyle w:val="Heading3"/>
        <w:keepLines/>
        <w:spacing w:after="120" w:before="160"/>
        <w:jc w:val="left"/>
      </w:pPr>
      <w:r>
        <w:rPr>
          <w:sz w:val="20"/>
        </w:rPr>
        <w:t xml:space="preserve">Intrinsische Plastizität</w:t>
      </w:r>
    </w:p>
    <w:p>
      <w:pPr>
        <w:pStyle w:val="FirstParagraph"/>
        <w:keepLines/>
        <w:spacing w:after="64" w:line="254" w:lineRule="auto"/>
        <w:jc w:val="left"/>
      </w:pPr>
      <w:r>
        <w:rPr>
          <w:sz w:val="20"/>
        </w:rPr>
        <w:t xml:space="preserve">Neuronale Schwellen, Adaptationsparameter oder Membranzeitkonstanten können langsam angepasst werden. Eine einfache Zielratenregel ist</w:t>
      </w:r>
    </w:p>
    <w:p>
      <w:pPr>
        <w:pStyle w:val="BodyText"/>
        <w:keepLines/>
        <w:spacing w:after="64" w:line="254" w:lineRule="auto"/>
        <w:jc w:val="left"/>
      </w:pPr>
      <w:r>
        <w:rPr>
          <w:b/>
          <w:bCs/>
          <w:sz w:val="20"/>
        </w:rPr>
        <w:t xml:space="preserve">[MODEL]</w:t>
      </w:r>
    </w:p>
    <w:p>
      <w:pPr>
        <w:pStyle w:val="BodyText"/>
        <w:keepLines/>
        <w:spacing w:after="64" w:before="100" w:line="254" w:lineRule="auto"/>
        <w:jc w:val="center"/>
      </w:pPr>
      <m:oMathPara>
        <m:oMathParaPr>
          <m:jc m:val="center"/>
        </m:oMathParaPr>
        <m:oMath>
          <m:sSub>
            <m:e>
              <m:r>
                <m:t>θ</m:t>
              </m:r>
            </m:e>
            <m:sub>
              <m:r>
                <m:t>i</m:t>
              </m:r>
            </m:sub>
          </m:sSub>
          <m:d>
            <m:dPr>
              <m:begChr m:val="("/>
              <m:endChr m:val=")"/>
              <m:sepChr m:val=""/>
              <m:grow/>
            </m:dPr>
            <m:e>
              <m:r>
                <m:t>t</m:t>
              </m:r>
              <m:r>
                <m:rPr>
                  <m:sty m:val="p"/>
                </m:rPr>
                <m:t>+</m:t>
              </m:r>
              <m:r>
                <m:t>Δ</m:t>
              </m:r>
              <m:r>
                <m:t>t</m:t>
              </m:r>
            </m:e>
          </m:d>
          <m:r>
            <m:rPr>
              <m:sty m:val="p"/>
            </m:rPr>
            <m:t>=</m:t>
          </m:r>
          <m:sSub>
            <m:e>
              <m:r>
                <m:t>θ</m:t>
              </m:r>
            </m:e>
            <m:sub>
              <m:r>
                <m:t>i</m:t>
              </m:r>
            </m:sub>
          </m:sSub>
          <m:d>
            <m:dPr>
              <m:begChr m:val="("/>
              <m:endChr m:val=")"/>
              <m:sepChr m:val=""/>
              <m:grow/>
            </m:dPr>
            <m:e>
              <m:r>
                <m:t>t</m:t>
              </m:r>
            </m:e>
          </m:d>
          <m:r>
            <m:rPr>
              <m:sty m:val="p"/>
            </m:rPr>
            <m:t>+</m:t>
          </m:r>
          <m:sSub>
            <m:e>
              <m:r>
                <m:t>η</m:t>
              </m:r>
            </m:e>
            <m:sub>
              <m:r>
                <m:t>h</m:t>
              </m:r>
            </m:sub>
          </m:sSub>
          <m:d>
            <m:dPr>
              <m:begChr m:val="("/>
              <m:endChr m:val=")"/>
              <m:sepChr m:val=""/>
              <m:grow/>
            </m:dPr>
            <m:e>
              <m:sSub>
                <m:e>
                  <m:acc>
                    <m:accPr>
                      <m:chr m:val="‾"/>
                    </m:accPr>
                    <m:e>
                      <m:r>
                        <m:t>r</m:t>
                      </m:r>
                    </m:e>
                  </m:acc>
                </m:e>
                <m:sub>
                  <m:r>
                    <m:t>i</m:t>
                  </m:r>
                </m:sub>
              </m:sSub>
              <m:d>
                <m:dPr>
                  <m:begChr m:val="("/>
                  <m:endChr m:val=")"/>
                  <m:sepChr m:val=""/>
                  <m:grow/>
                </m:dPr>
                <m:e>
                  <m:r>
                    <m:t>t</m:t>
                  </m:r>
                </m:e>
              </m:d>
              <m:r>
                <m:rPr>
                  <m:sty m:val="p"/>
                </m:rPr>
                <m:t>−</m:t>
              </m:r>
              <m:sSubSup>
                <m:e>
                  <m:r>
                    <m:t>r</m:t>
                  </m:r>
                </m:e>
                <m:sub>
                  <m:r>
                    <m:t>i</m:t>
                  </m:r>
                </m:sub>
                <m:sup>
                  <m:r>
                    <m:rPr>
                      <m:sty m:val="p"/>
                    </m:rPr>
                    <m:t>⋆</m:t>
                  </m:r>
                </m:sup>
              </m:sSubSup>
            </m:e>
          </m:d>
          <m:r>
            <m:rPr>
              <m:sty m:val="p"/>
            </m:rPr>
            <m:t>.</m:t>
          </m:r>
        </m:oMath>
      </m:oMathPara>
    </w:p>
    <w:p>
      <w:pPr>
        <w:pStyle w:val="FirstParagraph"/>
        <w:keepLines/>
        <w:spacing w:after="64" w:line="254" w:lineRule="auto"/>
        <w:jc w:val="left"/>
      </w:pPr>
      <w:r>
        <w:rPr>
          <w:sz w:val="20"/>
        </w:rPr>
        <w:t xml:space="preserve">Dies ist eine technische Homeostaseform. Biologische homeostatische Plastizität umfasst mehrere Mechanismen und Zeitskalen (</w:t>
      </w:r>
      <w:hyperlink w:anchor="ref-Turrigiano1998">
        <w:r>
          <w:rPr>
            <w:rStyle w:val="Hyperlink"/>
          </w:rPr>
          <w:t xml:space="preserve">Turrigiano et al., 1998</w:t>
        </w:r>
      </w:hyperlink>
      <w:r>
        <w:rPr>
          <w:sz w:val="20"/>
        </w:rPr>
        <w:t xml:space="preserve">;</w:t>
      </w:r>
      <w:r>
        <w:rPr>
          <w:sz w:val="20"/>
        </w:rPr>
        <w:t xml:space="preserve"> </w:t>
      </w:r>
      <w:hyperlink w:anchor="ref-Turrigiano2004">
        <w:r>
          <w:rPr>
            <w:rStyle w:val="Hyperlink"/>
          </w:rPr>
          <w:t xml:space="preserve">Turrigiano &amp; Nelson, 2004</w:t>
        </w:r>
      </w:hyperlink>
      <w:r>
        <w:rPr>
          <w:sz w:val="20"/>
        </w:rPr>
        <w:t xml:space="preserve">).</w:t>
      </w:r>
    </w:p>
    <w:bookmarkEnd w:id="274"/>
    <w:bookmarkStart w:id="275" w:name="metaplastizität"/>
    <w:p>
      <w:pPr>
        <w:pStyle w:val="Heading3"/>
        <w:keepLines/>
        <w:spacing w:after="120" w:before="160"/>
        <w:jc w:val="left"/>
      </w:pPr>
      <w:r>
        <w:rPr>
          <w:sz w:val="20"/>
        </w:rPr>
        <w:t xml:space="preserve">Metaplastizität</w:t>
      </w:r>
    </w:p>
    <w:p>
      <w:pPr>
        <w:pStyle w:val="FirstParagraph"/>
        <w:keepLines/>
        <w:spacing w:after="64" w:line="254" w:lineRule="auto"/>
        <w:jc w:val="left"/>
      </w:pPr>
      <w:r>
        <w:rPr>
          <w:sz w:val="20"/>
        </w:rPr>
        <w:t xml:space="preserve">Metaplastizität verändert nicht unmittelbar das Gewicht, sondern die Lernbereitschaft oder Regelparameter. Ein BCM-artiger gleitender Schwellenwert kann geschrieben werden als</w:t>
      </w:r>
    </w:p>
    <w:p>
      <w:pPr>
        <w:pStyle w:val="BodyText"/>
        <w:keepLines/>
        <w:spacing w:after="64" w:before="100" w:line="254" w:lineRule="auto"/>
        <w:jc w:val="center"/>
      </w:pPr>
      <m:oMathPara>
        <m:oMathParaPr>
          <m:jc m:val="center"/>
        </m:oMathParaPr>
        <m:oMath>
          <m:sSub>
            <m:e>
              <m:r>
                <m:t>τ</m:t>
              </m:r>
            </m:e>
            <m:sub>
              <m:r>
                <m:t>θ</m:t>
              </m:r>
            </m:sub>
          </m:sSub>
          <m:sSub>
            <m:e>
              <m:acc>
                <m:accPr>
                  <m:chr m:val="̇"/>
                </m:accPr>
                <m:e>
                  <m:r>
                    <m:t>θ</m:t>
                  </m:r>
                </m:e>
              </m:acc>
            </m:e>
            <m:sub>
              <m:r>
                <m:t>i</m:t>
              </m:r>
            </m:sub>
          </m:sSub>
          <m:r>
            <m:rPr>
              <m:sty m:val="p"/>
            </m:rPr>
            <m:t>=</m:t>
          </m:r>
          <m:sSubSup>
            <m:e>
              <m:acc>
                <m:accPr>
                  <m:chr m:val="‾"/>
                </m:accPr>
                <m:e>
                  <m:r>
                    <m:t>r</m:t>
                  </m:r>
                </m:e>
              </m:acc>
            </m:e>
            <m:sub>
              <m:r>
                <m:t>i</m:t>
              </m:r>
            </m:sub>
            <m:sup>
              <m:r>
                <m:t>2</m:t>
              </m:r>
            </m:sup>
          </m:sSubSup>
          <m:r>
            <m:rPr>
              <m:sty m:val="p"/>
            </m:rPr>
            <m:t>−</m:t>
          </m:r>
          <m:sSub>
            <m:e>
              <m:r>
                <m:t>θ</m:t>
              </m:r>
            </m:e>
            <m:sub>
              <m:r>
                <m:t>i</m:t>
              </m:r>
            </m:sub>
          </m:sSub>
          <m:r>
            <m:rPr>
              <m:sty m:val="p"/>
            </m:rPr>
            <m:t>,</m:t>
          </m:r>
        </m:oMath>
      </m:oMathPara>
    </w:p>
    <w:p>
      <w:pPr>
        <w:pStyle w:val="FirstParagraph"/>
        <w:keepLines/>
        <w:spacing w:after="64" w:line="254" w:lineRule="auto"/>
        <w:jc w:val="left"/>
      </w:pPr>
      <w:r>
        <w:rPr>
          <w:sz w:val="20"/>
        </w:rPr>
        <w:t xml:space="preserve">während die synaptische Änderung von</w:t>
      </w:r>
      <w:r>
        <w:rPr>
          <w:sz w:val="20"/>
        </w:rPr>
        <w:t xml:space="preserve"> </w:t>
      </w:r>
      <m:oMath>
        <m:sSub>
          <m:e>
            <m:r>
              <m:t>r</m:t>
            </m:r>
          </m:e>
          <m:sub>
            <m:r>
              <m:t>i</m:t>
            </m:r>
          </m:sub>
        </m:sSub>
        <m:d>
          <m:dPr>
            <m:begChr m:val="("/>
            <m:endChr m:val=")"/>
            <m:sepChr m:val=""/>
            <m:grow/>
          </m:dPr>
          <m:e>
            <m:sSub>
              <m:e>
                <m:r>
                  <m:t>r</m:t>
                </m:r>
              </m:e>
              <m:sub>
                <m:r>
                  <m:t>i</m:t>
                </m:r>
              </m:sub>
            </m:sSub>
            <m:r>
              <m:rPr>
                <m:sty m:val="p"/>
              </m:rPr>
              <m:t>−</m:t>
            </m:r>
            <m:sSub>
              <m:e>
                <m:r>
                  <m:t>θ</m:t>
                </m:r>
              </m:e>
              <m:sub>
                <m:r>
                  <m:t>i</m:t>
                </m:r>
              </m:sub>
            </m:sSub>
          </m:e>
        </m:d>
      </m:oMath>
      <w:r>
        <w:rPr>
          <w:sz w:val="20"/>
        </w:rPr>
        <w:t xml:space="preserve"> </w:t>
      </w:r>
      <w:r>
        <w:rPr>
          <w:sz w:val="20"/>
        </w:rPr>
        <w:t xml:space="preserve">abhängt (</w:t>
      </w:r>
      <w:hyperlink w:anchor="ref-Bienenstock1982">
        <w:r>
          <w:rPr>
            <w:rStyle w:val="Hyperlink"/>
          </w:rPr>
          <w:t xml:space="preserve">Bienenstock et al., 1982</w:t>
        </w:r>
      </w:hyperlink>
      <w:r>
        <w:rPr>
          <w:sz w:val="20"/>
        </w:rPr>
        <w:t xml:space="preserve">). In Brain-5D ist Metaplastizität ein Kandidat zur Kontrolle langfristiger Interferenz, nicht vorausgesetzte Lösung.</w:t>
      </w:r>
    </w:p>
    <w:bookmarkEnd w:id="275"/>
    <w:bookmarkStart w:id="276" w:name="stabilitäts-plastizitäts-konflikt"/>
    <w:p>
      <w:pPr>
        <w:pStyle w:val="Heading3"/>
        <w:keepLines/>
        <w:spacing w:after="120" w:before="160"/>
        <w:jc w:val="left"/>
      </w:pPr>
      <w:r>
        <w:rPr>
          <w:sz w:val="20"/>
        </w:rPr>
        <w:t xml:space="preserve">Stabilitäts-Plastizitäts-Konflikt</w:t>
      </w:r>
    </w:p>
    <w:p>
      <w:pPr>
        <w:pStyle w:val="FirstParagraph"/>
        <w:keepLines/>
        <w:spacing w:after="64" w:line="254" w:lineRule="auto"/>
        <w:jc w:val="left"/>
      </w:pPr>
      <w:r>
        <w:rPr>
          <w:sz w:val="20"/>
        </w:rPr>
        <w:t xml:space="preserve">Hebb-artige positive Rückkopplung kann zu Runaway-Aktivität führen. Homeostase wirkt dem entgegen, kann aber zu langsam sein oder Lernsignale neutralisieren (</w:t>
      </w:r>
      <w:hyperlink w:anchor="ref-Zenke2013">
        <w:r>
          <w:rPr>
            <w:rStyle w:val="Hyperlink"/>
          </w:rPr>
          <w:t xml:space="preserve">Zenke et al., 2013</w:t>
        </w:r>
      </w:hyperlink>
      <w:r>
        <w:rPr>
          <w:sz w:val="20"/>
        </w:rPr>
        <w:t xml:space="preserve">;</w:t>
      </w:r>
      <w:r>
        <w:rPr>
          <w:sz w:val="20"/>
        </w:rPr>
        <w:t xml:space="preserve"> </w:t>
      </w:r>
      <w:hyperlink w:anchor="ref-Zenke2017homeostasis">
        <w:r>
          <w:rPr>
            <w:rStyle w:val="Hyperlink"/>
          </w:rPr>
          <w:t xml:space="preserve">Zenke &amp; Gerstner, 2017</w:t>
        </w:r>
      </w:hyperlink>
      <w:r>
        <w:rPr>
          <w:sz w:val="20"/>
        </w:rPr>
        <w:t xml:space="preserve">). Brain-5D untersucht daher Zeitskalenverhältnisse, nicht nur das An-/Ausschalten einzelner Mechanismen. Ein stabiler Mittelwert kann zudem dynamische Pathologien verbergen; Varianz, Burststruktur, Korrelation und regionale Verteilung sind mitzuerfassen.</w:t>
      </w:r>
    </w:p>
    <w:bookmarkEnd w:id="276"/>
    <w:bookmarkEnd w:id="277"/>
    <w:bookmarkStart w:id="285" w:name="strukturelle-plastizität-und-neurogenese"/>
    <w:p>
      <w:pPr>
        <w:pStyle w:val="Heading2"/>
        <w:spacing w:before="160"/>
      </w:pPr>
      <w:r>
        <w:t xml:space="preserve">Strukturelle Plastizität und Neurogenese</w:t>
      </w:r>
    </w:p>
    <w:bookmarkStart w:id="278" w:name="funktionale-versus-strukturelle-änderung"/>
    <w:p>
      <w:pPr>
        <w:pStyle w:val="Heading3"/>
        <w:keepLines/>
        <w:spacing w:after="120" w:before="160"/>
        <w:jc w:val="left"/>
      </w:pPr>
      <w:r>
        <w:rPr>
          <w:sz w:val="20"/>
        </w:rPr>
        <w:t xml:space="preserve">Funktionale versus strukturelle Änderung</w:t>
      </w:r>
    </w:p>
    <w:p>
      <w:pPr>
        <w:pStyle w:val="FirstParagraph"/>
        <w:keepLines/>
        <w:spacing w:after="64" w:line="254" w:lineRule="auto"/>
        <w:jc w:val="left"/>
      </w:pPr>
      <w:r>
        <w:rPr>
          <w:b/>
          <w:bCs/>
          <w:sz w:val="20"/>
        </w:rPr>
        <w:t xml:space="preserve">[DEF]</w:t>
      </w:r>
      <w:r>
        <w:rPr>
          <w:sz w:val="20"/>
        </w:rPr>
        <w:t xml:space="preserve"> </w:t>
      </w:r>
      <w:r>
        <w:rPr>
          <w:sz w:val="20"/>
        </w:rPr>
        <w:t xml:space="preserve">Funktionale Plastizität verändert Attribute bestehender Kanten oder Knoten. Strukturelle Plastizität verändert</w:t>
      </w:r>
      <w:r>
        <w:rPr>
          <w:sz w:val="20"/>
        </w:rPr>
        <w:t xml:space="preserve"> </w:t>
      </w:r>
      <m:oMath>
        <m:sSub>
          <m:e>
            <m:r>
              <m:t>V</m:t>
            </m:r>
          </m:e>
          <m:sub>
            <m:r>
              <m:t>t</m:t>
            </m:r>
          </m:sub>
        </m:sSub>
      </m:oMath>
      <w:r>
        <w:rPr>
          <w:sz w:val="20"/>
        </w:rPr>
        <w:t xml:space="preserve"> </w:t>
      </w:r>
      <w:r>
        <w:rPr>
          <w:sz w:val="20"/>
        </w:rPr>
        <w:t xml:space="preserve">oder</w:t>
      </w:r>
      <w:r>
        <w:rPr>
          <w:sz w:val="20"/>
        </w:rPr>
        <w:t xml:space="preserve"> </w:t>
      </w:r>
      <m:oMath>
        <m:sSub>
          <m:e>
            <m:r>
              <m:t>E</m:t>
            </m:r>
          </m:e>
          <m:sub>
            <m:r>
              <m:t>t</m:t>
            </m:r>
          </m:sub>
        </m:sSub>
      </m:oMath>
      <w:r>
        <w:rPr>
          <w:sz w:val="20"/>
        </w:rPr>
        <w:t xml:space="preserve"> </w:t>
      </w:r>
      <w:r>
        <w:rPr>
          <w:sz w:val="20"/>
        </w:rPr>
        <w:t xml:space="preserve">selbst. Beide können zusammenwirken, müssen im Event-Log aber unterscheidbar bleiben.</w:t>
      </w:r>
    </w:p>
    <w:bookmarkEnd w:id="278"/>
    <w:bookmarkStart w:id="279" w:name="synapsenentstehung"/>
    <w:p>
      <w:pPr>
        <w:pStyle w:val="Heading3"/>
        <w:keepLines/>
        <w:spacing w:after="120" w:before="160"/>
        <w:jc w:val="left"/>
      </w:pPr>
      <w:r>
        <w:rPr>
          <w:sz w:val="20"/>
        </w:rPr>
        <w:t xml:space="preserve">Synapsenentstehung</w:t>
      </w:r>
    </w:p>
    <w:p>
      <w:pPr>
        <w:pStyle w:val="FirstParagraph"/>
        <w:keepLines/>
        <w:spacing w:after="64" w:line="254" w:lineRule="auto"/>
        <w:jc w:val="left"/>
      </w:pPr>
      <w:r>
        <w:rPr>
          <w:sz w:val="20"/>
        </w:rPr>
        <w:t xml:space="preserve">Eine neue Kante kann nur entstehen, wenn harte Constraints und ein probabilistisches beziehungsweise heuristisches Auswahlkriterium erfüllt sind:</w:t>
      </w:r>
    </w:p>
    <w:p>
      <w:pPr>
        <w:pStyle w:val="BodyText"/>
        <w:keepLines/>
        <w:spacing w:after="64" w:line="254" w:lineRule="auto"/>
        <w:jc w:val="left"/>
      </w:pPr>
      <w:r>
        <w:rPr>
          <w:b/>
          <w:bCs/>
          <w:sz w:val="20"/>
        </w:rPr>
        <w:t xml:space="preserve">[HEUR]</w:t>
      </w:r>
    </w:p>
    <w:p>
      <w:pPr>
        <w:pStyle w:val="BodyText"/>
        <w:keepLines/>
        <w:spacing w:after="64" w:before="100" w:line="254" w:lineRule="auto"/>
        <w:jc w:val="center"/>
      </w:pPr>
      <m:oMathPara>
        <m:oMathParaPr>
          <m:jc m:val="center"/>
        </m:oMathParaPr>
        <m:oMath>
          <m:sSub>
            <m:e>
              <m:r>
                <m:rPr>
                  <m:nor/>
                  <m:sty m:val="p"/>
                </m:rPr>
                <m:t>create</m:t>
              </m:r>
            </m:e>
            <m:sub>
              <m:r>
                <m:t>i</m:t>
              </m:r>
              <m:r>
                <m:t>j</m:t>
              </m:r>
            </m:sub>
          </m:sSub>
          <m:r>
            <m:rPr>
              <m:sty m:val="p"/>
            </m:rPr>
            <m:t>=</m:t>
          </m:r>
          <m:r>
            <m:t>1</m:t>
          </m:r>
          <m:d>
            <m:dPr>
              <m:begChr m:val="["/>
              <m:endChr m:val="]"/>
              <m:sepChr m:val=""/>
              <m:grow/>
            </m:dPr>
            <m:e>
              <m:sSub>
                <m:e>
                  <m:r>
                    <m:t>d</m:t>
                  </m:r>
                </m:e>
                <m:sub>
                  <m:r>
                    <m:t>M</m:t>
                  </m:r>
                </m:sub>
              </m:sSub>
              <m:d>
                <m:dPr>
                  <m:begChr m:val="("/>
                  <m:endChr m:val=")"/>
                  <m:sepChr m:val=""/>
                  <m:grow/>
                </m:dPr>
                <m:e>
                  <m:r>
                    <m:t>i</m:t>
                  </m:r>
                  <m:r>
                    <m:rPr>
                      <m:sty m:val="p"/>
                    </m:rPr>
                    <m:t>,</m:t>
                  </m:r>
                  <m:r>
                    <m:t>j</m:t>
                  </m:r>
                </m:e>
              </m:d>
              <m:r>
                <m:rPr>
                  <m:sty m:val="p"/>
                </m:rPr>
                <m:t>&lt;</m:t>
              </m:r>
              <m:sSub>
                <m:e>
                  <m:r>
                    <m:t>d</m:t>
                  </m:r>
                </m:e>
                <m:sub>
                  <m:r>
                    <m:t>m</m:t>
                  </m:r>
                  <m:r>
                    <m:t>a</m:t>
                  </m:r>
                  <m:r>
                    <m:t>x</m:t>
                  </m:r>
                </m:sub>
              </m:sSub>
            </m:e>
          </m:d>
          <m:r>
            <m:t>1</m:t>
          </m:r>
          <m:d>
            <m:dPr>
              <m:begChr m:val="["/>
              <m:endChr m:val="]"/>
              <m:sepChr m:val=""/>
              <m:grow/>
            </m:dPr>
            <m:e>
              <m:sSubSup>
                <m:e>
                  <m:r>
                    <m:t>B</m:t>
                  </m:r>
                </m:e>
                <m:sub>
                  <m:r>
                    <m:t>t</m:t>
                  </m:r>
                </m:sub>
                <m:sup>
                  <m:r>
                    <m:t>s</m:t>
                  </m:r>
                  <m:r>
                    <m:t>y</m:t>
                  </m:r>
                  <m:r>
                    <m:t>n</m:t>
                  </m:r>
                </m:sup>
              </m:sSubSup>
              <m:r>
                <m:rPr>
                  <m:sty m:val="p"/>
                </m:rPr>
                <m:t>&gt;</m:t>
              </m:r>
              <m:r>
                <m:t>0</m:t>
              </m:r>
            </m:e>
          </m:d>
          <m:r>
            <m:t>1</m:t>
          </m:r>
          <m:d>
            <m:dPr>
              <m:begChr m:val="["/>
              <m:endChr m:val="]"/>
              <m:sepChr m:val=""/>
              <m:grow/>
            </m:dPr>
            <m:e>
              <m:sSub>
                <m:e>
                  <m:r>
                    <m:t>C</m:t>
                  </m:r>
                </m:e>
                <m:sub>
                  <m:r>
                    <m:t>i</m:t>
                  </m:r>
                  <m:r>
                    <m:t>j</m:t>
                  </m:r>
                </m:sub>
              </m:sSub>
              <m:r>
                <m:rPr>
                  <m:sty m:val="p"/>
                </m:rPr>
                <m:t>&gt;</m:t>
              </m:r>
              <m:sSub>
                <m:e>
                  <m:r>
                    <m:t>C</m:t>
                  </m:r>
                </m:e>
                <m:sub>
                  <m:r>
                    <m:t>m</m:t>
                  </m:r>
                  <m:r>
                    <m:t>i</m:t>
                  </m:r>
                  <m:r>
                    <m:t>n</m:t>
                  </m:r>
                </m:sub>
              </m:sSub>
            </m:e>
          </m:d>
          <m:r>
            <m:rPr>
              <m:sty m:val="p"/>
            </m:rPr>
            <m:t>⋅</m:t>
          </m:r>
          <m:r>
            <m:t>B</m:t>
          </m:r>
          <m:r>
            <m:t>e</m:t>
          </m:r>
          <m:r>
            <m:t>r</m:t>
          </m:r>
          <m:r>
            <m:t>n</m:t>
          </m:r>
          <m:r>
            <m:t>o</m:t>
          </m:r>
          <m:r>
            <m:t>u</m:t>
          </m:r>
          <m:r>
            <m:t>l</m:t>
          </m:r>
          <m:r>
            <m:t>l</m:t>
          </m:r>
          <m:r>
            <m:t>i</m:t>
          </m:r>
          <m:d>
            <m:dPr>
              <m:begChr m:val="("/>
              <m:endChr m:val=")"/>
              <m:sepChr m:val=""/>
              <m:grow/>
            </m:dPr>
            <m:e>
              <m:sSub>
                <m:e>
                  <m:r>
                    <m:t>P</m:t>
                  </m:r>
                </m:e>
                <m:sub>
                  <m:r>
                    <m:t>i</m:t>
                  </m:r>
                  <m:r>
                    <m:t>j</m:t>
                  </m:r>
                </m:sub>
              </m:sSub>
            </m:e>
          </m:d>
          <m:r>
            <m:rPr>
              <m:sty m:val="p"/>
            </m:rPr>
            <m:t>.</m:t>
          </m:r>
        </m:oMath>
      </m:oMathPara>
    </w:p>
    <w:p>
      <w:pPr>
        <w:pStyle w:val="FirstParagraph"/>
        <w:keepLines/>
        <w:spacing w:after="64" w:line="254" w:lineRule="auto"/>
        <w:jc w:val="left"/>
      </w:pPr>
      <m:oMath>
        <m:sSubSup>
          <m:e>
            <m:r>
              <m:t>B</m:t>
            </m:r>
          </m:e>
          <m:sub>
            <m:r>
              <m:t>t</m:t>
            </m:r>
          </m:sub>
          <m:sup>
            <m:r>
              <m:t>s</m:t>
            </m:r>
            <m:r>
              <m:t>y</m:t>
            </m:r>
            <m:r>
              <m:t>n</m:t>
            </m:r>
          </m:sup>
        </m:sSubSup>
      </m:oMath>
      <w:r>
        <w:rPr>
          <w:sz w:val="20"/>
        </w:rPr>
        <w:t xml:space="preserve"> </w:t>
      </w:r>
      <w:r>
        <w:rPr>
          <w:sz w:val="20"/>
        </w:rPr>
        <w:t xml:space="preserve">ist das verbleibende Synapsenbudget. Die Korrelation</w:t>
      </w:r>
      <w:r>
        <w:rPr>
          <w:sz w:val="20"/>
        </w:rPr>
        <w:t xml:space="preserve"> </w:t>
      </w:r>
      <m:oMath>
        <m:sSub>
          <m:e>
            <m:r>
              <m:t>C</m:t>
            </m:r>
          </m:e>
          <m:sub>
            <m:r>
              <m:t>i</m:t>
            </m:r>
            <m:r>
              <m:t>j</m:t>
            </m:r>
          </m:sub>
        </m:sSub>
      </m:oMath>
      <w:r>
        <w:rPr>
          <w:sz w:val="20"/>
        </w:rPr>
        <w:t xml:space="preserve"> </w:t>
      </w:r>
      <w:r>
        <w:rPr>
          <w:sz w:val="20"/>
        </w:rPr>
        <w:t xml:space="preserve">muss mit einem kausal sauberen Zeitfenster berechnet werden; sonst können gemeinsame Inputs fälschlich direkte Beziehung suggerieren.</w:t>
      </w:r>
    </w:p>
    <w:bookmarkEnd w:id="279"/>
    <w:bookmarkStart w:id="280" w:name="pruning"/>
    <w:p>
      <w:pPr>
        <w:pStyle w:val="Heading3"/>
        <w:keepLines/>
        <w:spacing w:after="120" w:before="160"/>
        <w:jc w:val="left"/>
      </w:pPr>
      <w:r>
        <w:rPr>
          <w:sz w:val="20"/>
        </w:rPr>
        <w:t xml:space="preserve">Pruning</w:t>
      </w:r>
    </w:p>
    <w:p>
      <w:pPr>
        <w:pStyle w:val="FirstParagraph"/>
        <w:keepLines/>
        <w:spacing w:after="64" w:line="254" w:lineRule="auto"/>
        <w:jc w:val="left"/>
      </w:pPr>
      <w:r>
        <w:rPr>
          <w:b/>
          <w:bCs/>
          <w:sz w:val="20"/>
        </w:rPr>
        <w:t xml:space="preserve">[HEUR]</w:t>
      </w:r>
      <w:r>
        <w:rPr>
          <w:sz w:val="20"/>
        </w:rPr>
        <w:t xml:space="preserve"> </w:t>
      </w:r>
      <w:r>
        <w:rPr>
          <w:sz w:val="20"/>
        </w:rPr>
        <w:t xml:space="preserve">Eine Kante wird zum Pruning-Kandidaten, wenn</w:t>
      </w:r>
    </w:p>
    <w:p>
      <w:pPr>
        <w:pStyle w:val="BodyText"/>
        <w:keepLines/>
        <w:spacing w:after="64" w:before="100" w:line="254" w:lineRule="auto"/>
        <w:jc w:val="center"/>
      </w:pPr>
      <m:oMathPara>
        <m:oMathParaPr>
          <m:jc m:val="center"/>
        </m:oMathParaPr>
        <m:oMath>
          <m:r>
            <m:t>∣</m:t>
          </m:r>
          <m:sSub>
            <m:e>
              <m:r>
                <m:t>w</m:t>
              </m:r>
            </m:e>
            <m:sub>
              <m:r>
                <m:t>i</m:t>
              </m:r>
              <m:r>
                <m:t>j</m:t>
              </m:r>
            </m:sub>
          </m:sSub>
          <m:d>
            <m:dPr>
              <m:begChr m:val="("/>
              <m:endChr m:val=")"/>
              <m:sepChr m:val=""/>
              <m:grow/>
            </m:dPr>
            <m:e>
              <m:r>
                <m:t>t</m:t>
              </m:r>
            </m:e>
          </m:d>
          <m:r>
            <m:t>∣</m:t>
          </m:r>
          <m:r>
            <m:rPr>
              <m:sty m:val="p"/>
            </m:rPr>
            <m:t>&lt;</m:t>
          </m:r>
          <m:sSub>
            <m:e>
              <m:r>
                <m:t>w</m:t>
              </m:r>
            </m:e>
            <m:sub>
              <m:r>
                <m:t>p</m:t>
              </m:r>
              <m:r>
                <m:t>r</m:t>
              </m:r>
              <m:r>
                <m:t>u</m:t>
              </m:r>
              <m:r>
                <m:t>n</m:t>
              </m:r>
              <m:r>
                <m:t>e</m:t>
              </m:r>
            </m:sub>
          </m:sSub>
          <m:r>
            <m:rPr>
              <m:sty m:val="p"/>
            </m:rPr>
            <m:t>,</m:t>
          </m:r>
          <m:sSub>
            <m:e>
              <m:r>
                <m:t>U</m:t>
              </m:r>
            </m:e>
            <m:sub>
              <m:r>
                <m:t>i</m:t>
              </m:r>
              <m:r>
                <m:t>j</m:t>
              </m:r>
            </m:sub>
          </m:sSub>
          <m:d>
            <m:dPr>
              <m:begChr m:val="("/>
              <m:endChr m:val=")"/>
              <m:sepChr m:val=""/>
              <m:grow/>
            </m:dPr>
            <m:e>
              <m:r>
                <m:t>t</m:t>
              </m:r>
            </m:e>
          </m:d>
          <m:r>
            <m:rPr>
              <m:sty m:val="p"/>
            </m:rPr>
            <m:t>&lt;</m:t>
          </m:r>
          <m:sSub>
            <m:e>
              <m:r>
                <m:t>u</m:t>
              </m:r>
            </m:e>
            <m:sub>
              <m:r>
                <m:t>m</m:t>
              </m:r>
              <m:r>
                <m:t>i</m:t>
              </m:r>
              <m:r>
                <m:t>n</m:t>
              </m:r>
            </m:sub>
          </m:sSub>
          <m:r>
            <m:rPr>
              <m:sty m:val="p"/>
            </m:rPr>
            <m:t>,</m:t>
          </m:r>
          <m:r>
            <m:t>a</m:t>
          </m:r>
          <m:r>
            <m:t>g</m:t>
          </m:r>
          <m:sSub>
            <m:e>
              <m:r>
                <m:t>e</m:t>
              </m:r>
            </m:e>
            <m:sub>
              <m:r>
                <m:t>i</m:t>
              </m:r>
              <m:r>
                <m:t>j</m:t>
              </m:r>
            </m:sub>
          </m:sSub>
          <m:r>
            <m:rPr>
              <m:sty m:val="p"/>
            </m:rPr>
            <m:t>&gt;</m:t>
          </m:r>
          <m:sSub>
            <m:e>
              <m:r>
                <m:t>T</m:t>
              </m:r>
            </m:e>
            <m:sub>
              <m:r>
                <m:t>g</m:t>
              </m:r>
              <m:r>
                <m:t>r</m:t>
              </m:r>
              <m:r>
                <m:t>a</m:t>
              </m:r>
              <m:r>
                <m:t>c</m:t>
              </m:r>
              <m:r>
                <m:t>e</m:t>
              </m:r>
            </m:sub>
          </m:sSub>
        </m:oMath>
      </m:oMathPara>
    </w:p>
    <w:p>
      <w:pPr>
        <w:pStyle w:val="FirstParagraph"/>
        <w:keepLines/>
        <w:spacing w:after="64" w:line="254" w:lineRule="auto"/>
        <w:jc w:val="left"/>
      </w:pPr>
      <w:r>
        <w:rPr>
          <w:sz w:val="20"/>
        </w:rPr>
        <w:t xml:space="preserve">über ein Mindestintervall gilt.</w:t>
      </w:r>
      <w:r>
        <w:rPr>
          <w:sz w:val="20"/>
        </w:rPr>
        <w:t xml:space="preserve"> </w:t>
      </w:r>
      <m:oMath>
        <m:sSub>
          <m:e>
            <m:r>
              <m:t>U</m:t>
            </m:r>
          </m:e>
          <m:sub>
            <m:r>
              <m:t>i</m:t>
            </m:r>
            <m:r>
              <m:t>j</m:t>
            </m:r>
          </m:sub>
        </m:sSub>
      </m:oMath>
      <w:r>
        <w:rPr>
          <w:sz w:val="20"/>
        </w:rPr>
        <w:t xml:space="preserve"> </w:t>
      </w:r>
      <w:r>
        <w:rPr>
          <w:sz w:val="20"/>
        </w:rPr>
        <w:t xml:space="preserve">kann Nutzung, Contribution oder Eligibility zusammenfassen. Sofortiges Pruning nach kurzfristiger Inaktivität würde langsame oder episodische Verbindungen benachteiligen.</w:t>
      </w:r>
    </w:p>
    <w:bookmarkEnd w:id="280"/>
    <w:bookmarkStart w:id="281" w:name="neurogenese"/>
    <w:p>
      <w:pPr>
        <w:pStyle w:val="Heading3"/>
        <w:keepLines/>
        <w:spacing w:after="120" w:before="160"/>
        <w:jc w:val="left"/>
      </w:pPr>
      <w:r>
        <w:rPr>
          <w:sz w:val="20"/>
        </w:rPr>
        <w:t xml:space="preserve">Neurogenese</w:t>
      </w:r>
    </w:p>
    <w:p>
      <w:pPr>
        <w:pStyle w:val="FirstParagraph"/>
        <w:keepLines/>
        <w:spacing w:after="64" w:line="254" w:lineRule="auto"/>
        <w:jc w:val="left"/>
      </w:pPr>
      <w:r>
        <w:rPr>
          <w:sz w:val="20"/>
        </w:rPr>
        <w:t xml:space="preserve">Neue Neuronen dürfen nicht als Synapsenwachstum bezeichnet werden. Ein Growth-Score ist eine explizite Heuristik:</w:t>
      </w:r>
    </w:p>
    <w:p>
      <w:pPr>
        <w:pStyle w:val="BodyText"/>
        <w:keepLines/>
        <w:spacing w:after="64" w:line="254" w:lineRule="auto"/>
        <w:jc w:val="left"/>
      </w:pPr>
      <w:r>
        <w:rPr>
          <w:b/>
          <w:bCs/>
          <w:sz w:val="20"/>
        </w:rPr>
        <w:t xml:space="preserve">[HEUR]</w:t>
      </w:r>
    </w:p>
    <w:p>
      <w:pPr>
        <w:pStyle w:val="BodyText"/>
        <w:keepLines/>
        <w:spacing w:after="64" w:before="100" w:line="254" w:lineRule="auto"/>
        <w:jc w:val="center"/>
      </w:pPr>
      <m:oMathPara>
        <m:oMathParaPr>
          <m:jc m:val="center"/>
        </m:oMathParaPr>
        <m:oMath>
          <m:sSub>
            <m:e>
              <m:r>
                <m:t>G</m:t>
              </m:r>
            </m:e>
            <m:sub>
              <m:r>
                <m:t>r</m:t>
              </m:r>
            </m:sub>
          </m:sSub>
          <m:r>
            <m:rPr>
              <m:sty m:val="p"/>
            </m:rPr>
            <m:t>=</m:t>
          </m:r>
          <m:r>
            <m:t>α</m:t>
          </m:r>
          <m:sSub>
            <m:e>
              <m:r>
                <m:t>O</m:t>
              </m:r>
            </m:e>
            <m:sub>
              <m:r>
                <m:t>r</m:t>
              </m:r>
            </m:sub>
          </m:sSub>
          <m:r>
            <m:rPr>
              <m:sty m:val="p"/>
            </m:rPr>
            <m:t>+</m:t>
          </m:r>
          <m:r>
            <m:t>β</m:t>
          </m:r>
          <m:sSub>
            <m:e>
              <m:r>
                <m:t>E</m:t>
              </m:r>
            </m:e>
            <m:sub>
              <m:r>
                <m:t>r</m:t>
              </m:r>
            </m:sub>
          </m:sSub>
          <m:r>
            <m:rPr>
              <m:sty m:val="p"/>
            </m:rPr>
            <m:t>+</m:t>
          </m:r>
          <m:r>
            <m:t>γ</m:t>
          </m:r>
          <m:sSub>
            <m:e>
              <m:r>
                <m:t>D</m:t>
              </m:r>
            </m:e>
            <m:sub>
              <m:r>
                <m:t>r</m:t>
              </m:r>
            </m:sub>
          </m:sSub>
          <m:r>
            <m:rPr>
              <m:sty m:val="p"/>
            </m:rPr>
            <m:t>+</m:t>
          </m:r>
          <m:r>
            <m:t>ζ</m:t>
          </m:r>
          <m:sSub>
            <m:e>
              <m:r>
                <m:t>U</m:t>
              </m:r>
            </m:e>
            <m:sub>
              <m:r>
                <m:t>r</m:t>
              </m:r>
            </m:sub>
          </m:sSub>
          <m:r>
            <m:rPr>
              <m:sty m:val="p"/>
            </m:rPr>
            <m:t>−</m:t>
          </m:r>
          <m:r>
            <m:t>δ</m:t>
          </m:r>
          <m:sSub>
            <m:e>
              <m:r>
                <m:t>C</m:t>
              </m:r>
            </m:e>
            <m:sub>
              <m:r>
                <m:t>r</m:t>
              </m:r>
            </m:sub>
          </m:sSub>
          <m:r>
            <m:rPr>
              <m:sty m:val="p"/>
            </m:rPr>
            <m:t>,</m:t>
          </m:r>
        </m:oMath>
      </m:oMathPara>
    </w:p>
    <w:p>
      <w:pPr>
        <w:pStyle w:val="FirstParagraph"/>
        <w:keepLines/>
        <w:spacing w:after="64" w:line="254" w:lineRule="auto"/>
        <w:jc w:val="left"/>
      </w:pPr>
      <w:r>
        <w:rPr>
          <w:sz w:val="20"/>
        </w:rPr>
        <w:t xml:space="preserve">mit regionaler Überlastung</w:t>
      </w:r>
      <w:r>
        <w:rPr>
          <w:sz w:val="20"/>
        </w:rPr>
        <w:t xml:space="preserve"> </w:t>
      </w:r>
      <m:oMath>
        <m:sSub>
          <m:e>
            <m:r>
              <m:t>O</m:t>
            </m:r>
          </m:e>
          <m:sub>
            <m:r>
              <m:t>r</m:t>
            </m:r>
          </m:sub>
        </m:sSub>
      </m:oMath>
      <w:r>
        <w:rPr>
          <w:sz w:val="20"/>
        </w:rPr>
        <w:t xml:space="preserve">, wiederkehrendem Fehler</w:t>
      </w:r>
      <w:r>
        <w:rPr>
          <w:sz w:val="20"/>
        </w:rPr>
        <w:t xml:space="preserve"> </w:t>
      </w:r>
      <m:oMath>
        <m:sSub>
          <m:e>
            <m:r>
              <m:t>E</m:t>
            </m:r>
          </m:e>
          <m:sub>
            <m:r>
              <m:t>r</m:t>
            </m:r>
          </m:sub>
        </m:sSub>
      </m:oMath>
      <w:r>
        <w:rPr>
          <w:sz w:val="20"/>
        </w:rPr>
        <w:t xml:space="preserve">, Diversitätsbedarf</w:t>
      </w:r>
      <w:r>
        <w:rPr>
          <w:sz w:val="20"/>
        </w:rPr>
        <w:t xml:space="preserve"> </w:t>
      </w:r>
      <m:oMath>
        <m:sSub>
          <m:e>
            <m:r>
              <m:t>D</m:t>
            </m:r>
          </m:e>
          <m:sub>
            <m:r>
              <m:t>r</m:t>
            </m:r>
          </m:sub>
        </m:sSub>
      </m:oMath>
      <w:r>
        <w:rPr>
          <w:sz w:val="20"/>
        </w:rPr>
        <w:t xml:space="preserve">, unzureichender Kapazitätsnutzung</w:t>
      </w:r>
      <w:r>
        <w:rPr>
          <w:sz w:val="20"/>
        </w:rPr>
        <w:t xml:space="preserve"> </w:t>
      </w:r>
      <m:oMath>
        <m:sSub>
          <m:e>
            <m:r>
              <m:t>U</m:t>
            </m:r>
          </m:e>
          <m:sub>
            <m:r>
              <m:t>r</m:t>
            </m:r>
          </m:sub>
        </m:sSub>
      </m:oMath>
      <w:r>
        <w:rPr>
          <w:sz w:val="20"/>
        </w:rPr>
        <w:t xml:space="preserve"> </w:t>
      </w:r>
      <w:r>
        <w:rPr>
          <w:sz w:val="20"/>
        </w:rPr>
        <w:t xml:space="preserve">und Kosten</w:t>
      </w:r>
      <w:r>
        <w:rPr>
          <w:sz w:val="20"/>
        </w:rPr>
        <w:t xml:space="preserve"> </w:t>
      </w:r>
      <m:oMath>
        <m:sSub>
          <m:e>
            <m:r>
              <m:t>C</m:t>
            </m:r>
          </m:e>
          <m:sub>
            <m:r>
              <m:t>r</m:t>
            </m:r>
          </m:sub>
        </m:sSub>
      </m:oMath>
      <w:r>
        <w:rPr>
          <w:sz w:val="20"/>
        </w:rPr>
        <w:t xml:space="preserve">. Wachstum erfolgt nur bei</w:t>
      </w:r>
      <w:r>
        <w:rPr>
          <w:sz w:val="20"/>
        </w:rPr>
        <w:t xml:space="preserve"> </w:t>
      </w:r>
      <m:oMath>
        <m:sSub>
          <m:e>
            <m:r>
              <m:t>G</m:t>
            </m:r>
          </m:e>
          <m:sub>
            <m:r>
              <m:t>r</m:t>
            </m:r>
          </m:sub>
        </m:sSub>
        <m:r>
          <m:rPr>
            <m:sty m:val="p"/>
          </m:rPr>
          <m:t>&gt;</m:t>
        </m:r>
        <m:sSub>
          <m:e>
            <m:r>
              <m:t>G</m:t>
            </m:r>
          </m:e>
          <m:sub>
            <m:r>
              <m:t>t</m:t>
            </m:r>
            <m:r>
              <m:t>h</m:t>
            </m:r>
            <m:r>
              <m:t>r</m:t>
            </m:r>
            <m:r>
              <m:t>e</m:t>
            </m:r>
            <m:r>
              <m:t>s</m:t>
            </m:r>
            <m:r>
              <m:t>h</m:t>
            </m:r>
            <m:r>
              <m:t>o</m:t>
            </m:r>
            <m:r>
              <m:t>l</m:t>
            </m:r>
            <m:r>
              <m:t>d</m:t>
            </m:r>
          </m:sub>
        </m:sSub>
      </m:oMath>
      <w:r>
        <w:rPr>
          <w:sz w:val="20"/>
        </w:rPr>
        <w:t xml:space="preserve">, vorhandener Adresskapazität und globalem Budget. Die Heuristik muss gegen einfachere Alternativen wie mehr Anfangsneuronen oder erhöhte Synapsendichte getestet werden.</w:t>
      </w:r>
    </w:p>
    <w:bookmarkEnd w:id="281"/>
    <w:bookmarkStart w:id="282" w:name="entwicklungs--und-altersattribute"/>
    <w:p>
      <w:pPr>
        <w:pStyle w:val="Heading3"/>
        <w:keepLines/>
        <w:spacing w:after="120" w:before="160"/>
        <w:jc w:val="left"/>
      </w:pPr>
      <w:r>
        <w:rPr>
          <w:sz w:val="20"/>
        </w:rPr>
        <w:t xml:space="preserve">Entwicklungs- und Altersattribute</w:t>
      </w:r>
    </w:p>
    <w:p>
      <w:pPr>
        <w:pStyle w:val="FirstParagraph"/>
        <w:keepLines/>
        <w:spacing w:after="64" w:line="254" w:lineRule="auto"/>
        <w:jc w:val="left"/>
      </w:pPr>
      <w:r>
        <w:rPr>
          <w:sz w:val="20"/>
        </w:rPr>
        <w:t xml:space="preserve">Knoten und Kanten erhalten Erzeugungszeitpunkt, Alter, letzte Nutzung, kumulative Aktivität und gegebenenfalls Entwicklungsphase. Diese Attribute ermöglichen Fragen wie: Werden neue Neuronen funktional integriert? Steigt ihre Survival Rate selektiv? Verändert sich Turnover mit Aufgabenwechseln? Eine bloße Erhöhung der Neuronenzahl ist kein Nachweis nützlicher Neurogenese.</w:t>
      </w:r>
    </w:p>
    <w:bookmarkEnd w:id="282"/>
    <w:bookmarkStart w:id="283" w:name="ressourcenmodell"/>
    <w:p>
      <w:pPr>
        <w:pStyle w:val="Heading3"/>
        <w:keepLines/>
        <w:spacing w:after="120" w:before="160"/>
        <w:jc w:val="left"/>
      </w:pPr>
      <w:r>
        <w:rPr>
          <w:sz w:val="20"/>
        </w:rPr>
        <w:t xml:space="preserve">Ressourcenmodell</w:t>
      </w:r>
    </w:p>
    <w:p>
      <w:pPr>
        <w:pStyle w:val="FirstParagraph"/>
        <w:keepLines/>
        <w:spacing w:after="64" w:line="254" w:lineRule="auto"/>
        <w:jc w:val="left"/>
      </w:pPr>
      <w:r>
        <w:rPr>
          <w:b/>
          <w:bCs/>
          <w:sz w:val="20"/>
        </w:rPr>
        <w:t xml:space="preserve">[MODEL]</w:t>
      </w:r>
      <w:r>
        <w:rPr>
          <w:sz w:val="20"/>
        </w:rPr>
        <w:t xml:space="preserve"> </w:t>
      </w:r>
      <w:r>
        <w:rPr>
          <w:sz w:val="20"/>
        </w:rPr>
        <w:t xml:space="preserve">Eine abstrakte Kostenfunktion lautet</w:t>
      </w:r>
    </w:p>
    <w:p>
      <w:pPr>
        <w:pStyle w:val="BodyText"/>
        <w:keepLines/>
        <w:spacing w:after="64" w:before="100" w:line="254" w:lineRule="auto"/>
        <w:jc w:val="center"/>
      </w:pPr>
      <m:oMathPara>
        <m:oMathParaPr>
          <m:jc m:val="center"/>
        </m:oMathParaPr>
        <m:oMath>
          <m:sSub>
            <m:e>
              <m:r>
                <m:t>C</m:t>
              </m:r>
            </m:e>
            <m:sub>
              <m:r>
                <m:t>t</m:t>
              </m:r>
            </m:sub>
          </m:sSub>
          <m:r>
            <m:rPr>
              <m:sty m:val="p"/>
            </m:rPr>
            <m:t>=</m:t>
          </m:r>
          <m:sSub>
            <m:e>
              <m:r>
                <m:t>c</m:t>
              </m:r>
            </m:e>
            <m:sub>
              <m:r>
                <m:t>N</m:t>
              </m:r>
            </m:sub>
          </m:sSub>
          <m:r>
            <m:t>∣</m:t>
          </m:r>
          <m:sSub>
            <m:e>
              <m:r>
                <m:t>V</m:t>
              </m:r>
            </m:e>
            <m:sub>
              <m:r>
                <m:t>t</m:t>
              </m:r>
            </m:sub>
          </m:sSub>
          <m:r>
            <m:t>∣</m:t>
          </m:r>
          <m:r>
            <m:rPr>
              <m:sty m:val="p"/>
            </m:rPr>
            <m:t>+</m:t>
          </m:r>
          <m:sSub>
            <m:e>
              <m:r>
                <m:t>c</m:t>
              </m:r>
            </m:e>
            <m:sub>
              <m:r>
                <m:t>E</m:t>
              </m:r>
            </m:sub>
          </m:sSub>
          <m:r>
            <m:t>∣</m:t>
          </m:r>
          <m:sSub>
            <m:e>
              <m:r>
                <m:t>E</m:t>
              </m:r>
            </m:e>
            <m:sub>
              <m:r>
                <m:t>t</m:t>
              </m:r>
            </m:sub>
          </m:sSub>
          <m:r>
            <m:t>∣</m:t>
          </m:r>
          <m:r>
            <m:rPr>
              <m:sty m:val="p"/>
            </m:rPr>
            <m:t>+</m:t>
          </m:r>
          <m:sSub>
            <m:e>
              <m:r>
                <m:t>c</m:t>
              </m:r>
            </m:e>
            <m:sub>
              <m:r>
                <m:t>P</m:t>
              </m:r>
            </m:sub>
          </m:sSub>
          <m:sSub>
            <m:e>
              <m:r>
                <m:t>N</m:t>
              </m:r>
            </m:e>
            <m:sub>
              <m:r>
                <m:t>s</m:t>
              </m:r>
              <m:r>
                <m:t>p</m:t>
              </m:r>
              <m:r>
                <m:t>i</m:t>
              </m:r>
              <m:r>
                <m:t>k</m:t>
              </m:r>
              <m:r>
                <m:t>e</m:t>
              </m:r>
            </m:sub>
          </m:sSub>
          <m:d>
            <m:dPr>
              <m:begChr m:val="("/>
              <m:endChr m:val=")"/>
              <m:sepChr m:val=""/>
              <m:grow/>
            </m:dPr>
            <m:e>
              <m:r>
                <m:t>t</m:t>
              </m:r>
            </m:e>
          </m:d>
          <m:r>
            <m:rPr>
              <m:sty m:val="p"/>
            </m:rPr>
            <m:t>+</m:t>
          </m:r>
          <m:sSub>
            <m:e>
              <m:r>
                <m:t>c</m:t>
              </m:r>
            </m:e>
            <m:sub>
              <m:r>
                <m:t>U</m:t>
              </m:r>
            </m:sub>
          </m:sSub>
          <m:sSub>
            <m:e>
              <m:r>
                <m:t>N</m:t>
              </m:r>
            </m:e>
            <m:sub>
              <m:r>
                <m:t>u</m:t>
              </m:r>
              <m:r>
                <m:t>p</m:t>
              </m:r>
              <m:r>
                <m:t>d</m:t>
              </m:r>
              <m:r>
                <m:t>a</m:t>
              </m:r>
              <m:r>
                <m:t>t</m:t>
              </m:r>
              <m:r>
                <m:t>e</m:t>
              </m:r>
            </m:sub>
          </m:sSub>
          <m:d>
            <m:dPr>
              <m:begChr m:val="("/>
              <m:endChr m:val=")"/>
              <m:sepChr m:val=""/>
              <m:grow/>
            </m:dPr>
            <m:e>
              <m:r>
                <m:t>t</m:t>
              </m:r>
            </m:e>
          </m:d>
          <m:r>
            <m:rPr>
              <m:sty m:val="p"/>
            </m:rPr>
            <m:t>+</m:t>
          </m:r>
          <m:sSub>
            <m:e>
              <m:r>
                <m:t>c</m:t>
              </m:r>
            </m:e>
            <m:sub>
              <m:r>
                <m:t>G</m:t>
              </m:r>
            </m:sub>
          </m:sSub>
          <m:sSub>
            <m:e>
              <m:r>
                <m:t>N</m:t>
              </m:r>
            </m:e>
            <m:sub>
              <m:r>
                <m:t>s</m:t>
              </m:r>
              <m:r>
                <m:t>t</m:t>
              </m:r>
              <m:r>
                <m:t>r</m:t>
              </m:r>
              <m:r>
                <m:t>u</m:t>
              </m:r>
              <m:r>
                <m:t>c</m:t>
              </m:r>
              <m:r>
                <m:t>t</m:t>
              </m:r>
            </m:sub>
          </m:sSub>
          <m:d>
            <m:dPr>
              <m:begChr m:val="("/>
              <m:endChr m:val=")"/>
              <m:sepChr m:val=""/>
              <m:grow/>
            </m:dPr>
            <m:e>
              <m:r>
                <m:t>t</m:t>
              </m:r>
            </m:e>
          </m:d>
          <m:r>
            <m:rPr>
              <m:sty m:val="p"/>
            </m:rPr>
            <m:t>+</m:t>
          </m:r>
          <m:sSub>
            <m:e>
              <m:r>
                <m:t>c</m:t>
              </m:r>
            </m:e>
            <m:sub>
              <m:r>
                <m:t>I</m:t>
              </m:r>
              <m:r>
                <m:t>O</m:t>
              </m:r>
            </m:sub>
          </m:sSub>
          <m:sSub>
            <m:e>
              <m:r>
                <m:t>B</m:t>
              </m:r>
            </m:e>
            <m:sub>
              <m:r>
                <m:t>I</m:t>
              </m:r>
              <m:r>
                <m:t>O</m:t>
              </m:r>
            </m:sub>
          </m:sSub>
          <m:d>
            <m:dPr>
              <m:begChr m:val="("/>
              <m:endChr m:val=")"/>
              <m:sepChr m:val=""/>
              <m:grow/>
            </m:dPr>
            <m:e>
              <m:r>
                <m:t>t</m:t>
              </m:r>
            </m:e>
          </m:d>
          <m:r>
            <m:rPr>
              <m:sty m:val="p"/>
            </m:rPr>
            <m:t>.</m:t>
          </m:r>
        </m:oMath>
      </m:oMathPara>
    </w:p>
    <w:p>
      <w:pPr>
        <w:pStyle w:val="FirstParagraph"/>
        <w:keepLines/>
        <w:spacing w:after="64" w:line="254" w:lineRule="auto"/>
        <w:jc w:val="left"/>
      </w:pPr>
      <w:r>
        <w:rPr>
          <w:sz w:val="20"/>
        </w:rPr>
        <w:t xml:space="preserve">Das System arbeitet unter</w:t>
      </w:r>
    </w:p>
    <w:p>
      <w:pPr>
        <w:pStyle w:val="BodyText"/>
        <w:keepLines/>
        <w:spacing w:after="64" w:before="100" w:line="254" w:lineRule="auto"/>
        <w:jc w:val="center"/>
      </w:pPr>
      <m:oMathPara>
        <m:oMathParaPr>
          <m:jc m:val="center"/>
        </m:oMathParaPr>
        <m:oMath>
          <m:sSub>
            <m:e>
              <m:r>
                <m:t>C</m:t>
              </m:r>
            </m:e>
            <m:sub>
              <m:r>
                <m:t>t</m:t>
              </m:r>
            </m:sub>
          </m:sSub>
          <m:r>
            <m:rPr>
              <m:sty m:val="p"/>
            </m:rPr>
            <m:t>≤</m:t>
          </m:r>
          <m:sSub>
            <m:e>
              <m:r>
                <m:t>C</m:t>
              </m:r>
            </m:e>
            <m:sub>
              <m:r>
                <m:t>m</m:t>
              </m:r>
              <m:r>
                <m:t>a</m:t>
              </m:r>
              <m:r>
                <m:t>x</m:t>
              </m:r>
            </m:sub>
          </m:sSub>
          <m:r>
            <m:rPr>
              <m:sty m:val="p"/>
            </m:rPr>
            <m:t>,</m:t>
          </m:r>
          <m:r>
            <m:t>∣</m:t>
          </m:r>
          <m:sSub>
            <m:e>
              <m:r>
                <m:t>V</m:t>
              </m:r>
            </m:e>
            <m:sub>
              <m:r>
                <m:t>t</m:t>
              </m:r>
            </m:sub>
          </m:sSub>
          <m:r>
            <m:t>∣</m:t>
          </m:r>
          <m:r>
            <m:rPr>
              <m:sty m:val="p"/>
            </m:rPr>
            <m:t>≤</m:t>
          </m:r>
          <m:sSub>
            <m:e>
              <m:r>
                <m:t>N</m:t>
              </m:r>
            </m:e>
            <m:sub>
              <m:r>
                <m:t>m</m:t>
              </m:r>
              <m:r>
                <m:t>a</m:t>
              </m:r>
              <m:r>
                <m:t>x</m:t>
              </m:r>
            </m:sub>
          </m:sSub>
          <m:r>
            <m:rPr>
              <m:sty m:val="p"/>
            </m:rPr>
            <m:t>,</m:t>
          </m:r>
          <m:r>
            <m:t>∣</m:t>
          </m:r>
          <m:sSub>
            <m:e>
              <m:r>
                <m:t>E</m:t>
              </m:r>
            </m:e>
            <m:sub>
              <m:r>
                <m:t>t</m:t>
              </m:r>
            </m:sub>
          </m:sSub>
          <m:r>
            <m:t>∣</m:t>
          </m:r>
          <m:r>
            <m:rPr>
              <m:sty m:val="p"/>
            </m:rPr>
            <m:t>≤</m:t>
          </m:r>
          <m:sSub>
            <m:e>
              <m:r>
                <m:t>S</m:t>
              </m:r>
            </m:e>
            <m:sub>
              <m:r>
                <m:t>m</m:t>
              </m:r>
              <m:r>
                <m:t>a</m:t>
              </m:r>
              <m:r>
                <m:t>x</m:t>
              </m:r>
            </m:sub>
          </m:sSub>
          <m:r>
            <m:rPr>
              <m:sty m:val="p"/>
            </m:rPr>
            <m:t>.</m:t>
          </m:r>
        </m:oMath>
      </m:oMathPara>
    </w:p>
    <w:p>
      <w:pPr>
        <w:pStyle w:val="FirstParagraph"/>
        <w:keepLines/>
        <w:spacing w:after="64" w:line="254" w:lineRule="auto"/>
        <w:jc w:val="left"/>
      </w:pPr>
      <w:r>
        <w:rPr>
          <w:sz w:val="20"/>
        </w:rPr>
        <w:t xml:space="preserve">Die Koeffizienten können reale Laufzeit, Energieproxy oder normierte Ressourcen repräsentieren. Sie sind zu kalibrieren und dürfen nicht ohne Messung als physikalische Energie interpretiert werden.</w:t>
      </w:r>
    </w:p>
    <w:bookmarkEnd w:id="283"/>
    <w:bookmarkStart w:id="284" w:name="X6075e56608978e7e90bf163dd1f86a531f2642c"/>
    <w:p>
      <w:pPr>
        <w:pStyle w:val="Heading3"/>
        <w:keepLines/>
        <w:spacing w:after="120" w:before="160"/>
        <w:jc w:val="left"/>
      </w:pPr>
      <w:r>
        <w:rPr>
          <w:sz w:val="20"/>
        </w:rPr>
        <w:t xml:space="preserve">Stand der Forschung und Brain-5D-Hypothese</w:t>
      </w:r>
    </w:p>
    <w:p>
      <w:pPr>
        <w:pStyle w:val="FirstParagraph"/>
        <w:keepLines/>
        <w:spacing w:after="64" w:line="254" w:lineRule="auto"/>
        <w:jc w:val="left"/>
      </w:pPr>
      <w:r>
        <w:rPr>
          <w:sz w:val="20"/>
        </w:rPr>
        <w:t xml:space="preserve">Erfahrungsabhängige strukturelle Plastizität und aktivitätsabhängiges Rewiring sind etablierte Forschungsfelder (</w:t>
      </w:r>
      <w:hyperlink w:anchor="ref-Butz2009">
        <w:r>
          <w:rPr>
            <w:rStyle w:val="Hyperlink"/>
          </w:rPr>
          <w:t xml:space="preserve">Butz et al., 2009</w:t>
        </w:r>
      </w:hyperlink>
      <w:r>
        <w:rPr>
          <w:sz w:val="20"/>
        </w:rPr>
        <w:t xml:space="preserve">;</w:t>
      </w:r>
      <w:r>
        <w:rPr>
          <w:sz w:val="20"/>
        </w:rPr>
        <w:t xml:space="preserve"> </w:t>
      </w:r>
      <w:hyperlink w:anchor="ref-Holtmaat2009">
        <w:r>
          <w:rPr>
            <w:rStyle w:val="Hyperlink"/>
          </w:rPr>
          <w:t xml:space="preserve">Holtmaat &amp; Svoboda, 2009</w:t>
        </w:r>
      </w:hyperlink>
      <w:r>
        <w:rPr>
          <w:sz w:val="20"/>
        </w:rPr>
        <w:t xml:space="preserve">;</w:t>
      </w:r>
      <w:r>
        <w:rPr>
          <w:sz w:val="20"/>
        </w:rPr>
        <w:t xml:space="preserve"> </w:t>
      </w:r>
      <w:hyperlink w:anchor="ref-Li2024rewiring">
        <w:r>
          <w:rPr>
            <w:rStyle w:val="Hyperlink"/>
          </w:rPr>
          <w:t xml:space="preserve">Li et al., 2024</w:t>
        </w:r>
      </w:hyperlink>
      <w:r>
        <w:rPr>
          <w:sz w:val="20"/>
        </w:rPr>
        <w:t xml:space="preserve">). Neuere Modelle untersuchen die Bildung mehrerer Engramme mit strukturellen und homeostatischen Mechanismen (</w:t>
      </w:r>
      <w:hyperlink w:anchor="ref-Kaster2024">
        <w:r>
          <w:rPr>
            <w:rStyle w:val="Hyperlink"/>
          </w:rPr>
          <w:t xml:space="preserve">Kaster et al., 2024</w:t>
        </w:r>
      </w:hyperlink>
      <w:r>
        <w:rPr>
          <w:sz w:val="20"/>
        </w:rPr>
        <w:t xml:space="preserve">). Brain-5D leitet daraus keine automatische Gedächtnisfunktion ab, sondern formuliert die prüfbare Hypothese, dass Turnover und Ressourcenregeln Continual Learning unter bestimmten Aufgabenverteilungen verbessern können.</w:t>
      </w:r>
    </w:p>
    <w:bookmarkEnd w:id="284"/>
    <w:bookmarkEnd w:id="285"/>
    <w:bookmarkEnd w:id="286"/>
    <w:bookmarkStart w:id="302" w:name="X0237ef64d41fb9145eacc32ccc9332a7d904e3b"/>
    <w:p>
      <w:bookmarkStart w:id="10021" w:name="B5D_H021"/>
      <w:pPr>
        <w:pStyle w:val="Heading1"/>
      </w:pPr>
      <w:r>
        <w:t xml:space="preserve">18. Stabilität, Attraktoren, Emergenz und Kausalität</w:t>
      </w:r>
      <w:bookmarkEnd w:id="10021"/>
    </w:p>
    <w:bookmarkStart w:id="294" w:name="X4ae6a4cd6e761af6aa5d9339e76f33a36bcc153"/>
    <w:p>
      <w:pPr>
        <w:pStyle w:val="Heading2"/>
      </w:pPr>
      <w:r>
        <w:t xml:space="preserve">Stabilität, Attraktoren, Metastabilität und Bifurkation</w:t>
      </w:r>
    </w:p>
    <w:bookmarkStart w:id="287" w:name="X8a953d0f251d392c6c5e6a99730447edf996bea"/>
    <w:p>
      <w:pPr>
        <w:pStyle w:val="Heading3"/>
        <w:keepLines/>
        <w:spacing w:after="120"/>
        <w:jc w:val="left"/>
      </w:pPr>
      <w:r>
        <w:rPr>
          <w:sz w:val="20"/>
        </w:rPr>
        <w:t xml:space="preserve">Stabilität als mehrdimensionales Konstrukt</w:t>
      </w:r>
    </w:p>
    <w:p>
      <w:pPr>
        <w:pStyle w:val="FirstParagraph"/>
        <w:keepLines/>
        <w:spacing w:after="120"/>
        <w:jc w:val="left"/>
      </w:pPr>
      <w:r>
        <w:rPr>
          <w:sz w:val="20"/>
        </w:rPr>
        <w:t xml:space="preserve">Stabilität bedeutet in Brain-5D nicht „keine Veränderung”. Ein lernfähiges System soll auf Inputs reagieren und langfristig adaptieren. Es sind mindestens folgende Stabilitätsdimensionen zu unterscheiden:</w:t>
      </w:r>
    </w:p>
    <w:p>
      <w:pPr>
        <w:keepLines/>
        <w:numPr>
          <w:ilvl w:val="0"/>
          <w:numId w:val="1021"/>
        </w:numPr>
        <w:spacing w:after="120"/>
        <w:jc w:val="left"/>
      </w:pPr>
      <w:r>
        <w:rPr>
          <w:b/>
          <w:bCs/>
          <w:sz w:val="20"/>
        </w:rPr>
        <w:t xml:space="preserve">numerische Stabilität:</w:t>
      </w:r>
      <w:r>
        <w:rPr>
          <w:sz w:val="20"/>
        </w:rPr>
        <w:t xml:space="preserve"> </w:t>
      </w:r>
      <w:r>
        <w:rPr>
          <w:sz w:val="20"/>
        </w:rPr>
        <w:t xml:space="preserve">Integration und Datenstrukturen bleiben innerhalb technischer Grenzen;</w:t>
      </w:r>
    </w:p>
    <w:p>
      <w:pPr>
        <w:keepLines/>
        <w:numPr>
          <w:ilvl w:val="0"/>
          <w:numId w:val="1021"/>
        </w:numPr>
        <w:spacing w:after="120"/>
        <w:jc w:val="left"/>
      </w:pPr>
      <w:r>
        <w:rPr>
          <w:b/>
          <w:bCs/>
          <w:sz w:val="20"/>
        </w:rPr>
        <w:t xml:space="preserve">dynamische Stabilität:</w:t>
      </w:r>
      <w:r>
        <w:rPr>
          <w:sz w:val="20"/>
        </w:rPr>
        <w:t xml:space="preserve"> </w:t>
      </w:r>
      <w:r>
        <w:rPr>
          <w:sz w:val="20"/>
        </w:rPr>
        <w:t xml:space="preserve">Zustände bleiben in einem zulässigen Bereich;</w:t>
      </w:r>
    </w:p>
    <w:p>
      <w:pPr>
        <w:keepLines/>
        <w:numPr>
          <w:ilvl w:val="0"/>
          <w:numId w:val="1021"/>
        </w:numPr>
        <w:spacing w:after="120"/>
        <w:jc w:val="left"/>
      </w:pPr>
      <w:r>
        <w:rPr>
          <w:b/>
          <w:bCs/>
          <w:sz w:val="20"/>
        </w:rPr>
        <w:t xml:space="preserve">statistische Stationarität:</w:t>
      </w:r>
      <w:r>
        <w:rPr>
          <w:sz w:val="20"/>
        </w:rPr>
        <w:t xml:space="preserve"> </w:t>
      </w:r>
      <w:r>
        <w:rPr>
          <w:sz w:val="20"/>
        </w:rPr>
        <w:t xml:space="preserve">ausgewählte Verteilungen verändern sich nicht unkontrolliert;</w:t>
      </w:r>
    </w:p>
    <w:p>
      <w:pPr>
        <w:keepLines/>
        <w:numPr>
          <w:ilvl w:val="0"/>
          <w:numId w:val="1021"/>
        </w:numPr>
        <w:spacing w:after="120"/>
        <w:jc w:val="left"/>
      </w:pPr>
      <w:r>
        <w:rPr>
          <w:b/>
          <w:bCs/>
          <w:sz w:val="20"/>
        </w:rPr>
        <w:t xml:space="preserve">funktionale Stabilität:</w:t>
      </w:r>
      <w:r>
        <w:rPr>
          <w:sz w:val="20"/>
        </w:rPr>
        <w:t xml:space="preserve"> </w:t>
      </w:r>
      <w:r>
        <w:rPr>
          <w:sz w:val="20"/>
        </w:rPr>
        <w:t xml:space="preserve">erworbene Leistung bleibt trotz Störungen erhalten;</w:t>
      </w:r>
    </w:p>
    <w:p>
      <w:pPr>
        <w:keepLines/>
        <w:numPr>
          <w:ilvl w:val="0"/>
          <w:numId w:val="1021"/>
        </w:numPr>
        <w:spacing w:after="120"/>
        <w:jc w:val="left"/>
      </w:pPr>
      <w:r>
        <w:rPr>
          <w:b/>
          <w:bCs/>
          <w:sz w:val="20"/>
        </w:rPr>
        <w:t xml:space="preserve">strukturelle Stabilität:</w:t>
      </w:r>
      <w:r>
        <w:rPr>
          <w:sz w:val="20"/>
        </w:rPr>
        <w:t xml:space="preserve"> </w:t>
      </w:r>
      <w:r>
        <w:rPr>
          <w:sz w:val="20"/>
        </w:rPr>
        <w:t xml:space="preserve">Graphwachstum und Turnover bleiben budgetiert;</w:t>
      </w:r>
    </w:p>
    <w:p>
      <w:pPr>
        <w:keepLines/>
        <w:numPr>
          <w:ilvl w:val="0"/>
          <w:numId w:val="1021"/>
        </w:numPr>
        <w:spacing w:after="120"/>
        <w:jc w:val="left"/>
      </w:pPr>
      <w:r>
        <w:rPr>
          <w:b/>
          <w:bCs/>
          <w:sz w:val="20"/>
        </w:rPr>
        <w:t xml:space="preserve">adaptive Stabilität:</w:t>
      </w:r>
      <w:r>
        <w:rPr>
          <w:sz w:val="20"/>
        </w:rPr>
        <w:t xml:space="preserve"> </w:t>
      </w:r>
      <w:r>
        <w:rPr>
          <w:sz w:val="20"/>
        </w:rPr>
        <w:t xml:space="preserve">das System kann auf neue Anforderungen reagieren, ohne frühere Funktion vollständig zu verlieren.</w:t>
      </w:r>
    </w:p>
    <w:bookmarkEnd w:id="287"/>
    <w:bookmarkStart w:id="288" w:name="lokale-lineare-analyse"/>
    <w:p>
      <w:pPr>
        <w:pStyle w:val="Heading3"/>
        <w:keepLines/>
        <w:spacing w:after="120"/>
        <w:jc w:val="left"/>
      </w:pPr>
      <w:r>
        <w:rPr>
          <w:sz w:val="20"/>
        </w:rPr>
        <w:t xml:space="preserve">Lokale lineare Analyse</w:t>
      </w:r>
    </w:p>
    <w:p>
      <w:pPr>
        <w:pStyle w:val="FirstParagraph"/>
        <w:keepLines/>
        <w:spacing w:after="120"/>
        <w:jc w:val="left"/>
      </w:pPr>
      <w:r>
        <w:rPr>
          <w:sz w:val="20"/>
        </w:rPr>
        <w:t xml:space="preserve">Für eine glatte diskrete Abbildung</w:t>
      </w:r>
      <w:r>
        <w:rPr>
          <w:sz w:val="20"/>
        </w:rPr>
        <w:t xml:space="preserve"> </w:t>
      </w:r>
      <m:oMath>
        <m:sSub>
          <m:e>
            <m:r>
              <m:t>x</m:t>
            </m:r>
          </m:e>
          <m:sub>
            <m:r>
              <m:t>t</m:t>
            </m:r>
            <m:r>
              <m:rPr>
                <m:sty m:val="p"/>
              </m:rPr>
              <m:t>+</m:t>
            </m:r>
            <m:r>
              <m:t>1</m:t>
            </m:r>
          </m:sub>
        </m:sSub>
        <m:r>
          <m:rPr>
            <m:sty m:val="p"/>
          </m:rPr>
          <m:t>=</m:t>
        </m:r>
        <m:r>
          <m:t>F</m:t>
        </m:r>
        <m:d>
          <m:dPr>
            <m:begChr m:val="("/>
            <m:endChr m:val=")"/>
            <m:sepChr m:val=""/>
            <m:grow/>
          </m:dPr>
          <m:e>
            <m:sSub>
              <m:e>
                <m:r>
                  <m:t>x</m:t>
                </m:r>
              </m:e>
              <m:sub>
                <m:r>
                  <m:t>t</m:t>
                </m:r>
              </m:sub>
            </m:sSub>
          </m:e>
        </m:d>
      </m:oMath>
      <w:r>
        <w:rPr>
          <w:sz w:val="20"/>
        </w:rPr>
        <w:t xml:space="preserve"> </w:t>
      </w:r>
      <w:r>
        <w:rPr>
          <w:sz w:val="20"/>
        </w:rPr>
        <w:t xml:space="preserve">und einen Fixpunkt</w:t>
      </w:r>
      <w:r>
        <w:rPr>
          <w:sz w:val="20"/>
        </w:rPr>
        <w:t xml:space="preserve"> </w:t>
      </w:r>
      <m:oMath>
        <m:sSup>
          <m:e>
            <m:r>
              <m:t>x</m:t>
            </m:r>
          </m:e>
          <m:sup>
            <m:r>
              <m:rPr>
                <m:sty m:val="p"/>
              </m:rPr>
              <m:t>⋆</m:t>
            </m:r>
          </m:sup>
        </m:sSup>
      </m:oMath>
      <w:r>
        <w:rPr>
          <w:sz w:val="20"/>
        </w:rPr>
        <w:t xml:space="preserve"> </w:t>
      </w:r>
      <w:r>
        <w:rPr>
          <w:sz w:val="20"/>
        </w:rPr>
        <w:t xml:space="preserve">mit</w:t>
      </w:r>
      <w:r>
        <w:rPr>
          <w:sz w:val="20"/>
        </w:rPr>
        <w:t xml:space="preserve"> </w:t>
      </w:r>
      <m:oMath>
        <m:r>
          <m:t>F</m:t>
        </m:r>
        <m:d>
          <m:dPr>
            <m:begChr m:val="("/>
            <m:endChr m:val=")"/>
            <m:sepChr m:val=""/>
            <m:grow/>
          </m:dPr>
          <m:e>
            <m:sSup>
              <m:e>
                <m:r>
                  <m:t>x</m:t>
                </m:r>
              </m:e>
              <m:sup>
                <m:r>
                  <m:rPr>
                    <m:sty m:val="p"/>
                  </m:rPr>
                  <m:t>⋆</m:t>
                </m:r>
              </m:sup>
            </m:sSup>
          </m:e>
        </m:d>
        <m:r>
          <m:rPr>
            <m:sty m:val="p"/>
          </m:rPr>
          <m:t>=</m:t>
        </m:r>
        <m:sSup>
          <m:e>
            <m:r>
              <m:t>x</m:t>
            </m:r>
          </m:e>
          <m:sup>
            <m:r>
              <m:rPr>
                <m:sty m:val="p"/>
              </m:rPr>
              <m:t>⋆</m:t>
            </m:r>
          </m:sup>
        </m:sSup>
      </m:oMath>
      <w:r>
        <w:rPr>
          <w:sz w:val="20"/>
        </w:rPr>
        <w:t xml:space="preserve"> </w:t>
      </w:r>
      <w:r>
        <w:rPr>
          <w:sz w:val="20"/>
        </w:rPr>
        <w:t xml:space="preserve">ist lokale asymptotische Stabilität gegeben, wenn</w:t>
      </w:r>
    </w:p>
    <w:p>
      <w:pPr>
        <w:pStyle w:val="BodyText"/>
        <w:keepLines/>
        <w:spacing w:after="120"/>
        <w:jc w:val="left"/>
      </w:pPr>
      <w:r>
        <w:rPr>
          <w:b/>
          <w:bCs/>
          <w:sz w:val="20"/>
        </w:rPr>
        <w:t xml:space="preserve">[MODEL/THEOREM-CONDITION]</w:t>
      </w:r>
    </w:p>
    <w:p>
      <w:pPr>
        <w:pStyle w:val="BodyText"/>
        <w:keepLines/>
        <w:spacing w:after="140" w:before="100"/>
        <w:jc w:val="center"/>
      </w:pPr>
      <m:oMathPara>
        <m:oMathParaPr>
          <m:jc m:val="center"/>
        </m:oMathParaPr>
        <m:oMath>
          <m:r>
            <m:t>ρ</m:t>
          </m:r>
          <m:d>
            <m:dPr>
              <m:begChr m:val="("/>
              <m:endChr m:val=")"/>
              <m:sepChr m:val=""/>
              <m:grow/>
            </m:dPr>
            <m:e>
              <m:sSub>
                <m:e>
                  <m:r>
                    <m:t>J</m:t>
                  </m:r>
                </m:e>
                <m:sub>
                  <m:r>
                    <m:t>F</m:t>
                  </m:r>
                </m:sub>
              </m:sSub>
              <m:d>
                <m:dPr>
                  <m:begChr m:val="("/>
                  <m:endChr m:val=")"/>
                  <m:sepChr m:val=""/>
                  <m:grow/>
                </m:dPr>
                <m:e>
                  <m:sSup>
                    <m:e>
                      <m:r>
                        <m:t>x</m:t>
                      </m:r>
                    </m:e>
                    <m:sup>
                      <m:r>
                        <m:rPr>
                          <m:sty m:val="p"/>
                        </m:rPr>
                        <m:t>⋆</m:t>
                      </m:r>
                    </m:sup>
                  </m:sSup>
                </m:e>
              </m:d>
            </m:e>
          </m:d>
          <m:r>
            <m:rPr>
              <m:sty m:val="p"/>
            </m:rPr>
            <m:t>&lt;</m:t>
          </m:r>
          <m:r>
            <m:t>1</m:t>
          </m:r>
          <m:r>
            <m:rPr>
              <m:sty m:val="p"/>
            </m:rPr>
            <m:t>,</m:t>
          </m:r>
        </m:oMath>
      </m:oMathPara>
    </w:p>
    <w:p>
      <w:pPr>
        <w:pStyle w:val="FirstParagraph"/>
        <w:keepLines/>
        <w:spacing w:after="120"/>
        <w:jc w:val="left"/>
      </w:pPr>
      <w:r>
        <w:rPr>
          <w:sz w:val="20"/>
        </w:rPr>
        <w:t xml:space="preserve">wobei</w:t>
      </w:r>
      <w:r>
        <w:rPr>
          <w:sz w:val="20"/>
        </w:rPr>
        <w:t xml:space="preserve"> </w:t>
      </w:r>
      <m:oMath>
        <m:r>
          <m:t>ρ</m:t>
        </m:r>
      </m:oMath>
      <w:r>
        <w:rPr>
          <w:sz w:val="20"/>
        </w:rPr>
        <w:t xml:space="preserve"> </w:t>
      </w:r>
      <w:r>
        <w:rPr>
          <w:sz w:val="20"/>
        </w:rPr>
        <w:t xml:space="preserve">der Spektralradius ist. Für kontinuierliche Systeme verlangt die lineare Näherung negative Realteile der Eigenwerte. Spikes, Resets, diskrete Strukturänderungen und stochastische Inputs verletzen jedoch häufig die Voraussetzungen einer einfachen glatten Analyse. Die Bedingung ist daher nur lokal und komponentenbezogen nutzbar (</w:t>
      </w:r>
      <w:hyperlink w:anchor="ref-Kuznetsov2004">
        <w:r>
          <w:rPr>
            <w:rStyle w:val="Hyperlink"/>
          </w:rPr>
          <w:t xml:space="preserve">Kuznetsov, 2004</w:t>
        </w:r>
      </w:hyperlink>
      <w:r>
        <w:rPr>
          <w:sz w:val="20"/>
        </w:rPr>
        <w:t xml:space="preserve">;</w:t>
      </w:r>
      <w:r>
        <w:rPr>
          <w:sz w:val="20"/>
        </w:rPr>
        <w:t xml:space="preserve"> </w:t>
      </w:r>
      <w:hyperlink w:anchor="ref-Strogatz2015">
        <w:r>
          <w:rPr>
            <w:rStyle w:val="Hyperlink"/>
          </w:rPr>
          <w:t xml:space="preserve">Strogatz, 2015</w:t>
        </w:r>
      </w:hyperlink>
      <w:r>
        <w:rPr>
          <w:sz w:val="20"/>
        </w:rPr>
        <w:t xml:space="preserve">).</w:t>
      </w:r>
    </w:p>
    <w:bookmarkEnd w:id="288"/>
    <w:bookmarkStart w:id="289" w:name="empirische-perturbationsanalyse"/>
    <w:p>
      <w:pPr>
        <w:pStyle w:val="Heading3"/>
        <w:keepLines/>
        <w:spacing w:after="120"/>
        <w:jc w:val="left"/>
      </w:pPr>
      <w:r>
        <w:rPr>
          <w:sz w:val="20"/>
        </w:rPr>
        <w:t xml:space="preserve">Empirische Perturbationsanalyse</w:t>
      </w:r>
    </w:p>
    <w:p>
      <w:pPr>
        <w:pStyle w:val="FirstParagraph"/>
        <w:keepLines/>
        <w:spacing w:after="120"/>
        <w:jc w:val="left"/>
      </w:pPr>
      <w:r>
        <w:rPr>
          <w:sz w:val="20"/>
        </w:rPr>
        <w:t xml:space="preserve">Für das Gesamtsystem wird eine perturbationsbasierte Stabilitätsmetrik vorgeschlagen:</w:t>
      </w:r>
    </w:p>
    <w:p>
      <w:pPr>
        <w:pStyle w:val="BodyText"/>
        <w:keepLines/>
        <w:spacing w:after="120"/>
        <w:jc w:val="left"/>
      </w:pPr>
      <w:r>
        <w:rPr>
          <w:b/>
          <w:bCs/>
          <w:sz w:val="20"/>
        </w:rPr>
        <w:t xml:space="preserve">[EMP]</w:t>
      </w:r>
    </w:p>
    <w:p>
      <w:pPr>
        <w:pStyle w:val="BodyText"/>
        <w:keepLines/>
        <w:spacing w:after="140" w:before="100"/>
        <w:jc w:val="center"/>
      </w:pPr>
      <m:oMathPara>
        <m:oMathParaPr>
          <m:jc m:val="center"/>
        </m:oMathParaPr>
        <m:oMath>
          <m:r>
            <m:t>D</m:t>
          </m:r>
          <m:d>
            <m:dPr>
              <m:begChr m:val="("/>
              <m:endChr m:val=")"/>
              <m:sepChr m:val=""/>
              <m:grow/>
            </m:dPr>
            <m:e>
              <m:r>
                <m:t>τ</m:t>
              </m:r>
            </m:e>
          </m:d>
          <m:r>
            <m:rPr>
              <m:sty m:val="p"/>
            </m:rPr>
            <m:t>=</m:t>
          </m:r>
          <m:r>
            <m:t>E</m:t>
          </m:r>
          <m:d>
            <m:dPr>
              <m:begChr m:val="["/>
              <m:endChr m:val="]"/>
              <m:sepChr m:val=""/>
              <m:grow/>
            </m:dPr>
            <m:e>
              <m:r>
                <m:rPr>
                  <m:sty m:val="p"/>
                </m:rPr>
                <m:t>∥</m:t>
              </m:r>
              <m:sSub>
                <m:e>
                  <m:r>
                    <m:t>Φ</m:t>
                  </m:r>
                </m:e>
                <m:sub>
                  <m:r>
                    <m:t>τ</m:t>
                  </m:r>
                </m:sub>
              </m:sSub>
              <m:d>
                <m:dPr>
                  <m:begChr m:val="("/>
                  <m:endChr m:val=")"/>
                  <m:sepChr m:val=""/>
                  <m:grow/>
                </m:dPr>
                <m:e>
                  <m:sSub>
                    <m:e>
                      <m:r>
                        <m:t>X</m:t>
                      </m:r>
                    </m:e>
                    <m:sub>
                      <m:r>
                        <m:t>t</m:t>
                      </m:r>
                    </m:sub>
                  </m:sSub>
                  <m:r>
                    <m:rPr>
                      <m:sty m:val="p"/>
                    </m:rPr>
                    <m:t>+</m:t>
                  </m:r>
                  <m:r>
                    <m:t>δ</m:t>
                  </m:r>
                </m:e>
              </m:d>
              <m:r>
                <m:rPr>
                  <m:sty m:val="p"/>
                </m:rPr>
                <m:t>−</m:t>
              </m:r>
              <m:sSub>
                <m:e>
                  <m:r>
                    <m:t>Φ</m:t>
                  </m:r>
                </m:e>
                <m:sub>
                  <m:r>
                    <m:t>τ</m:t>
                  </m:r>
                </m:sub>
              </m:sSub>
              <m:d>
                <m:dPr>
                  <m:begChr m:val="("/>
                  <m:endChr m:val=")"/>
                  <m:sepChr m:val=""/>
                  <m:grow/>
                </m:dPr>
                <m:e>
                  <m:sSub>
                    <m:e>
                      <m:r>
                        <m:t>X</m:t>
                      </m:r>
                    </m:e>
                    <m:sub>
                      <m:r>
                        <m:t>t</m:t>
                      </m:r>
                    </m:sub>
                  </m:sSub>
                </m:e>
              </m:d>
              <m:r>
                <m:rPr>
                  <m:sty m:val="p"/>
                </m:rPr>
                <m:t>∥</m:t>
              </m:r>
            </m:e>
          </m:d>
          <m:r>
            <m:rPr>
              <m:sty m:val="p"/>
            </m:rPr>
            <m:t>,</m:t>
          </m:r>
        </m:oMath>
      </m:oMathPara>
    </w:p>
    <w:p>
      <w:pPr>
        <w:pStyle w:val="FirstParagraph"/>
        <w:keepLines/>
        <w:spacing w:after="120"/>
        <w:jc w:val="left"/>
      </w:pPr>
      <w:r>
        <w:rPr>
          <w:sz w:val="20"/>
        </w:rPr>
        <w:t xml:space="preserve">wobei</w:t>
      </w:r>
      <w:r>
        <w:rPr>
          <w:sz w:val="20"/>
        </w:rPr>
        <w:t xml:space="preserve"> </w:t>
      </w:r>
      <m:oMath>
        <m:sSub>
          <m:e>
            <m:r>
              <m:t>Φ</m:t>
            </m:r>
          </m:e>
          <m:sub>
            <m:r>
              <m:t>τ</m:t>
            </m:r>
          </m:sub>
        </m:sSub>
      </m:oMath>
      <w:r>
        <w:rPr>
          <w:sz w:val="20"/>
        </w:rPr>
        <w:t xml:space="preserve"> </w:t>
      </w:r>
      <w:r>
        <w:rPr>
          <w:sz w:val="20"/>
        </w:rPr>
        <w:t xml:space="preserve">die Entwicklung über</w:t>
      </w:r>
      <w:r>
        <w:rPr>
          <w:sz w:val="20"/>
        </w:rPr>
        <w:t xml:space="preserve"> </w:t>
      </w:r>
      <m:oMath>
        <m:r>
          <m:t>τ</m:t>
        </m:r>
      </m:oMath>
      <w:r>
        <w:rPr>
          <w:sz w:val="20"/>
        </w:rPr>
        <w:t xml:space="preserve"> </w:t>
      </w:r>
      <w:r>
        <w:rPr>
          <w:sz w:val="20"/>
        </w:rPr>
        <w:t xml:space="preserve">Schritte bezeichnet. Je nach Fragestellung wird</w:t>
      </w:r>
      <w:r>
        <w:rPr>
          <w:sz w:val="20"/>
        </w:rPr>
        <w:t xml:space="preserve"> </w:t>
      </w:r>
      <m:oMath>
        <m:r>
          <m:t>D</m:t>
        </m:r>
      </m:oMath>
      <w:r>
        <w:rPr>
          <w:sz w:val="20"/>
        </w:rPr>
        <w:t xml:space="preserve"> </w:t>
      </w:r>
      <w:r>
        <w:rPr>
          <w:sz w:val="20"/>
        </w:rPr>
        <w:t xml:space="preserve">auf Zustände, Aktivitätsverteilungen, Graphstruktur oder Verhalten angewandt. Wächst</w:t>
      </w:r>
      <w:r>
        <w:rPr>
          <w:sz w:val="20"/>
        </w:rPr>
        <w:t xml:space="preserve"> </w:t>
      </w:r>
      <m:oMath>
        <m:r>
          <m:t>D</m:t>
        </m:r>
      </m:oMath>
      <w:r>
        <w:rPr>
          <w:sz w:val="20"/>
        </w:rPr>
        <w:t xml:space="preserve"> </w:t>
      </w:r>
      <w:r>
        <w:rPr>
          <w:sz w:val="20"/>
        </w:rPr>
        <w:t xml:space="preserve">exponentiell, kann dies auf sensitive Dynamik hinweisen; eine begrenzte Divergenz kann zugleich für reichhaltige Berechnung nützlich sein.</w:t>
      </w:r>
    </w:p>
    <w:bookmarkEnd w:id="289"/>
    <w:bookmarkStart w:id="290" w:name="attraktoren-und-transiente-berechnung"/>
    <w:p>
      <w:pPr>
        <w:pStyle w:val="Heading3"/>
        <w:keepLines/>
        <w:spacing w:after="120"/>
        <w:jc w:val="left"/>
      </w:pPr>
      <w:r>
        <w:rPr>
          <w:sz w:val="20"/>
        </w:rPr>
        <w:t xml:space="preserve">Attraktoren und transiente Berechnung</w:t>
      </w:r>
    </w:p>
    <w:p>
      <w:pPr>
        <w:pStyle w:val="FirstParagraph"/>
        <w:keepLines/>
        <w:spacing w:after="120"/>
        <w:jc w:val="left"/>
      </w:pPr>
      <w:r>
        <w:rPr>
          <w:sz w:val="20"/>
        </w:rPr>
        <w:t xml:space="preserve">Klassische assoziative Speicher verwenden Attraktoren (</w:t>
      </w:r>
      <w:hyperlink w:anchor="ref-Hopfield1982">
        <w:r>
          <w:rPr>
            <w:rStyle w:val="Hyperlink"/>
          </w:rPr>
          <w:t xml:space="preserve">Hopfield, 1982</w:t>
        </w:r>
      </w:hyperlink>
      <w:r>
        <w:rPr>
          <w:sz w:val="20"/>
        </w:rPr>
        <w:t xml:space="preserve">). Reservoir- und Liquid-State-Ansätze nutzen dagegen reichhaltige transiente Zustände ohne notwendige Konvergenz auf einen Fixpunkt (</w:t>
      </w:r>
      <w:hyperlink w:anchor="ref-Lukosevicius2009">
        <w:r>
          <w:rPr>
            <w:rStyle w:val="Hyperlink"/>
          </w:rPr>
          <w:t xml:space="preserve">Lukoševičius &amp; Jaeger, 2009</w:t>
        </w:r>
      </w:hyperlink>
      <w:r>
        <w:rPr>
          <w:sz w:val="20"/>
        </w:rPr>
        <w:t xml:space="preserve">;</w:t>
      </w:r>
      <w:r>
        <w:rPr>
          <w:sz w:val="20"/>
        </w:rPr>
        <w:t xml:space="preserve"> </w:t>
      </w:r>
      <w:hyperlink w:anchor="ref-Maass2002LSM">
        <w:r>
          <w:rPr>
            <w:rStyle w:val="Hyperlink"/>
          </w:rPr>
          <w:t xml:space="preserve">Maass et al., 2002</w:t>
        </w:r>
      </w:hyperlink>
      <w:r>
        <w:rPr>
          <w:sz w:val="20"/>
        </w:rPr>
        <w:t xml:space="preserve">). Brain-5D setzt daher nicht voraus, dass Gedächtnis stets ein statischer Attraktor ist. Kandidaten sind:</w:t>
      </w:r>
    </w:p>
    <w:p>
      <w:pPr>
        <w:keepLines/>
        <w:numPr>
          <w:ilvl w:val="0"/>
          <w:numId w:val="1022"/>
        </w:numPr>
        <w:spacing w:after="120"/>
        <w:jc w:val="left"/>
      </w:pPr>
      <w:r>
        <w:rPr>
          <w:sz w:val="20"/>
        </w:rPr>
        <w:t xml:space="preserve">Fixpunkt- oder Grenzzyklusattraktoren;</w:t>
      </w:r>
    </w:p>
    <w:p>
      <w:pPr>
        <w:keepLines/>
        <w:numPr>
          <w:ilvl w:val="0"/>
          <w:numId w:val="1022"/>
        </w:numPr>
        <w:spacing w:after="120"/>
        <w:jc w:val="left"/>
      </w:pPr>
      <w:r>
        <w:rPr>
          <w:sz w:val="20"/>
        </w:rPr>
        <w:t xml:space="preserve">metastabile Zustände mit endlicher Verweilzeit;</w:t>
      </w:r>
    </w:p>
    <w:p>
      <w:pPr>
        <w:keepLines/>
        <w:numPr>
          <w:ilvl w:val="0"/>
          <w:numId w:val="1022"/>
        </w:numPr>
        <w:spacing w:after="120"/>
        <w:jc w:val="left"/>
      </w:pPr>
      <w:r>
        <w:rPr>
          <w:sz w:val="20"/>
        </w:rPr>
        <w:t xml:space="preserve">wiederkehrende Trajektorien;</w:t>
      </w:r>
    </w:p>
    <w:p>
      <w:pPr>
        <w:keepLines/>
        <w:numPr>
          <w:ilvl w:val="0"/>
          <w:numId w:val="1022"/>
        </w:numPr>
        <w:spacing w:after="120"/>
        <w:jc w:val="left"/>
      </w:pPr>
      <w:r>
        <w:rPr>
          <w:sz w:val="20"/>
        </w:rPr>
        <w:t xml:space="preserve">verteilte synaptische Konsolidierung;</w:t>
      </w:r>
    </w:p>
    <w:p>
      <w:pPr>
        <w:keepLines/>
        <w:numPr>
          <w:ilvl w:val="0"/>
          <w:numId w:val="1022"/>
        </w:numPr>
        <w:spacing w:after="120"/>
        <w:jc w:val="left"/>
      </w:pPr>
      <w:r>
        <w:rPr>
          <w:sz w:val="20"/>
        </w:rPr>
        <w:t xml:space="preserve">cue-induzierte Rekonstruktion ohne dauerhafte Aktivität.</w:t>
      </w:r>
    </w:p>
    <w:bookmarkEnd w:id="290"/>
    <w:bookmarkStart w:id="291" w:name="bifurkations--und-phasenkarten"/>
    <w:p>
      <w:pPr>
        <w:pStyle w:val="Heading3"/>
        <w:keepLines/>
        <w:spacing w:after="120"/>
        <w:jc w:val="left"/>
      </w:pPr>
      <w:r>
        <w:rPr>
          <w:sz w:val="20"/>
        </w:rPr>
        <w:t xml:space="preserve">Bifurkations- und Phasenkarten</w:t>
      </w:r>
    </w:p>
    <w:p>
      <w:pPr>
        <w:pStyle w:val="FirstParagraph"/>
        <w:keepLines/>
        <w:spacing w:after="120"/>
        <w:jc w:val="left"/>
      </w:pPr>
      <w:r>
        <w:rPr>
          <w:sz w:val="20"/>
        </w:rPr>
        <w:t xml:space="preserve">Ein Parametervektor</w:t>
      </w:r>
      <w:r>
        <w:rPr>
          <w:sz w:val="20"/>
        </w:rPr>
        <w:t xml:space="preserve"> </w:t>
      </w:r>
      <m:oMath>
        <m:r>
          <m:t>ϑ</m:t>
        </m:r>
      </m:oMath>
      <w:r>
        <w:rPr>
          <w:sz w:val="20"/>
        </w:rPr>
        <w:t xml:space="preserve"> </w:t>
      </w:r>
      <w:r>
        <w:rPr>
          <w:sz w:val="20"/>
        </w:rPr>
        <w:t xml:space="preserve">kann Lernrate, E/I-Verhältnis, Homöostasezeit, Delay, Rauschstärke, Konnektivität und Ressourcenbudgets umfassen. Brain-5D soll empirische Phasenkarten erstellen:</w:t>
      </w:r>
    </w:p>
    <w:p>
      <w:pPr>
        <w:pStyle w:val="BodyText"/>
        <w:keepLines/>
        <w:spacing w:after="140" w:before="100"/>
        <w:jc w:val="center"/>
      </w:pPr>
      <m:oMathPara>
        <m:oMathParaPr>
          <m:jc m:val="center"/>
        </m:oMathParaPr>
        <m:oMath>
          <m:r>
            <m:t>Π</m:t>
          </m:r>
          <m:d>
            <m:dPr>
              <m:begChr m:val="("/>
              <m:endChr m:val=")"/>
              <m:sepChr m:val=""/>
              <m:grow/>
            </m:dPr>
            <m:e>
              <m:r>
                <m:t>ϑ</m:t>
              </m:r>
            </m:e>
          </m:d>
          <m:r>
            <m:rPr>
              <m:sty m:val="p"/>
            </m:rPr>
            <m:t>∈</m:t>
          </m:r>
          <m:r>
            <m:rPr>
              <m:sty m:val="p"/>
            </m:rPr>
            <m:t>{</m:t>
          </m:r>
          <m:r>
            <m:rPr>
              <m:nor/>
              <m:sty m:val="p"/>
            </m:rPr>
            <m:t>silent</m:t>
          </m:r>
          <m:r>
            <m:rPr>
              <m:sty m:val="p"/>
            </m:rPr>
            <m:t>,</m:t>
          </m:r>
          <m:r>
            <m:rPr>
              <m:nor/>
              <m:sty m:val="p"/>
            </m:rPr>
            <m:t>irregular</m:t>
          </m:r>
          <m:r>
            <m:rPr>
              <m:sty m:val="p"/>
            </m:rPr>
            <m:t>,</m:t>
          </m:r>
          <m:r>
            <m:rPr>
              <m:nor/>
              <m:sty m:val="p"/>
            </m:rPr>
            <m:t>metastable</m:t>
          </m:r>
          <m:r>
            <m:rPr>
              <m:sty m:val="p"/>
            </m:rPr>
            <m:t>,</m:t>
          </m:r>
          <m:r>
            <m:rPr>
              <m:nor/>
              <m:sty m:val="p"/>
            </m:rPr>
            <m:t>synchronous</m:t>
          </m:r>
          <m:r>
            <m:rPr>
              <m:sty m:val="p"/>
            </m:rPr>
            <m:t>,</m:t>
          </m:r>
          <m:r>
            <m:rPr>
              <m:nor/>
              <m:sty m:val="p"/>
            </m:rPr>
            <m:t>runaway</m:t>
          </m:r>
          <m:r>
            <m:rPr>
              <m:sty m:val="p"/>
            </m:rPr>
            <m:t>,</m:t>
          </m:r>
          <m:r>
            <m:rPr>
              <m:nor/>
              <m:sty m:val="p"/>
            </m:rPr>
            <m:t>resource-collapse</m:t>
          </m:r>
          <m:r>
            <m:rPr>
              <m:sty m:val="p"/>
            </m:rPr>
            <m:t>}</m:t>
          </m:r>
          <m:r>
            <m:rPr>
              <m:sty m:val="p"/>
            </m:rPr>
            <m:t>.</m:t>
          </m:r>
        </m:oMath>
      </m:oMathPara>
    </w:p>
    <w:p>
      <w:pPr>
        <w:pStyle w:val="FirstParagraph"/>
        <w:keepLines/>
        <w:spacing w:after="120"/>
        <w:jc w:val="left"/>
      </w:pPr>
      <w:r>
        <w:rPr>
          <w:sz w:val="20"/>
        </w:rPr>
        <w:t xml:space="preserve">Klassen und Schwellen werden vorab operationalisiert. Übergänge sind nicht automatisch mathematische Bifurkationen; dieser Begriff wird nur verwendet, wenn eine qualitative Änderung unter systematischer Parametervariation und geeigneter Analyse nachgewiesen ist.</w:t>
      </w:r>
    </w:p>
    <w:bookmarkEnd w:id="291"/>
    <w:bookmarkStart w:id="292" w:name="kritikalität"/>
    <w:p>
      <w:pPr>
        <w:pStyle w:val="Heading3"/>
        <w:keepLines/>
        <w:spacing w:after="120"/>
        <w:jc w:val="left"/>
      </w:pPr>
      <w:r>
        <w:rPr>
          <w:sz w:val="20"/>
        </w:rPr>
        <w:t xml:space="preserve">Kritikalität</w:t>
      </w:r>
    </w:p>
    <w:p>
      <w:pPr>
        <w:pStyle w:val="FirstParagraph"/>
        <w:keepLines/>
        <w:spacing w:after="120"/>
        <w:jc w:val="left"/>
      </w:pPr>
      <w:r>
        <w:rPr>
          <w:sz w:val="20"/>
        </w:rPr>
        <w:t xml:space="preserve">Neuronale Kritikalität ist eine einflussreiche, aber kontrovers diskutierte Hypothese (</w:t>
      </w:r>
      <w:hyperlink w:anchor="ref-Beggs2003">
        <w:r>
          <w:rPr>
            <w:rStyle w:val="Hyperlink"/>
          </w:rPr>
          <w:t xml:space="preserve">Beggs &amp; Plenz, 2003</w:t>
        </w:r>
      </w:hyperlink>
      <w:r>
        <w:rPr>
          <w:sz w:val="20"/>
        </w:rPr>
        <w:t xml:space="preserve">;</w:t>
      </w:r>
      <w:r>
        <w:rPr>
          <w:sz w:val="20"/>
        </w:rPr>
        <w:t xml:space="preserve"> </w:t>
      </w:r>
      <w:hyperlink w:anchor="ref-Shew2013">
        <w:r>
          <w:rPr>
            <w:rStyle w:val="Hyperlink"/>
          </w:rPr>
          <w:t xml:space="preserve">Shew &amp; Plenz, 2013</w:t>
        </w:r>
      </w:hyperlink>
      <w:r>
        <w:rPr>
          <w:sz w:val="20"/>
        </w:rPr>
        <w:t xml:space="preserve">;</w:t>
      </w:r>
      <w:r>
        <w:rPr>
          <w:sz w:val="20"/>
        </w:rPr>
        <w:t xml:space="preserve"> </w:t>
      </w:r>
      <w:hyperlink w:anchor="ref-Wilting2019">
        <w:r>
          <w:rPr>
            <w:rStyle w:val="Hyperlink"/>
          </w:rPr>
          <w:t xml:space="preserve">Wilting &amp; Priesemann, 2019</w:t>
        </w:r>
      </w:hyperlink>
      <w:r>
        <w:rPr>
          <w:sz w:val="20"/>
        </w:rPr>
        <w:t xml:space="preserve">). Brain-5D behandelt „kritisch” weder als Synonym für intelligent noch als vorgegebenes Optimierungsziel. Kandidatenmaße sind Avalanche-Verteilungen, Branching Ratio, Suszeptibilität und Korrelationslänge. Erforderlich sind Finite-Size-Analysen, Subsampling-Kontrollen, alternative Verteilungsmodelle und ein Vergleich mit nichtkritischen Systemen. Ein Potenzgesetz-Fit allein genügt nicht.</w:t>
      </w:r>
    </w:p>
    <w:bookmarkEnd w:id="292"/>
    <w:bookmarkStart w:id="293" w:name="anti-oszillation-und-regelung"/>
    <w:p>
      <w:pPr>
        <w:pStyle w:val="Heading3"/>
        <w:keepLines/>
        <w:spacing w:after="120"/>
        <w:jc w:val="left"/>
      </w:pPr>
      <w:r>
        <w:rPr>
          <w:sz w:val="20"/>
        </w:rPr>
        <w:t xml:space="preserve">Anti-Oszillation und Regelung</w:t>
      </w:r>
    </w:p>
    <w:p>
      <w:pPr>
        <w:pStyle w:val="FirstParagraph"/>
        <w:keepLines/>
        <w:spacing w:after="120"/>
        <w:jc w:val="left"/>
      </w:pPr>
      <w:r>
        <w:rPr>
          <w:sz w:val="20"/>
        </w:rPr>
        <w:t xml:space="preserve">Technische Anti-Oszillationsregeln können Aktivität begrenzen, aber zugleich funktionale Oszillationen zerstören. Jede Regel muss deshalb eine Zielgröße, Bandbreite und Interventionsschwelle besitzen. Eine Safety-Regel darf harte Grenzwerte durchsetzen; eine lernbezogene Homöostase soll dagegen graduell und analysierbar wirken.</w:t>
      </w:r>
    </w:p>
    <w:bookmarkEnd w:id="293"/>
    <w:bookmarkEnd w:id="294"/>
    <w:bookmarkStart w:id="301" w:name="messbare-emergenz-und-kausalität"/>
    <w:p>
      <w:pPr>
        <w:pStyle w:val="Heading2"/>
      </w:pPr>
      <w:r>
        <w:t xml:space="preserve">Messbare Emergenz und Kausalität</w:t>
      </w:r>
    </w:p>
    <w:bookmarkStart w:id="295" w:name="emergenz-ist-keine-erklärung"/>
    <w:p>
      <w:pPr>
        <w:pStyle w:val="Heading3"/>
        <w:keepLines/>
        <w:spacing w:after="120"/>
        <w:jc w:val="left"/>
      </w:pPr>
      <w:r>
        <w:rPr>
          <w:sz w:val="20"/>
        </w:rPr>
        <w:t xml:space="preserve">Emergenz ist keine Erklärung</w:t>
      </w:r>
    </w:p>
    <w:p>
      <w:pPr>
        <w:pStyle w:val="FirstParagraph"/>
        <w:keepLines/>
        <w:spacing w:after="120"/>
        <w:jc w:val="left"/>
      </w:pPr>
      <w:r>
        <w:rPr>
          <w:sz w:val="20"/>
        </w:rPr>
        <w:t xml:space="preserve">Der Ausdruck „emergent” bezeichnet nicht automatisch einen unbekannten, wertvollen oder intelligenten Prozess.</w:t>
      </w:r>
      <w:r>
        <w:rPr>
          <w:sz w:val="20"/>
        </w:rPr>
        <w:t xml:space="preserve"> </w:t>
      </w:r>
      <w:r>
        <w:rPr>
          <w:b/>
          <w:bCs/>
          <w:sz w:val="20"/>
        </w:rPr>
        <w:t xml:space="preserve">[DEF]</w:t>
      </w:r>
      <w:r>
        <w:rPr>
          <w:sz w:val="20"/>
        </w:rPr>
        <w:t xml:space="preserve"> </w:t>
      </w:r>
      <w:r>
        <w:rPr>
          <w:sz w:val="20"/>
        </w:rPr>
        <w:t xml:space="preserve">Ein makroskopisches Phänomen</w:t>
      </w:r>
      <w:r>
        <w:rPr>
          <w:sz w:val="20"/>
        </w:rPr>
        <w:t xml:space="preserve"> </w:t>
      </w:r>
      <m:oMath>
        <m:r>
          <m:t>Y</m:t>
        </m:r>
      </m:oMath>
      <w:r>
        <w:rPr>
          <w:sz w:val="20"/>
        </w:rPr>
        <w:t xml:space="preserve"> </w:t>
      </w:r>
      <w:r>
        <w:rPr>
          <w:sz w:val="20"/>
        </w:rPr>
        <w:t xml:space="preserve">ist im schwachen methodischen Sinn emergent, wenn es aus lokalen Regeln und Zuständen</w:t>
      </w:r>
    </w:p>
    <w:p>
      <w:pPr>
        <w:pStyle w:val="BodyText"/>
        <w:keepLines/>
        <w:spacing w:after="140" w:before="100"/>
        <w:jc w:val="center"/>
      </w:pPr>
      <m:oMathPara>
        <m:oMathParaPr>
          <m:jc m:val="center"/>
        </m:oMathParaPr>
        <m:oMath>
          <m:r>
            <m:t>Y</m:t>
          </m:r>
          <m:r>
            <m:rPr>
              <m:sty m:val="p"/>
            </m:rPr>
            <m:t>=</m:t>
          </m:r>
          <m:r>
            <m:t>f</m:t>
          </m:r>
          <m:d>
            <m:dPr>
              <m:begChr m:val="("/>
              <m:endChr m:val=")"/>
              <m:sepChr m:val=""/>
              <m:grow/>
            </m:dPr>
            <m:e>
              <m:sSub>
                <m:e>
                  <m:r>
                    <m:t>X</m:t>
                  </m:r>
                </m:e>
                <m:sub>
                  <m:r>
                    <m:t>1</m:t>
                  </m:r>
                </m:sub>
              </m:sSub>
              <m:r>
                <m:rPr>
                  <m:sty m:val="p"/>
                </m:rPr>
                <m:t>,</m:t>
              </m:r>
              <m:r>
                <m:rPr>
                  <m:sty m:val="p"/>
                </m:rPr>
                <m:t>…</m:t>
              </m:r>
              <m:r>
                <m:rPr>
                  <m:sty m:val="p"/>
                </m:rPr>
                <m:t>,</m:t>
              </m:r>
              <m:sSub>
                <m:e>
                  <m:r>
                    <m:t>X</m:t>
                  </m:r>
                </m:e>
                <m:sub>
                  <m:r>
                    <m:t>n</m:t>
                  </m:r>
                </m:sub>
              </m:sSub>
            </m:e>
          </m:d>
        </m:oMath>
      </m:oMathPara>
    </w:p>
    <w:p>
      <w:pPr>
        <w:pStyle w:val="FirstParagraph"/>
        <w:keepLines/>
        <w:spacing w:after="120"/>
        <w:jc w:val="left"/>
      </w:pPr>
      <w:r>
        <w:rPr>
          <w:sz w:val="20"/>
        </w:rPr>
        <w:t xml:space="preserve">hervorgeht, ohne als identische globale Zielstruktur direkt implementiert worden zu sein, und wenn seine Beschreibung auf Makroebene zusätzlichen analytischen Nutzen besitzt (</w:t>
      </w:r>
      <w:hyperlink w:anchor="ref-Bedau1997">
        <w:r>
          <w:rPr>
            <w:rStyle w:val="Hyperlink"/>
          </w:rPr>
          <w:t xml:space="preserve">Bedau, 1997</w:t>
        </w:r>
      </w:hyperlink>
      <w:r>
        <w:rPr>
          <w:sz w:val="20"/>
        </w:rPr>
        <w:t xml:space="preserve">). Dies ist eine Arbeitsdefinition, keine metaphysische Festlegung.</w:t>
      </w:r>
    </w:p>
    <w:bookmarkEnd w:id="295"/>
    <w:bookmarkStart w:id="296" w:name="drei-emergenzstufen"/>
    <w:p>
      <w:pPr>
        <w:pStyle w:val="Heading3"/>
        <w:keepLines/>
        <w:spacing w:after="120"/>
        <w:jc w:val="left"/>
      </w:pPr>
      <w:r>
        <w:rPr>
          <w:sz w:val="20"/>
        </w:rPr>
        <w:t xml:space="preserve">Drei Emergenzstufen</w:t>
      </w:r>
    </w:p>
    <w:p>
      <w:pPr>
        <w:pStyle w:val="Caption"/>
        <w:keepNext/>
        <w:keepLines/>
        <w:spacing w:before="180" w:after="120"/>
        <w:jc w:val="left"/>
      </w:pPr>
      <w:r>
        <w:rPr>
          <w:sz w:val="20"/>
        </w:rPr>
        <w:t>Tabelle 23. Ebenen messbarer Emergenz</w:t>
      </w:r>
    </w:p>
    <w:tbl>
      <w:tblPr>
        <w:tblStyle w:val="Table"/>
        <w:tblW w:type="pct" w:w="4950"/>
        <w:jc w:val="center"/>
        <w:tblLayout w:type="fixed"/>
        <w:tblLook w:firstRow="1" w:lastRow="0" w:firstColumn="0" w:lastColumn="0" w:noHBand="0" w:noVBand="0" w:val="0020"/>
        <w:tblInd w:w="0" w:type="dxa"/>
        <w:tblCellMar>
          <w:top w:w="70" w:type="dxa"/>
          <w:bottom w:w="70" w:type="dxa"/>
          <w:left w:w="85" w:type="dxa"/>
          <w:right w:w="85" w:type="dxa"/>
        </w:tblCellMar>
        <w:tblBorders>
          <w:top w:val="single" w:sz="4" w:color="CCD4D9"/>
          <w:bottom w:val="single" w:sz="4" w:color="CCD4D9"/>
          <w:insideH w:val="single" w:sz="4" w:color="CCD4D9"/>
          <w:left w:val="nil"/>
          <w:right w:val="nil"/>
          <w:insideV w:val="nil"/>
        </w:tblBorders>
      </w:tblPr>
      <w:tblGrid>
        <w:gridCol w:w="1224"/>
        <w:gridCol w:w="3168"/>
        <w:gridCol w:w="3024"/>
        <w:gridCol w:w="2434"/>
      </w:tblGrid>
      <w:tr>
        <w:trPr>
          <w:tblHeader w:val="on"/>
          <w:cantSplit/>
          <w:tblHeader/>
        </w:trPr>
        <w:tc>
          <w:tcPr>
            <w:tcW w:type="dxa" w:w="1224"/>
            <w:vAlign w:val="center"/>
            <w:shd w:fill="E9EFF3"/>
          </w:tcPr>
          <w:p>
            <w:pPr>
              <w:pStyle w:val="Compact"/>
              <w:keepNext w:val="0"/>
              <w:keepLines/>
              <w:spacing w:before="20" w:after="20" w:line="250" w:lineRule="auto"/>
              <w:jc w:val="center"/>
            </w:pPr>
            <w:r>
              <w:rPr>
                <w:rFonts w:ascii="Liberation Sans" w:hAnsi="Liberation Sans"/>
                <w:b/>
                <w:bCs/>
                <w:sz w:val="18"/>
              </w:rPr>
              <w:t xml:space="preserve">Stufe</w:t>
            </w:r>
          </w:p>
        </w:tc>
        <w:tc>
          <w:tcPr>
            <w:tcW w:type="dxa" w:w="3168"/>
            <w:vAlign w:val="center"/>
            <w:shd w:fill="E9EFF3"/>
          </w:tcPr>
          <w:p>
            <w:pPr>
              <w:pStyle w:val="Compact"/>
              <w:keepNext w:val="0"/>
              <w:keepLines/>
              <w:spacing w:before="20" w:after="20" w:line="250" w:lineRule="auto"/>
              <w:jc w:val="left"/>
            </w:pPr>
            <w:r>
              <w:rPr>
                <w:rFonts w:ascii="Liberation Sans" w:hAnsi="Liberation Sans"/>
                <w:b/>
                <w:bCs/>
                <w:sz w:val="18"/>
              </w:rPr>
              <w:t xml:space="preserve">Kriterium</w:t>
            </w:r>
          </w:p>
        </w:tc>
        <w:tc>
          <w:tcPr>
            <w:tcW w:type="dxa" w:w="3024"/>
            <w:vAlign w:val="center"/>
            <w:shd w:fill="E9EFF3"/>
          </w:tcPr>
          <w:p>
            <w:pPr>
              <w:pStyle w:val="Compact"/>
              <w:keepNext w:val="0"/>
              <w:keepLines/>
              <w:spacing w:before="20" w:after="20" w:line="250" w:lineRule="auto"/>
              <w:jc w:val="left"/>
            </w:pPr>
            <w:r>
              <w:rPr>
                <w:rFonts w:ascii="Liberation Sans" w:hAnsi="Liberation Sans"/>
                <w:b/>
                <w:bCs/>
                <w:sz w:val="18"/>
              </w:rPr>
              <w:t xml:space="preserve">Beispiel</w:t>
            </w:r>
          </w:p>
        </w:tc>
        <w:tc>
          <w:tcPr>
            <w:tcW w:type="dxa" w:w="2434"/>
            <w:vAlign w:val="center"/>
            <w:shd w:fill="E9EFF3"/>
          </w:tcPr>
          <w:p>
            <w:pPr>
              <w:pStyle w:val="Compact"/>
              <w:keepNext w:val="0"/>
              <w:keepLines/>
              <w:spacing w:before="20" w:after="20" w:line="250" w:lineRule="auto"/>
              <w:jc w:val="left"/>
            </w:pPr>
            <w:r>
              <w:rPr>
                <w:rFonts w:ascii="Liberation Sans" w:hAnsi="Liberation Sans"/>
                <w:b/>
                <w:bCs/>
                <w:sz w:val="18"/>
              </w:rPr>
              <w:t xml:space="preserve">Erforderlicher Test</w:t>
            </w:r>
          </w:p>
        </w:tc>
      </w:tr>
      <w:tr>
        <w:trPr>
          <w:cantSplit/>
        </w:trPr>
        <w:tc>
          <w:tcPr>
            <w:tcW w:type="dxa" w:w="1224"/>
            <w:vAlign w:val="center"/>
          </w:tcPr>
          <w:p>
            <w:pPr>
              <w:pStyle w:val="Compact"/>
              <w:keepNext w:val="0"/>
              <w:keepLines/>
              <w:spacing w:before="20" w:after="20" w:line="250" w:lineRule="auto"/>
              <w:jc w:val="center"/>
            </w:pPr>
            <w:r>
              <w:rPr>
                <w:rFonts w:ascii="Liberation Sans" w:hAnsi="Liberation Sans"/>
                <w:sz w:val="18"/>
              </w:rPr>
              <w:t xml:space="preserve">strukturell</w:t>
            </w:r>
          </w:p>
        </w:tc>
        <w:tc>
          <w:tcPr>
            <w:tcW w:type="dxa" w:w="3168"/>
            <w:vAlign w:val="center"/>
          </w:tcPr>
          <w:p>
            <w:pPr>
              <w:pStyle w:val="Compact"/>
              <w:keepNext w:val="0"/>
              <w:keepLines/>
              <w:spacing w:before="20" w:after="20" w:line="250" w:lineRule="auto"/>
              <w:jc w:val="left"/>
            </w:pPr>
            <w:r>
              <w:rPr>
                <w:rFonts w:ascii="Liberation Sans" w:hAnsi="Liberation Sans"/>
                <w:sz w:val="18"/>
              </w:rPr>
              <w:t xml:space="preserve">nicht vorgegebene Cluster, Regionen oder Motive entstehen</w:t>
            </w:r>
          </w:p>
        </w:tc>
        <w:tc>
          <w:tcPr>
            <w:tcW w:type="dxa" w:w="3024"/>
            <w:vAlign w:val="center"/>
          </w:tcPr>
          <w:p>
            <w:pPr>
              <w:pStyle w:val="Compact"/>
              <w:keepNext w:val="0"/>
              <w:keepLines/>
              <w:spacing w:before="20" w:after="20" w:line="250" w:lineRule="auto"/>
              <w:jc w:val="left"/>
            </w:pPr>
            <w:r>
              <w:rPr>
                <w:rFonts w:ascii="Liberation Sans" w:hAnsi="Liberation Sans"/>
                <w:sz w:val="18"/>
              </w:rPr>
              <w:t xml:space="preserve">stabile Community nach Lernen</w:t>
            </w:r>
          </w:p>
        </w:tc>
        <w:tc>
          <w:tcPr>
            <w:tcW w:type="dxa" w:w="2434"/>
            <w:vAlign w:val="center"/>
          </w:tcPr>
          <w:p>
            <w:pPr>
              <w:pStyle w:val="Compact"/>
              <w:keepNext w:val="0"/>
              <w:keepLines/>
              <w:spacing w:before="20" w:after="20" w:line="250" w:lineRule="auto"/>
              <w:jc w:val="left"/>
            </w:pPr>
            <w:r>
              <w:rPr>
                <w:rFonts w:ascii="Liberation Sans" w:hAnsi="Liberation Sans"/>
                <w:sz w:val="18"/>
              </w:rPr>
              <w:t xml:space="preserve">Nullmodelle, Persistenz, Seed-Replikation</w:t>
            </w:r>
          </w:p>
        </w:tc>
      </w:tr>
      <w:tr>
        <w:trPr>
          <w:cantSplit/>
        </w:trPr>
        <w:tc>
          <w:tcPr>
            <w:tcW w:type="dxa" w:w="1224"/>
            <w:vAlign w:val="center"/>
          </w:tcPr>
          <w:p>
            <w:pPr>
              <w:pStyle w:val="Compact"/>
              <w:keepNext w:val="0"/>
              <w:keepLines/>
              <w:spacing w:before="20" w:after="20" w:line="250" w:lineRule="auto"/>
              <w:jc w:val="center"/>
            </w:pPr>
            <w:r>
              <w:rPr>
                <w:rFonts w:ascii="Liberation Sans" w:hAnsi="Liberation Sans"/>
                <w:sz w:val="18"/>
              </w:rPr>
              <w:t xml:space="preserve">dynamisch</w:t>
            </w:r>
          </w:p>
        </w:tc>
        <w:tc>
          <w:tcPr>
            <w:tcW w:type="dxa" w:w="3168"/>
            <w:vAlign w:val="center"/>
          </w:tcPr>
          <w:p>
            <w:pPr>
              <w:pStyle w:val="Compact"/>
              <w:keepNext w:val="0"/>
              <w:keepLines/>
              <w:spacing w:before="20" w:after="20" w:line="250" w:lineRule="auto"/>
              <w:jc w:val="left"/>
            </w:pPr>
            <w:r>
              <w:rPr>
                <w:rFonts w:ascii="Liberation Sans" w:hAnsi="Liberation Sans"/>
                <w:sz w:val="18"/>
              </w:rPr>
              <w:t xml:space="preserve">nicht direkt programmierte Oszillation, Sequenz, Metastabilität oder Attraktorstruktur entsteht</w:t>
            </w:r>
          </w:p>
        </w:tc>
        <w:tc>
          <w:tcPr>
            <w:tcW w:type="dxa" w:w="3024"/>
            <w:vAlign w:val="center"/>
          </w:tcPr>
          <w:p>
            <w:pPr>
              <w:pStyle w:val="Compact"/>
              <w:keepNext w:val="0"/>
              <w:keepLines/>
              <w:spacing w:before="20" w:after="20" w:line="250" w:lineRule="auto"/>
              <w:jc w:val="left"/>
            </w:pPr>
            <w:r>
              <w:rPr>
                <w:rFonts w:ascii="Liberation Sans" w:hAnsi="Liberation Sans"/>
                <w:sz w:val="18"/>
              </w:rPr>
              <w:t xml:space="preserve">wiederkehrende Aktivitätstrajektorie</w:t>
            </w:r>
          </w:p>
        </w:tc>
        <w:tc>
          <w:tcPr>
            <w:tcW w:type="dxa" w:w="2434"/>
            <w:vAlign w:val="center"/>
          </w:tcPr>
          <w:p>
            <w:pPr>
              <w:pStyle w:val="Compact"/>
              <w:keepNext w:val="0"/>
              <w:keepLines/>
              <w:spacing w:before="20" w:after="20" w:line="250" w:lineRule="auto"/>
              <w:jc w:val="left"/>
            </w:pPr>
            <w:r>
              <w:rPr>
                <w:rFonts w:ascii="Liberation Sans" w:hAnsi="Liberation Sans"/>
                <w:sz w:val="18"/>
              </w:rPr>
              <w:t xml:space="preserve">Phasen-/Perturbationsanalyse</w:t>
            </w:r>
          </w:p>
        </w:tc>
      </w:tr>
      <w:tr>
        <w:trPr>
          <w:cantSplit/>
        </w:trPr>
        <w:tc>
          <w:tcPr>
            <w:tcW w:type="dxa" w:w="1224"/>
            <w:vAlign w:val="center"/>
          </w:tcPr>
          <w:p>
            <w:pPr>
              <w:pStyle w:val="Compact"/>
              <w:keepNext w:val="0"/>
              <w:keepLines/>
              <w:spacing w:before="20" w:after="20" w:line="250" w:lineRule="auto"/>
              <w:jc w:val="center"/>
            </w:pPr>
            <w:r>
              <w:rPr>
                <w:rFonts w:ascii="Liberation Sans" w:hAnsi="Liberation Sans"/>
                <w:sz w:val="18"/>
              </w:rPr>
              <w:t xml:space="preserve">funktional</w:t>
            </w:r>
          </w:p>
        </w:tc>
        <w:tc>
          <w:tcPr>
            <w:tcW w:type="dxa" w:w="3168"/>
            <w:vAlign w:val="center"/>
          </w:tcPr>
          <w:p>
            <w:pPr>
              <w:pStyle w:val="Compact"/>
              <w:keepNext w:val="0"/>
              <w:keepLines/>
              <w:spacing w:before="20" w:after="20" w:line="250" w:lineRule="auto"/>
              <w:jc w:val="left"/>
            </w:pPr>
            <w:r>
              <w:rPr>
                <w:rFonts w:ascii="Liberation Sans" w:hAnsi="Liberation Sans"/>
                <w:sz w:val="18"/>
              </w:rPr>
              <w:t xml:space="preserve">entstandene Struktur oder Dynamik verbessert eine Aufgabe oder beeinflusst Verhalten</w:t>
            </w:r>
          </w:p>
        </w:tc>
        <w:tc>
          <w:tcPr>
            <w:tcW w:type="dxa" w:w="3024"/>
            <w:vAlign w:val="center"/>
          </w:tcPr>
          <w:p>
            <w:pPr>
              <w:pStyle w:val="Compact"/>
              <w:keepNext w:val="0"/>
              <w:keepLines/>
              <w:spacing w:before="20" w:after="20" w:line="250" w:lineRule="auto"/>
              <w:jc w:val="left"/>
            </w:pPr>
            <w:r>
              <w:rPr>
                <w:rFonts w:ascii="Liberation Sans" w:hAnsi="Liberation Sans"/>
                <w:sz w:val="18"/>
              </w:rPr>
              <w:t xml:space="preserve">Cluster trägt spezifisch Recall</w:t>
            </w:r>
          </w:p>
        </w:tc>
        <w:tc>
          <w:tcPr>
            <w:tcW w:type="dxa" w:w="2434"/>
            <w:vAlign w:val="center"/>
          </w:tcPr>
          <w:p>
            <w:pPr>
              <w:pStyle w:val="Compact"/>
              <w:keepNext w:val="0"/>
              <w:keepLines/>
              <w:spacing w:before="20" w:after="20" w:line="250" w:lineRule="auto"/>
              <w:jc w:val="left"/>
            </w:pPr>
            <w:r>
              <w:rPr>
                <w:rFonts w:ascii="Liberation Sans" w:hAnsi="Liberation Sans"/>
                <w:sz w:val="18"/>
              </w:rPr>
              <w:t xml:space="preserve">Intervention, matched lesion, Rescue</w:t>
            </w:r>
          </w:p>
        </w:tc>
      </w:tr>
    </w:tbl>
    <w:p>
      <w:pPr>
        <w:pStyle w:val="BodyText"/>
        <w:keepLines/>
        <w:spacing w:after="120"/>
        <w:jc w:val="left"/>
      </w:pPr>
      <w:r>
        <w:rPr>
          <w:sz w:val="20"/>
        </w:rPr>
        <w:t xml:space="preserve">Strukturelle oder dynamische Emergenz ist nicht automatisch funktional.</w:t>
      </w:r>
    </w:p>
    <w:bookmarkEnd w:id="296"/>
    <w:bookmarkStart w:id="297" w:name="interventionelle-prüfung"/>
    <w:p>
      <w:pPr>
        <w:pStyle w:val="Heading3"/>
        <w:keepLines/>
        <w:spacing w:after="120"/>
        <w:jc w:val="left"/>
      </w:pPr>
      <w:r>
        <w:rPr>
          <w:sz w:val="20"/>
        </w:rPr>
        <w:t xml:space="preserve">Interventionelle Prüfung</w:t>
      </w:r>
    </w:p>
    <w:p>
      <w:pPr>
        <w:pStyle w:val="FirstParagraph"/>
        <w:keepLines/>
        <w:spacing w:after="120"/>
        <w:jc w:val="left"/>
      </w:pPr>
      <w:r>
        <w:rPr>
          <w:sz w:val="20"/>
        </w:rPr>
        <w:t xml:space="preserve">Für einen Kandidaten</w:t>
      </w:r>
      <w:r>
        <w:rPr>
          <w:sz w:val="20"/>
        </w:rPr>
        <w:t xml:space="preserve"> </w:t>
      </w:r>
      <m:oMath>
        <m:r>
          <m:t>C</m:t>
        </m:r>
      </m:oMath>
      <w:r>
        <w:rPr>
          <w:sz w:val="20"/>
        </w:rPr>
        <w:t xml:space="preserve"> </w:t>
      </w:r>
      <w:r>
        <w:rPr>
          <w:sz w:val="20"/>
        </w:rPr>
        <w:t xml:space="preserve">und Leistung</w:t>
      </w:r>
      <w:r>
        <w:rPr>
          <w:sz w:val="20"/>
        </w:rPr>
        <w:t xml:space="preserve"> </w:t>
      </w:r>
      <m:oMath>
        <m:r>
          <m:t>Q</m:t>
        </m:r>
      </m:oMath>
      <w:r>
        <w:rPr>
          <w:sz w:val="20"/>
        </w:rPr>
        <w:t xml:space="preserve"> </w:t>
      </w:r>
      <w:r>
        <w:rPr>
          <w:sz w:val="20"/>
        </w:rPr>
        <w:t xml:space="preserve">wird ein durchschnittlicher kausaler Effekt formalisiert als</w:t>
      </w:r>
    </w:p>
    <w:p>
      <w:pPr>
        <w:pStyle w:val="BodyText"/>
        <w:keepLines/>
        <w:spacing w:after="120"/>
        <w:jc w:val="left"/>
      </w:pPr>
      <w:r>
        <w:rPr>
          <w:b/>
          <w:bCs/>
          <w:sz w:val="20"/>
        </w:rPr>
        <w:t xml:space="preserve">[DEF/MODEL]</w:t>
      </w:r>
    </w:p>
    <w:p>
      <w:pPr>
        <w:pStyle w:val="BodyText"/>
        <w:keepLines/>
        <w:spacing w:after="140" w:before="100"/>
        <w:jc w:val="center"/>
      </w:pPr>
      <m:oMathPara>
        <m:oMathParaPr>
          <m:jc m:val="center"/>
        </m:oMathParaPr>
        <m:oMath>
          <m:sSub>
            <m:e>
              <m:r>
                <m:t>A</m:t>
              </m:r>
              <m:r>
                <m:t>C</m:t>
              </m:r>
              <m:r>
                <m:t>E</m:t>
              </m:r>
            </m:e>
            <m:sub>
              <m:r>
                <m:t>C</m:t>
              </m:r>
            </m:sub>
          </m:sSub>
          <m:r>
            <m:rPr>
              <m:sty m:val="p"/>
            </m:rPr>
            <m:t>=</m:t>
          </m:r>
          <m:r>
            <m:t>E</m:t>
          </m:r>
          <m:d>
            <m:dPr>
              <m:begChr m:val="["/>
              <m:endChr m:val="]"/>
              <m:sepChr m:val=""/>
              <m:grow/>
            </m:dPr>
            <m:e>
              <m:r>
                <m:t>Q</m:t>
              </m:r>
              <m:r>
                <m:rPr>
                  <m:sty m:val="p"/>
                </m:rPr>
                <m:t>|</m:t>
              </m:r>
              <m:r>
                <m:t>d</m:t>
              </m:r>
              <m:r>
                <m:t>o</m:t>
              </m:r>
              <m:d>
                <m:dPr>
                  <m:begChr m:val="("/>
                  <m:endChr m:val=")"/>
                  <m:sepChr m:val=""/>
                  <m:grow/>
                </m:dPr>
                <m:e>
                  <m:r>
                    <m:t>C</m:t>
                  </m:r>
                  <m:r>
                    <m:rPr>
                      <m:sty m:val="p"/>
                    </m:rPr>
                    <m:t>=</m:t>
                  </m:r>
                  <m:r>
                    <m:t>1</m:t>
                  </m:r>
                </m:e>
              </m:d>
            </m:e>
          </m:d>
          <m:r>
            <m:rPr>
              <m:sty m:val="p"/>
            </m:rPr>
            <m:t>−</m:t>
          </m:r>
          <m:r>
            <m:t>E</m:t>
          </m:r>
          <m:d>
            <m:dPr>
              <m:begChr m:val="["/>
              <m:endChr m:val="]"/>
              <m:sepChr m:val=""/>
              <m:grow/>
            </m:dPr>
            <m:e>
              <m:r>
                <m:t>Q</m:t>
              </m:r>
              <m:r>
                <m:rPr>
                  <m:sty m:val="p"/>
                </m:rPr>
                <m:t>|</m:t>
              </m:r>
              <m:r>
                <m:t>d</m:t>
              </m:r>
              <m:r>
                <m:t>o</m:t>
              </m:r>
              <m:d>
                <m:dPr>
                  <m:begChr m:val="("/>
                  <m:endChr m:val=")"/>
                  <m:sepChr m:val=""/>
                  <m:grow/>
                </m:dPr>
                <m:e>
                  <m:r>
                    <m:t>C</m:t>
                  </m:r>
                  <m:r>
                    <m:rPr>
                      <m:sty m:val="p"/>
                    </m:rPr>
                    <m:t>=</m:t>
                  </m:r>
                  <m:r>
                    <m:t>0</m:t>
                  </m:r>
                </m:e>
              </m:d>
            </m:e>
          </m:d>
          <m:r>
            <m:rPr>
              <m:sty m:val="p"/>
            </m:rPr>
            <m:t>.</m:t>
          </m:r>
        </m:oMath>
      </m:oMathPara>
    </w:p>
    <w:p>
      <w:pPr>
        <w:pStyle w:val="FirstParagraph"/>
        <w:keepLines/>
        <w:spacing w:after="120"/>
        <w:jc w:val="left"/>
      </w:pPr>
      <w:r>
        <w:rPr>
          <w:sz w:val="20"/>
        </w:rPr>
        <w:t xml:space="preserve">In Simulationen kann</w:t>
      </w:r>
      <w:r>
        <w:rPr>
          <w:sz w:val="20"/>
        </w:rPr>
        <w:t xml:space="preserve"> </w:t>
      </w:r>
      <w:r>
        <w:rPr>
          <w:rStyle w:val="VerbatimChar"/>
          <w:sz w:val="20"/>
        </w:rPr>
        <w:t xml:space="preserve">do(C=0)</w:t>
      </w:r>
      <w:r>
        <w:rPr>
          <w:sz w:val="20"/>
        </w:rPr>
        <w:t xml:space="preserve"> </w:t>
      </w:r>
      <w:r>
        <w:rPr>
          <w:sz w:val="20"/>
        </w:rPr>
        <w:t xml:space="preserve">etwa bedeuten: Cluster deaktivieren, interne Kanten entfernen, Spike-Ausgabe blockieren oder Gewichte permutieren. Die Intervention soll die Kandidatenstruktur möglichst spezifisch verändern. Eine unspezifische Läsion, die lediglich Gesamtaktivität reduziert, ist keine hinreichende Kausalanalyse (</w:t>
      </w:r>
      <w:hyperlink w:anchor="ref-Pearl2009">
        <w:r>
          <w:rPr>
            <w:rStyle w:val="Hyperlink"/>
          </w:rPr>
          <w:t xml:space="preserve">Pearl, 2009</w:t>
        </w:r>
      </w:hyperlink>
      <w:r>
        <w:rPr>
          <w:sz w:val="20"/>
        </w:rPr>
        <w:t xml:space="preserve">;</w:t>
      </w:r>
      <w:r>
        <w:rPr>
          <w:sz w:val="20"/>
        </w:rPr>
        <w:t xml:space="preserve"> </w:t>
      </w:r>
      <w:hyperlink w:anchor="ref-Woodward2003">
        <w:r>
          <w:rPr>
            <w:rStyle w:val="Hyperlink"/>
          </w:rPr>
          <w:t xml:space="preserve">Woodward, 2003</w:t>
        </w:r>
      </w:hyperlink>
      <w:r>
        <w:rPr>
          <w:sz w:val="20"/>
        </w:rPr>
        <w:t xml:space="preserve">).</w:t>
      </w:r>
    </w:p>
    <w:bookmarkEnd w:id="297"/>
    <w:bookmarkStart w:id="298" w:name="matched-lesions-und-rescue"/>
    <w:p>
      <w:pPr>
        <w:pStyle w:val="Heading3"/>
        <w:keepLines/>
        <w:spacing w:after="120"/>
        <w:jc w:val="left"/>
      </w:pPr>
      <w:r>
        <w:rPr>
          <w:sz w:val="20"/>
        </w:rPr>
        <w:t xml:space="preserve">Matched Lesions und Rescue</w:t>
      </w:r>
    </w:p>
    <w:p>
      <w:pPr>
        <w:pStyle w:val="FirstParagraph"/>
        <w:keepLines/>
        <w:spacing w:after="120"/>
        <w:jc w:val="left"/>
      </w:pPr>
      <w:r>
        <w:rPr>
          <w:sz w:val="20"/>
        </w:rPr>
        <w:t xml:space="preserve">Zu jeder gezielten Läsion werden Kontrollläsionen mit gleicher Knotenanzahl, ähnlicher Aktivität, gleichem Grad und vergleichbarer räumlicher Lage erzeugt. Ein stärkerer Effekt der gezielten Läsion stützt funktionale Spezifität. Ein anschließender Rescue-Test kann prüfen, ob Wiederherstellung der Struktur oder Ersatzstimulation die Leistung zurückbringt.</w:t>
      </w:r>
    </w:p>
    <w:bookmarkEnd w:id="298"/>
    <w:bookmarkStart w:id="299" w:name="makroebenen-und-kausale-emergenz"/>
    <w:p>
      <w:pPr>
        <w:pStyle w:val="Heading3"/>
        <w:keepLines/>
        <w:spacing w:after="120"/>
        <w:jc w:val="left"/>
      </w:pPr>
      <w:r>
        <w:rPr>
          <w:sz w:val="20"/>
        </w:rPr>
        <w:t xml:space="preserve">Makroebenen und kausale Emergenz</w:t>
      </w:r>
    </w:p>
    <w:p>
      <w:pPr>
        <w:pStyle w:val="FirstParagraph"/>
        <w:keepLines/>
        <w:spacing w:after="120"/>
        <w:jc w:val="left"/>
      </w:pPr>
      <w:r>
        <w:rPr>
          <w:sz w:val="20"/>
        </w:rPr>
        <w:t xml:space="preserve">Theorien kausaler Emergenz untersuchen, ob eine Makrobeschreibung kausal informativer sein kann als eine mikroskopische Beschreibung (</w:t>
      </w:r>
      <w:hyperlink w:anchor="ref-Hoel2013">
        <w:r>
          <w:rPr>
            <w:rStyle w:val="Hyperlink"/>
          </w:rPr>
          <w:t xml:space="preserve">Hoel et al., 2013</w:t>
        </w:r>
      </w:hyperlink>
      <w:r>
        <w:rPr>
          <w:sz w:val="20"/>
        </w:rPr>
        <w:t xml:space="preserve">). Brain-5D kann dies explorieren, darf aber Makroüberlegenheit nicht aus besserer Kompression allein ableiten. Makrozustände, Interventionsverteilung und Effektmaß müssen explizit festgelegt werden.</w:t>
      </w:r>
    </w:p>
    <w:bookmarkEnd w:id="299"/>
    <w:bookmarkStart w:id="300" w:name="kausalgraph-des-gesamtsystems"/>
    <w:p>
      <w:pPr>
        <w:pStyle w:val="Heading3"/>
        <w:keepLines/>
        <w:spacing w:after="120"/>
        <w:jc w:val="left"/>
      </w:pPr>
      <w:r>
        <w:rPr>
          <w:sz w:val="20"/>
        </w:rPr>
        <w:t xml:space="preserve">Kausalgraph des Gesamtsystems</w:t>
      </w:r>
    </w:p>
    <w:p>
      <w:pPr>
        <w:pStyle w:val="FirstParagraph"/>
        <w:keepLines/>
        <w:spacing w:after="120"/>
        <w:jc w:val="left"/>
      </w:pPr>
      <w:r>
        <w:rPr>
          <w:sz w:val="20"/>
        </w:rPr>
        <w:t xml:space="preserve">Ein vereinfachter Kausalgraph enthält mindestens:</w:t>
      </w:r>
    </w:p>
    <w:p>
      <w:pPr>
        <w:pStyle w:val="BodyText"/>
        <w:keepLines/>
        <w:spacing w:after="140" w:before="100"/>
        <w:jc w:val="center"/>
      </w:pPr>
      <m:oMathPara>
        <m:oMathParaPr>
          <m:jc m:val="center"/>
        </m:oMathParaPr>
        <m:oMath>
          <m:r>
            <m:rPr>
              <m:nor/>
              <m:sty m:val="p"/>
            </m:rPr>
            <m:t>Stimulus</m:t>
          </m:r>
          <m:r>
            <m:rPr>
              <m:sty m:val="p"/>
            </m:rPr>
            <m:t>→</m:t>
          </m:r>
          <m:sSub>
            <m:e>
              <m:r>
                <m:t>X</m:t>
              </m:r>
            </m:e>
            <m:sub>
              <m:r>
                <m:t>t</m:t>
              </m:r>
            </m:sub>
          </m:sSub>
          <m:r>
            <m:rPr>
              <m:sty m:val="p"/>
            </m:rPr>
            <m:t>→</m:t>
          </m:r>
          <m:r>
            <m:rPr>
              <m:nor/>
              <m:sty m:val="p"/>
            </m:rPr>
            <m:t>Action</m:t>
          </m:r>
          <m:r>
            <m:rPr>
              <m:sty m:val="p"/>
            </m:rPr>
            <m:t>→</m:t>
          </m:r>
          <m:sSub>
            <m:e>
              <m:r>
                <m:rPr>
                  <m:nor/>
                  <m:sty m:val="p"/>
                </m:rPr>
                <m:t>Environment</m:t>
              </m:r>
            </m:e>
            <m:sub>
              <m:r>
                <m:t>t</m:t>
              </m:r>
              <m:r>
                <m:rPr>
                  <m:sty m:val="p"/>
                </m:rPr>
                <m:t>+</m:t>
              </m:r>
              <m:r>
                <m:t>1</m:t>
              </m:r>
            </m:sub>
          </m:sSub>
          <m:r>
            <m:rPr>
              <m:sty m:val="p"/>
            </m:rPr>
            <m:t>,</m:t>
          </m:r>
        </m:oMath>
      </m:oMathPara>
    </w:p>
    <w:p>
      <w:pPr>
        <w:pStyle w:val="FirstParagraph"/>
        <w:keepLines/>
        <w:spacing w:after="120"/>
        <w:jc w:val="left"/>
      </w:pPr>
      <w:r>
        <w:rPr>
          <w:sz w:val="20"/>
        </w:rPr>
        <w:t xml:space="preserve">sowie Plastizität, Reward, LLM-Interventionen, Retrieval und Scheduler als potenzielle Ursachen. Nicht beobachtete gemeinsame Ursachen, etwa globale Modulatoren, müssen in der Analyse berücksichtigt werden. Die hohe Beobachtbarkeit einer Simulation erleichtert, aber garantiert keine korrekte Kausalinferenz.</w:t>
      </w:r>
    </w:p>
    <w:bookmarkEnd w:id="300"/>
    <w:bookmarkEnd w:id="301"/>
    <w:bookmarkEnd w:id="302"/>
    <w:bookmarkStart w:id="325" w:name="Xb06143bac27bc6a9a48187903f6b4d1da1f6569"/>
    <w:p>
      <w:bookmarkStart w:id="10022" w:name="B5D_H022"/>
      <w:pPr>
        <w:pStyle w:val="Heading1"/>
      </w:pPr>
      <w:r>
        <w:t xml:space="preserve">19. Repräsentation, Gedächtnis und interne Prädiktion</w:t>
      </w:r>
      <w:bookmarkEnd w:id="10022"/>
    </w:p>
    <w:bookmarkStart w:id="311" w:name="informationsmaße-und-decodability"/>
    <w:p>
      <w:pPr>
        <w:pStyle w:val="Heading2"/>
        <w:spacing w:before="160"/>
      </w:pPr>
      <w:r>
        <w:t xml:space="preserve">Informationsmaße und Decodability</w:t>
      </w:r>
    </w:p>
    <w:bookmarkStart w:id="303" w:name="entropie-und-mutual-information"/>
    <w:p>
      <w:pPr>
        <w:pStyle w:val="Heading3"/>
        <w:keepLines/>
        <w:spacing w:after="120" w:before="160"/>
        <w:jc w:val="left"/>
      </w:pPr>
      <w:r>
        <w:rPr>
          <w:sz w:val="20"/>
        </w:rPr>
        <w:t xml:space="preserve">Entropie und Mutual Information</w:t>
      </w:r>
    </w:p>
    <w:p>
      <w:pPr>
        <w:pStyle w:val="FirstParagraph"/>
        <w:keepLines/>
        <w:spacing w:after="64" w:line="254" w:lineRule="auto"/>
        <w:jc w:val="left"/>
      </w:pPr>
      <w:r>
        <w:rPr>
          <w:b/>
          <w:bCs/>
          <w:sz w:val="20"/>
        </w:rPr>
        <w:t xml:space="preserve">[DEF]</w:t>
      </w:r>
      <w:r>
        <w:rPr>
          <w:sz w:val="20"/>
        </w:rPr>
        <w:t xml:space="preserve"> </w:t>
      </w:r>
      <w:r>
        <w:rPr>
          <w:sz w:val="20"/>
        </w:rPr>
        <w:t xml:space="preserve">Für eine diskrete Variable</w:t>
      </w:r>
      <w:r>
        <w:rPr>
          <w:sz w:val="20"/>
        </w:rPr>
        <w:t xml:space="preserve"> </w:t>
      </w:r>
      <m:oMath>
        <m:r>
          <m:t>Y</m:t>
        </m:r>
      </m:oMath>
      <w:r>
        <w:rPr>
          <w:sz w:val="20"/>
        </w:rPr>
        <w:t xml:space="preserve"> </w:t>
      </w:r>
      <w:r>
        <w:rPr>
          <w:sz w:val="20"/>
        </w:rPr>
        <w:t xml:space="preserve">gilt</w:t>
      </w:r>
    </w:p>
    <w:p>
      <w:pPr>
        <w:pStyle w:val="BodyText"/>
        <w:keepLines/>
        <w:spacing w:after="64" w:before="100" w:line="254" w:lineRule="auto"/>
        <w:jc w:val="center"/>
      </w:pPr>
      <m:oMathPara>
        <m:oMathParaPr>
          <m:jc m:val="center"/>
        </m:oMathParaPr>
        <m:oMath>
          <m:r>
            <m:t>H</m:t>
          </m:r>
          <m:d>
            <m:dPr>
              <m:begChr m:val="("/>
              <m:endChr m:val=")"/>
              <m:sepChr m:val=""/>
              <m:grow/>
            </m:dPr>
            <m:e>
              <m:r>
                <m:t>Y</m:t>
              </m:r>
            </m:e>
          </m:d>
          <m:r>
            <m:rPr>
              <m:sty m:val="p"/>
            </m:rPr>
            <m:t>=</m:t>
          </m:r>
          <m:r>
            <m:rPr>
              <m:sty m:val="p"/>
            </m:rPr>
            <m:t>−</m:t>
          </m:r>
          <m:nary>
            <m:naryPr>
              <m:chr m:val="∑"/>
              <m:limLoc m:val="undOvr"/>
              <m:subHide m:val="off"/>
              <m:supHide m:val="on"/>
            </m:naryPr>
            <m:sub>
              <m:r>
                <m:t>y</m:t>
              </m:r>
            </m:sub>
            <m:sup>
              <m:r>
                <m:t>​</m:t>
              </m:r>
            </m:sup>
            <m:e>
              <m:r>
                <m:t>p</m:t>
              </m:r>
            </m:e>
          </m:nary>
          <m:d>
            <m:dPr>
              <m:begChr m:val="("/>
              <m:endChr m:val=")"/>
              <m:sepChr m:val=""/>
              <m:grow/>
            </m:dPr>
            <m:e>
              <m:r>
                <m:t>y</m:t>
              </m:r>
            </m:e>
          </m:d>
          <m:r>
            <m:rPr>
              <m:sty m:val="p"/>
            </m:rPr>
            <m:t>log</m:t>
          </m:r>
          <m:r>
            <m:t>p</m:t>
          </m:r>
          <m:d>
            <m:dPr>
              <m:begChr m:val="("/>
              <m:endChr m:val=")"/>
              <m:sepChr m:val=""/>
              <m:grow/>
            </m:dPr>
            <m:e>
              <m:r>
                <m:t>y</m:t>
              </m:r>
            </m:e>
          </m:d>
          <m:r>
            <m:rPr>
              <m:sty m:val="p"/>
            </m:rPr>
            <m:t>.</m:t>
          </m:r>
        </m:oMath>
      </m:oMathPara>
    </w:p>
    <w:p>
      <w:pPr>
        <w:pStyle w:val="FirstParagraph"/>
        <w:keepLines/>
        <w:spacing w:after="64" w:line="254" w:lineRule="auto"/>
        <w:jc w:val="left"/>
      </w:pPr>
      <w:r>
        <w:rPr>
          <w:sz w:val="20"/>
        </w:rPr>
        <w:t xml:space="preserve">Die Mutual Information zwischen internem Zustand</w:t>
      </w:r>
      <w:r>
        <w:rPr>
          <w:sz w:val="20"/>
        </w:rPr>
        <w:t xml:space="preserve"> </w:t>
      </w:r>
      <m:oMath>
        <m:r>
          <m:t>Z</m:t>
        </m:r>
      </m:oMath>
      <w:r>
        <w:rPr>
          <w:sz w:val="20"/>
        </w:rPr>
        <w:t xml:space="preserve"> </w:t>
      </w:r>
      <w:r>
        <w:rPr>
          <w:sz w:val="20"/>
        </w:rPr>
        <w:t xml:space="preserve">und Merkmal</w:t>
      </w:r>
      <w:r>
        <w:rPr>
          <w:sz w:val="20"/>
        </w:rPr>
        <w:t xml:space="preserve"> </w:t>
      </w:r>
      <m:oMath>
        <m:r>
          <m:t>Y</m:t>
        </m:r>
      </m:oMath>
      <w:r>
        <w:rPr>
          <w:sz w:val="20"/>
        </w:rPr>
        <w:t xml:space="preserve"> </w:t>
      </w:r>
      <w:r>
        <w:rPr>
          <w:sz w:val="20"/>
        </w:rPr>
        <w:t xml:space="preserve">lautet</w:t>
      </w:r>
    </w:p>
    <w:p>
      <w:pPr>
        <w:pStyle w:val="BodyText"/>
        <w:keepLines/>
        <w:spacing w:after="64" w:before="100" w:line="254" w:lineRule="auto"/>
        <w:jc w:val="center"/>
      </w:pPr>
      <m:oMathPara>
        <m:oMathParaPr>
          <m:jc m:val="center"/>
        </m:oMathParaPr>
        <m:oMath>
          <m:r>
            <m:t>I</m:t>
          </m:r>
          <m:d>
            <m:dPr>
              <m:begChr m:val="("/>
              <m:endChr m:val=")"/>
              <m:sepChr m:val=""/>
              <m:grow/>
            </m:dPr>
            <m:e>
              <m:r>
                <m:t>Z</m:t>
              </m:r>
              <m:r>
                <m:rPr>
                  <m:sty m:val="p"/>
                </m:rPr>
                <m:t>;</m:t>
              </m:r>
              <m:r>
                <m:t>Y</m:t>
              </m:r>
            </m:e>
          </m:d>
          <m:r>
            <m:rPr>
              <m:sty m:val="p"/>
            </m:rPr>
            <m:t>=</m:t>
          </m:r>
          <m:nary>
            <m:naryPr>
              <m:chr m:val="∑"/>
              <m:limLoc m:val="undOvr"/>
              <m:subHide m:val="off"/>
              <m:supHide m:val="on"/>
            </m:naryPr>
            <m:sub>
              <m:r>
                <m:t>z</m:t>
              </m:r>
              <m:r>
                <m:rPr>
                  <m:sty m:val="p"/>
                </m:rPr>
                <m:t>,</m:t>
              </m:r>
              <m:r>
                <m:t>y</m:t>
              </m:r>
            </m:sub>
            <m:sup>
              <m:r>
                <m:t>​</m:t>
              </m:r>
            </m:sup>
            <m:e>
              <m:r>
                <m:t>p</m:t>
              </m:r>
            </m:e>
          </m:nary>
          <m:d>
            <m:dPr>
              <m:begChr m:val="("/>
              <m:endChr m:val=")"/>
              <m:sepChr m:val=""/>
              <m:grow/>
            </m:dPr>
            <m:e>
              <m:r>
                <m:t>z</m:t>
              </m:r>
              <m:r>
                <m:rPr>
                  <m:sty m:val="p"/>
                </m:rPr>
                <m:t>,</m:t>
              </m:r>
              <m:r>
                <m:t>y</m:t>
              </m:r>
            </m:e>
          </m:d>
          <m:r>
            <m:rPr>
              <m:sty m:val="p"/>
            </m:rPr>
            <m:t>log</m:t>
          </m:r>
          <m:f>
            <m:fPr>
              <m:type m:val="bar"/>
            </m:fPr>
            <m:num>
              <m:r>
                <m:t>p</m:t>
              </m:r>
              <m:d>
                <m:dPr>
                  <m:begChr m:val="("/>
                  <m:endChr m:val=")"/>
                  <m:sepChr m:val=""/>
                  <m:grow/>
                </m:dPr>
                <m:e>
                  <m:r>
                    <m:t>z</m:t>
                  </m:r>
                  <m:r>
                    <m:rPr>
                      <m:sty m:val="p"/>
                    </m:rPr>
                    <m:t>,</m:t>
                  </m:r>
                  <m:r>
                    <m:t>y</m:t>
                  </m:r>
                </m:e>
              </m:d>
            </m:num>
            <m:den>
              <m:r>
                <m:t>p</m:t>
              </m:r>
              <m:d>
                <m:dPr>
                  <m:begChr m:val="("/>
                  <m:endChr m:val=")"/>
                  <m:sepChr m:val=""/>
                  <m:grow/>
                </m:dPr>
                <m:e>
                  <m:r>
                    <m:t>z</m:t>
                  </m:r>
                </m:e>
              </m:d>
              <m:r>
                <m:t>p</m:t>
              </m:r>
              <m:d>
                <m:dPr>
                  <m:begChr m:val="("/>
                  <m:endChr m:val=")"/>
                  <m:sepChr m:val=""/>
                  <m:grow/>
                </m:dPr>
                <m:e>
                  <m:r>
                    <m:t>y</m:t>
                  </m:r>
                </m:e>
              </m:d>
            </m:den>
          </m:f>
          <m:r>
            <m:rPr>
              <m:sty m:val="p"/>
            </m:rPr>
            <m:t>.</m:t>
          </m:r>
        </m:oMath>
      </m:oMathPara>
    </w:p>
    <w:p>
      <w:pPr>
        <w:pStyle w:val="FirstParagraph"/>
        <w:keepLines/>
        <w:spacing w:after="64" w:line="254" w:lineRule="auto"/>
        <w:jc w:val="left"/>
      </w:pPr>
      <w:r>
        <w:rPr>
          <w:sz w:val="20"/>
        </w:rPr>
        <w:t xml:space="preserve">Sie misst statistische Abhängigkeit, nicht automatisch Kausalität oder semantische Repräsentation (</w:t>
      </w:r>
      <w:hyperlink w:anchor="ref-Cover2006">
        <w:r>
          <w:rPr>
            <w:rStyle w:val="Hyperlink"/>
          </w:rPr>
          <w:t xml:space="preserve">Cover &amp; Thomas, 2006</w:t>
        </w:r>
      </w:hyperlink>
      <w:r>
        <w:rPr>
          <w:sz w:val="20"/>
        </w:rPr>
        <w:t xml:space="preserve">;</w:t>
      </w:r>
      <w:r>
        <w:rPr>
          <w:sz w:val="20"/>
        </w:rPr>
        <w:t xml:space="preserve"> </w:t>
      </w:r>
      <w:hyperlink w:anchor="ref-Shannon1948">
        <w:r>
          <w:rPr>
            <w:rStyle w:val="Hyperlink"/>
          </w:rPr>
          <w:t xml:space="preserve">Shannon, 1948</w:t>
        </w:r>
      </w:hyperlink>
      <w:r>
        <w:rPr>
          <w:sz w:val="20"/>
        </w:rPr>
        <w:t xml:space="preserve">).</w:t>
      </w:r>
    </w:p>
    <w:bookmarkEnd w:id="303"/>
    <w:bookmarkStart w:id="304" w:name="bedingte-information-und-confounds"/>
    <w:p>
      <w:pPr>
        <w:pStyle w:val="Heading3"/>
        <w:keepLines/>
        <w:spacing w:after="120" w:before="160"/>
        <w:jc w:val="left"/>
      </w:pPr>
      <w:r>
        <w:rPr>
          <w:sz w:val="20"/>
        </w:rPr>
        <w:t xml:space="preserve">Bedingte Information und Confounds</w:t>
      </w:r>
    </w:p>
    <w:p>
      <w:pPr>
        <w:pStyle w:val="FirstParagraph"/>
        <w:keepLines/>
        <w:spacing w:after="64" w:line="254" w:lineRule="auto"/>
        <w:jc w:val="left"/>
      </w:pPr>
      <w:r>
        <w:rPr>
          <w:sz w:val="20"/>
        </w:rPr>
        <w:t xml:space="preserve">Wenn aktueller Sensorinput</w:t>
      </w:r>
      <w:r>
        <w:rPr>
          <w:sz w:val="20"/>
        </w:rPr>
        <w:t xml:space="preserve"> </w:t>
      </w:r>
      <m:oMath>
        <m:r>
          <m:t>X</m:t>
        </m:r>
      </m:oMath>
      <w:r>
        <w:rPr>
          <w:sz w:val="20"/>
        </w:rPr>
        <w:t xml:space="preserve"> </w:t>
      </w:r>
      <w:r>
        <w:rPr>
          <w:sz w:val="20"/>
        </w:rPr>
        <w:t xml:space="preserve">sowohl</w:t>
      </w:r>
      <w:r>
        <w:rPr>
          <w:sz w:val="20"/>
        </w:rPr>
        <w:t xml:space="preserve"> </w:t>
      </w:r>
      <m:oMath>
        <m:r>
          <m:t>Z</m:t>
        </m:r>
      </m:oMath>
      <w:r>
        <w:rPr>
          <w:sz w:val="20"/>
        </w:rPr>
        <w:t xml:space="preserve"> </w:t>
      </w:r>
      <w:r>
        <w:rPr>
          <w:sz w:val="20"/>
        </w:rPr>
        <w:t xml:space="preserve">als auch</w:t>
      </w:r>
      <w:r>
        <w:rPr>
          <w:sz w:val="20"/>
        </w:rPr>
        <w:t xml:space="preserve"> </w:t>
      </w:r>
      <m:oMath>
        <m:r>
          <m:t>Y</m:t>
        </m:r>
      </m:oMath>
      <w:r>
        <w:rPr>
          <w:sz w:val="20"/>
        </w:rPr>
        <w:t xml:space="preserve"> </w:t>
      </w:r>
      <w:r>
        <w:rPr>
          <w:sz w:val="20"/>
        </w:rPr>
        <w:t xml:space="preserve">bestimmt, kann hohe Decodability triviales Durchreichen widerspiegeln. Deshalb ist bedingte Information relevant:</w:t>
      </w:r>
    </w:p>
    <w:p>
      <w:pPr>
        <w:pStyle w:val="BodyText"/>
        <w:keepLines/>
        <w:spacing w:after="64" w:before="100" w:line="254" w:lineRule="auto"/>
        <w:jc w:val="center"/>
      </w:pPr>
      <m:oMathPara>
        <m:oMathParaPr>
          <m:jc m:val="center"/>
        </m:oMathParaPr>
        <m:oMath>
          <m:r>
            <m:t>I</m:t>
          </m:r>
          <m:d>
            <m:dPr>
              <m:begChr m:val="("/>
              <m:endChr m:val=")"/>
              <m:sepChr m:val=""/>
              <m:grow/>
            </m:dPr>
            <m:e>
              <m:r>
                <m:t>Z</m:t>
              </m:r>
              <m:r>
                <m:rPr>
                  <m:sty m:val="p"/>
                </m:rPr>
                <m:t>;</m:t>
              </m:r>
              <m:r>
                <m:t>Y</m:t>
              </m:r>
              <m:r>
                <m:rPr>
                  <m:sty m:val="p"/>
                </m:rPr>
                <m:t>|</m:t>
              </m:r>
              <m:r>
                <m:t>X</m:t>
              </m:r>
            </m:e>
          </m:d>
          <m:r>
            <m:rPr>
              <m:sty m:val="p"/>
            </m:rPr>
            <m:t>.</m:t>
          </m:r>
        </m:oMath>
      </m:oMathPara>
    </w:p>
    <w:p>
      <w:pPr>
        <w:pStyle w:val="FirstParagraph"/>
        <w:keepLines/>
        <w:spacing w:after="64" w:line="254" w:lineRule="auto"/>
        <w:jc w:val="left"/>
      </w:pPr>
      <w:r>
        <w:rPr>
          <w:sz w:val="20"/>
        </w:rPr>
        <w:t xml:space="preserve">Für prädiktive Zustände ist beispielsweise zu testen, ob</w:t>
      </w:r>
      <w:r>
        <w:rPr>
          <w:sz w:val="20"/>
        </w:rPr>
        <w:t xml:space="preserve"> </w:t>
      </w:r>
      <m:oMath>
        <m:sSub>
          <m:e>
            <m:r>
              <m:t>Z</m:t>
            </m:r>
          </m:e>
          <m:sub>
            <m:r>
              <m:t>t</m:t>
            </m:r>
          </m:sub>
        </m:sSub>
      </m:oMath>
      <w:r>
        <w:rPr>
          <w:sz w:val="20"/>
        </w:rPr>
        <w:t xml:space="preserve"> </w:t>
      </w:r>
      <w:r>
        <w:rPr>
          <w:sz w:val="20"/>
        </w:rPr>
        <w:t xml:space="preserve">Information über</w:t>
      </w:r>
      <w:r>
        <w:rPr>
          <w:sz w:val="20"/>
        </w:rPr>
        <w:t xml:space="preserve"> </w:t>
      </w:r>
      <m:oMath>
        <m:sSub>
          <m:e>
            <m:r>
              <m:t>S</m:t>
            </m:r>
          </m:e>
          <m:sub>
            <m:r>
              <m:t>t</m:t>
            </m:r>
            <m:r>
              <m:rPr>
                <m:sty m:val="p"/>
              </m:rPr>
              <m:t>+</m:t>
            </m:r>
            <m:r>
              <m:t>1</m:t>
            </m:r>
          </m:sub>
        </m:sSub>
      </m:oMath>
      <w:r>
        <w:rPr>
          <w:sz w:val="20"/>
        </w:rPr>
        <w:t xml:space="preserve"> </w:t>
      </w:r>
      <w:r>
        <w:rPr>
          <w:sz w:val="20"/>
        </w:rPr>
        <w:t xml:space="preserve">enthält, die über</w:t>
      </w:r>
      <w:r>
        <w:rPr>
          <w:sz w:val="20"/>
        </w:rPr>
        <w:t xml:space="preserve"> </w:t>
      </w:r>
      <m:oMath>
        <m:sSub>
          <m:e>
            <m:r>
              <m:t>S</m:t>
            </m:r>
          </m:e>
          <m:sub>
            <m:r>
              <m:t>t</m:t>
            </m:r>
          </m:sub>
        </m:sSub>
      </m:oMath>
      <w:r>
        <w:rPr>
          <w:sz w:val="20"/>
        </w:rPr>
        <w:t xml:space="preserve"> </w:t>
      </w:r>
      <w:r>
        <w:rPr>
          <w:sz w:val="20"/>
        </w:rPr>
        <w:t xml:space="preserve">und die Aktion</w:t>
      </w:r>
      <w:r>
        <w:rPr>
          <w:sz w:val="20"/>
        </w:rPr>
        <w:t xml:space="preserve"> </w:t>
      </w:r>
      <m:oMath>
        <m:sSub>
          <m:e>
            <m:r>
              <m:t>A</m:t>
            </m:r>
          </m:e>
          <m:sub>
            <m:r>
              <m:t>t</m:t>
            </m:r>
          </m:sub>
        </m:sSub>
      </m:oMath>
      <w:r>
        <w:rPr>
          <w:sz w:val="20"/>
        </w:rPr>
        <w:t xml:space="preserve"> </w:t>
      </w:r>
      <w:r>
        <w:rPr>
          <w:sz w:val="20"/>
        </w:rPr>
        <w:t xml:space="preserve">hinausgeht.</w:t>
      </w:r>
    </w:p>
    <w:bookmarkEnd w:id="304"/>
    <w:bookmarkStart w:id="305" w:name="schätzprobleme"/>
    <w:p>
      <w:pPr>
        <w:pStyle w:val="Heading3"/>
        <w:keepLines/>
        <w:spacing w:after="120" w:before="160"/>
        <w:jc w:val="left"/>
      </w:pPr>
      <w:r>
        <w:rPr>
          <w:sz w:val="20"/>
        </w:rPr>
        <w:t xml:space="preserve">Schätzprobleme</w:t>
      </w:r>
    </w:p>
    <w:p>
      <w:pPr>
        <w:pStyle w:val="FirstParagraph"/>
        <w:keepLines/>
        <w:spacing w:after="64" w:line="254" w:lineRule="auto"/>
        <w:jc w:val="left"/>
      </w:pPr>
      <w:r>
        <w:rPr>
          <w:sz w:val="20"/>
        </w:rPr>
        <w:t xml:space="preserve">Neuronale Zustände sind hochdimensional und Stichproben begrenzt. Naive Entropie- und MI-Schätzer sind verzerrt (</w:t>
      </w:r>
      <w:hyperlink w:anchor="ref-Panzeri2007">
        <w:r>
          <w:rPr>
            <w:rStyle w:val="Hyperlink"/>
          </w:rPr>
          <w:t xml:space="preserve">Panzeri et al., 2007</w:t>
        </w:r>
      </w:hyperlink>
      <w:r>
        <w:rPr>
          <w:sz w:val="20"/>
        </w:rPr>
        <w:t xml:space="preserve">). Brain-5D verlangt:</w:t>
      </w:r>
    </w:p>
    <w:p>
      <w:pPr>
        <w:keepLines/>
        <w:numPr>
          <w:ilvl w:val="0"/>
          <w:numId w:val="1023"/>
        </w:numPr>
        <w:spacing w:after="64" w:line="254" w:lineRule="auto"/>
        <w:jc w:val="left"/>
      </w:pPr>
      <w:r>
        <w:rPr>
          <w:sz w:val="20"/>
        </w:rPr>
        <w:t xml:space="preserve">vorab definierte Binning- oder Kernelverfahren;</w:t>
      </w:r>
    </w:p>
    <w:p>
      <w:pPr>
        <w:keepLines/>
        <w:numPr>
          <w:ilvl w:val="0"/>
          <w:numId w:val="1023"/>
        </w:numPr>
        <w:spacing w:after="64" w:line="254" w:lineRule="auto"/>
        <w:jc w:val="left"/>
      </w:pPr>
      <w:r>
        <w:rPr>
          <w:sz w:val="20"/>
        </w:rPr>
        <w:t xml:space="preserve">Bias-Korrektur beziehungsweise robuste nichtparametrische Schätzer;</w:t>
      </w:r>
    </w:p>
    <w:p>
      <w:pPr>
        <w:keepLines/>
        <w:numPr>
          <w:ilvl w:val="0"/>
          <w:numId w:val="1023"/>
        </w:numPr>
        <w:spacing w:after="64" w:line="254" w:lineRule="auto"/>
        <w:jc w:val="left"/>
      </w:pPr>
      <w:r>
        <w:rPr>
          <w:sz w:val="20"/>
        </w:rPr>
        <w:t xml:space="preserve">Konfidenzintervalle durch Bootstrap auf unabhängiger Episodenebene;</w:t>
      </w:r>
    </w:p>
    <w:p>
      <w:pPr>
        <w:keepLines/>
        <w:numPr>
          <w:ilvl w:val="0"/>
          <w:numId w:val="1023"/>
        </w:numPr>
        <w:spacing w:after="64" w:line="254" w:lineRule="auto"/>
        <w:jc w:val="left"/>
      </w:pPr>
      <w:r>
        <w:rPr>
          <w:sz w:val="20"/>
        </w:rPr>
        <w:t xml:space="preserve">Permutations- und Zeitshift-Nullmodelle;</w:t>
      </w:r>
    </w:p>
    <w:p>
      <w:pPr>
        <w:keepLines/>
        <w:numPr>
          <w:ilvl w:val="0"/>
          <w:numId w:val="1023"/>
        </w:numPr>
        <w:spacing w:after="64" w:line="254" w:lineRule="auto"/>
        <w:jc w:val="left"/>
      </w:pPr>
      <w:r>
        <w:rPr>
          <w:sz w:val="20"/>
        </w:rPr>
        <w:t xml:space="preserve">Sensitivitätsanalyse gegenüber Fenstergröße und Dimensionalitätsreduktion.</w:t>
      </w:r>
    </w:p>
    <w:bookmarkEnd w:id="305"/>
    <w:bookmarkStart w:id="306" w:name="dekodierung"/>
    <w:p>
      <w:pPr>
        <w:pStyle w:val="Heading3"/>
        <w:keepLines/>
        <w:spacing w:after="120" w:before="160"/>
        <w:jc w:val="left"/>
      </w:pPr>
      <w:r>
        <w:rPr>
          <w:sz w:val="20"/>
        </w:rPr>
        <w:t xml:space="preserve">Dekodierung</w:t>
      </w:r>
    </w:p>
    <w:p>
      <w:pPr>
        <w:pStyle w:val="FirstParagraph"/>
        <w:keepLines/>
        <w:spacing w:after="64" w:line="254" w:lineRule="auto"/>
        <w:jc w:val="left"/>
      </w:pPr>
      <w:r>
        <w:rPr>
          <w:sz w:val="20"/>
        </w:rPr>
        <w:t xml:space="preserve">Ein Decoder</w:t>
      </w:r>
      <w:r>
        <w:rPr>
          <w:sz w:val="20"/>
        </w:rPr>
        <w:t xml:space="preserve"> </w:t>
      </w:r>
      <m:oMath>
        <m:r>
          <m:t>g</m:t>
        </m:r>
      </m:oMath>
      <w:r>
        <w:rPr>
          <w:sz w:val="20"/>
        </w:rPr>
        <w:t xml:space="preserve"> </w:t>
      </w:r>
      <w:r>
        <w:rPr>
          <w:sz w:val="20"/>
        </w:rPr>
        <w:t xml:space="preserve">schätzt</w:t>
      </w:r>
      <w:r>
        <w:rPr>
          <w:sz w:val="20"/>
        </w:rPr>
        <w:t xml:space="preserve"> </w:t>
      </w:r>
      <m:oMath>
        <m:acc>
          <m:accPr>
            <m:chr m:val="̂"/>
          </m:accPr>
          <m:e>
            <m:r>
              <m:t>Y</m:t>
            </m:r>
          </m:e>
        </m:acc>
        <m:r>
          <m:rPr>
            <m:sty m:val="p"/>
          </m:rPr>
          <m:t>=</m:t>
        </m:r>
        <m:r>
          <m:t>g</m:t>
        </m:r>
        <m:d>
          <m:dPr>
            <m:begChr m:val="("/>
            <m:endChr m:val=")"/>
            <m:sepChr m:val=""/>
            <m:grow/>
          </m:dPr>
          <m:e>
            <m:r>
              <m:t>Z</m:t>
            </m:r>
          </m:e>
        </m:d>
      </m:oMath>
      <w:r>
        <w:rPr>
          <w:sz w:val="20"/>
        </w:rPr>
        <w:t xml:space="preserve">. Repräsentation wird nicht durch Trainingsgenauigkeit belegt. Erforderlich sind strikt getrennte Trainings-, Validierungs- und Testepisoden, idealerweise mit neuen Instanzen, Kontexten oder Transformationen. Zeitlich benachbarte Fenster derselben Episode dürfen nicht zufällig auf Train und Test verteilt werden, wenn dadurch Leakage entsteht.</w:t>
      </w:r>
    </w:p>
    <w:bookmarkEnd w:id="306"/>
    <w:bookmarkStart w:id="307" w:name="representational-similarity-analysis"/>
    <w:p>
      <w:pPr>
        <w:pStyle w:val="Heading3"/>
        <w:keepLines/>
        <w:spacing w:after="120" w:before="160"/>
        <w:jc w:val="left"/>
      </w:pPr>
      <w:r>
        <w:rPr>
          <w:sz w:val="20"/>
        </w:rPr>
        <w:t xml:space="preserve">Representational Similarity Analysis</w:t>
      </w:r>
    </w:p>
    <w:p>
      <w:pPr>
        <w:pStyle w:val="FirstParagraph"/>
        <w:keepLines/>
        <w:spacing w:after="64" w:line="254" w:lineRule="auto"/>
        <w:jc w:val="left"/>
      </w:pPr>
      <w:r>
        <w:rPr>
          <w:sz w:val="20"/>
        </w:rPr>
        <w:t xml:space="preserve">RSA vergleicht Geometrien interner Zustände über Repräsentations-Dissimilaritätsmatrizen (</w:t>
      </w:r>
      <w:hyperlink w:anchor="ref-Kriegeskorte2008">
        <w:r>
          <w:rPr>
            <w:rStyle w:val="Hyperlink"/>
          </w:rPr>
          <w:t xml:space="preserve">Kriegeskorte et al., 2008</w:t>
        </w:r>
      </w:hyperlink>
      <w:r>
        <w:rPr>
          <w:sz w:val="20"/>
        </w:rPr>
        <w:t xml:space="preserve">). Für Brain-5D kann RSA prüfen, ob Stimulus-, Aktions- oder Kontextrelationen in neuronalen Zustandsräumen wiederkehren. Ergebnisse hängen jedoch von Distanzmaß, Normalisierung und Sampling ab. Ein RSA-Muster ist deskriptiv; funktionale Kausalität erfordert Intervention.</w:t>
      </w:r>
    </w:p>
    <w:bookmarkEnd w:id="307"/>
    <w:bookmarkStart w:id="308" w:name="temporale-generalisierung"/>
    <w:p>
      <w:pPr>
        <w:pStyle w:val="Heading3"/>
        <w:keepLines/>
        <w:spacing w:after="120" w:before="160"/>
        <w:jc w:val="left"/>
      </w:pPr>
      <w:r>
        <w:rPr>
          <w:sz w:val="20"/>
        </w:rPr>
        <w:t xml:space="preserve">Temporale Generalisierung</w:t>
      </w:r>
    </w:p>
    <w:p>
      <w:pPr>
        <w:pStyle w:val="FirstParagraph"/>
        <w:keepLines/>
        <w:spacing w:after="64" w:line="254" w:lineRule="auto"/>
        <w:jc w:val="left"/>
      </w:pPr>
      <w:r>
        <w:rPr>
          <w:sz w:val="20"/>
        </w:rPr>
        <w:t xml:space="preserve">Ein Decoder, der auf Zeitfenster</w:t>
      </w:r>
      <w:r>
        <w:rPr>
          <w:sz w:val="20"/>
        </w:rPr>
        <w:t xml:space="preserve"> </w:t>
      </w:r>
      <m:oMath>
        <m:r>
          <m:t>t</m:t>
        </m:r>
      </m:oMath>
      <w:r>
        <w:rPr>
          <w:sz w:val="20"/>
        </w:rPr>
        <w:t xml:space="preserve"> </w:t>
      </w:r>
      <w:r>
        <w:rPr>
          <w:sz w:val="20"/>
        </w:rPr>
        <w:t xml:space="preserve">trainiert und auf</w:t>
      </w:r>
      <w:r>
        <w:rPr>
          <w:sz w:val="20"/>
        </w:rPr>
        <w:t xml:space="preserve"> </w:t>
      </w:r>
      <m:oMath>
        <m:r>
          <m:t>t</m:t>
        </m:r>
        <m:r>
          <m:rPr>
            <m:sty m:val="p"/>
          </m:rPr>
          <m:t>′</m:t>
        </m:r>
      </m:oMath>
      <w:r>
        <w:rPr>
          <w:sz w:val="20"/>
        </w:rPr>
        <w:t xml:space="preserve"> </w:t>
      </w:r>
      <w:r>
        <w:rPr>
          <w:sz w:val="20"/>
        </w:rPr>
        <w:t xml:space="preserve">getestet wird, kann stabile oder transformierende Codes sichtbar machen (</w:t>
      </w:r>
      <w:hyperlink w:anchor="ref-King2014">
        <w:r>
          <w:rPr>
            <w:rStyle w:val="Hyperlink"/>
          </w:rPr>
          <w:t xml:space="preserve">King &amp; Dehaene, 2014</w:t>
        </w:r>
      </w:hyperlink>
      <w:r>
        <w:rPr>
          <w:sz w:val="20"/>
        </w:rPr>
        <w:t xml:space="preserve">). Brain-5D kann damit unterscheiden, ob ein Signal nur während unmittelbarer Stimulation existiert oder in eine persistente Zustandsform übergeht.</w:t>
      </w:r>
    </w:p>
    <w:bookmarkEnd w:id="308"/>
    <w:bookmarkStart w:id="309" w:name="transfer-entropy"/>
    <w:p>
      <w:pPr>
        <w:pStyle w:val="Heading3"/>
        <w:keepLines/>
        <w:spacing w:after="120" w:before="160"/>
        <w:jc w:val="left"/>
      </w:pPr>
      <w:r>
        <w:rPr>
          <w:sz w:val="20"/>
        </w:rPr>
        <w:t xml:space="preserve">Transfer Entropy</w:t>
      </w:r>
    </w:p>
    <w:p>
      <w:pPr>
        <w:pStyle w:val="FirstParagraph"/>
        <w:keepLines/>
        <w:spacing w:after="64" w:line="254" w:lineRule="auto"/>
        <w:jc w:val="left"/>
      </w:pPr>
      <w:r>
        <w:rPr>
          <w:b/>
          <w:bCs/>
          <w:sz w:val="20"/>
        </w:rPr>
        <w:t xml:space="preserve">[DEF]</w:t>
      </w:r>
      <w:r>
        <w:rPr>
          <w:sz w:val="20"/>
        </w:rPr>
        <w:t xml:space="preserve"> </w:t>
      </w:r>
      <w:r>
        <w:rPr>
          <w:sz w:val="20"/>
        </w:rPr>
        <w:t xml:space="preserve">Transfer Entropy quantifiziert gerichtete prädiktive Information aus der Vergangenheit einer Variable in eine andere (</w:t>
      </w:r>
      <w:hyperlink w:anchor="ref-Schreiber2000">
        <w:r>
          <w:rPr>
            <w:rStyle w:val="Hyperlink"/>
          </w:rPr>
          <w:t xml:space="preserve">Schreiber, 2000</w:t>
        </w:r>
      </w:hyperlink>
      <w:r>
        <w:rPr>
          <w:sz w:val="20"/>
        </w:rPr>
        <w:t xml:space="preserve">). Sie ist nicht ohne zusätzliche Annahmen ein Beweis kausaler Wirkung. Gemeinsame Ursachen, unvollständige Beobachtung und unterschiedliche Zeitskalen können gerichtete Abhängigkeiten erzeugen. Transfer Entropy wird deshalb als exploratives Maß, nicht als alleinige Kausalanalyse verwendet.</w:t>
      </w:r>
    </w:p>
    <w:bookmarkEnd w:id="309"/>
    <w:bookmarkStart w:id="310" w:name="decodability-repräsentation-und-funktion"/>
    <w:p>
      <w:pPr>
        <w:pStyle w:val="Heading3"/>
        <w:keepLines/>
        <w:spacing w:after="120" w:before="160"/>
        <w:jc w:val="left"/>
      </w:pPr>
      <w:r>
        <w:rPr>
          <w:sz w:val="20"/>
        </w:rPr>
        <w:t xml:space="preserve">Decodability, Repräsentation und Funktion</w:t>
      </w:r>
    </w:p>
    <w:p>
      <w:pPr>
        <w:pStyle w:val="FirstParagraph"/>
        <w:keepLines/>
        <w:spacing w:after="64" w:line="254" w:lineRule="auto"/>
        <w:jc w:val="left"/>
      </w:pPr>
      <w:r>
        <w:rPr>
          <w:sz w:val="20"/>
        </w:rPr>
        <w:t xml:space="preserve">Brain-5D verwendet eine dreistufige Unterscheidung:</w:t>
      </w:r>
    </w:p>
    <w:p>
      <w:pPr>
        <w:keepLines/>
        <w:numPr>
          <w:ilvl w:val="0"/>
          <w:numId w:val="1024"/>
        </w:numPr>
        <w:spacing w:after="64" w:line="254" w:lineRule="auto"/>
        <w:jc w:val="left"/>
      </w:pPr>
      <w:r>
        <w:rPr>
          <w:b/>
          <w:bCs/>
          <w:sz w:val="20"/>
        </w:rPr>
        <w:t xml:space="preserve">Decodability:</w:t>
      </w:r>
      <w:r>
        <w:rPr>
          <w:sz w:val="20"/>
        </w:rPr>
        <w:t xml:space="preserve"> </w:t>
      </w:r>
      <m:oMath>
        <m:r>
          <m:t>Y</m:t>
        </m:r>
      </m:oMath>
      <w:r>
        <w:rPr>
          <w:sz w:val="20"/>
        </w:rPr>
        <w:t xml:space="preserve"> </w:t>
      </w:r>
      <w:r>
        <w:rPr>
          <w:sz w:val="20"/>
        </w:rPr>
        <w:t xml:space="preserve">kann über Zufall aus</w:t>
      </w:r>
      <w:r>
        <w:rPr>
          <w:sz w:val="20"/>
        </w:rPr>
        <w:t xml:space="preserve"> </w:t>
      </w:r>
      <m:oMath>
        <m:r>
          <m:t>Z</m:t>
        </m:r>
      </m:oMath>
      <w:r>
        <w:rPr>
          <w:sz w:val="20"/>
        </w:rPr>
        <w:t xml:space="preserve"> </w:t>
      </w:r>
      <w:r>
        <w:rPr>
          <w:sz w:val="20"/>
        </w:rPr>
        <w:t xml:space="preserve">geschätzt werden;</w:t>
      </w:r>
    </w:p>
    <w:p>
      <w:pPr>
        <w:keepLines/>
        <w:numPr>
          <w:ilvl w:val="0"/>
          <w:numId w:val="1024"/>
        </w:numPr>
        <w:spacing w:after="64" w:line="254" w:lineRule="auto"/>
        <w:jc w:val="left"/>
      </w:pPr>
      <w:r>
        <w:rPr>
          <w:b/>
          <w:bCs/>
          <w:sz w:val="20"/>
        </w:rPr>
        <w:t xml:space="preserve">Representation candidate:</w:t>
      </w:r>
      <w:r>
        <w:rPr>
          <w:sz w:val="20"/>
        </w:rPr>
        <w:t xml:space="preserve"> </w:t>
      </w:r>
      <w:r>
        <w:rPr>
          <w:sz w:val="20"/>
        </w:rPr>
        <w:t xml:space="preserve">Decodability ist stabil, generalisiert und übersteht Confound-Kontrollen;</w:t>
      </w:r>
    </w:p>
    <w:p>
      <w:pPr>
        <w:keepLines/>
        <w:numPr>
          <w:ilvl w:val="0"/>
          <w:numId w:val="1024"/>
        </w:numPr>
        <w:spacing w:after="64" w:line="254" w:lineRule="auto"/>
        <w:jc w:val="left"/>
      </w:pPr>
      <w:r>
        <w:rPr>
          <w:b/>
          <w:bCs/>
          <w:sz w:val="20"/>
        </w:rPr>
        <w:t xml:space="preserve">Functional representation:</w:t>
      </w:r>
      <w:r>
        <w:rPr>
          <w:sz w:val="20"/>
        </w:rPr>
        <w:t xml:space="preserve"> </w:t>
      </w:r>
      <w:r>
        <w:rPr>
          <w:sz w:val="20"/>
        </w:rPr>
        <w:t xml:space="preserve">gezielte Manipulation von</w:t>
      </w:r>
      <w:r>
        <w:rPr>
          <w:sz w:val="20"/>
        </w:rPr>
        <w:t xml:space="preserve"> </w:t>
      </w:r>
      <m:oMath>
        <m:r>
          <m:t>Z</m:t>
        </m:r>
      </m:oMath>
      <w:r>
        <w:rPr>
          <w:sz w:val="20"/>
        </w:rPr>
        <w:t xml:space="preserve"> </w:t>
      </w:r>
      <w:r>
        <w:rPr>
          <w:sz w:val="20"/>
        </w:rPr>
        <w:t xml:space="preserve">verändert die auf</w:t>
      </w:r>
      <w:r>
        <w:rPr>
          <w:sz w:val="20"/>
        </w:rPr>
        <w:t xml:space="preserve"> </w:t>
      </w:r>
      <m:oMath>
        <m:r>
          <m:t>Y</m:t>
        </m:r>
      </m:oMath>
      <w:r>
        <w:rPr>
          <w:sz w:val="20"/>
        </w:rPr>
        <w:t xml:space="preserve"> </w:t>
      </w:r>
      <w:r>
        <w:rPr>
          <w:sz w:val="20"/>
        </w:rPr>
        <w:t xml:space="preserve">bezogene Leistung spezifisch.</w:t>
      </w:r>
    </w:p>
    <w:p>
      <w:pPr>
        <w:pStyle w:val="FirstParagraph"/>
        <w:keepLines/>
        <w:spacing w:after="64" w:line="254" w:lineRule="auto"/>
        <w:jc w:val="left"/>
      </w:pPr>
      <w:r>
        <w:rPr>
          <w:sz w:val="20"/>
        </w:rPr>
        <w:t xml:space="preserve">Diese Trennung reagiert auf die Gefahr der Überinterpretation neuronaler Aktivitätsmuster und des Reverse Inference (</w:t>
      </w:r>
      <w:hyperlink w:anchor="ref-Jonas2017">
        <w:r>
          <w:rPr>
            <w:rStyle w:val="Hyperlink"/>
          </w:rPr>
          <w:t xml:space="preserve">Jonas &amp; Kording, 2017</w:t>
        </w:r>
      </w:hyperlink>
      <w:r>
        <w:rPr>
          <w:sz w:val="20"/>
        </w:rPr>
        <w:t xml:space="preserve">;</w:t>
      </w:r>
      <w:r>
        <w:rPr>
          <w:sz w:val="20"/>
        </w:rPr>
        <w:t xml:space="preserve"> </w:t>
      </w:r>
      <w:hyperlink w:anchor="ref-Poldrack2006">
        <w:r>
          <w:rPr>
            <w:rStyle w:val="Hyperlink"/>
          </w:rPr>
          <w:t xml:space="preserve">Poldrack, 2006</w:t>
        </w:r>
      </w:hyperlink>
      <w:r>
        <w:rPr>
          <w:sz w:val="20"/>
        </w:rPr>
        <w:t xml:space="preserve">).</w:t>
      </w:r>
    </w:p>
    <w:bookmarkEnd w:id="310"/>
    <w:bookmarkEnd w:id="311"/>
    <w:bookmarkStart w:id="318" w:name="X601b4a7e6c98ce9d1c4bd38c74e07b1c7dfbc79"/>
    <w:p>
      <w:pPr>
        <w:pStyle w:val="Heading2"/>
        <w:spacing w:before="160"/>
      </w:pPr>
      <w:r>
        <w:t xml:space="preserve">Repräsentation, Gedächtnis und Continual Learning</w:t>
      </w:r>
    </w:p>
    <w:bookmarkStart w:id="312" w:name="operationalisierte-repräsentation"/>
    <w:p>
      <w:pPr>
        <w:pStyle w:val="Heading3"/>
        <w:keepLines/>
        <w:spacing w:after="120" w:before="160"/>
        <w:jc w:val="left"/>
      </w:pPr>
      <w:r>
        <w:rPr>
          <w:sz w:val="20"/>
        </w:rPr>
        <w:t xml:space="preserve">Operationalisierte Repräsentation</w:t>
      </w:r>
    </w:p>
    <w:p>
      <w:pPr>
        <w:pStyle w:val="FirstParagraph"/>
        <w:keepLines/>
        <w:spacing w:after="64" w:line="254" w:lineRule="auto"/>
        <w:jc w:val="left"/>
      </w:pPr>
      <w:r>
        <w:rPr>
          <w:b/>
          <w:bCs/>
          <w:sz w:val="20"/>
        </w:rPr>
        <w:t xml:space="preserve">[DEF]</w:t>
      </w:r>
      <w:r>
        <w:rPr>
          <w:sz w:val="20"/>
        </w:rPr>
        <w:t xml:space="preserve"> </w:t>
      </w:r>
      <w:r>
        <w:rPr>
          <w:sz w:val="20"/>
        </w:rPr>
        <w:t xml:space="preserve">Ein Zustand oder eine Zustandsfamilie</w:t>
      </w:r>
      <w:r>
        <w:rPr>
          <w:sz w:val="20"/>
        </w:rPr>
        <w:t xml:space="preserve"> </w:t>
      </w:r>
      <m:oMath>
        <m:r>
          <m:t>Z</m:t>
        </m:r>
      </m:oMath>
      <w:r>
        <w:rPr>
          <w:sz w:val="20"/>
        </w:rPr>
        <w:t xml:space="preserve"> </w:t>
      </w:r>
      <w:r>
        <w:rPr>
          <w:sz w:val="20"/>
        </w:rPr>
        <w:t xml:space="preserve">gilt als Kandidat für eine Repräsentation des Merkmals</w:t>
      </w:r>
      <w:r>
        <w:rPr>
          <w:sz w:val="20"/>
        </w:rPr>
        <w:t xml:space="preserve"> </w:t>
      </w:r>
      <m:oMath>
        <m:r>
          <m:t>Y</m:t>
        </m:r>
      </m:oMath>
      <w:r>
        <w:rPr>
          <w:sz w:val="20"/>
        </w:rPr>
        <w:t xml:space="preserve">, wenn:</w:t>
      </w:r>
    </w:p>
    <w:p>
      <w:pPr>
        <w:keepLines/>
        <w:numPr>
          <w:ilvl w:val="0"/>
          <w:numId w:val="1025"/>
        </w:numPr>
        <w:spacing w:after="64" w:line="254" w:lineRule="auto"/>
        <w:jc w:val="left"/>
      </w:pPr>
      <m:oMath>
        <m:r>
          <m:t>Y</m:t>
        </m:r>
      </m:oMath>
      <w:r>
        <w:rPr>
          <w:sz w:val="20"/>
        </w:rPr>
        <w:t xml:space="preserve"> </w:t>
      </w:r>
      <w:r>
        <w:rPr>
          <w:sz w:val="20"/>
        </w:rPr>
        <w:t xml:space="preserve">aus</w:t>
      </w:r>
      <w:r>
        <w:rPr>
          <w:sz w:val="20"/>
        </w:rPr>
        <w:t xml:space="preserve"> </w:t>
      </w:r>
      <m:oMath>
        <m:r>
          <m:t>Z</m:t>
        </m:r>
      </m:oMath>
      <w:r>
        <w:rPr>
          <w:sz w:val="20"/>
        </w:rPr>
        <w:t xml:space="preserve"> </w:t>
      </w:r>
      <w:r>
        <w:rPr>
          <w:sz w:val="20"/>
        </w:rPr>
        <w:t xml:space="preserve">über Zufall dekodierbar ist;</w:t>
      </w:r>
    </w:p>
    <w:p>
      <w:pPr>
        <w:keepLines/>
        <w:numPr>
          <w:ilvl w:val="0"/>
          <w:numId w:val="1025"/>
        </w:numPr>
        <w:spacing w:after="64" w:line="254" w:lineRule="auto"/>
        <w:jc w:val="left"/>
      </w:pPr>
      <w:r>
        <w:rPr>
          <w:sz w:val="20"/>
        </w:rPr>
        <w:t xml:space="preserve">die Beziehung über unabhängige Seeds und Episoden reproduzierbar ist;</w:t>
      </w:r>
    </w:p>
    <w:p>
      <w:pPr>
        <w:keepLines/>
        <w:numPr>
          <w:ilvl w:val="0"/>
          <w:numId w:val="1025"/>
        </w:numPr>
        <w:spacing w:after="64" w:line="254" w:lineRule="auto"/>
        <w:jc w:val="left"/>
      </w:pPr>
      <w:r>
        <w:rPr>
          <w:sz w:val="20"/>
        </w:rPr>
        <w:t xml:space="preserve">sie auf nicht identische Beispiele oder Kontexte generalisiert;</w:t>
      </w:r>
    </w:p>
    <w:p>
      <w:pPr>
        <w:keepLines/>
        <w:numPr>
          <w:ilvl w:val="0"/>
          <w:numId w:val="1025"/>
        </w:numPr>
        <w:spacing w:after="64" w:line="254" w:lineRule="auto"/>
        <w:jc w:val="left"/>
      </w:pPr>
      <w:r>
        <w:rPr>
          <w:sz w:val="20"/>
        </w:rPr>
        <w:t xml:space="preserve">Kontrollzustände und Leakage-Quellen keine vergleichbare Leistung erzeugen;</w:t>
      </w:r>
    </w:p>
    <w:p>
      <w:pPr>
        <w:keepLines/>
        <w:numPr>
          <w:ilvl w:val="0"/>
          <w:numId w:val="1025"/>
        </w:numPr>
        <w:spacing w:after="64" w:line="254" w:lineRule="auto"/>
        <w:jc w:val="left"/>
      </w:pPr>
      <w:r>
        <w:rPr>
          <w:sz w:val="20"/>
        </w:rPr>
        <w:t xml:space="preserve">der Geltungsbereich explizit angegeben ist.</w:t>
      </w:r>
    </w:p>
    <w:p>
      <w:pPr>
        <w:pStyle w:val="FirstParagraph"/>
        <w:keepLines/>
        <w:spacing w:after="64" w:line="254" w:lineRule="auto"/>
        <w:jc w:val="left"/>
      </w:pPr>
      <w:r>
        <w:rPr>
          <w:sz w:val="20"/>
        </w:rPr>
        <w:t xml:space="preserve">Ein funktionaler Status erfordert zusätzlich eine kausale Manipulation.</w:t>
      </w:r>
    </w:p>
    <w:bookmarkEnd w:id="312"/>
    <w:bookmarkStart w:id="313" w:name="gedächtnisdefinition"/>
    <w:p>
      <w:pPr>
        <w:pStyle w:val="Heading3"/>
        <w:keepLines/>
        <w:spacing w:after="120" w:before="160"/>
        <w:jc w:val="left"/>
      </w:pPr>
      <w:r>
        <w:rPr>
          <w:sz w:val="20"/>
        </w:rPr>
        <w:t xml:space="preserve">Gedächtnisdefinition</w:t>
      </w:r>
    </w:p>
    <w:p>
      <w:pPr>
        <w:pStyle w:val="FirstParagraph"/>
        <w:keepLines/>
        <w:spacing w:after="64" w:line="254" w:lineRule="auto"/>
        <w:jc w:val="left"/>
      </w:pPr>
      <w:r>
        <w:rPr>
          <w:b/>
          <w:bCs/>
          <w:sz w:val="20"/>
        </w:rPr>
        <w:t xml:space="preserve">[DEF]</w:t>
      </w:r>
      <w:r>
        <w:rPr>
          <w:sz w:val="20"/>
        </w:rPr>
        <w:t xml:space="preserve"> </w:t>
      </w:r>
      <w:r>
        <w:rPr>
          <w:sz w:val="20"/>
        </w:rPr>
        <w:t xml:space="preserve">Für Lerninhalt</w:t>
      </w:r>
      <w:r>
        <w:rPr>
          <w:sz w:val="20"/>
        </w:rPr>
        <w:t xml:space="preserve"> </w:t>
      </w:r>
      <m:oMath>
        <m:r>
          <m:t>K</m:t>
        </m:r>
      </m:oMath>
      <w:r>
        <w:rPr>
          <w:sz w:val="20"/>
        </w:rPr>
        <w:t xml:space="preserve"> </w:t>
      </w:r>
      <w:r>
        <w:rPr>
          <w:sz w:val="20"/>
        </w:rPr>
        <w:t xml:space="preserve">wird Gedächtnis als Tupel</w:t>
      </w:r>
    </w:p>
    <w:p>
      <w:pPr>
        <w:pStyle w:val="BodyText"/>
        <w:keepLines/>
        <w:spacing w:after="64" w:before="100" w:line="254" w:lineRule="auto"/>
        <w:jc w:val="center"/>
      </w:pPr>
      <m:oMathPara>
        <m:oMathParaPr>
          <m:jc m:val="center"/>
        </m:oMathParaPr>
        <m:oMath>
          <m:sSub>
            <m:e>
              <m:r>
                <m:t>M</m:t>
              </m:r>
            </m:e>
            <m:sub>
              <m:r>
                <m:t>K</m:t>
              </m:r>
            </m:sub>
          </m:sSub>
          <m:r>
            <m:rPr>
              <m:sty m:val="p"/>
            </m:rPr>
            <m:t>=</m:t>
          </m:r>
          <m:d>
            <m:dPr>
              <m:begChr m:val="("/>
              <m:endChr m:val=")"/>
              <m:sepChr m:val=""/>
              <m:grow/>
            </m:dPr>
            <m:e>
              <m:sSub>
                <m:e>
                  <m:r>
                    <m:t>R</m:t>
                  </m:r>
                </m:e>
                <m:sub>
                  <m:r>
                    <m:t>K</m:t>
                  </m:r>
                </m:sub>
              </m:sSub>
              <m:r>
                <m:rPr>
                  <m:sty m:val="p"/>
                </m:rPr>
                <m:t>,</m:t>
              </m:r>
              <m:sSub>
                <m:e>
                  <m:r>
                    <m:t>C</m:t>
                  </m:r>
                </m:e>
                <m:sub>
                  <m:r>
                    <m:t>K</m:t>
                  </m:r>
                </m:sub>
              </m:sSub>
              <m:r>
                <m:rPr>
                  <m:sty m:val="p"/>
                </m:rPr>
                <m:t>,</m:t>
              </m:r>
              <m:sSub>
                <m:e>
                  <m:r>
                    <m:t>S</m:t>
                  </m:r>
                </m:e>
                <m:sub>
                  <m:r>
                    <m:t>K</m:t>
                  </m:r>
                </m:sub>
              </m:sSub>
              <m:r>
                <m:rPr>
                  <m:sty m:val="p"/>
                </m:rPr>
                <m:t>,</m:t>
              </m:r>
              <m:sSub>
                <m:e>
                  <m:r>
                    <m:t>G</m:t>
                  </m:r>
                </m:e>
                <m:sub>
                  <m:r>
                    <m:t>K</m:t>
                  </m:r>
                </m:sub>
              </m:sSub>
            </m:e>
          </m:d>
        </m:oMath>
      </m:oMathPara>
    </w:p>
    <w:p>
      <w:pPr>
        <w:pStyle w:val="FirstParagraph"/>
        <w:keepLines/>
        <w:spacing w:after="64" w:line="254" w:lineRule="auto"/>
        <w:jc w:val="left"/>
      </w:pPr>
      <w:r>
        <w:rPr>
          <w:sz w:val="20"/>
        </w:rPr>
        <w:t xml:space="preserve">definiert:</w:t>
      </w:r>
    </w:p>
    <w:p>
      <w:pPr>
        <w:keepLines/>
        <w:numPr>
          <w:ilvl w:val="0"/>
          <w:numId w:val="1026"/>
        </w:numPr>
        <w:spacing w:after="64" w:line="254" w:lineRule="auto"/>
        <w:jc w:val="left"/>
      </w:pPr>
      <m:oMath>
        <m:sSub>
          <m:e>
            <m:r>
              <m:t>R</m:t>
            </m:r>
          </m:e>
          <m:sub>
            <m:r>
              <m:t>K</m:t>
            </m:r>
          </m:sub>
        </m:sSub>
      </m:oMath>
      <w:r>
        <w:rPr>
          <w:sz w:val="20"/>
        </w:rPr>
        <w:t xml:space="preserve">: Retention über eine definierte Zeit oder Anzahl von Interferenzen;</w:t>
      </w:r>
    </w:p>
    <w:p>
      <w:pPr>
        <w:keepLines/>
        <w:numPr>
          <w:ilvl w:val="0"/>
          <w:numId w:val="1026"/>
        </w:numPr>
        <w:spacing w:after="64" w:line="254" w:lineRule="auto"/>
        <w:jc w:val="left"/>
      </w:pPr>
      <m:oMath>
        <m:sSub>
          <m:e>
            <m:r>
              <m:t>C</m:t>
            </m:r>
          </m:e>
          <m:sub>
            <m:r>
              <m:t>K</m:t>
            </m:r>
          </m:sub>
        </m:sSub>
      </m:oMath>
      <w:r>
        <w:rPr>
          <w:sz w:val="20"/>
        </w:rPr>
        <w:t xml:space="preserve">: cue-abhängiger Recall;</w:t>
      </w:r>
    </w:p>
    <w:p>
      <w:pPr>
        <w:keepLines/>
        <w:numPr>
          <w:ilvl w:val="0"/>
          <w:numId w:val="1026"/>
        </w:numPr>
        <w:spacing w:after="64" w:line="254" w:lineRule="auto"/>
        <w:jc w:val="left"/>
      </w:pPr>
      <m:oMath>
        <m:sSub>
          <m:e>
            <m:r>
              <m:t>S</m:t>
            </m:r>
          </m:e>
          <m:sub>
            <m:r>
              <m:t>K</m:t>
            </m:r>
          </m:sub>
        </m:sSub>
      </m:oMath>
      <w:r>
        <w:rPr>
          <w:sz w:val="20"/>
        </w:rPr>
        <w:t xml:space="preserve">: Spezifität gegenüber Kontrollreizen;</w:t>
      </w:r>
    </w:p>
    <w:p>
      <w:pPr>
        <w:keepLines/>
        <w:numPr>
          <w:ilvl w:val="0"/>
          <w:numId w:val="1026"/>
        </w:numPr>
        <w:spacing w:after="64" w:line="254" w:lineRule="auto"/>
        <w:jc w:val="left"/>
      </w:pPr>
      <m:oMath>
        <m:sSub>
          <m:e>
            <m:r>
              <m:t>G</m:t>
            </m:r>
          </m:e>
          <m:sub>
            <m:r>
              <m:t>K</m:t>
            </m:r>
          </m:sub>
        </m:sSub>
      </m:oMath>
      <w:r>
        <w:rPr>
          <w:sz w:val="20"/>
        </w:rPr>
        <w:t xml:space="preserve">: Generalisierung auf variierte Abfragen.</w:t>
      </w:r>
    </w:p>
    <w:p>
      <w:pPr>
        <w:pStyle w:val="FirstParagraph"/>
        <w:keepLines/>
        <w:spacing w:after="64" w:line="254" w:lineRule="auto"/>
        <w:jc w:val="left"/>
      </w:pPr>
      <w:r>
        <w:rPr>
          <w:sz w:val="20"/>
        </w:rPr>
        <w:t xml:space="preserve">Eine zusammengesetzte Kennzahl kann</w:t>
      </w:r>
    </w:p>
    <w:p>
      <w:pPr>
        <w:pStyle w:val="BodyText"/>
        <w:keepLines/>
        <w:spacing w:after="64" w:before="100" w:line="254" w:lineRule="auto"/>
        <w:jc w:val="center"/>
      </w:pPr>
      <m:oMathPara>
        <m:oMathParaPr>
          <m:jc m:val="center"/>
        </m:oMathParaPr>
        <m:oMath>
          <m:sSub>
            <m:e>
              <m:r>
                <m:t>Q</m:t>
              </m:r>
            </m:e>
            <m:sub>
              <m:r>
                <m:t>M</m:t>
              </m:r>
            </m:sub>
          </m:sSub>
          <m:r>
            <m:rPr>
              <m:sty m:val="p"/>
            </m:rPr>
            <m:t>=</m:t>
          </m:r>
          <m:sSup>
            <m:e>
              <m:d>
                <m:dPr>
                  <m:begChr m:val="("/>
                  <m:endChr m:val=")"/>
                  <m:sepChr m:val=""/>
                  <m:grow/>
                </m:dPr>
                <m:e>
                  <m:sSub>
                    <m:e>
                      <m:r>
                        <m:t>R</m:t>
                      </m:r>
                    </m:e>
                    <m:sub>
                      <m:r>
                        <m:t>K</m:t>
                      </m:r>
                    </m:sub>
                  </m:sSub>
                  <m:sSub>
                    <m:e>
                      <m:r>
                        <m:t>C</m:t>
                      </m:r>
                    </m:e>
                    <m:sub>
                      <m:r>
                        <m:t>K</m:t>
                      </m:r>
                    </m:sub>
                  </m:sSub>
                  <m:sSub>
                    <m:e>
                      <m:r>
                        <m:t>S</m:t>
                      </m:r>
                    </m:e>
                    <m:sub>
                      <m:r>
                        <m:t>K</m:t>
                      </m:r>
                    </m:sub>
                  </m:sSub>
                  <m:sSub>
                    <m:e>
                      <m:r>
                        <m:t>G</m:t>
                      </m:r>
                    </m:e>
                    <m:sub>
                      <m:r>
                        <m:t>K</m:t>
                      </m:r>
                    </m:sub>
                  </m:sSub>
                </m:e>
              </m:d>
            </m:e>
            <m:sup>
              <m:f>
                <m:fPr>
                  <m:type m:val="bar"/>
                </m:fPr>
                <m:num>
                  <m:r>
                    <m:t>1</m:t>
                  </m:r>
                </m:num>
                <m:den>
                  <m:r>
                    <m:t>4</m:t>
                  </m:r>
                </m:den>
              </m:f>
            </m:sup>
          </m:sSup>
        </m:oMath>
      </m:oMathPara>
    </w:p>
    <w:p>
      <w:pPr>
        <w:pStyle w:val="FirstParagraph"/>
        <w:keepLines/>
        <w:spacing w:after="64" w:line="254" w:lineRule="auto"/>
        <w:jc w:val="left"/>
      </w:pPr>
      <w:r>
        <w:rPr>
          <w:sz w:val="20"/>
        </w:rPr>
        <w:t xml:space="preserve">sein.</w:t>
      </w:r>
      <w:r>
        <w:rPr>
          <w:sz w:val="20"/>
        </w:rPr>
        <w:t xml:space="preserve"> </w:t>
      </w:r>
      <w:r>
        <w:rPr>
          <w:b/>
          <w:bCs/>
          <w:sz w:val="20"/>
        </w:rPr>
        <w:t xml:space="preserve">[HEUR]</w:t>
      </w:r>
      <w:r>
        <w:rPr>
          <w:sz w:val="20"/>
        </w:rPr>
        <w:t xml:space="preserve"> </w:t>
      </w:r>
      <w:r>
        <w:rPr>
          <w:sz w:val="20"/>
        </w:rPr>
        <w:t xml:space="preserve">Diese geometrische Aggregation ist nur sinnvoll, wenn alle Komponenten normiert und substantiv erforderlich sind; Einzelmetriken müssen stets berichtet werden.</w:t>
      </w:r>
    </w:p>
    <w:bookmarkEnd w:id="313"/>
    <w:bookmarkStart w:id="314" w:name="konsolidierung"/>
    <w:p>
      <w:pPr>
        <w:pStyle w:val="Heading3"/>
        <w:keepLines/>
        <w:spacing w:after="120" w:before="160"/>
        <w:jc w:val="left"/>
      </w:pPr>
      <w:r>
        <w:rPr>
          <w:sz w:val="20"/>
        </w:rPr>
        <w:t xml:space="preserve">Konsolidierung</w:t>
      </w:r>
    </w:p>
    <w:p>
      <w:pPr>
        <w:pStyle w:val="FirstParagraph"/>
        <w:keepLines/>
        <w:spacing w:after="64" w:line="254" w:lineRule="auto"/>
        <w:jc w:val="left"/>
      </w:pPr>
      <w:r>
        <w:rPr>
          <w:sz w:val="20"/>
        </w:rPr>
        <w:t xml:space="preserve">Schnelle lokale Anpassung kann störanfällig sein. Modelle synaptischer Kaskaden und komplementärer Lernsysteme motivieren mehrere Zeitskalen (</w:t>
      </w:r>
      <w:hyperlink w:anchor="ref-Benna2016">
        <w:r>
          <w:rPr>
            <w:rStyle w:val="Hyperlink"/>
          </w:rPr>
          <w:t xml:space="preserve">Benna &amp; Fusi, 2016</w:t>
        </w:r>
      </w:hyperlink>
      <w:r>
        <w:rPr>
          <w:sz w:val="20"/>
        </w:rPr>
        <w:t xml:space="preserve">;</w:t>
      </w:r>
      <w:r>
        <w:rPr>
          <w:sz w:val="20"/>
        </w:rPr>
        <w:t xml:space="preserve"> </w:t>
      </w:r>
      <w:hyperlink w:anchor="ref-Fusi2005">
        <w:r>
          <w:rPr>
            <w:rStyle w:val="Hyperlink"/>
          </w:rPr>
          <w:t xml:space="preserve">Fusi et al., 2005</w:t>
        </w:r>
      </w:hyperlink>
      <w:r>
        <w:rPr>
          <w:sz w:val="20"/>
        </w:rPr>
        <w:t xml:space="preserve">;</w:t>
      </w:r>
      <w:r>
        <w:rPr>
          <w:sz w:val="20"/>
        </w:rPr>
        <w:t xml:space="preserve"> </w:t>
      </w:r>
      <w:hyperlink w:anchor="ref-McClelland1995">
        <w:r>
          <w:rPr>
            <w:rStyle w:val="Hyperlink"/>
          </w:rPr>
          <w:t xml:space="preserve">McClelland et al., 1995</w:t>
        </w:r>
      </w:hyperlink>
      <w:r>
        <w:rPr>
          <w:sz w:val="20"/>
        </w:rPr>
        <w:t xml:space="preserve">). Brain-5D kann schnelle Eligibility-/Gewichtsänderung, langsamere Metaplastizität und strukturelle Konsolidierung getrennt modellieren. Eine „Konsolidierungsphase” darf keine versteckte erneute Exposition enthalten.</w:t>
      </w:r>
    </w:p>
    <w:bookmarkEnd w:id="314"/>
    <w:bookmarkStart w:id="315" w:name="arbeitsgedächtnis-und-stille-zustände"/>
    <w:p>
      <w:pPr>
        <w:pStyle w:val="Heading3"/>
        <w:keepLines/>
        <w:spacing w:after="120" w:before="160"/>
        <w:jc w:val="left"/>
      </w:pPr>
      <w:r>
        <w:rPr>
          <w:sz w:val="20"/>
        </w:rPr>
        <w:t xml:space="preserve">Arbeitsgedächtnis und stille Zustände</w:t>
      </w:r>
    </w:p>
    <w:p>
      <w:pPr>
        <w:pStyle w:val="FirstParagraph"/>
        <w:keepLines/>
        <w:spacing w:after="64" w:line="254" w:lineRule="auto"/>
        <w:jc w:val="left"/>
      </w:pPr>
      <w:r>
        <w:rPr>
          <w:sz w:val="20"/>
        </w:rPr>
        <w:t xml:space="preserve">Arbeitsgedächtnis kann durch anhaltende Aktivität oder kurzzeitige synaptische Zustände getragen werden (</w:t>
      </w:r>
      <w:hyperlink w:anchor="ref-Mongillo2008">
        <w:r>
          <w:rPr>
            <w:rStyle w:val="Hyperlink"/>
          </w:rPr>
          <w:t xml:space="preserve">Mongillo et al., 2008</w:t>
        </w:r>
      </w:hyperlink>
      <w:r>
        <w:rPr>
          <w:sz w:val="20"/>
        </w:rPr>
        <w:t xml:space="preserve">). Brain-5D soll deshalb sowohl aktive als auch activity-silent Kandidaten untersuchen. Ein Decoder darf jedoch nicht auf Metadaten zugreifen, die dem SNN selbst nicht verfügbar sind.</w:t>
      </w:r>
    </w:p>
    <w:bookmarkEnd w:id="315"/>
    <w:bookmarkStart w:id="316" w:name="continual-learning-metriken"/>
    <w:p>
      <w:pPr>
        <w:pStyle w:val="Heading3"/>
        <w:keepLines/>
        <w:spacing w:after="120" w:before="160"/>
        <w:jc w:val="left"/>
      </w:pPr>
      <w:r>
        <w:rPr>
          <w:sz w:val="20"/>
        </w:rPr>
        <w:t xml:space="preserve">Continual-Learning-Metriken</w:t>
      </w:r>
    </w:p>
    <w:p>
      <w:pPr>
        <w:pStyle w:val="FirstParagraph"/>
        <w:keepLines/>
        <w:spacing w:after="64" w:line="254" w:lineRule="auto"/>
        <w:jc w:val="left"/>
      </w:pPr>
      <w:r>
        <w:rPr>
          <w:sz w:val="20"/>
        </w:rPr>
        <w:t xml:space="preserve">Für Aufgabenfolge</w:t>
      </w:r>
      <w:r>
        <w:rPr>
          <w:sz w:val="20"/>
        </w:rPr>
        <w:t xml:space="preserve"> </w:t>
      </w:r>
      <m:oMath>
        <m:sSub>
          <m:e>
            <m:r>
              <m:t>T</m:t>
            </m:r>
          </m:e>
          <m:sub>
            <m:r>
              <m:t>1</m:t>
            </m:r>
          </m:sub>
        </m:sSub>
        <m:r>
          <m:rPr>
            <m:sty m:val="p"/>
          </m:rPr>
          <m:t>,</m:t>
        </m:r>
        <m:r>
          <m:rPr>
            <m:sty m:val="p"/>
          </m:rPr>
          <m:t>…</m:t>
        </m:r>
        <m:r>
          <m:rPr>
            <m:sty m:val="p"/>
          </m:rPr>
          <m:t>,</m:t>
        </m:r>
        <m:sSub>
          <m:e>
            <m:r>
              <m:t>T</m:t>
            </m:r>
          </m:e>
          <m:sub>
            <m:r>
              <m:t>K</m:t>
            </m:r>
          </m:sub>
        </m:sSub>
      </m:oMath>
      <w:r>
        <w:rPr>
          <w:sz w:val="20"/>
        </w:rPr>
        <w:t xml:space="preserve"> </w:t>
      </w:r>
      <w:r>
        <w:rPr>
          <w:sz w:val="20"/>
        </w:rPr>
        <w:t xml:space="preserve">sei</w:t>
      </w:r>
      <w:r>
        <w:rPr>
          <w:sz w:val="20"/>
        </w:rPr>
        <w:t xml:space="preserve"> </w:t>
      </w:r>
      <m:oMath>
        <m:sSub>
          <m:e>
            <m:r>
              <m:t>Q</m:t>
            </m:r>
          </m:e>
          <m:sub>
            <m:r>
              <m:t>i</m:t>
            </m:r>
            <m:r>
              <m:rPr>
                <m:sty m:val="p"/>
              </m:rPr>
              <m:t>,</m:t>
            </m:r>
            <m:r>
              <m:t>j</m:t>
            </m:r>
          </m:sub>
        </m:sSub>
      </m:oMath>
      <w:r>
        <w:rPr>
          <w:sz w:val="20"/>
        </w:rPr>
        <w:t xml:space="preserve"> </w:t>
      </w:r>
      <w:r>
        <w:rPr>
          <w:sz w:val="20"/>
        </w:rPr>
        <w:t xml:space="preserve">die Leistung auf Aufgabe</w:t>
      </w:r>
      <w:r>
        <w:rPr>
          <w:sz w:val="20"/>
        </w:rPr>
        <w:t xml:space="preserve"> </w:t>
      </w:r>
      <m:oMath>
        <m:r>
          <m:t>i</m:t>
        </m:r>
      </m:oMath>
      <w:r>
        <w:rPr>
          <w:sz w:val="20"/>
        </w:rPr>
        <w:t xml:space="preserve"> </w:t>
      </w:r>
      <w:r>
        <w:rPr>
          <w:sz w:val="20"/>
        </w:rPr>
        <w:t xml:space="preserve">nach Training bis Aufgabe</w:t>
      </w:r>
      <w:r>
        <w:rPr>
          <w:sz w:val="20"/>
        </w:rPr>
        <w:t xml:space="preserve"> </w:t>
      </w:r>
      <m:oMath>
        <m:r>
          <m:t>j</m:t>
        </m:r>
      </m:oMath>
      <w:r>
        <w:rPr>
          <w:sz w:val="20"/>
        </w:rPr>
        <w:t xml:space="preserve">. Dann kann Forgetting definiert werden als</w:t>
      </w:r>
    </w:p>
    <w:p>
      <w:pPr>
        <w:pStyle w:val="BodyText"/>
        <w:keepLines/>
        <w:spacing w:after="64" w:line="254" w:lineRule="auto"/>
        <w:jc w:val="left"/>
      </w:pPr>
      <w:r>
        <w:rPr>
          <w:b/>
          <w:bCs/>
          <w:sz w:val="20"/>
        </w:rPr>
        <w:t xml:space="preserve">[DEF]</w:t>
      </w:r>
    </w:p>
    <w:p>
      <w:pPr>
        <w:pStyle w:val="BodyText"/>
        <w:keepLines/>
        <w:spacing w:after="64" w:before="100" w:line="254" w:lineRule="auto"/>
        <w:jc w:val="center"/>
      </w:pPr>
      <m:oMathPara>
        <m:oMathParaPr>
          <m:jc m:val="center"/>
        </m:oMathParaPr>
        <m:oMath>
          <m:sSub>
            <m:e>
              <m:r>
                <m:t>F</m:t>
              </m:r>
            </m:e>
            <m:sub>
              <m:r>
                <m:t>i</m:t>
              </m:r>
            </m:sub>
          </m:sSub>
          <m:r>
            <m:rPr>
              <m:sty m:val="p"/>
            </m:rPr>
            <m:t>=</m:t>
          </m:r>
          <m:limLow>
            <m:e>
              <m:r>
                <m:rPr>
                  <m:sty m:val="p"/>
                </m:rPr>
                <m:t>max</m:t>
              </m:r>
            </m:e>
            <m:lim>
              <m:r>
                <m:t>j</m:t>
              </m:r>
              <m:r>
                <m:rPr>
                  <m:sty m:val="p"/>
                </m:rPr>
                <m:t>&lt;</m:t>
              </m:r>
              <m:r>
                <m:t>i</m:t>
              </m:r>
            </m:lim>
          </m:limLow>
          <m:sSub>
            <m:e>
              <m:r>
                <m:t>Q</m:t>
              </m:r>
            </m:e>
            <m:sub>
              <m:r>
                <m:t>i</m:t>
              </m:r>
              <m:r>
                <m:rPr>
                  <m:sty m:val="p"/>
                </m:rPr>
                <m:t>,</m:t>
              </m:r>
              <m:r>
                <m:t>j</m:t>
              </m:r>
            </m:sub>
          </m:sSub>
          <m:r>
            <m:rPr>
              <m:sty m:val="p"/>
            </m:rPr>
            <m:t>−</m:t>
          </m:r>
          <m:sSub>
            <m:e>
              <m:r>
                <m:t>Q</m:t>
              </m:r>
            </m:e>
            <m:sub>
              <m:r>
                <m:t>i</m:t>
              </m:r>
              <m:r>
                <m:rPr>
                  <m:sty m:val="p"/>
                </m:rPr>
                <m:t>,</m:t>
              </m:r>
              <m:r>
                <m:t>K</m:t>
              </m:r>
            </m:sub>
          </m:sSub>
          <m:r>
            <m:rPr>
              <m:sty m:val="p"/>
            </m:rPr>
            <m:t>.</m:t>
          </m:r>
        </m:oMath>
      </m:oMathPara>
    </w:p>
    <w:p>
      <w:pPr>
        <w:pStyle w:val="FirstParagraph"/>
        <w:keepLines/>
        <w:spacing w:after="64" w:line="254" w:lineRule="auto"/>
        <w:jc w:val="left"/>
      </w:pPr>
      <w:r>
        <w:rPr>
          <w:b/>
          <w:bCs/>
          <w:sz w:val="20"/>
        </w:rPr>
        <w:t xml:space="preserve">Redaktioneller Befund.</w:t>
      </w:r>
      <w:r>
        <w:rPr>
          <w:sz w:val="20"/>
        </w:rPr>
        <w:t xml:space="preserve"> </w:t>
      </w:r>
      <w:r>
        <w:rPr>
          <w:sz w:val="20"/>
        </w:rPr>
        <w:t xml:space="preserve">Bei der gerade definierten Indexkonvention betrachtet j &lt; i Zeitpunkte vor dem Training der Aufgabe i; für i = 1 ist diese Indexmenge leer. Die übernommene Formel ist deshalb ohne weitere Festlegung kein wohldefiniertes Mass des Verlusts einer bereits erworbenen Aufgabenleistung. Sie wird hier als Originalformel sichtbar belassen und nicht als Auswertungsregel freigegeben.</w:t>
      </w:r>
    </w:p>
    <w:p>
      <w:pPr>
        <w:pStyle w:val="BodyText"/>
        <w:keepLines/>
        <w:spacing w:after="64" w:line="254" w:lineRule="auto"/>
        <w:jc w:val="left"/>
      </w:pPr>
      <w:r>
        <w:rPr>
          <w:b/>
          <w:bCs/>
          <w:sz w:val="20"/>
        </w:rPr>
        <w:t xml:space="preserve">[DEF | Synthesevorschlag]</w:t>
      </w:r>
      <w:r>
        <w:rPr>
          <w:sz w:val="20"/>
        </w:rPr>
        <w:t xml:space="preserve"> </w:t>
      </w:r>
      <w:r>
        <w:rPr>
          <w:sz w:val="20"/>
        </w:rPr>
        <w:t xml:space="preserve">Ein expliziter, nichtnegativer Post-Learning-Verlust kann stattdessen für i &lt; K definiert werden als:</w:t>
      </w:r>
    </w:p>
    <w:p>
      <w:pPr>
        <w:pStyle w:val="BodyText"/>
        <w:keepLines/>
        <w:spacing w:after="64" w:before="100" w:line="254" w:lineRule="auto"/>
        <w:jc w:val="center"/>
      </w:pPr>
      <m:oMathPara>
        <m:oMathParaPr>
          <m:jc m:val="center"/>
        </m:oMathParaPr>
        <m:oMath>
          <m:sSubSup>
            <m:e>
              <m:r>
                <m:t>F</m:t>
              </m:r>
            </m:e>
            <m:sub>
              <m:r>
                <m:t>i</m:t>
              </m:r>
            </m:sub>
            <m:sup>
              <m:r>
                <m:rPr>
                  <m:sty m:val="p"/>
                </m:rPr>
                <m:t>p</m:t>
              </m:r>
              <m:r>
                <m:rPr>
                  <m:sty m:val="p"/>
                </m:rPr>
                <m:t>o</m:t>
              </m:r>
              <m:r>
                <m:rPr>
                  <m:sty m:val="p"/>
                </m:rPr>
                <m:t>s</m:t>
              </m:r>
              <m:r>
                <m:rPr>
                  <m:sty m:val="p"/>
                </m:rPr>
                <m:t>t</m:t>
              </m:r>
            </m:sup>
          </m:sSubSup>
          <m:r>
            <m:rPr>
              <m:sty m:val="p"/>
            </m:rPr>
            <m:t>=</m:t>
          </m:r>
          <m:limLow>
            <m:e>
              <m:r>
                <m:rPr>
                  <m:sty m:val="p"/>
                </m:rPr>
                <m:t>max</m:t>
              </m:r>
            </m:e>
            <m:lim>
              <m:r>
                <m:t>i</m:t>
              </m:r>
              <m:r>
                <m:rPr>
                  <m:sty m:val="p"/>
                </m:rPr>
                <m:t>≤</m:t>
              </m:r>
              <m:r>
                <m:t>j</m:t>
              </m:r>
              <m:r>
                <m:rPr>
                  <m:sty m:val="p"/>
                </m:rPr>
                <m:t>≤</m:t>
              </m:r>
              <m:r>
                <m:t>K</m:t>
              </m:r>
            </m:lim>
          </m:limLow>
          <m:sSub>
            <m:e>
              <m:r>
                <m:t>Q</m:t>
              </m:r>
            </m:e>
            <m:sub>
              <m:r>
                <m:t>i</m:t>
              </m:r>
              <m:r>
                <m:rPr>
                  <m:sty m:val="p"/>
                </m:rPr>
                <m:t>,</m:t>
              </m:r>
              <m:r>
                <m:t>j</m:t>
              </m:r>
            </m:sub>
          </m:sSub>
          <m:r>
            <m:rPr>
              <m:sty m:val="p"/>
            </m:rPr>
            <m:t>−</m:t>
          </m:r>
          <m:sSub>
            <m:e>
              <m:r>
                <m:t>Q</m:t>
              </m:r>
            </m:e>
            <m:sub>
              <m:r>
                <m:t>i</m:t>
              </m:r>
              <m:r>
                <m:rPr>
                  <m:sty m:val="p"/>
                </m:rPr>
                <m:t>,</m:t>
              </m:r>
              <m:r>
                <m:t>K</m:t>
              </m:r>
            </m:sub>
          </m:sSub>
          <m:r>
            <m:rPr>
              <m:sty m:val="p"/>
            </m:rPr>
            <m:t>.</m:t>
          </m:r>
        </m:oMath>
      </m:oMathPara>
    </w:p>
    <w:p>
      <w:pPr>
        <w:pStyle w:val="FirstParagraph"/>
        <w:keepLines/>
        <w:spacing w:after="64" w:line="254" w:lineRule="auto"/>
        <w:jc w:val="left"/>
      </w:pPr>
      <w:r>
        <w:rPr>
          <w:sz w:val="20"/>
        </w:rPr>
        <w:t xml:space="preserve">Die Einbeziehung des Endzeitpunkts K erzwingt F_post &gt;= 0; spätere Verbesserung wird dann nicht als negatives Forgetting, sondern separat etwa durch BWT berichtet. Das ist eine offengelegte Definitionsentscheidung, keine nachträgliche Neuberechnung der LIFE-Ergebnisse. Vor einem Experiment sind Indexkonvention, Messzeitpunkte und Umgang mit fehlenden Aufgabenwerten festzulegen.</w:t>
      </w:r>
    </w:p>
    <w:p>
      <w:pPr>
        <w:pStyle w:val="BodyText"/>
        <w:keepLines/>
        <w:spacing w:after="64" w:line="254" w:lineRule="auto"/>
        <w:jc w:val="left"/>
      </w:pPr>
      <w:r>
        <w:rPr>
          <w:sz w:val="20"/>
        </w:rPr>
        <w:t xml:space="preserve">Weitere Größen sind:</w:t>
      </w:r>
    </w:p>
    <w:p>
      <w:pPr>
        <w:pStyle w:val="BodyText"/>
        <w:keepLines/>
        <w:spacing w:after="64" w:before="100" w:line="254" w:lineRule="auto"/>
        <w:jc w:val="center"/>
      </w:pPr>
      <m:oMathPara>
        <m:oMathParaPr>
          <m:jc m:val="center"/>
        </m:oMathParaPr>
        <m:oMath>
          <m:r>
            <m:rPr>
              <m:nor/>
              <m:sty m:val="p"/>
            </m:rPr>
            <m:t>BWT</m:t>
          </m:r>
          <m:r>
            <m:rPr>
              <m:sty m:val="p"/>
            </m:rPr>
            <m:t>=</m:t>
          </m:r>
          <m:f>
            <m:fPr>
              <m:type m:val="bar"/>
            </m:fPr>
            <m:num>
              <m:r>
                <m:t>1</m:t>
              </m:r>
            </m:num>
            <m:den>
              <m:r>
                <m:t>K</m:t>
              </m:r>
              <m:r>
                <m:rPr>
                  <m:sty m:val="p"/>
                </m:rPr>
                <m:t>−</m:t>
              </m:r>
              <m:r>
                <m:t>1</m:t>
              </m:r>
            </m:den>
          </m:f>
          <m:nary>
            <m:naryPr>
              <m:chr m:val="∑"/>
              <m:limLoc m:val="undOvr"/>
              <m:subHide m:val="off"/>
              <m:supHide m:val="off"/>
            </m:naryPr>
            <m:sub>
              <m:r>
                <m:t>i</m:t>
              </m:r>
              <m:r>
                <m:rPr>
                  <m:sty m:val="p"/>
                </m:rPr>
                <m:t>=</m:t>
              </m:r>
              <m:r>
                <m:t>1</m:t>
              </m:r>
            </m:sub>
            <m:sup>
              <m:r>
                <m:t>K</m:t>
              </m:r>
              <m:r>
                <m:rPr>
                  <m:sty m:val="p"/>
                </m:rPr>
                <m:t>−</m:t>
              </m:r>
              <m:r>
                <m:t>1</m:t>
              </m:r>
            </m:sup>
            <m:e>
              <m:d>
                <m:dPr>
                  <m:begChr m:val="("/>
                  <m:endChr m:val=")"/>
                  <m:sepChr m:val=""/>
                  <m:grow/>
                </m:dPr>
                <m:e>
                  <m:sSub>
                    <m:e>
                      <m:r>
                        <m:t>Q</m:t>
                      </m:r>
                    </m:e>
                    <m:sub>
                      <m:r>
                        <m:t>i</m:t>
                      </m:r>
                      <m:r>
                        <m:rPr>
                          <m:sty m:val="p"/>
                        </m:rPr>
                        <m:t>,</m:t>
                      </m:r>
                      <m:r>
                        <m:t>K</m:t>
                      </m:r>
                    </m:sub>
                  </m:sSub>
                  <m:r>
                    <m:rPr>
                      <m:sty m:val="p"/>
                    </m:rPr>
                    <m:t>−</m:t>
                  </m:r>
                  <m:sSub>
                    <m:e>
                      <m:r>
                        <m:t>Q</m:t>
                      </m:r>
                    </m:e>
                    <m:sub>
                      <m:r>
                        <m:t>i</m:t>
                      </m:r>
                      <m:r>
                        <m:rPr>
                          <m:sty m:val="p"/>
                        </m:rPr>
                        <m:t>,</m:t>
                      </m:r>
                      <m:r>
                        <m:t>i</m:t>
                      </m:r>
                    </m:sub>
                  </m:sSub>
                </m:e>
              </m:d>
            </m:e>
          </m:nary>
          <m:r>
            <m:rPr>
              <m:sty m:val="p"/>
            </m:rPr>
            <m:t>,</m:t>
          </m:r>
        </m:oMath>
      </m:oMathPara>
      <m:oMathPara>
        <m:oMathParaPr>
          <m:jc m:val="center"/>
        </m:oMathParaPr>
        <m:oMath>
          <m:r>
            <m:rPr>
              <m:nor/>
              <m:sty m:val="p"/>
            </m:rPr>
            <m:t>FWT</m:t>
          </m:r>
          <m:r>
            <m:rPr>
              <m:sty m:val="p"/>
            </m:rPr>
            <m:t>=</m:t>
          </m:r>
          <m:f>
            <m:fPr>
              <m:type m:val="bar"/>
            </m:fPr>
            <m:num>
              <m:r>
                <m:t>1</m:t>
              </m:r>
            </m:num>
            <m:den>
              <m:r>
                <m:t>K</m:t>
              </m:r>
              <m:r>
                <m:rPr>
                  <m:sty m:val="p"/>
                </m:rPr>
                <m:t>−</m:t>
              </m:r>
              <m:r>
                <m:t>1</m:t>
              </m:r>
            </m:den>
          </m:f>
          <m:nary>
            <m:naryPr>
              <m:chr m:val="∑"/>
              <m:limLoc m:val="undOvr"/>
              <m:subHide m:val="off"/>
              <m:supHide m:val="off"/>
            </m:naryPr>
            <m:sub>
              <m:r>
                <m:t>i</m:t>
              </m:r>
              <m:r>
                <m:rPr>
                  <m:sty m:val="p"/>
                </m:rPr>
                <m:t>=</m:t>
              </m:r>
              <m:r>
                <m:t>2</m:t>
              </m:r>
            </m:sub>
            <m:sup>
              <m:r>
                <m:t>K</m:t>
              </m:r>
            </m:sup>
            <m:e>
              <m:d>
                <m:dPr>
                  <m:begChr m:val="("/>
                  <m:endChr m:val=")"/>
                  <m:sepChr m:val=""/>
                  <m:grow/>
                </m:dPr>
                <m:e>
                  <m:sSub>
                    <m:e>
                      <m:r>
                        <m:t>Q</m:t>
                      </m:r>
                    </m:e>
                    <m:sub>
                      <m:r>
                        <m:t>i</m:t>
                      </m:r>
                      <m:r>
                        <m:rPr>
                          <m:sty m:val="p"/>
                        </m:rPr>
                        <m:t>,</m:t>
                      </m:r>
                      <m:r>
                        <m:t>i</m:t>
                      </m:r>
                      <m:r>
                        <m:rPr>
                          <m:sty m:val="p"/>
                        </m:rPr>
                        <m:t>−</m:t>
                      </m:r>
                      <m:r>
                        <m:t>1</m:t>
                      </m:r>
                    </m:sub>
                  </m:sSub>
                  <m:r>
                    <m:rPr>
                      <m:sty m:val="p"/>
                    </m:rPr>
                    <m:t>−</m:t>
                  </m:r>
                  <m:sSub>
                    <m:e>
                      <m:r>
                        <m:t>b</m:t>
                      </m:r>
                    </m:e>
                    <m:sub>
                      <m:r>
                        <m:t>i</m:t>
                      </m:r>
                    </m:sub>
                  </m:sSub>
                </m:e>
              </m:d>
            </m:e>
          </m:nary>
          <m:r>
            <m:rPr>
              <m:sty m:val="p"/>
            </m:rPr>
            <m:t>,</m:t>
          </m:r>
        </m:oMath>
      </m:oMathPara>
    </w:p>
    <w:p>
      <w:pPr>
        <w:pStyle w:val="FirstParagraph"/>
        <w:keepLines/>
        <w:spacing w:after="64" w:line="254" w:lineRule="auto"/>
        <w:jc w:val="left"/>
      </w:pPr>
      <w:r>
        <w:rPr>
          <w:sz w:val="20"/>
        </w:rPr>
        <w:t xml:space="preserve">mit Baseline</w:t>
      </w:r>
      <w:r>
        <w:rPr>
          <w:sz w:val="20"/>
        </w:rPr>
        <w:t xml:space="preserve"> </w:t>
      </w:r>
      <m:oMath>
        <m:sSub>
          <m:e>
            <m:r>
              <m:t>b</m:t>
            </m:r>
          </m:e>
          <m:sub>
            <m:r>
              <m:t>i</m:t>
            </m:r>
          </m:sub>
        </m:sSub>
      </m:oMath>
      <w:r>
        <w:rPr>
          <w:sz w:val="20"/>
        </w:rPr>
        <w:t xml:space="preserve">. Catastrophic forgetting ist ein langjähriges Problem sequenziellen Lernens (</w:t>
      </w:r>
      <w:hyperlink w:anchor="ref-French1999">
        <w:r>
          <w:rPr>
            <w:rStyle w:val="Hyperlink"/>
          </w:rPr>
          <w:t xml:space="preserve">French, 1999</w:t>
        </w:r>
      </w:hyperlink>
      <w:r>
        <w:rPr>
          <w:sz w:val="20"/>
        </w:rPr>
        <w:t xml:space="preserve">;</w:t>
      </w:r>
      <w:r>
        <w:rPr>
          <w:sz w:val="20"/>
        </w:rPr>
        <w:t xml:space="preserve"> </w:t>
      </w:r>
      <w:hyperlink w:anchor="ref-Kirkpatrick2017">
        <w:r>
          <w:rPr>
            <w:rStyle w:val="Hyperlink"/>
          </w:rPr>
          <w:t xml:space="preserve">Kirkpatrick et al., 2017</w:t>
        </w:r>
      </w:hyperlink>
      <w:r>
        <w:rPr>
          <w:sz w:val="20"/>
        </w:rPr>
        <w:t xml:space="preserve">;</w:t>
      </w:r>
      <w:r>
        <w:rPr>
          <w:sz w:val="20"/>
        </w:rPr>
        <w:t xml:space="preserve"> </w:t>
      </w:r>
      <w:hyperlink w:anchor="ref-McCloskey1989">
        <w:r>
          <w:rPr>
            <w:rStyle w:val="Hyperlink"/>
          </w:rPr>
          <w:t xml:space="preserve">McCloskey &amp; Cohen, 1989</w:t>
        </w:r>
      </w:hyperlink>
      <w:r>
        <w:rPr>
          <w:sz w:val="20"/>
        </w:rPr>
        <w:t xml:space="preserve">;</w:t>
      </w:r>
      <w:r>
        <w:rPr>
          <w:sz w:val="20"/>
        </w:rPr>
        <w:t xml:space="preserve"> </w:t>
      </w:r>
      <w:hyperlink w:anchor="ref-Parisi2019">
        <w:r>
          <w:rPr>
            <w:rStyle w:val="Hyperlink"/>
          </w:rPr>
          <w:t xml:space="preserve">Parisi et al., 2019</w:t>
        </w:r>
      </w:hyperlink>
      <w:r>
        <w:rPr>
          <w:sz w:val="20"/>
        </w:rPr>
        <w:t xml:space="preserve">). Brain-5D untersucht lokale und strukturelle Alternativen, sollte aber etablierte Baselines wie Regularisierung, Replay oder Synaptic Intelligence einbeziehen (</w:t>
      </w:r>
      <w:hyperlink w:anchor="ref-LopezPaz2017">
        <w:r>
          <w:rPr>
            <w:rStyle w:val="Hyperlink"/>
          </w:rPr>
          <w:t xml:space="preserve">Lopez-Paz &amp; Ranzato, 2017</w:t>
        </w:r>
      </w:hyperlink>
      <w:r>
        <w:rPr>
          <w:sz w:val="20"/>
        </w:rPr>
        <w:t xml:space="preserve">;</w:t>
      </w:r>
      <w:r>
        <w:rPr>
          <w:sz w:val="20"/>
        </w:rPr>
        <w:t xml:space="preserve"> </w:t>
      </w:r>
      <w:hyperlink w:anchor="ref-Zenke2017CL">
        <w:r>
          <w:rPr>
            <w:rStyle w:val="Hyperlink"/>
          </w:rPr>
          <w:t xml:space="preserve">Zenke et al., 2017</w:t>
        </w:r>
      </w:hyperlink>
      <w:r>
        <w:rPr>
          <w:sz w:val="20"/>
        </w:rPr>
        <w:t xml:space="preserve">).</w:t>
      </w:r>
    </w:p>
    <w:bookmarkEnd w:id="316"/>
    <w:bookmarkStart w:id="317" w:name="retrieval-ist-nicht-lernen"/>
    <w:p>
      <w:pPr>
        <w:pStyle w:val="Heading3"/>
        <w:keepLines/>
        <w:spacing w:after="120" w:before="160"/>
        <w:jc w:val="left"/>
      </w:pPr>
      <w:r>
        <w:rPr>
          <w:sz w:val="20"/>
        </w:rPr>
        <w:t xml:space="preserve">Retrieval ist nicht Lernen</w:t>
      </w:r>
    </w:p>
    <w:p>
      <w:pPr>
        <w:pStyle w:val="FirstParagraph"/>
        <w:keepLines/>
        <w:spacing w:after="64" w:line="254" w:lineRule="auto"/>
        <w:jc w:val="left"/>
      </w:pPr>
      <w:r>
        <w:rPr>
          <w:b/>
          <w:bCs/>
          <w:sz w:val="20"/>
        </w:rPr>
        <w:t xml:space="preserve">[DEF]</w:t>
      </w:r>
      <w:r>
        <w:rPr>
          <w:sz w:val="20"/>
        </w:rPr>
        <w:t xml:space="preserve"> </w:t>
      </w:r>
      <w:r>
        <w:rPr>
          <w:sz w:val="20"/>
        </w:rPr>
        <w:t xml:space="preserve">Retrieval liefert Information aus einer externen Quelle oder einem expliziten Speicher an die aktuelle Verarbeitung. Lernen verändert den zukünftigen internen Zustand oder die Leistung aufgrund einer Erfahrung. Ein System kann beides kombinieren; der Nachweis erfordert Isolation.</w:t>
      </w:r>
    </w:p>
    <w:p>
      <w:pPr>
        <w:pStyle w:val="BodyText"/>
        <w:keepLines/>
        <w:spacing w:after="64" w:line="254" w:lineRule="auto"/>
        <w:jc w:val="left"/>
      </w:pPr>
      <w:r>
        <w:rPr>
          <w:sz w:val="20"/>
        </w:rPr>
        <w:t xml:space="preserve">Das Minimalprotokoll lautet:</w:t>
      </w:r>
    </w:p>
    <w:p>
      <w:pPr>
        <w:keepLines/>
        <w:numPr>
          <w:ilvl w:val="0"/>
          <w:numId w:val="1027"/>
        </w:numPr>
        <w:spacing w:after="64" w:line="254" w:lineRule="auto"/>
        <w:jc w:val="left"/>
      </w:pPr>
      <w:r>
        <w:rPr>
          <w:sz w:val="20"/>
        </w:rPr>
        <w:t xml:space="preserve">Baseline-Abfrage vor Exposition;</w:t>
      </w:r>
    </w:p>
    <w:p>
      <w:pPr>
        <w:keepLines/>
        <w:numPr>
          <w:ilvl w:val="0"/>
          <w:numId w:val="1027"/>
        </w:numPr>
        <w:spacing w:after="64" w:line="254" w:lineRule="auto"/>
        <w:jc w:val="left"/>
      </w:pPr>
      <w:r>
        <w:rPr>
          <w:sz w:val="20"/>
        </w:rPr>
        <w:t xml:space="preserve">kontrollierte Exposition über</w:t>
      </w:r>
      <w:r>
        <w:rPr>
          <w:sz w:val="20"/>
        </w:rPr>
        <w:t xml:space="preserve"> </w:t>
      </w:r>
      <w:r>
        <w:rPr>
          <w:rStyle w:val="VerbatimChar"/>
          <w:sz w:val="20"/>
        </w:rPr>
        <w:t xml:space="preserve">StimulusPlan</w:t>
      </w:r>
      <w:r>
        <w:rPr>
          <w:sz w:val="20"/>
        </w:rPr>
        <w:t xml:space="preserve">;</w:t>
      </w:r>
    </w:p>
    <w:p>
      <w:pPr>
        <w:keepLines/>
        <w:numPr>
          <w:ilvl w:val="0"/>
          <w:numId w:val="1027"/>
        </w:numPr>
        <w:spacing w:after="64" w:line="254" w:lineRule="auto"/>
        <w:jc w:val="left"/>
      </w:pPr>
      <w:r>
        <w:rPr>
          <w:sz w:val="20"/>
        </w:rPr>
        <w:t xml:space="preserve">Konsolidierungsintervall ohne erneuten Informationsabruf;</w:t>
      </w:r>
    </w:p>
    <w:p>
      <w:pPr>
        <w:keepLines/>
        <w:numPr>
          <w:ilvl w:val="0"/>
          <w:numId w:val="1027"/>
        </w:numPr>
        <w:spacing w:after="64" w:line="254" w:lineRule="auto"/>
        <w:jc w:val="left"/>
      </w:pPr>
      <w:r>
        <w:rPr>
          <w:sz w:val="20"/>
        </w:rPr>
        <w:t xml:space="preserve">Abschalten von LLM-Kontext, Retrieval, Cache und Netzwerkzugriff;</w:t>
      </w:r>
    </w:p>
    <w:p>
      <w:pPr>
        <w:keepLines/>
        <w:numPr>
          <w:ilvl w:val="0"/>
          <w:numId w:val="1027"/>
        </w:numPr>
        <w:spacing w:after="64" w:line="254" w:lineRule="auto"/>
        <w:jc w:val="left"/>
      </w:pPr>
      <w:r>
        <w:rPr>
          <w:sz w:val="20"/>
        </w:rPr>
        <w:t xml:space="preserve">Recall mit gleicher und variierter Abfrage;</w:t>
      </w:r>
    </w:p>
    <w:p>
      <w:pPr>
        <w:keepLines/>
        <w:numPr>
          <w:ilvl w:val="0"/>
          <w:numId w:val="1027"/>
        </w:numPr>
        <w:spacing w:after="64" w:line="254" w:lineRule="auto"/>
        <w:jc w:val="left"/>
      </w:pPr>
      <w:r>
        <w:rPr>
          <w:sz w:val="20"/>
        </w:rPr>
        <w:t xml:space="preserve">Vergleich mit ungeübtem, plastizitätsgesperrtem, zufällig stimuliertem und state-permutiertem Netzwerk.</w:t>
      </w:r>
    </w:p>
    <w:p>
      <w:pPr>
        <w:pStyle w:val="FirstParagraph"/>
        <w:keepLines/>
        <w:spacing w:after="64" w:line="254" w:lineRule="auto"/>
        <w:jc w:val="left"/>
      </w:pPr>
      <w:r>
        <w:rPr>
          <w:sz w:val="20"/>
        </w:rPr>
        <w:t xml:space="preserve">Nur ein über Kontrollen hinausgehender Recall unterstützt den Claim neuronaler Speicherung.</w:t>
      </w:r>
    </w:p>
    <w:bookmarkEnd w:id="317"/>
    <w:bookmarkEnd w:id="318"/>
    <w:bookmarkStart w:id="324" w:name="X7bb044300c10d4d9dba4327fdf87df2604adead"/>
    <w:p>
      <w:pPr>
        <w:pStyle w:val="Heading2"/>
        <w:spacing w:before="160"/>
      </w:pPr>
      <w:r>
        <w:t xml:space="preserve">Kandidat für ein internes prädiktives Zustandsmodell</w:t>
      </w:r>
    </w:p>
    <w:bookmarkStart w:id="319" w:name="terminologische-zurückhaltung"/>
    <w:p>
      <w:pPr>
        <w:pStyle w:val="Heading3"/>
        <w:keepLines/>
        <w:spacing w:after="120" w:before="160"/>
        <w:jc w:val="left"/>
      </w:pPr>
      <w:r>
        <w:rPr>
          <w:sz w:val="20"/>
        </w:rPr>
        <w:t xml:space="preserve">Terminologische Zurückhaltung</w:t>
      </w:r>
    </w:p>
    <w:p>
      <w:pPr>
        <w:pStyle w:val="FirstParagraph"/>
        <w:keepLines/>
        <w:spacing w:after="64" w:line="254" w:lineRule="auto"/>
        <w:jc w:val="left"/>
      </w:pPr>
      <w:r>
        <w:rPr>
          <w:sz w:val="20"/>
        </w:rPr>
        <w:t xml:space="preserve">Der Begriff „World Model” wird in der Literatur für unterschiedliche latente oder prädiktive Modelle verwendet (</w:t>
      </w:r>
      <w:hyperlink w:anchor="ref-Ha2018">
        <w:r>
          <w:rPr>
            <w:rStyle w:val="Hyperlink"/>
          </w:rPr>
          <w:t xml:space="preserve">Ha &amp; Schmidhuber, 2018</w:t>
        </w:r>
      </w:hyperlink>
      <w:r>
        <w:rPr>
          <w:sz w:val="20"/>
        </w:rPr>
        <w:t xml:space="preserve">;</w:t>
      </w:r>
      <w:r>
        <w:rPr>
          <w:sz w:val="20"/>
        </w:rPr>
        <w:t xml:space="preserve"> </w:t>
      </w:r>
      <w:hyperlink w:anchor="ref-Hafner2020">
        <w:r>
          <w:rPr>
            <w:rStyle w:val="Hyperlink"/>
          </w:rPr>
          <w:t xml:space="preserve">Hafner et al., 2020</w:t>
        </w:r>
      </w:hyperlink>
      <w:r>
        <w:rPr>
          <w:sz w:val="20"/>
        </w:rPr>
        <w:t xml:space="preserve">;</w:t>
      </w:r>
      <w:r>
        <w:rPr>
          <w:sz w:val="20"/>
        </w:rPr>
        <w:t xml:space="preserve"> </w:t>
      </w:r>
      <w:hyperlink w:anchor="ref-Schrittwieser2020">
        <w:r>
          <w:rPr>
            <w:rStyle w:val="Hyperlink"/>
          </w:rPr>
          <w:t xml:space="preserve">Schrittwieser et al., 2020</w:t>
        </w:r>
      </w:hyperlink>
      <w:r>
        <w:rPr>
          <w:sz w:val="20"/>
        </w:rPr>
        <w:t xml:space="preserve">). Brain-5D verwendet in der Roadmap zunächst die vorsichtigere Bezeichnung</w:t>
      </w:r>
      <w:r>
        <w:rPr>
          <w:sz w:val="20"/>
        </w:rPr>
        <w:t xml:space="preserve"> </w:t>
      </w:r>
      <w:r>
        <w:rPr>
          <w:b/>
          <w:bCs/>
          <w:sz w:val="20"/>
        </w:rPr>
        <w:t xml:space="preserve">Kandidat für ein internes prädiktives Zustandsmodell</w:t>
      </w:r>
      <w:r>
        <w:rPr>
          <w:sz w:val="20"/>
        </w:rPr>
        <w:t xml:space="preserve">. Der Begriff „Weltmodell” ist erst nach expliziter Operationalisierung zulässig.</w:t>
      </w:r>
    </w:p>
    <w:bookmarkEnd w:id="319"/>
    <w:bookmarkStart w:id="320" w:name="minimalmodell"/>
    <w:p>
      <w:pPr>
        <w:pStyle w:val="Heading3"/>
        <w:keepLines/>
        <w:spacing w:after="120" w:before="160"/>
        <w:jc w:val="left"/>
      </w:pPr>
      <w:r>
        <w:rPr>
          <w:sz w:val="20"/>
        </w:rPr>
        <w:t xml:space="preserve">Minimalmodell</w:t>
      </w:r>
    </w:p>
    <w:p>
      <w:pPr>
        <w:pStyle w:val="FirstParagraph"/>
        <w:keepLines/>
        <w:spacing w:after="64" w:line="254" w:lineRule="auto"/>
        <w:jc w:val="left"/>
      </w:pPr>
      <w:r>
        <w:rPr>
          <w:b/>
          <w:bCs/>
          <w:sz w:val="20"/>
        </w:rPr>
        <w:t xml:space="preserve">[MODEL]</w:t>
      </w:r>
      <w:r>
        <w:rPr>
          <w:sz w:val="20"/>
        </w:rPr>
        <w:t xml:space="preserve"> </w:t>
      </w:r>
      <w:r>
        <w:rPr>
          <w:sz w:val="20"/>
        </w:rPr>
        <w:t xml:space="preserve">Ein interner Zustand</w:t>
      </w:r>
      <w:r>
        <w:rPr>
          <w:sz w:val="20"/>
        </w:rPr>
        <w:t xml:space="preserve"> </w:t>
      </w:r>
      <m:oMath>
        <m:sSub>
          <m:e>
            <m:r>
              <m:t>s</m:t>
            </m:r>
          </m:e>
          <m:sub>
            <m:r>
              <m:t>t</m:t>
            </m:r>
          </m:sub>
        </m:sSub>
      </m:oMath>
      <w:r>
        <w:rPr>
          <w:sz w:val="20"/>
        </w:rPr>
        <w:t xml:space="preserve"> </w:t>
      </w:r>
      <w:r>
        <w:rPr>
          <w:sz w:val="20"/>
        </w:rPr>
        <w:t xml:space="preserve">und eine Aktion</w:t>
      </w:r>
      <w:r>
        <w:rPr>
          <w:sz w:val="20"/>
        </w:rPr>
        <w:t xml:space="preserve"> </w:t>
      </w:r>
      <m:oMath>
        <m:sSub>
          <m:e>
            <m:r>
              <m:t>a</m:t>
            </m:r>
          </m:e>
          <m:sub>
            <m:r>
              <m:t>t</m:t>
            </m:r>
          </m:sub>
        </m:sSub>
      </m:oMath>
      <w:r>
        <w:rPr>
          <w:sz w:val="20"/>
        </w:rPr>
        <w:t xml:space="preserve"> </w:t>
      </w:r>
      <w:r>
        <w:rPr>
          <w:sz w:val="20"/>
        </w:rPr>
        <w:t xml:space="preserve">erzeugen eine Vorhersage</w:t>
      </w:r>
    </w:p>
    <w:p>
      <w:pPr>
        <w:pStyle w:val="BodyText"/>
        <w:keepLines/>
        <w:spacing w:after="64" w:before="100" w:line="254" w:lineRule="auto"/>
        <w:jc w:val="center"/>
      </w:pPr>
      <m:oMathPara>
        <m:oMathParaPr>
          <m:jc m:val="center"/>
        </m:oMathParaPr>
        <m:oMath>
          <m:sSub>
            <m:e>
              <m:acc>
                <m:accPr>
                  <m:chr m:val="̂"/>
                </m:accPr>
                <m:e>
                  <m:r>
                    <m:t>s</m:t>
                  </m:r>
                </m:e>
              </m:acc>
            </m:e>
            <m:sub>
              <m:r>
                <m:t>t</m:t>
              </m:r>
              <m:r>
                <m:rPr>
                  <m:sty m:val="p"/>
                </m:rPr>
                <m:t>+</m:t>
              </m:r>
              <m:r>
                <m:t>1</m:t>
              </m:r>
            </m:sub>
          </m:sSub>
          <m:r>
            <m:rPr>
              <m:sty m:val="p"/>
            </m:rPr>
            <m:t>=</m:t>
          </m:r>
          <m:sSub>
            <m:e>
              <m:r>
                <m:t>f</m:t>
              </m:r>
            </m:e>
            <m:sub>
              <m:r>
                <m:t>ψ</m:t>
              </m:r>
            </m:sub>
          </m:sSub>
          <m:d>
            <m:dPr>
              <m:begChr m:val="("/>
              <m:endChr m:val=")"/>
              <m:sepChr m:val=""/>
              <m:grow/>
            </m:dPr>
            <m:e>
              <m:sSub>
                <m:e>
                  <m:r>
                    <m:t>s</m:t>
                  </m:r>
                </m:e>
                <m:sub>
                  <m:r>
                    <m:t>t</m:t>
                  </m:r>
                </m:sub>
              </m:sSub>
              <m:r>
                <m:rPr>
                  <m:sty m:val="p"/>
                </m:rPr>
                <m:t>,</m:t>
              </m:r>
              <m:sSub>
                <m:e>
                  <m:r>
                    <m:t>a</m:t>
                  </m:r>
                </m:e>
                <m:sub>
                  <m:r>
                    <m:t>t</m:t>
                  </m:r>
                </m:sub>
              </m:sSub>
            </m:e>
          </m:d>
          <m:r>
            <m:rPr>
              <m:sty m:val="p"/>
            </m:rPr>
            <m:t>,</m:t>
          </m:r>
        </m:oMath>
      </m:oMathPara>
    </w:p>
    <w:p>
      <w:pPr>
        <w:pStyle w:val="FirstParagraph"/>
        <w:keepLines/>
        <w:spacing w:after="64" w:line="254" w:lineRule="auto"/>
        <w:jc w:val="left"/>
      </w:pPr>
      <w:r>
        <w:rPr>
          <w:sz w:val="20"/>
        </w:rPr>
        <w:t xml:space="preserve">beziehungsweise eine Beobachtungsvorhersage</w:t>
      </w:r>
    </w:p>
    <w:p>
      <w:pPr>
        <w:pStyle w:val="BodyText"/>
        <w:keepLines/>
        <w:spacing w:after="64" w:before="100" w:line="254" w:lineRule="auto"/>
        <w:jc w:val="center"/>
      </w:pPr>
      <m:oMathPara>
        <m:oMathParaPr>
          <m:jc m:val="center"/>
        </m:oMathParaPr>
        <m:oMath>
          <m:sSub>
            <m:e>
              <m:acc>
                <m:accPr>
                  <m:chr m:val="̂"/>
                </m:accPr>
                <m:e>
                  <m:r>
                    <m:t>o</m:t>
                  </m:r>
                </m:e>
              </m:acc>
            </m:e>
            <m:sub>
              <m:r>
                <m:t>t</m:t>
              </m:r>
              <m:r>
                <m:rPr>
                  <m:sty m:val="p"/>
                </m:rPr>
                <m:t>+</m:t>
              </m:r>
              <m:r>
                <m:t>1</m:t>
              </m:r>
            </m:sub>
          </m:sSub>
          <m:r>
            <m:rPr>
              <m:sty m:val="p"/>
            </m:rPr>
            <m:t>=</m:t>
          </m:r>
          <m:sSub>
            <m:e>
              <m:r>
                <m:t>g</m:t>
              </m:r>
            </m:e>
            <m:sub>
              <m:r>
                <m:t>ω</m:t>
              </m:r>
            </m:sub>
          </m:sSub>
          <m:d>
            <m:dPr>
              <m:begChr m:val="("/>
              <m:endChr m:val=")"/>
              <m:sepChr m:val=""/>
              <m:grow/>
            </m:dPr>
            <m:e>
              <m:sSub>
                <m:e>
                  <m:r>
                    <m:t>s</m:t>
                  </m:r>
                </m:e>
                <m:sub>
                  <m:r>
                    <m:t>t</m:t>
                  </m:r>
                </m:sub>
              </m:sSub>
              <m:r>
                <m:rPr>
                  <m:sty m:val="p"/>
                </m:rPr>
                <m:t>,</m:t>
              </m:r>
              <m:sSub>
                <m:e>
                  <m:r>
                    <m:t>a</m:t>
                  </m:r>
                </m:e>
                <m:sub>
                  <m:r>
                    <m:t>t</m:t>
                  </m:r>
                </m:sub>
              </m:sSub>
            </m:e>
          </m:d>
          <m:r>
            <m:rPr>
              <m:sty m:val="p"/>
            </m:rPr>
            <m:t>.</m:t>
          </m:r>
        </m:oMath>
      </m:oMathPara>
    </w:p>
    <w:p>
      <w:pPr>
        <w:pStyle w:val="FirstParagraph"/>
        <w:keepLines/>
        <w:spacing w:after="64" w:line="254" w:lineRule="auto"/>
        <w:jc w:val="left"/>
      </w:pPr>
      <w:r>
        <w:rPr>
          <w:sz w:val="20"/>
        </w:rPr>
        <w:t xml:space="preserve">Ein Kandidat erfüllt mindestens:</w:t>
      </w:r>
    </w:p>
    <w:p>
      <w:pPr>
        <w:keepLines/>
        <w:numPr>
          <w:ilvl w:val="0"/>
          <w:numId w:val="1028"/>
        </w:numPr>
        <w:spacing w:after="64" w:line="254" w:lineRule="auto"/>
        <w:jc w:val="left"/>
      </w:pPr>
      <w:r>
        <w:rPr>
          <w:sz w:val="20"/>
        </w:rPr>
        <w:t xml:space="preserve">Vorhersage über einen zukünftigen Umwelt- oder Sensorzustand;</w:t>
      </w:r>
    </w:p>
    <w:p>
      <w:pPr>
        <w:keepLines/>
        <w:numPr>
          <w:ilvl w:val="0"/>
          <w:numId w:val="1028"/>
        </w:numPr>
        <w:spacing w:after="64" w:line="254" w:lineRule="auto"/>
        <w:jc w:val="left"/>
      </w:pPr>
      <w:r>
        <w:rPr>
          <w:sz w:val="20"/>
        </w:rPr>
        <w:t xml:space="preserve">Zusatzinformation über die triviale Kopie des aktuellen Inputs hinaus;</w:t>
      </w:r>
    </w:p>
    <w:p>
      <w:pPr>
        <w:keepLines/>
        <w:numPr>
          <w:ilvl w:val="0"/>
          <w:numId w:val="1028"/>
        </w:numPr>
        <w:spacing w:after="64" w:line="254" w:lineRule="auto"/>
        <w:jc w:val="left"/>
      </w:pPr>
      <w:r>
        <w:rPr>
          <w:sz w:val="20"/>
        </w:rPr>
        <w:t xml:space="preserve">Sensitivität gegenüber alternativen Aktionen;</w:t>
      </w:r>
    </w:p>
    <w:p>
      <w:pPr>
        <w:keepLines/>
        <w:numPr>
          <w:ilvl w:val="0"/>
          <w:numId w:val="1028"/>
        </w:numPr>
        <w:spacing w:after="64" w:line="254" w:lineRule="auto"/>
        <w:jc w:val="left"/>
      </w:pPr>
      <w:r>
        <w:rPr>
          <w:sz w:val="20"/>
        </w:rPr>
        <w:t xml:space="preserve">Generalisierung auf nicht trainierte Sequenzen oder Kontexte;</w:t>
      </w:r>
    </w:p>
    <w:p>
      <w:pPr>
        <w:keepLines/>
        <w:numPr>
          <w:ilvl w:val="0"/>
          <w:numId w:val="1028"/>
        </w:numPr>
        <w:spacing w:after="64" w:line="254" w:lineRule="auto"/>
        <w:jc w:val="left"/>
      </w:pPr>
      <w:r>
        <w:rPr>
          <w:sz w:val="20"/>
        </w:rPr>
        <w:t xml:space="preserve">mehrschrittige Rollouts mit quantifiziertem Fehler;</w:t>
      </w:r>
    </w:p>
    <w:p>
      <w:pPr>
        <w:keepLines/>
        <w:numPr>
          <w:ilvl w:val="0"/>
          <w:numId w:val="1028"/>
        </w:numPr>
        <w:spacing w:after="64" w:line="254" w:lineRule="auto"/>
        <w:jc w:val="left"/>
      </w:pPr>
      <w:r>
        <w:rPr>
          <w:sz w:val="20"/>
        </w:rPr>
        <w:t xml:space="preserve">funktionalen Nutzen für Planung oder Verhalten;</w:t>
      </w:r>
    </w:p>
    <w:p>
      <w:pPr>
        <w:keepLines/>
        <w:numPr>
          <w:ilvl w:val="0"/>
          <w:numId w:val="1028"/>
        </w:numPr>
        <w:spacing w:after="64" w:line="254" w:lineRule="auto"/>
        <w:jc w:val="left"/>
      </w:pPr>
      <w:r>
        <w:rPr>
          <w:sz w:val="20"/>
        </w:rPr>
        <w:t xml:space="preserve">Leistungsabfall bei gezielter Ablation des prädiktiven Zustands.</w:t>
      </w:r>
    </w:p>
    <w:bookmarkEnd w:id="320"/>
    <w:bookmarkStart w:id="321" w:name="predictive-state-representations"/>
    <w:p>
      <w:pPr>
        <w:pStyle w:val="Heading3"/>
        <w:keepLines/>
        <w:spacing w:after="120" w:before="160"/>
        <w:jc w:val="left"/>
      </w:pPr>
      <w:r>
        <w:rPr>
          <w:sz w:val="20"/>
        </w:rPr>
        <w:t xml:space="preserve">Predictive State Representations</w:t>
      </w:r>
    </w:p>
    <w:p>
      <w:pPr>
        <w:pStyle w:val="FirstParagraph"/>
        <w:keepLines/>
        <w:spacing w:after="64" w:line="254" w:lineRule="auto"/>
        <w:jc w:val="left"/>
      </w:pPr>
      <w:r>
        <w:rPr>
          <w:sz w:val="20"/>
        </w:rPr>
        <w:t xml:space="preserve">Predictive State Representations beschreiben Zustand über Vorhersagen zukünftiger Beobachtungen statt über verborgene ontologische Variablen (</w:t>
      </w:r>
      <w:hyperlink w:anchor="ref-Littman2001">
        <w:r>
          <w:rPr>
            <w:rStyle w:val="Hyperlink"/>
          </w:rPr>
          <w:t xml:space="preserve">Littman et al., 2001</w:t>
        </w:r>
      </w:hyperlink>
      <w:r>
        <w:rPr>
          <w:sz w:val="20"/>
        </w:rPr>
        <w:t xml:space="preserve">). Dieses Konzept ist für Brain-5D attraktiv, weil es operationalisierbar bleibt: Entscheidend ist, welche Zukunftsinformation ein interner Zustand trägt und wie sie Verhalten beeinflusst.</w:t>
      </w:r>
    </w:p>
    <w:bookmarkEnd w:id="321"/>
    <w:bookmarkStart w:id="322" w:name="dyna-und-interne-simulation"/>
    <w:p>
      <w:pPr>
        <w:pStyle w:val="Heading3"/>
        <w:keepLines/>
        <w:spacing w:after="120" w:before="160"/>
        <w:jc w:val="left"/>
      </w:pPr>
      <w:r>
        <w:rPr>
          <w:sz w:val="20"/>
        </w:rPr>
        <w:t xml:space="preserve">Dyna und interne Simulation</w:t>
      </w:r>
    </w:p>
    <w:p>
      <w:pPr>
        <w:pStyle w:val="FirstParagraph"/>
        <w:keepLines/>
        <w:spacing w:after="64" w:line="254" w:lineRule="auto"/>
        <w:jc w:val="left"/>
      </w:pPr>
      <w:r>
        <w:rPr>
          <w:sz w:val="20"/>
        </w:rPr>
        <w:t xml:space="preserve">Dyna-Architekturen verbinden Lernen, Planung und simulierte Erfahrung (</w:t>
      </w:r>
      <w:hyperlink w:anchor="ref-Sutton1991">
        <w:r>
          <w:rPr>
            <w:rStyle w:val="Hyperlink"/>
          </w:rPr>
          <w:t xml:space="preserve">Sutton, 1991</w:t>
        </w:r>
      </w:hyperlink>
      <w:r>
        <w:rPr>
          <w:sz w:val="20"/>
        </w:rPr>
        <w:t xml:space="preserve">). Brain-5D soll erst dann von interner Simulation sprechen, wenn das System intern erzeugte Zustandsübergänge von externen Sensorereignissen unterscheiden kann und diese Übergänge nachweisbar zur Handlungswahl nutzt. Zufällige Replay-Aktivität oder Traumlogs sind noch keine Planung.</w:t>
      </w:r>
    </w:p>
    <w:bookmarkEnd w:id="322"/>
    <w:bookmarkStart w:id="323" w:name="prüfbare-hypothese"/>
    <w:p>
      <w:pPr>
        <w:pStyle w:val="Heading3"/>
        <w:keepLines/>
        <w:spacing w:after="120" w:before="160"/>
        <w:jc w:val="left"/>
      </w:pPr>
      <w:r>
        <w:rPr>
          <w:sz w:val="20"/>
        </w:rPr>
        <w:t xml:space="preserve">Prüfbare Hypothese</w:t>
      </w:r>
    </w:p>
    <w:p>
      <w:pPr>
        <w:pStyle w:val="FirstParagraph"/>
        <w:keepLines/>
        <w:spacing w:after="64" w:line="254" w:lineRule="auto"/>
        <w:jc w:val="left"/>
      </w:pPr>
      <w:r>
        <w:rPr>
          <w:b/>
          <w:bCs/>
          <w:sz w:val="20"/>
        </w:rPr>
        <w:t xml:space="preserve">[E0 | HYPOTHESIS | CLAIM-PRED-001]</w:t>
      </w:r>
      <w:r>
        <w:rPr>
          <w:sz w:val="20"/>
        </w:rPr>
        <w:t xml:space="preserve"> </w:t>
      </w:r>
      <w:r>
        <w:rPr>
          <w:sz w:val="20"/>
        </w:rPr>
        <w:t xml:space="preserve">In einer geschlossenen, partiell beobachtbaren Umgebung können rekurrente Brain-5D-Zustände action-konditionierte Zukunftsinformation akkumulieren, die über aktuellen Sensorinput hinausgeht und die Leistung bei verzögerten Entscheidungsaufgaben verbessert.</w:t>
      </w:r>
    </w:p>
    <w:p>
      <w:pPr>
        <w:pStyle w:val="BodyText"/>
        <w:keepLines/>
        <w:spacing w:after="64" w:line="254" w:lineRule="auto"/>
        <w:jc w:val="left"/>
      </w:pPr>
      <w:r>
        <w:rPr>
          <w:sz w:val="20"/>
        </w:rPr>
        <w:t xml:space="preserve">Falsifikation: Ein kontrollierter Decoder findet keine inkrementelle Zukunftsinformation; oder die Ablation prädiktiver Zustände beeinflusst Verhalten nicht stärker als gematchte Kontrollablationen.</w:t>
      </w:r>
    </w:p>
    <w:bookmarkEnd w:id="323"/>
    <w:bookmarkEnd w:id="324"/>
    <w:bookmarkEnd w:id="325"/>
    <w:bookmarkStart w:id="348" w:name="X6452c8e760b395732cd06d92109753505198a2b"/>
    <w:p>
      <w:bookmarkStart w:id="10023" w:name="B5D_H023"/>
      <w:pPr>
        <w:pStyle w:val="Heading1"/>
      </w:pPr>
      <w:r>
        <w:t xml:space="preserve">20. Signalinterpretation, Sprache und Wissensaufnahme</w:t>
      </w:r>
      <w:bookmarkEnd w:id="10023"/>
    </w:p>
    <w:bookmarkStart w:id="331" w:name="signal-interpretation-layer"/>
    <w:p>
      <w:pPr>
        <w:pStyle w:val="Heading2"/>
      </w:pPr>
      <w:r>
        <w:t xml:space="preserve">Signal Interpretation Layer</w:t>
      </w:r>
    </w:p>
    <w:bookmarkStart w:id="326" w:name="wissenschaftliche-funktion"/>
    <w:p>
      <w:pPr>
        <w:pStyle w:val="Heading3"/>
        <w:keepLines/>
        <w:spacing w:after="120"/>
        <w:jc w:val="left"/>
      </w:pPr>
      <w:r>
        <w:rPr>
          <w:sz w:val="20"/>
        </w:rPr>
        <w:t xml:space="preserve">Wissenschaftliche Funktion</w:t>
      </w:r>
    </w:p>
    <w:p>
      <w:pPr>
        <w:pStyle w:val="FirstParagraph"/>
        <w:keepLines/>
        <w:spacing w:after="120"/>
        <w:jc w:val="left"/>
      </w:pPr>
      <w:r>
        <w:rPr>
          <w:sz w:val="20"/>
        </w:rPr>
        <w:t xml:space="preserve">Der Signal Interpretation Layer (SIL) bildet eine deterministische beziehungsweise vollständig versionierte Messschicht zwischen neuronalen Rohereignissen und nachgelagerten Interpretationssystemen. Seine Aufgabe ist nicht, Bedeutung zu erzeugen, sondern definierte, prüfbare Merkmale aus einem Zeitfenster zu berechnen. Diese Trennung schützt vor einem zentralen Confound: Ein leistungsfähiges LLM darf keine semantische Geschichte direkt aus unstrukturierten Spike-Arrays konstruieren und anschließend so behandeln, als habe das SNN selbst diese Geschichte repräsentiert.</w:t>
      </w:r>
    </w:p>
    <w:p>
      <w:pPr>
        <w:pStyle w:val="BodyText"/>
        <w:keepLines/>
        <w:spacing w:after="120"/>
        <w:jc w:val="left"/>
      </w:pPr>
      <w:r>
        <w:rPr>
          <w:b/>
          <w:bCs/>
          <w:sz w:val="20"/>
        </w:rPr>
        <w:t xml:space="preserve">[DEF]</w:t>
      </w:r>
    </w:p>
    <w:p>
      <w:pPr>
        <w:pStyle w:val="BodyText"/>
        <w:keepLines/>
        <w:spacing w:after="140" w:before="100"/>
        <w:jc w:val="center"/>
      </w:pPr>
      <m:oMathPara>
        <m:oMathParaPr>
          <m:jc m:val="center"/>
        </m:oMathParaPr>
        <m:oMath>
          <m:sSub>
            <m:e>
              <m:r>
                <m:t>S</m:t>
              </m:r>
            </m:e>
            <m:sub>
              <m:r>
                <m:t>v</m:t>
              </m:r>
            </m:sub>
          </m:sSub>
          <m:r>
            <m:rPr>
              <m:sty m:val="p"/>
            </m:rPr>
            <m:t>:</m:t>
          </m:r>
          <m:d>
            <m:dPr>
              <m:begChr m:val="("/>
              <m:endChr m:val=")"/>
              <m:sepChr m:val=""/>
              <m:grow/>
            </m:dPr>
            <m:e>
              <m:r>
                <m:rPr>
                  <m:nor/>
                  <m:sty m:val="p"/>
                </m:rPr>
                <m:t>SpikeEvents</m:t>
              </m:r>
              <m:r>
                <m:rPr>
                  <m:sty m:val="p"/>
                </m:rPr>
                <m:t>,</m:t>
              </m:r>
              <m:sSub>
                <m:e>
                  <m:r>
                    <m:t>X</m:t>
                  </m:r>
                </m:e>
                <m:sub>
                  <m:d>
                    <m:dPr>
                      <m:begChr m:val="["/>
                      <m:endChr m:val="]"/>
                      <m:sepChr m:val=""/>
                      <m:grow/>
                    </m:dPr>
                    <m:e>
                      <m:sSub>
                        <m:e>
                          <m:r>
                            <m:t>t</m:t>
                          </m:r>
                        </m:e>
                        <m:sub>
                          <m:r>
                            <m:t>0</m:t>
                          </m:r>
                        </m:sub>
                      </m:sSub>
                      <m:r>
                        <m:rPr>
                          <m:sty m:val="p"/>
                        </m:rPr>
                        <m:t>,</m:t>
                      </m:r>
                      <m:sSub>
                        <m:e>
                          <m:r>
                            <m:t>t</m:t>
                          </m:r>
                        </m:e>
                        <m:sub>
                          <m:r>
                            <m:t>1</m:t>
                          </m:r>
                        </m:sub>
                      </m:sSub>
                    </m:e>
                  </m:d>
                </m:sub>
              </m:sSub>
              <m:r>
                <m:rPr>
                  <m:sty m:val="p"/>
                </m:rPr>
                <m:t>,</m:t>
              </m:r>
              <m:r>
                <m:rPr>
                  <m:nor/>
                  <m:sty m:val="p"/>
                </m:rPr>
                <m:t>RegionSchema</m:t>
              </m:r>
            </m:e>
          </m:d>
          <m:r>
            <m:rPr>
              <m:sty m:val="p"/>
            </m:rPr>
            <m:t>→</m:t>
          </m:r>
          <m:sSub>
            <m:e>
              <m:r>
                <m:rPr>
                  <m:nor/>
                  <m:sty m:val="p"/>
                </m:rPr>
                <m:t>SignalFrame</m:t>
              </m:r>
            </m:e>
            <m:sub>
              <m:r>
                <m:t>v</m:t>
              </m:r>
            </m:sub>
          </m:sSub>
          <m:r>
            <m:rPr>
              <m:sty m:val="p"/>
            </m:rPr>
            <m:t>,</m:t>
          </m:r>
        </m:oMath>
      </m:oMathPara>
    </w:p>
    <w:p>
      <w:pPr>
        <w:pStyle w:val="FirstParagraph"/>
        <w:keepLines/>
        <w:spacing w:after="120"/>
        <w:jc w:val="left"/>
      </w:pPr>
      <w:r>
        <w:rPr>
          <w:sz w:val="20"/>
        </w:rPr>
        <w:t xml:space="preserve">wobei</w:t>
      </w:r>
      <w:r>
        <w:rPr>
          <w:sz w:val="20"/>
        </w:rPr>
        <w:t xml:space="preserve"> </w:t>
      </w:r>
      <m:oMath>
        <m:r>
          <m:t>v</m:t>
        </m:r>
      </m:oMath>
      <w:r>
        <w:rPr>
          <w:sz w:val="20"/>
        </w:rPr>
        <w:t xml:space="preserve"> </w:t>
      </w:r>
      <w:r>
        <w:rPr>
          <w:sz w:val="20"/>
        </w:rPr>
        <w:t xml:space="preserve">die Version der Transformation bezeichnet. Für identische Eingaben muss ein deterministischer SIL identische Frames erzeugen. Stochastische Schätzer müssen Seed und Unsicherheit mitführen.</w:t>
      </w:r>
    </w:p>
    <w:bookmarkEnd w:id="326"/>
    <w:bookmarkStart w:id="327" w:name="minimaler-datenvertrag"/>
    <w:p>
      <w:pPr>
        <w:pStyle w:val="Heading3"/>
        <w:keepLines/>
        <w:spacing w:after="120"/>
        <w:jc w:val="left"/>
      </w:pPr>
      <w:r>
        <w:rPr>
          <w:sz w:val="20"/>
        </w:rPr>
        <w:t xml:space="preserve">Minimaler Datenvertrag</w:t>
      </w:r>
    </w:p>
    <w:p>
      <w:pPr>
        <w:pStyle w:val="SourceCode"/>
        <w:keepNext w:val="0"/>
        <w:keepLines/>
        <w:spacing w:after="120"/>
        <w:jc w:val="left"/>
      </w:pPr>
      <w:r>
        <w:rPr>
          <w:rStyle w:val="VerbatimChar"/>
          <w:sz w:val="20"/>
        </w:rPr>
        <w:t xml:space="preserve">from dataclasses import dataclass</w:t>
      </w:r>
      <w:r>
        <w:rPr>
          <w:sz w:val="20"/>
        </w:rPr>
        <w:br/>
      </w:r>
      <w:r>
        <w:rPr>
          <w:sz w:val="20"/>
        </w:rPr>
        <w:br/>
      </w:r>
      <w:r>
        <w:rPr>
          <w:rStyle w:val="VerbatimChar"/>
          <w:sz w:val="20"/>
        </w:rPr>
        <w:t xml:space="preserve">@dataclass(frozen=True, slots=True)</w:t>
      </w:r>
      <w:r>
        <w:rPr>
          <w:sz w:val="20"/>
        </w:rPr>
        <w:br/>
      </w:r>
      <w:r>
        <w:rPr>
          <w:rStyle w:val="VerbatimChar"/>
          <w:sz w:val="20"/>
        </w:rPr>
        <w:t xml:space="preserve">class RegionActivity:</w:t>
      </w:r>
      <w:r>
        <w:rPr>
          <w:sz w:val="20"/>
        </w:rPr>
        <w:br/>
      </w:r>
      <w:r>
        <w:rPr>
          <w:rStyle w:val="VerbatimChar"/>
          <w:sz w:val="20"/>
        </w:rPr>
        <w:t xml:space="preserve">    region_id: str</w:t>
      </w:r>
      <w:r>
        <w:rPr>
          <w:sz w:val="20"/>
        </w:rPr>
        <w:br/>
      </w:r>
      <w:r>
        <w:rPr>
          <w:rStyle w:val="VerbatimChar"/>
          <w:sz w:val="20"/>
        </w:rPr>
        <w:t xml:space="preserve">    neuron_count: int</w:t>
      </w:r>
      <w:r>
        <w:rPr>
          <w:sz w:val="20"/>
        </w:rPr>
        <w:br/>
      </w:r>
      <w:r>
        <w:rPr>
          <w:rStyle w:val="VerbatimChar"/>
          <w:sz w:val="20"/>
        </w:rPr>
        <w:t xml:space="preserve">    active_fraction: float</w:t>
      </w:r>
      <w:r>
        <w:rPr>
          <w:sz w:val="20"/>
        </w:rPr>
        <w:br/>
      </w:r>
      <w:r>
        <w:rPr>
          <w:rStyle w:val="VerbatimChar"/>
          <w:sz w:val="20"/>
        </w:rPr>
        <w:t xml:space="preserve">    firing_rate_hz: float</w:t>
      </w:r>
      <w:r>
        <w:rPr>
          <w:sz w:val="20"/>
        </w:rPr>
        <w:br/>
      </w:r>
      <w:r>
        <w:rPr>
          <w:rStyle w:val="VerbatimChar"/>
          <w:sz w:val="20"/>
        </w:rPr>
        <w:t xml:space="preserve">    spike_count: int</w:t>
      </w:r>
      <w:r>
        <w:rPr>
          <w:sz w:val="20"/>
        </w:rPr>
        <w:br/>
      </w:r>
      <w:r>
        <w:rPr>
          <w:rStyle w:val="VerbatimChar"/>
          <w:sz w:val="20"/>
        </w:rPr>
        <w:t xml:space="preserve">    burst_index: float</w:t>
      </w:r>
      <w:r>
        <w:rPr>
          <w:sz w:val="20"/>
        </w:rPr>
        <w:br/>
      </w:r>
      <w:r>
        <w:rPr>
          <w:rStyle w:val="VerbatimChar"/>
          <w:sz w:val="20"/>
        </w:rPr>
        <w:t xml:space="preserve">    synchrony: float</w:t>
      </w:r>
      <w:r>
        <w:rPr>
          <w:sz w:val="20"/>
        </w:rPr>
        <w:br/>
      </w:r>
      <w:r>
        <w:rPr>
          <w:sz w:val="20"/>
        </w:rPr>
        <w:br/>
      </w:r>
      <w:r>
        <w:rPr>
          <w:rStyle w:val="VerbatimChar"/>
          <w:sz w:val="20"/>
        </w:rPr>
        <w:t xml:space="preserve">@dataclass(frozen=True, slots=True)</w:t>
      </w:r>
      <w:r>
        <w:rPr>
          <w:sz w:val="20"/>
        </w:rPr>
        <w:br/>
      </w:r>
      <w:r>
        <w:rPr>
          <w:rStyle w:val="VerbatimChar"/>
          <w:sz w:val="20"/>
        </w:rPr>
        <w:t xml:space="preserve">class SignalFrame:</w:t>
      </w:r>
      <w:r>
        <w:rPr>
          <w:sz w:val="20"/>
        </w:rPr>
        <w:br/>
      </w:r>
      <w:r>
        <w:rPr>
          <w:rStyle w:val="VerbatimChar"/>
          <w:sz w:val="20"/>
        </w:rPr>
        <w:t xml:space="preserve">    frame_id: str</w:t>
      </w:r>
      <w:r>
        <w:rPr>
          <w:sz w:val="20"/>
        </w:rPr>
        <w:br/>
      </w:r>
      <w:r>
        <w:rPr>
          <w:rStyle w:val="VerbatimChar"/>
          <w:sz w:val="20"/>
        </w:rPr>
        <w:t xml:space="preserve">    schema_version: str</w:t>
      </w:r>
      <w:r>
        <w:rPr>
          <w:sz w:val="20"/>
        </w:rPr>
        <w:br/>
      </w:r>
      <w:r>
        <w:rPr>
          <w:rStyle w:val="VerbatimChar"/>
          <w:sz w:val="20"/>
        </w:rPr>
        <w:t xml:space="preserve">    tick_from: int</w:t>
      </w:r>
      <w:r>
        <w:rPr>
          <w:sz w:val="20"/>
        </w:rPr>
        <w:br/>
      </w:r>
      <w:r>
        <w:rPr>
          <w:rStyle w:val="VerbatimChar"/>
          <w:sz w:val="20"/>
        </w:rPr>
        <w:t xml:space="preserve">    tick_to: int</w:t>
      </w:r>
      <w:r>
        <w:rPr>
          <w:sz w:val="20"/>
        </w:rPr>
        <w:br/>
      </w:r>
      <w:r>
        <w:rPr>
          <w:rStyle w:val="VerbatimChar"/>
          <w:sz w:val="20"/>
        </w:rPr>
        <w:t xml:space="preserve">    neuron_selection_hash: str</w:t>
      </w:r>
      <w:r>
        <w:rPr>
          <w:sz w:val="20"/>
        </w:rPr>
        <w:br/>
      </w:r>
      <w:r>
        <w:rPr>
          <w:rStyle w:val="VerbatimChar"/>
          <w:sz w:val="20"/>
        </w:rPr>
        <w:t xml:space="preserve">    population_rate_hz: float</w:t>
      </w:r>
      <w:r>
        <w:rPr>
          <w:sz w:val="20"/>
        </w:rPr>
        <w:br/>
      </w:r>
      <w:r>
        <w:rPr>
          <w:rStyle w:val="VerbatimChar"/>
          <w:sz w:val="20"/>
        </w:rPr>
        <w:t xml:space="preserve">    spike_count: int</w:t>
      </w:r>
      <w:r>
        <w:rPr>
          <w:sz w:val="20"/>
        </w:rPr>
        <w:br/>
      </w:r>
      <w:r>
        <w:rPr>
          <w:rStyle w:val="VerbatimChar"/>
          <w:sz w:val="20"/>
        </w:rPr>
        <w:t xml:space="preserve">    active_fraction: float</w:t>
      </w:r>
      <w:r>
        <w:rPr>
          <w:sz w:val="20"/>
        </w:rPr>
        <w:br/>
      </w:r>
      <w:r>
        <w:rPr>
          <w:rStyle w:val="VerbatimChar"/>
          <w:sz w:val="20"/>
        </w:rPr>
        <w:t xml:space="preserve">    burst_index: float</w:t>
      </w:r>
      <w:r>
        <w:rPr>
          <w:sz w:val="20"/>
        </w:rPr>
        <w:br/>
      </w:r>
      <w:r>
        <w:rPr>
          <w:rStyle w:val="VerbatimChar"/>
          <w:sz w:val="20"/>
        </w:rPr>
        <w:t xml:space="preserve">    synchrony: float</w:t>
      </w:r>
      <w:r>
        <w:rPr>
          <w:sz w:val="20"/>
        </w:rPr>
        <w:br/>
      </w:r>
      <w:r>
        <w:rPr>
          <w:rStyle w:val="VerbatimChar"/>
          <w:sz w:val="20"/>
        </w:rPr>
        <w:t xml:space="preserve">    entropy_estimate: float | None</w:t>
      </w:r>
      <w:r>
        <w:rPr>
          <w:sz w:val="20"/>
        </w:rPr>
        <w:br/>
      </w:r>
      <w:r>
        <w:rPr>
          <w:rStyle w:val="VerbatimChar"/>
          <w:sz w:val="20"/>
        </w:rPr>
        <w:t xml:space="preserve">    mean_energy_proxy: float</w:t>
      </w:r>
      <w:r>
        <w:rPr>
          <w:sz w:val="20"/>
        </w:rPr>
        <w:br/>
      </w:r>
      <w:r>
        <w:rPr>
          <w:rStyle w:val="VerbatimChar"/>
          <w:sz w:val="20"/>
        </w:rPr>
        <w:t xml:space="preserve">    active_regions: tuple[RegionActivity, ...]</w:t>
      </w:r>
      <w:r>
        <w:rPr>
          <w:sz w:val="20"/>
        </w:rPr>
        <w:br/>
      </w:r>
      <w:r>
        <w:rPr>
          <w:rStyle w:val="VerbatimChar"/>
          <w:sz w:val="20"/>
        </w:rPr>
        <w:t xml:space="preserve">    source_snapshot_id: str</w:t>
      </w:r>
      <w:r>
        <w:rPr>
          <w:sz w:val="20"/>
        </w:rPr>
        <w:br/>
      </w:r>
      <w:r>
        <w:rPr>
          <w:rStyle w:val="VerbatimChar"/>
          <w:sz w:val="20"/>
        </w:rPr>
        <w:t xml:space="preserve">    transformation_hash: str</w:t>
      </w:r>
    </w:p>
    <w:p>
      <w:pPr>
        <w:pStyle w:val="FirstParagraph"/>
        <w:keepLines/>
        <w:spacing w:after="120"/>
        <w:jc w:val="left"/>
      </w:pPr>
      <w:r>
        <w:rPr>
          <w:sz w:val="20"/>
        </w:rPr>
        <w:t xml:space="preserve">Der</w:t>
      </w:r>
      <w:r>
        <w:rPr>
          <w:sz w:val="20"/>
        </w:rPr>
        <w:t xml:space="preserve"> </w:t>
      </w:r>
      <w:r>
        <w:rPr>
          <w:rStyle w:val="VerbatimChar"/>
          <w:sz w:val="20"/>
        </w:rPr>
        <w:t xml:space="preserve">neuron_selection_hash</w:t>
      </w:r>
      <w:r>
        <w:rPr>
          <w:sz w:val="20"/>
        </w:rPr>
        <w:t xml:space="preserve"> </w:t>
      </w:r>
      <w:r>
        <w:rPr>
          <w:sz w:val="20"/>
        </w:rPr>
        <w:t xml:space="preserve">verhindert, dass dieselbe Metrik scheinbar vergleichbar ist, obwohl eine andere Population ausgewertet wurde. Der</w:t>
      </w:r>
      <w:r>
        <w:rPr>
          <w:sz w:val="20"/>
        </w:rPr>
        <w:t xml:space="preserve"> </w:t>
      </w:r>
      <w:r>
        <w:rPr>
          <w:rStyle w:val="VerbatimChar"/>
          <w:sz w:val="20"/>
        </w:rPr>
        <w:t xml:space="preserve">source_snapshot_id</w:t>
      </w:r>
      <w:r>
        <w:rPr>
          <w:sz w:val="20"/>
        </w:rPr>
        <w:t xml:space="preserve"> </w:t>
      </w:r>
      <w:r>
        <w:rPr>
          <w:sz w:val="20"/>
        </w:rPr>
        <w:t xml:space="preserve">erlaubt die Rückführung auf den zugrunde liegenden Zustand. Ein</w:t>
      </w:r>
      <w:r>
        <w:rPr>
          <w:sz w:val="20"/>
        </w:rPr>
        <w:t xml:space="preserve"> </w:t>
      </w:r>
      <w:r>
        <w:rPr>
          <w:rStyle w:val="VerbatimChar"/>
          <w:sz w:val="20"/>
        </w:rPr>
        <w:t xml:space="preserve">SignalFrame</w:t>
      </w:r>
      <w:r>
        <w:rPr>
          <w:sz w:val="20"/>
        </w:rPr>
        <w:t xml:space="preserve"> </w:t>
      </w:r>
      <w:r>
        <w:rPr>
          <w:sz w:val="20"/>
        </w:rPr>
        <w:t xml:space="preserve">enthält keine Felder wie</w:t>
      </w:r>
      <w:r>
        <w:rPr>
          <w:sz w:val="20"/>
        </w:rPr>
        <w:t xml:space="preserve"> </w:t>
      </w:r>
      <w:r>
        <w:rPr>
          <w:rStyle w:val="VerbatimChar"/>
          <w:sz w:val="20"/>
        </w:rPr>
        <w:t xml:space="preserve">thought</w:t>
      </w:r>
      <w:r>
        <w:rPr>
          <w:sz w:val="20"/>
        </w:rPr>
        <w:t xml:space="preserve">,</w:t>
      </w:r>
      <w:r>
        <w:rPr>
          <w:sz w:val="20"/>
        </w:rPr>
        <w:t xml:space="preserve"> </w:t>
      </w:r>
      <w:r>
        <w:rPr>
          <w:rStyle w:val="VerbatimChar"/>
          <w:sz w:val="20"/>
        </w:rPr>
        <w:t xml:space="preserve">meaning</w:t>
      </w:r>
      <w:r>
        <w:rPr>
          <w:sz w:val="20"/>
        </w:rPr>
        <w:t xml:space="preserve"> </w:t>
      </w:r>
      <w:r>
        <w:rPr>
          <w:sz w:val="20"/>
        </w:rPr>
        <w:t xml:space="preserve">oder</w:t>
      </w:r>
      <w:r>
        <w:rPr>
          <w:sz w:val="20"/>
        </w:rPr>
        <w:t xml:space="preserve"> </w:t>
      </w:r>
      <w:r>
        <w:rPr>
          <w:rStyle w:val="VerbatimChar"/>
          <w:sz w:val="20"/>
        </w:rPr>
        <w:t xml:space="preserve">intent</w:t>
      </w:r>
      <w:r>
        <w:rPr>
          <w:sz w:val="20"/>
        </w:rPr>
        <w:t xml:space="preserve">, weil diese Interpretationen und keine Messungen wären.</w:t>
      </w:r>
    </w:p>
    <w:bookmarkEnd w:id="327"/>
    <w:bookmarkStart w:id="328" w:name="metrikdefinitionen"/>
    <w:p>
      <w:pPr>
        <w:pStyle w:val="Heading3"/>
        <w:keepLines/>
        <w:spacing w:after="120"/>
        <w:jc w:val="left"/>
      </w:pPr>
      <w:r>
        <w:rPr>
          <w:sz w:val="20"/>
        </w:rPr>
        <w:t xml:space="preserve">Metrikdefinitionen</w:t>
      </w:r>
    </w:p>
    <w:p>
      <w:pPr>
        <w:pStyle w:val="FirstParagraph"/>
        <w:keepLines/>
        <w:spacing w:after="120"/>
        <w:jc w:val="left"/>
      </w:pPr>
      <w:r>
        <w:rPr>
          <w:sz w:val="20"/>
        </w:rPr>
        <w:t xml:space="preserve">Jede Metrik benötigt eine formale Definition. Beispielsweise kann Populationsrate berechnet werden als</w:t>
      </w:r>
    </w:p>
    <w:p>
      <w:pPr>
        <w:pStyle w:val="BodyText"/>
        <w:keepLines/>
        <w:spacing w:after="120"/>
        <w:jc w:val="left"/>
      </w:pPr>
      <w:r>
        <w:rPr>
          <w:b/>
          <w:bCs/>
          <w:sz w:val="20"/>
        </w:rPr>
        <w:t xml:space="preserve">[DEF]</w:t>
      </w:r>
    </w:p>
    <w:p>
      <w:pPr>
        <w:pStyle w:val="BodyText"/>
        <w:keepLines/>
        <w:spacing w:after="140" w:before="100"/>
        <w:jc w:val="center"/>
      </w:pPr>
      <m:oMathPara>
        <m:oMathParaPr>
          <m:jc m:val="center"/>
        </m:oMathParaPr>
        <m:oMath>
          <m:sSub>
            <m:e>
              <m:r>
                <m:t>r</m:t>
              </m:r>
            </m:e>
            <m:sub>
              <m:r>
                <m:t>p</m:t>
              </m:r>
              <m:r>
                <m:t>o</m:t>
              </m:r>
              <m:r>
                <m:t>p</m:t>
              </m:r>
            </m:sub>
          </m:sSub>
          <m:r>
            <m:rPr>
              <m:sty m:val="p"/>
            </m:rPr>
            <m:t>=</m:t>
          </m:r>
          <m:f>
            <m:fPr>
              <m:type m:val="bar"/>
            </m:fPr>
            <m:num>
              <m:sSub>
                <m:e>
                  <m:r>
                    <m:t>N</m:t>
                  </m:r>
                </m:e>
                <m:sub>
                  <m:r>
                    <m:t>s</m:t>
                  </m:r>
                  <m:r>
                    <m:t>p</m:t>
                  </m:r>
                  <m:r>
                    <m:t>i</m:t>
                  </m:r>
                  <m:r>
                    <m:t>k</m:t>
                  </m:r>
                  <m:r>
                    <m:t>e</m:t>
                  </m:r>
                </m:sub>
              </m:sSub>
            </m:num>
            <m:den>
              <m:sSub>
                <m:e>
                  <m:r>
                    <m:t>N</m:t>
                  </m:r>
                </m:e>
                <m:sub>
                  <m:r>
                    <m:t>n</m:t>
                  </m:r>
                  <m:r>
                    <m:t>e</m:t>
                  </m:r>
                  <m:r>
                    <m:t>u</m:t>
                  </m:r>
                  <m:r>
                    <m:t>r</m:t>
                  </m:r>
                  <m:r>
                    <m:t>o</m:t>
                  </m:r>
                  <m:r>
                    <m:t>n</m:t>
                  </m:r>
                  <m:r>
                    <m:t>s</m:t>
                  </m:r>
                </m:sub>
              </m:sSub>
              <m:d>
                <m:dPr>
                  <m:begChr m:val="("/>
                  <m:endChr m:val=")"/>
                  <m:sepChr m:val=""/>
                  <m:grow/>
                </m:dPr>
                <m:e>
                  <m:sSub>
                    <m:e>
                      <m:r>
                        <m:t>t</m:t>
                      </m:r>
                    </m:e>
                    <m:sub>
                      <m:r>
                        <m:t>1</m:t>
                      </m:r>
                    </m:sub>
                  </m:sSub>
                  <m:r>
                    <m:rPr>
                      <m:sty m:val="p"/>
                    </m:rPr>
                    <m:t>−</m:t>
                  </m:r>
                  <m:sSub>
                    <m:e>
                      <m:r>
                        <m:t>t</m:t>
                      </m:r>
                    </m:e>
                    <m:sub>
                      <m:r>
                        <m:t>0</m:t>
                      </m:r>
                    </m:sub>
                  </m:sSub>
                </m:e>
              </m:d>
            </m:den>
          </m:f>
          <m:r>
            <m:rPr>
              <m:sty m:val="p"/>
            </m:rPr>
            <m:t>.</m:t>
          </m:r>
        </m:oMath>
      </m:oMathPara>
    </w:p>
    <w:p>
      <w:pPr>
        <w:pStyle w:val="FirstParagraph"/>
        <w:keepLines/>
        <w:spacing w:after="120"/>
        <w:jc w:val="left"/>
      </w:pPr>
      <w:r>
        <w:rPr>
          <w:sz w:val="20"/>
        </w:rPr>
        <w:t xml:space="preserve">Synchronität kann je nach Methode Paar-Korrelation, Phasenkohärenz oder Coincidence-Maß bedeuten. Ohne Angabe der Methode ist der Wert nicht interpretierbar. Burst Index und Entropieschätzer benötigen ebenfalls Version, Fenster und Parameter.</w:t>
      </w:r>
    </w:p>
    <w:bookmarkEnd w:id="328"/>
    <w:bookmarkStart w:id="329" w:name="rohdatenzugang"/>
    <w:p>
      <w:pPr>
        <w:pStyle w:val="Heading3"/>
        <w:keepLines/>
        <w:spacing w:after="120"/>
        <w:jc w:val="left"/>
      </w:pPr>
      <w:r>
        <w:rPr>
          <w:sz w:val="20"/>
        </w:rPr>
        <w:t xml:space="preserve">Rohdatenzugang</w:t>
      </w:r>
    </w:p>
    <w:p>
      <w:pPr>
        <w:pStyle w:val="FirstParagraph"/>
        <w:keepLines/>
        <w:spacing w:after="120"/>
        <w:jc w:val="left"/>
      </w:pPr>
      <w:r>
        <w:rPr>
          <w:sz w:val="20"/>
        </w:rPr>
        <w:t xml:space="preserve">Für wissenschaftliche Analysen müssen Rohereignisse oder verlustarm rekonstruierbare Daten erhalten bleiben. Der SIL darf keine irreversible alleinige Datenquelle sein. Aggregierte Frames sind effizient für Monitoring und Decoder, reichen aber nicht für jede spätere Hypothese.</w:t>
      </w:r>
    </w:p>
    <w:bookmarkEnd w:id="329"/>
    <w:bookmarkStart w:id="330" w:name="leakage-schutz"/>
    <w:p>
      <w:pPr>
        <w:pStyle w:val="Heading3"/>
        <w:keepLines/>
        <w:spacing w:after="120"/>
        <w:jc w:val="left"/>
      </w:pPr>
      <w:r>
        <w:rPr>
          <w:sz w:val="20"/>
        </w:rPr>
        <w:t xml:space="preserve">Leakage-Schutz</w:t>
      </w:r>
    </w:p>
    <w:p>
      <w:pPr>
        <w:pStyle w:val="FirstParagraph"/>
        <w:keepLines/>
        <w:spacing w:after="120"/>
        <w:jc w:val="left"/>
      </w:pPr>
      <w:r>
        <w:rPr>
          <w:sz w:val="20"/>
        </w:rPr>
        <w:t xml:space="preserve">Ein Decoder darf nur Felder erhalten, die in der</w:t>
      </w:r>
      <w:r>
        <w:rPr>
          <w:sz w:val="20"/>
        </w:rPr>
        <w:t xml:space="preserve"> </w:t>
      </w:r>
      <w:r>
        <w:rPr>
          <w:rStyle w:val="VerbatimChar"/>
          <w:sz w:val="20"/>
        </w:rPr>
        <w:t xml:space="preserve">ExperimentSpec</w:t>
      </w:r>
      <w:r>
        <w:rPr>
          <w:sz w:val="20"/>
        </w:rPr>
        <w:t xml:space="preserve"> </w:t>
      </w:r>
      <w:r>
        <w:rPr>
          <w:sz w:val="20"/>
        </w:rPr>
        <w:t xml:space="preserve">freigegeben sind. Insbesondere können</w:t>
      </w:r>
      <w:r>
        <w:rPr>
          <w:sz w:val="20"/>
        </w:rPr>
        <w:t xml:space="preserve"> </w:t>
      </w:r>
      <w:r>
        <w:rPr>
          <w:rStyle w:val="VerbatimChar"/>
          <w:sz w:val="20"/>
        </w:rPr>
        <w:t xml:space="preserve">stimulus_id</w:t>
      </w:r>
      <w:r>
        <w:rPr>
          <w:sz w:val="20"/>
        </w:rPr>
        <w:t xml:space="preserve">, Zielklasse, Rewardlabel oder Dateiname ungewollt die Antwort verraten. Brain-5D soll eine automatische Feature-Allowlist und Leakage-Tests verwenden.</w:t>
      </w:r>
    </w:p>
    <w:bookmarkEnd w:id="330"/>
    <w:bookmarkEnd w:id="331"/>
    <w:bookmarkStart w:id="340" w:name="language-organ"/>
    <w:p>
      <w:pPr>
        <w:pStyle w:val="Heading2"/>
      </w:pPr>
      <w:r>
        <w:t xml:space="preserve">Language Organ</w:t>
      </w:r>
    </w:p>
    <w:bookmarkStart w:id="332" w:name="rolle-und-nicht-rolle"/>
    <w:p>
      <w:pPr>
        <w:pStyle w:val="Heading3"/>
        <w:keepLines/>
        <w:spacing w:after="120"/>
        <w:jc w:val="left"/>
      </w:pPr>
      <w:r>
        <w:rPr>
          <w:sz w:val="20"/>
        </w:rPr>
        <w:t xml:space="preserve">Rolle und Nicht-Rolle</w:t>
      </w:r>
    </w:p>
    <w:p>
      <w:pPr>
        <w:pStyle w:val="FirstParagraph"/>
        <w:keepLines/>
        <w:spacing w:after="120"/>
        <w:jc w:val="left"/>
      </w:pPr>
      <w:r>
        <w:rPr>
          <w:sz w:val="20"/>
        </w:rPr>
        <w:t xml:space="preserve">Das Language Organ ist ein optionaler Adapter zwischen symbolischen und neuronalen Darstellungen. Es kann Texte strukturieren, Stimulusvorschläge erzeugen, SignalFrames beschreiben oder Antworten formulieren. Es ist nicht Eigentümer des SNN-Zustands, der Lernregeln oder des Runtime-Loops.</w:t>
      </w:r>
    </w:p>
    <w:p>
      <w:pPr>
        <w:pStyle w:val="BodyText"/>
        <w:keepLines/>
        <w:spacing w:after="140" w:before="100"/>
        <w:jc w:val="center"/>
      </w:pPr>
      <m:oMathPara>
        <m:oMathParaPr>
          <m:jc m:val="center"/>
        </m:oMathParaPr>
        <m:oMath>
          <m:r>
            <m:rPr>
              <m:nor/>
              <m:sty m:val="p"/>
            </m:rPr>
            <m:t>Language Organ</m:t>
          </m:r>
          <m:r>
            <m:rPr>
              <m:sty m:val="p"/>
            </m:rPr>
            <m:t>≢</m:t>
          </m:r>
          <m:r>
            <m:rPr>
              <m:nor/>
              <m:sty m:val="p"/>
            </m:rPr>
            <m:t>Brain-5D Core</m:t>
          </m:r>
          <m:r>
            <m:rPr>
              <m:sty m:val="p"/>
            </m:rPr>
            <m:t>.</m:t>
          </m:r>
        </m:oMath>
      </m:oMathPara>
    </w:p>
    <w:p>
      <w:pPr>
        <w:pStyle w:val="FirstParagraph"/>
        <w:keepLines/>
        <w:spacing w:after="120"/>
        <w:jc w:val="left"/>
      </w:pPr>
      <w:r>
        <w:rPr>
          <w:b/>
          <w:bCs/>
          <w:sz w:val="20"/>
        </w:rPr>
        <w:t xml:space="preserve">[E0 | ARCHITECTURE-SPEC]</w:t>
      </w:r>
      <w:r>
        <w:rPr>
          <w:sz w:val="20"/>
        </w:rPr>
        <w:t xml:space="preserve"> </w:t>
      </w:r>
      <w:r>
        <w:rPr>
          <w:sz w:val="20"/>
        </w:rPr>
        <w:t xml:space="preserve">Jede wissenschaftliche Behauptung über SNN-Kompetenz muss mit einem NullLanguageBackend oder einer anderen geeigneten Ablation prüfbar bleiben.</w:t>
      </w:r>
    </w:p>
    <w:bookmarkEnd w:id="332"/>
    <w:bookmarkStart w:id="333" w:name="reines-monitoring"/>
    <w:p>
      <w:pPr>
        <w:pStyle w:val="Heading3"/>
        <w:keepLines/>
        <w:spacing w:after="120"/>
        <w:jc w:val="left"/>
      </w:pPr>
      <w:r>
        <w:rPr>
          <w:sz w:val="20"/>
        </w:rPr>
        <w:t xml:space="preserve">Reines Monitoring</w:t>
      </w:r>
    </w:p>
    <w:p>
      <w:pPr>
        <w:pStyle w:val="FirstParagraph"/>
        <w:keepLines/>
        <w:spacing w:after="120"/>
        <w:jc w:val="left"/>
      </w:pPr>
      <w:r>
        <w:rPr>
          <w:sz w:val="20"/>
        </w:rPr>
        <w:t xml:space="preserve">Der reine Monitoring-Pfad lautet:</w:t>
      </w:r>
    </w:p>
    <w:p>
      <w:pPr>
        <w:pStyle w:val="SourceCode"/>
        <w:keepNext w:val="0"/>
        <w:keepLines/>
        <w:spacing w:after="120"/>
        <w:jc w:val="left"/>
      </w:pPr>
      <w:r>
        <w:rPr>
          <w:rStyle w:val="VerbatimChar"/>
          <w:sz w:val="20"/>
        </w:rPr>
        <w:t xml:space="preserve">SNN → SignalFrame → Monitor → LogRecord</w:t>
      </w:r>
    </w:p>
    <w:p>
      <w:pPr>
        <w:pStyle w:val="FirstParagraph"/>
        <w:keepLines/>
        <w:spacing w:after="120"/>
        <w:jc w:val="left"/>
      </w:pPr>
      <w:r>
        <w:rPr>
          <w:sz w:val="20"/>
        </w:rPr>
        <w:t xml:space="preserve">Der Monitor darf Warnungen, Zusammenfassungen oder Visualisierungen erzeugen. Diese Ausgaben verändern weder den aktuellen noch einen zukünftigen SNN-Zustand. Auch ein Warnsignal ist erst dann eine Intervention, wenn es einen Controller oder Stimulus beeinflusst.</w:t>
      </w:r>
    </w:p>
    <w:bookmarkEnd w:id="333"/>
    <w:bookmarkStart w:id="334" w:name="optionaler-feedbackpfad"/>
    <w:p>
      <w:pPr>
        <w:pStyle w:val="Heading3"/>
        <w:keepLines/>
        <w:spacing w:after="120"/>
        <w:jc w:val="left"/>
      </w:pPr>
      <w:r>
        <w:rPr>
          <w:sz w:val="20"/>
        </w:rPr>
        <w:t xml:space="preserve">Optionaler Feedbackpfad</w:t>
      </w:r>
    </w:p>
    <w:p>
      <w:pPr>
        <w:pStyle w:val="FirstParagraph"/>
        <w:keepLines/>
        <w:spacing w:after="120"/>
        <w:jc w:val="left"/>
      </w:pPr>
      <w:r>
        <w:rPr>
          <w:sz w:val="20"/>
        </w:rPr>
        <w:t xml:space="preserve">Der Interventionspfad lautet:</w:t>
      </w:r>
    </w:p>
    <w:p>
      <w:pPr>
        <w:pStyle w:val="SourceCode"/>
        <w:keepNext w:val="0"/>
        <w:keepLines/>
        <w:spacing w:after="120"/>
        <w:jc w:val="left"/>
      </w:pPr>
      <w:r>
        <w:rPr>
          <w:rStyle w:val="VerbatimChar"/>
          <w:sz w:val="20"/>
        </w:rPr>
        <w:t xml:space="preserve">SignalFrame</w:t>
      </w:r>
      <w:r>
        <w:rPr>
          <w:sz w:val="20"/>
        </w:rPr>
        <w:br/>
      </w:r>
      <w:r>
        <w:rPr>
          <w:rStyle w:val="VerbatimChar"/>
          <w:sz w:val="20"/>
        </w:rPr>
        <w:t xml:space="preserve">  → LanguageModelBackend</w:t>
      </w:r>
      <w:r>
        <w:rPr>
          <w:sz w:val="20"/>
        </w:rPr>
        <w:br/>
      </w:r>
      <w:r>
        <w:rPr>
          <w:rStyle w:val="VerbatimChar"/>
          <w:sz w:val="20"/>
        </w:rPr>
        <w:t xml:space="preserve">  → FeedbackProposal</w:t>
      </w:r>
      <w:r>
        <w:rPr>
          <w:sz w:val="20"/>
        </w:rPr>
        <w:br/>
      </w:r>
      <w:r>
        <w:rPr>
          <w:rStyle w:val="VerbatimChar"/>
          <w:sz w:val="20"/>
        </w:rPr>
        <w:t xml:space="preserve">  → deterministic PolicyGate</w:t>
      </w:r>
      <w:r>
        <w:rPr>
          <w:sz w:val="20"/>
        </w:rPr>
        <w:br/>
      </w:r>
      <w:r>
        <w:rPr>
          <w:rStyle w:val="VerbatimChar"/>
          <w:sz w:val="20"/>
        </w:rPr>
        <w:t xml:space="preserve">  → accepted StimulusPlan or RejectionRecord</w:t>
      </w:r>
      <w:r>
        <w:rPr>
          <w:sz w:val="20"/>
        </w:rPr>
        <w:br/>
      </w:r>
      <w:r>
        <w:rPr>
          <w:rStyle w:val="VerbatimChar"/>
          <w:sz w:val="20"/>
        </w:rPr>
        <w:t xml:space="preserve">  → SNN input channel</w:t>
      </w:r>
    </w:p>
    <w:p>
      <w:pPr>
        <w:pStyle w:val="FirstParagraph"/>
        <w:keepLines/>
        <w:spacing w:after="120"/>
        <w:jc w:val="left"/>
      </w:pPr>
      <w:r>
        <w:rPr>
          <w:sz w:val="20"/>
        </w:rPr>
        <w:t xml:space="preserve">Ein</w:t>
      </w:r>
      <w:r>
        <w:rPr>
          <w:sz w:val="20"/>
        </w:rPr>
        <w:t xml:space="preserve"> </w:t>
      </w:r>
      <w:r>
        <w:rPr>
          <w:rStyle w:val="VerbatimChar"/>
          <w:sz w:val="20"/>
        </w:rPr>
        <w:t xml:space="preserve">FeedbackProposal</w:t>
      </w:r>
      <w:r>
        <w:rPr>
          <w:sz w:val="20"/>
        </w:rPr>
        <w:t xml:space="preserve"> </w:t>
      </w:r>
      <w:r>
        <w:rPr>
          <w:sz w:val="20"/>
        </w:rPr>
        <w:t xml:space="preserve">kann enthalten:</w:t>
      </w:r>
    </w:p>
    <w:p>
      <w:pPr>
        <w:pStyle w:val="SourceCode"/>
        <w:keepNext w:val="0"/>
        <w:keepLines/>
        <w:spacing w:after="120"/>
        <w:jc w:val="left"/>
      </w:pPr>
      <w:r>
        <w:rPr>
          <w:rStyle w:val="VerbatimChar"/>
          <w:sz w:val="20"/>
        </w:rPr>
        <w:t xml:space="preserve">@dataclass(frozen=True, slots=True)</w:t>
      </w:r>
      <w:r>
        <w:rPr>
          <w:sz w:val="20"/>
        </w:rPr>
        <w:br/>
      </w:r>
      <w:r>
        <w:rPr>
          <w:rStyle w:val="VerbatimChar"/>
          <w:sz w:val="20"/>
        </w:rPr>
        <w:t xml:space="preserve">class FeedbackProposal:</w:t>
      </w:r>
      <w:r>
        <w:rPr>
          <w:sz w:val="20"/>
        </w:rPr>
        <w:br/>
      </w:r>
      <w:r>
        <w:rPr>
          <w:rStyle w:val="VerbatimChar"/>
          <w:sz w:val="20"/>
        </w:rPr>
        <w:t xml:space="preserve">    proposal_id: str</w:t>
      </w:r>
      <w:r>
        <w:rPr>
          <w:sz w:val="20"/>
        </w:rPr>
        <w:br/>
      </w:r>
      <w:r>
        <w:rPr>
          <w:rStyle w:val="VerbatimChar"/>
          <w:sz w:val="20"/>
        </w:rPr>
        <w:t xml:space="preserve">    source_frame_ids: tuple[str, ...]</w:t>
      </w:r>
      <w:r>
        <w:rPr>
          <w:sz w:val="20"/>
        </w:rPr>
        <w:br/>
      </w:r>
      <w:r>
        <w:rPr>
          <w:rStyle w:val="VerbatimChar"/>
          <w:sz w:val="20"/>
        </w:rPr>
        <w:t xml:space="preserve">    objective: str</w:t>
      </w:r>
      <w:r>
        <w:rPr>
          <w:sz w:val="20"/>
        </w:rPr>
        <w:br/>
      </w:r>
      <w:r>
        <w:rPr>
          <w:rStyle w:val="VerbatimChar"/>
          <w:sz w:val="20"/>
        </w:rPr>
        <w:t xml:space="preserve">    rationale: str</w:t>
      </w:r>
      <w:r>
        <w:rPr>
          <w:sz w:val="20"/>
        </w:rPr>
        <w:br/>
      </w:r>
      <w:r>
        <w:rPr>
          <w:rStyle w:val="VerbatimChar"/>
          <w:sz w:val="20"/>
        </w:rPr>
        <w:t xml:space="preserve">    uncertainty: float</w:t>
      </w:r>
      <w:r>
        <w:rPr>
          <w:sz w:val="20"/>
        </w:rPr>
        <w:br/>
      </w:r>
      <w:r>
        <w:rPr>
          <w:rStyle w:val="VerbatimChar"/>
          <w:sz w:val="20"/>
        </w:rPr>
        <w:t xml:space="preserve">    target_region: str | None</w:t>
      </w:r>
      <w:r>
        <w:rPr>
          <w:sz w:val="20"/>
        </w:rPr>
        <w:br/>
      </w:r>
      <w:r>
        <w:rPr>
          <w:rStyle w:val="VerbatimChar"/>
          <w:sz w:val="20"/>
        </w:rPr>
        <w:t xml:space="preserve">    requested_modality: str</w:t>
      </w:r>
      <w:r>
        <w:rPr>
          <w:sz w:val="20"/>
        </w:rPr>
        <w:br/>
      </w:r>
      <w:r>
        <w:rPr>
          <w:rStyle w:val="VerbatimChar"/>
          <w:sz w:val="20"/>
        </w:rPr>
        <w:t xml:space="preserve">    intensity_ceiling: float</w:t>
      </w:r>
      <w:r>
        <w:rPr>
          <w:sz w:val="20"/>
        </w:rPr>
        <w:br/>
      </w:r>
      <w:r>
        <w:rPr>
          <w:rStyle w:val="VerbatimChar"/>
          <w:sz w:val="20"/>
        </w:rPr>
        <w:t xml:space="preserve">    duration_ceiling_ticks: int</w:t>
      </w:r>
      <w:r>
        <w:rPr>
          <w:sz w:val="20"/>
        </w:rPr>
        <w:br/>
      </w:r>
      <w:r>
        <w:rPr>
          <w:rStyle w:val="VerbatimChar"/>
          <w:sz w:val="20"/>
        </w:rPr>
        <w:t xml:space="preserve">    energy_budget: float</w:t>
      </w:r>
      <w:r>
        <w:rPr>
          <w:sz w:val="20"/>
        </w:rPr>
        <w:br/>
      </w:r>
      <w:r>
        <w:rPr>
          <w:rStyle w:val="VerbatimChar"/>
          <w:sz w:val="20"/>
        </w:rPr>
        <w:t xml:space="preserve">    expires_at_tick: int</w:t>
      </w:r>
      <w:r>
        <w:rPr>
          <w:sz w:val="20"/>
        </w:rPr>
        <w:br/>
      </w:r>
      <w:r>
        <w:rPr>
          <w:rStyle w:val="VerbatimChar"/>
          <w:sz w:val="20"/>
        </w:rPr>
        <w:t xml:space="preserve">    backend_id: str</w:t>
      </w:r>
      <w:r>
        <w:rPr>
          <w:sz w:val="20"/>
        </w:rPr>
        <w:br/>
      </w:r>
      <w:r>
        <w:rPr>
          <w:rStyle w:val="VerbatimChar"/>
          <w:sz w:val="20"/>
        </w:rPr>
        <w:t xml:space="preserve">    model_version: str</w:t>
      </w:r>
      <w:r>
        <w:rPr>
          <w:sz w:val="20"/>
        </w:rPr>
        <w:br/>
      </w:r>
      <w:r>
        <w:rPr>
          <w:rStyle w:val="VerbatimChar"/>
          <w:sz w:val="20"/>
        </w:rPr>
        <w:t xml:space="preserve">    prompt_hash: str</w:t>
      </w:r>
    </w:p>
    <w:p>
      <w:pPr>
        <w:pStyle w:val="FirstParagraph"/>
        <w:keepLines/>
        <w:spacing w:after="120"/>
        <w:jc w:val="left"/>
      </w:pPr>
      <w:r>
        <w:rPr>
          <w:rStyle w:val="VerbatimChar"/>
          <w:sz w:val="20"/>
        </w:rPr>
        <w:t xml:space="preserve">rationale</w:t>
      </w:r>
      <w:r>
        <w:rPr>
          <w:sz w:val="20"/>
        </w:rPr>
        <w:t xml:space="preserve"> </w:t>
      </w:r>
      <w:r>
        <w:rPr>
          <w:sz w:val="20"/>
        </w:rPr>
        <w:t xml:space="preserve">ist eine Modelläußerung, kein Beweis. Das PolicyGate prüft erlaubte Ziele, Grenzen, Cooldowns, Konflikte, Provenienz und Experimentmodus. Es kann den Vorschlag ablehnen, begrenzen oder in Quarantäne stellen. Die endgültige Stimulus-ID verweist auf Proposal und Gate-Entscheidung.</w:t>
      </w:r>
    </w:p>
    <w:bookmarkEnd w:id="334"/>
    <w:bookmarkStart w:id="335" w:name="backend-abstraktion"/>
    <w:p>
      <w:pPr>
        <w:pStyle w:val="Heading3"/>
        <w:keepLines/>
        <w:spacing w:after="120"/>
        <w:jc w:val="left"/>
      </w:pPr>
      <w:r>
        <w:rPr>
          <w:sz w:val="20"/>
        </w:rPr>
        <w:t xml:space="preserve">Backend-Abstraktion</w:t>
      </w:r>
    </w:p>
    <w:p>
      <w:pPr>
        <w:pStyle w:val="SourceCode"/>
        <w:keepNext w:val="0"/>
        <w:keepLines/>
        <w:spacing w:after="120"/>
        <w:jc w:val="left"/>
      </w:pPr>
      <w:r>
        <w:rPr>
          <w:rStyle w:val="VerbatimChar"/>
          <w:sz w:val="20"/>
        </w:rPr>
        <w:t xml:space="preserve">LanguageModelBackend</w:t>
      </w:r>
      <w:r>
        <w:rPr>
          <w:sz w:val="20"/>
        </w:rPr>
        <w:br/>
      </w:r>
      <w:r>
        <w:rPr>
          <w:rStyle w:val="VerbatimChar"/>
          <w:sz w:val="20"/>
        </w:rPr>
        <w:t xml:space="preserve">├── NullLanguageBackend</w:t>
      </w:r>
      <w:r>
        <w:rPr>
          <w:sz w:val="20"/>
        </w:rPr>
        <w:br/>
      </w:r>
      <w:r>
        <w:rPr>
          <w:rStyle w:val="VerbatimChar"/>
          <w:sz w:val="20"/>
        </w:rPr>
        <w:t xml:space="preserve">├── RuleBasedBackend</w:t>
      </w:r>
      <w:r>
        <w:rPr>
          <w:sz w:val="20"/>
        </w:rPr>
        <w:br/>
      </w:r>
      <w:r>
        <w:rPr>
          <w:rStyle w:val="VerbatimChar"/>
          <w:sz w:val="20"/>
        </w:rPr>
        <w:t xml:space="preserve">├── LocalLlamaCppBackend</w:t>
      </w:r>
      <w:r>
        <w:rPr>
          <w:sz w:val="20"/>
        </w:rPr>
        <w:br/>
      </w:r>
      <w:r>
        <w:rPr>
          <w:rStyle w:val="VerbatimChar"/>
          <w:sz w:val="20"/>
        </w:rPr>
        <w:t xml:space="preserve">├── RemoteAPIBackend</w:t>
      </w:r>
      <w:r>
        <w:rPr>
          <w:sz w:val="20"/>
        </w:rPr>
        <w:br/>
      </w:r>
      <w:r>
        <w:rPr>
          <w:rStyle w:val="VerbatimChar"/>
          <w:sz w:val="20"/>
        </w:rPr>
        <w:t xml:space="preserve">└── ExperimentalBackend</w:t>
      </w:r>
    </w:p>
    <w:p>
      <w:pPr>
        <w:pStyle w:val="FirstParagraph"/>
        <w:keepLines/>
        <w:spacing w:after="120"/>
        <w:jc w:val="left"/>
      </w:pPr>
      <w:r>
        <w:rPr>
          <w:sz w:val="20"/>
        </w:rPr>
        <w:t xml:space="preserve">Die konkrete Modellwahl ist eine Deployment- und Experimentvariable. Die wissenschaftliche Theorie darf nicht an ein bestimmtes kommerzielles oder lokales Modell gebunden werden. Modellname, Version, Quantisierung, Kontext, Systemprompt und Samplingparameter sind Teil der Run-Metadaten.</w:t>
      </w:r>
    </w:p>
    <w:bookmarkEnd w:id="335"/>
    <w:bookmarkStart w:id="336" w:name="asynchronität-und-latenz"/>
    <w:p>
      <w:pPr>
        <w:pStyle w:val="Heading3"/>
        <w:keepLines/>
        <w:spacing w:after="120"/>
        <w:jc w:val="left"/>
      </w:pPr>
      <w:r>
        <w:rPr>
          <w:sz w:val="20"/>
        </w:rPr>
        <w:t xml:space="preserve">Asynchronität und Latenz</w:t>
      </w:r>
    </w:p>
    <w:p>
      <w:pPr>
        <w:pStyle w:val="FirstParagraph"/>
        <w:keepLines/>
        <w:spacing w:after="120"/>
        <w:jc w:val="left"/>
      </w:pPr>
      <w:r>
        <w:rPr>
          <w:sz w:val="20"/>
        </w:rPr>
        <w:t xml:space="preserve">LLM-Inferenz kann um Größenordnungen langsamer sein als neuronale Ticks. Das Language Organ kommuniziert daher über begrenzte Queues und zeitgestempelte Nachrichten. Ein abgelaufener Vorschlag darf nicht verspätet in einen inzwischen anderen Netzwerkzustand eingreifen. Queue-Länge, Drop-Policy und Timeout werden protokolliert.</w:t>
      </w:r>
    </w:p>
    <w:bookmarkEnd w:id="336"/>
    <w:bookmarkStart w:id="337" w:name="decoder-als-hypothesengenerator"/>
    <w:p>
      <w:pPr>
        <w:pStyle w:val="Heading3"/>
        <w:keepLines/>
        <w:spacing w:after="120"/>
        <w:jc w:val="left"/>
      </w:pPr>
      <w:r>
        <w:rPr>
          <w:sz w:val="20"/>
        </w:rPr>
        <w:t xml:space="preserve">Decoder als Hypothesengenerator</w:t>
      </w:r>
    </w:p>
    <w:p>
      <w:pPr>
        <w:pStyle w:val="FirstParagraph"/>
        <w:keepLines/>
        <w:spacing w:after="120"/>
        <w:jc w:val="left"/>
      </w:pPr>
      <w:r>
        <w:rPr>
          <w:sz w:val="20"/>
        </w:rPr>
        <w:t xml:space="preserve">Die Kette</w:t>
      </w:r>
    </w:p>
    <w:p>
      <w:pPr>
        <w:pStyle w:val="BodyText"/>
        <w:keepLines/>
        <w:spacing w:after="140" w:before="100"/>
        <w:jc w:val="center"/>
      </w:pPr>
      <m:oMathPara>
        <m:oMathParaPr>
          <m:jc m:val="center"/>
        </m:oMathParaPr>
        <m:oMath>
          <m:r>
            <m:rPr>
              <m:nor/>
              <m:sty m:val="p"/>
            </m:rPr>
            <m:t>SpikeEvents</m:t>
          </m:r>
          <m:r>
            <m:rPr>
              <m:sty m:val="p"/>
            </m:rPr>
            <m:t>→</m:t>
          </m:r>
          <m:r>
            <m:rPr>
              <m:nor/>
              <m:sty m:val="p"/>
            </m:rPr>
            <m:t>SignalFrame</m:t>
          </m:r>
          <m:r>
            <m:rPr>
              <m:sty m:val="p"/>
            </m:rPr>
            <m:t>→</m:t>
          </m:r>
          <m:r>
            <m:rPr>
              <m:nor/>
              <m:sty m:val="p"/>
            </m:rPr>
            <m:t>Decoder</m:t>
          </m:r>
          <m:r>
            <m:rPr>
              <m:sty m:val="p"/>
            </m:rPr>
            <m:t>→</m:t>
          </m:r>
          <m:r>
            <m:rPr>
              <m:nor/>
              <m:sty m:val="p"/>
            </m:rPr>
            <m:t>Interpretation</m:t>
          </m:r>
        </m:oMath>
      </m:oMathPara>
    </w:p>
    <w:p>
      <w:pPr>
        <w:pStyle w:val="FirstParagraph"/>
        <w:keepLines/>
        <w:spacing w:after="120"/>
        <w:jc w:val="left"/>
      </w:pPr>
      <w:r>
        <w:rPr>
          <w:sz w:val="20"/>
        </w:rPr>
        <w:t xml:space="preserve">liefert eine</w:t>
      </w:r>
      <w:r>
        <w:rPr>
          <w:sz w:val="20"/>
        </w:rPr>
        <w:t xml:space="preserve"> </w:t>
      </w:r>
      <w:r>
        <w:rPr>
          <w:b/>
          <w:bCs/>
          <w:sz w:val="20"/>
        </w:rPr>
        <w:t xml:space="preserve">symbolische Hypothese</w:t>
      </w:r>
      <w:r>
        <w:rPr>
          <w:sz w:val="20"/>
        </w:rPr>
        <w:t xml:space="preserve">. Jede</w:t>
      </w:r>
      <w:r>
        <w:rPr>
          <w:sz w:val="20"/>
        </w:rPr>
        <w:t xml:space="preserve"> </w:t>
      </w:r>
      <w:r>
        <w:rPr>
          <w:rStyle w:val="VerbatimChar"/>
          <w:sz w:val="20"/>
        </w:rPr>
        <w:t xml:space="preserve">Interpretation</w:t>
      </w:r>
      <w:r>
        <w:rPr>
          <w:sz w:val="20"/>
        </w:rPr>
        <w:t xml:space="preserve"> </w:t>
      </w:r>
      <w:r>
        <w:rPr>
          <w:sz w:val="20"/>
        </w:rPr>
        <w:t xml:space="preserve">enthält Confidence, Decoder-Version, Trainingsdatenstatus, freigegebene Features und verknüpfte Frames. Ein sprachlich plausibler Text kann falsch, halluziniert oder stärker vom Decoder-Prior als vom Signal bestimmt sein.</w:t>
      </w:r>
    </w:p>
    <w:bookmarkEnd w:id="337"/>
    <w:bookmarkStart w:id="338" w:name="encoder-und-stimulusplan"/>
    <w:p>
      <w:pPr>
        <w:pStyle w:val="Heading3"/>
        <w:keepLines/>
        <w:spacing w:after="120"/>
        <w:jc w:val="left"/>
      </w:pPr>
      <w:r>
        <w:rPr>
          <w:sz w:val="20"/>
        </w:rPr>
        <w:t xml:space="preserve">Encoder und StimulusPlan</w:t>
      </w:r>
    </w:p>
    <w:p>
      <w:pPr>
        <w:pStyle w:val="FirstParagraph"/>
        <w:keepLines/>
        <w:spacing w:after="120"/>
        <w:jc w:val="left"/>
      </w:pPr>
      <w:r>
        <w:rPr>
          <w:sz w:val="20"/>
        </w:rPr>
        <w:t xml:space="preserve">Text wird nicht direkt in Gewichte geschrieben:</w:t>
      </w:r>
    </w:p>
    <w:p>
      <w:pPr>
        <w:pStyle w:val="BodyText"/>
        <w:keepLines/>
        <w:spacing w:after="140" w:before="100"/>
        <w:jc w:val="center"/>
      </w:pPr>
      <m:oMathPara>
        <m:oMathParaPr>
          <m:jc m:val="center"/>
        </m:oMathParaPr>
        <m:oMath>
          <m:r>
            <m:rPr>
              <m:nor/>
              <m:sty m:val="p"/>
            </m:rPr>
            <m:t>Text</m:t>
          </m:r>
          <m:r>
            <m:rPr>
              <m:sty m:val="p"/>
            </m:rPr>
            <m:t>→</m:t>
          </m:r>
          <m:r>
            <m:rPr>
              <m:nor/>
              <m:sty m:val="p"/>
            </m:rPr>
            <m:t>SemanticObject</m:t>
          </m:r>
          <m:r>
            <m:rPr>
              <m:sty m:val="p"/>
            </m:rPr>
            <m:t>→</m:t>
          </m:r>
          <m:r>
            <m:rPr>
              <m:nor/>
              <m:sty m:val="p"/>
            </m:rPr>
            <m:t>StimulusPlan</m:t>
          </m:r>
          <m:r>
            <m:rPr>
              <m:sty m:val="p"/>
            </m:rPr>
            <m:t>→</m:t>
          </m:r>
          <m:r>
            <m:rPr>
              <m:nor/>
              <m:sty m:val="p"/>
            </m:rPr>
            <m:t>InputEvents</m:t>
          </m:r>
          <m:r>
            <m:rPr>
              <m:sty m:val="p"/>
            </m:rPr>
            <m:t>.</m:t>
          </m:r>
        </m:oMath>
      </m:oMathPara>
    </w:p>
    <w:p>
      <w:pPr>
        <w:pStyle w:val="FirstParagraph"/>
        <w:keepLines/>
        <w:spacing w:after="120"/>
        <w:jc w:val="left"/>
      </w:pPr>
      <w:r>
        <w:rPr>
          <w:sz w:val="20"/>
        </w:rPr>
        <w:t xml:space="preserve">Ein minimaler</w:t>
      </w:r>
      <w:r>
        <w:rPr>
          <w:sz w:val="20"/>
        </w:rPr>
        <w:t xml:space="preserve"> </w:t>
      </w:r>
      <w:r>
        <w:rPr>
          <w:rStyle w:val="VerbatimChar"/>
          <w:sz w:val="20"/>
        </w:rPr>
        <w:t xml:space="preserve">StimulusPlan</w:t>
      </w:r>
      <w:r>
        <w:rPr>
          <w:sz w:val="20"/>
        </w:rPr>
        <w:t xml:space="preserve"> </w:t>
      </w:r>
      <w:r>
        <w:rPr>
          <w:sz w:val="20"/>
        </w:rPr>
        <w:t xml:space="preserve">enthält:</w:t>
      </w:r>
    </w:p>
    <w:p>
      <w:pPr>
        <w:pStyle w:val="SourceCode"/>
        <w:keepNext w:val="0"/>
        <w:keepLines/>
        <w:spacing w:after="120"/>
        <w:jc w:val="left"/>
      </w:pPr>
      <w:r>
        <w:rPr>
          <w:rStyle w:val="VerbatimChar"/>
          <w:sz w:val="20"/>
        </w:rPr>
        <w:t xml:space="preserve">stimulus_id: STIM-2026-000184</w:t>
      </w:r>
      <w:r>
        <w:rPr>
          <w:sz w:val="20"/>
        </w:rPr>
        <w:br/>
      </w:r>
      <w:r>
        <w:rPr>
          <w:rStyle w:val="VerbatimChar"/>
          <w:sz w:val="20"/>
        </w:rPr>
        <w:t xml:space="preserve">schema_version: 2.0</w:t>
      </w:r>
      <w:r>
        <w:rPr>
          <w:sz w:val="20"/>
        </w:rPr>
        <w:br/>
      </w:r>
      <w:r>
        <w:rPr>
          <w:rStyle w:val="VerbatimChar"/>
          <w:sz w:val="20"/>
        </w:rPr>
        <w:t xml:space="preserve">source_type: language_organ</w:t>
      </w:r>
      <w:r>
        <w:rPr>
          <w:sz w:val="20"/>
        </w:rPr>
        <w:br/>
      </w:r>
      <w:r>
        <w:rPr>
          <w:rStyle w:val="VerbatimChar"/>
          <w:sz w:val="20"/>
        </w:rPr>
        <w:t xml:space="preserve">source_record_ids: [SRC-018, KI-044]</w:t>
      </w:r>
      <w:r>
        <w:rPr>
          <w:sz w:val="20"/>
        </w:rPr>
        <w:br/>
      </w:r>
      <w:r>
        <w:rPr>
          <w:rStyle w:val="VerbatimChar"/>
          <w:sz w:val="20"/>
        </w:rPr>
        <w:t xml:space="preserve">target_region: input.language.de</w:t>
      </w:r>
      <w:r>
        <w:rPr>
          <w:sz w:val="20"/>
        </w:rPr>
        <w:br/>
      </w:r>
      <w:r>
        <w:rPr>
          <w:rStyle w:val="VerbatimChar"/>
          <w:sz w:val="20"/>
        </w:rPr>
        <w:t xml:space="preserve">start_tick: 820000</w:t>
      </w:r>
      <w:r>
        <w:rPr>
          <w:sz w:val="20"/>
        </w:rPr>
        <w:br/>
      </w:r>
      <w:r>
        <w:rPr>
          <w:rStyle w:val="VerbatimChar"/>
          <w:sz w:val="20"/>
        </w:rPr>
        <w:t xml:space="preserve">duration_ticks: 400</w:t>
      </w:r>
      <w:r>
        <w:rPr>
          <w:sz w:val="20"/>
        </w:rPr>
        <w:br/>
      </w:r>
      <w:r>
        <w:rPr>
          <w:rStyle w:val="VerbatimChar"/>
          <w:sz w:val="20"/>
        </w:rPr>
        <w:t xml:space="preserve">pattern_type: population_temporal_code</w:t>
      </w:r>
      <w:r>
        <w:rPr>
          <w:sz w:val="20"/>
        </w:rPr>
        <w:br/>
      </w:r>
      <w:r>
        <w:rPr>
          <w:rStyle w:val="VerbatimChar"/>
          <w:sz w:val="20"/>
        </w:rPr>
        <w:t xml:space="preserve">frequency_hz: 18.0</w:t>
      </w:r>
      <w:r>
        <w:rPr>
          <w:sz w:val="20"/>
        </w:rPr>
        <w:br/>
      </w:r>
      <w:r>
        <w:rPr>
          <w:rStyle w:val="VerbatimChar"/>
          <w:sz w:val="20"/>
        </w:rPr>
        <w:t xml:space="preserve">intensity: 0.32</w:t>
      </w:r>
      <w:r>
        <w:rPr>
          <w:sz w:val="20"/>
        </w:rPr>
        <w:br/>
      </w:r>
      <w:r>
        <w:rPr>
          <w:rStyle w:val="VerbatimChar"/>
          <w:sz w:val="20"/>
        </w:rPr>
        <w:t xml:space="preserve">spatial_distribution: gaussian</w:t>
      </w:r>
      <w:r>
        <w:rPr>
          <w:sz w:val="20"/>
        </w:rPr>
        <w:br/>
      </w:r>
      <w:r>
        <w:rPr>
          <w:rStyle w:val="VerbatimChar"/>
          <w:sz w:val="20"/>
        </w:rPr>
        <w:t xml:space="preserve">random_seed: 99172</w:t>
      </w:r>
      <w:r>
        <w:rPr>
          <w:sz w:val="20"/>
        </w:rPr>
        <w:br/>
      </w:r>
      <w:r>
        <w:rPr>
          <w:rStyle w:val="VerbatimChar"/>
          <w:sz w:val="20"/>
        </w:rPr>
        <w:t xml:space="preserve">safety_class: research_low_energy</w:t>
      </w:r>
      <w:r>
        <w:rPr>
          <w:sz w:val="20"/>
        </w:rPr>
        <w:br/>
      </w:r>
      <w:r>
        <w:rPr>
          <w:rStyle w:val="VerbatimChar"/>
          <w:sz w:val="20"/>
        </w:rPr>
        <w:t xml:space="preserve">encoder_version: semantic-encoder-0.3</w:t>
      </w:r>
      <w:r>
        <w:rPr>
          <w:sz w:val="20"/>
        </w:rPr>
        <w:br/>
      </w:r>
      <w:r>
        <w:rPr>
          <w:rStyle w:val="VerbatimChar"/>
          <w:sz w:val="20"/>
        </w:rPr>
        <w:t xml:space="preserve">content_hash: sha256:...</w:t>
      </w:r>
    </w:p>
    <w:bookmarkEnd w:id="338"/>
    <w:bookmarkStart w:id="339" w:name="language-organ-ablationen"/>
    <w:p>
      <w:pPr>
        <w:pStyle w:val="Heading3"/>
        <w:keepLines/>
        <w:spacing w:after="120"/>
        <w:jc w:val="left"/>
      </w:pPr>
      <w:r>
        <w:rPr>
          <w:sz w:val="20"/>
        </w:rPr>
        <w:t xml:space="preserve">Language-Organ-Ablationen</w:t>
      </w:r>
    </w:p>
    <w:p>
      <w:pPr>
        <w:pStyle w:val="Caption"/>
        <w:keepNext/>
        <w:keepLines/>
        <w:spacing w:before="180" w:after="120"/>
        <w:jc w:val="left"/>
      </w:pPr>
      <w:r>
        <w:rPr>
          <w:sz w:val="20"/>
        </w:rPr>
        <w:t>Tabelle 24. Ablationsbedingungen für das Language Organ</w:t>
      </w:r>
    </w:p>
    <w:tbl>
      <w:tblPr>
        <w:tblStyle w:val="Table"/>
        <w:tblW w:type="pct" w:w="4909"/>
        <w:jc w:val="center"/>
        <w:tblLayout w:type="fixed"/>
        <w:tblLook w:firstRow="1" w:lastRow="0" w:firstColumn="0" w:lastColumn="0" w:noHBand="0" w:noVBand="0" w:val="0020"/>
        <w:tblInd w:w="0" w:type="dxa"/>
        <w:tblCellMar>
          <w:top w:w="70" w:type="dxa"/>
          <w:bottom w:w="70" w:type="dxa"/>
          <w:left w:w="85" w:type="dxa"/>
          <w:right w:w="85" w:type="dxa"/>
        </w:tblCellMar>
        <w:tblBorders>
          <w:top w:val="single" w:sz="4" w:color="CCD4D9"/>
          <w:bottom w:val="single" w:sz="4" w:color="CCD4D9"/>
          <w:insideH w:val="single" w:sz="4" w:color="CCD4D9"/>
          <w:left w:val="nil"/>
          <w:right w:val="nil"/>
          <w:insideV w:val="nil"/>
        </w:tblBorders>
      </w:tblPr>
      <w:tblGrid>
        <w:gridCol w:w="1123"/>
        <w:gridCol w:w="1008"/>
        <w:gridCol w:w="1008"/>
        <w:gridCol w:w="1094"/>
        <w:gridCol w:w="1080"/>
        <w:gridCol w:w="4536"/>
      </w:tblGrid>
      <w:tr>
        <w:trPr>
          <w:tblHeader w:val="on"/>
          <w:cantSplit/>
          <w:tblHeader/>
        </w:trPr>
        <w:tc>
          <w:tcPr>
            <w:tcW w:type="dxa" w:w="1123"/>
            <w:vAlign w:val="center"/>
            <w:shd w:fill="E9EFF3"/>
          </w:tcPr>
          <w:p>
            <w:pPr>
              <w:pStyle w:val="Compact"/>
              <w:keepNext w:val="0"/>
              <w:keepLines/>
              <w:spacing w:before="20" w:after="20" w:line="250" w:lineRule="auto"/>
              <w:jc w:val="center"/>
            </w:pPr>
            <w:r>
              <w:rPr>
                <w:rFonts w:ascii="Liberation Sans" w:hAnsi="Liberation Sans"/>
                <w:b/>
                <w:bCs/>
                <w:sz w:val="18"/>
              </w:rPr>
              <w:t xml:space="preserve">Bedingung</w:t>
            </w:r>
          </w:p>
        </w:tc>
        <w:tc>
          <w:tcPr>
            <w:tcW w:type="dxa" w:w="1008"/>
            <w:vAlign w:val="center"/>
            <w:shd w:fill="E9EFF3"/>
          </w:tcPr>
          <w:p>
            <w:pPr>
              <w:pStyle w:val="Compact"/>
              <w:keepNext w:val="0"/>
              <w:keepLines/>
              <w:spacing w:before="20" w:after="20" w:line="250" w:lineRule="auto"/>
              <w:jc w:val="center"/>
            </w:pPr>
            <w:r>
              <w:rPr>
                <w:rFonts w:ascii="Liberation Sans" w:hAnsi="Liberation Sans"/>
                <w:b/>
                <w:bCs/>
                <w:sz w:val="18"/>
              </w:rPr>
              <w:t xml:space="preserve">Encoder</w:t>
            </w:r>
          </w:p>
        </w:tc>
        <w:tc>
          <w:tcPr>
            <w:tcW w:type="dxa" w:w="1008"/>
            <w:vAlign w:val="center"/>
            <w:shd w:fill="E9EFF3"/>
          </w:tcPr>
          <w:p>
            <w:pPr>
              <w:pStyle w:val="Compact"/>
              <w:keepNext w:val="0"/>
              <w:keepLines/>
              <w:spacing w:before="20" w:after="20" w:line="250" w:lineRule="auto"/>
              <w:jc w:val="center"/>
            </w:pPr>
            <w:r>
              <w:rPr>
                <w:rFonts w:ascii="Liberation Sans" w:hAnsi="Liberation Sans"/>
                <w:b/>
                <w:bCs/>
                <w:sz w:val="18"/>
              </w:rPr>
              <w:t xml:space="preserve">Decoder</w:t>
            </w:r>
          </w:p>
        </w:tc>
        <w:tc>
          <w:tcPr>
            <w:tcW w:type="dxa" w:w="1094"/>
            <w:vAlign w:val="center"/>
            <w:shd w:fill="E9EFF3"/>
          </w:tcPr>
          <w:p>
            <w:pPr>
              <w:pStyle w:val="Compact"/>
              <w:keepNext w:val="0"/>
              <w:keepLines/>
              <w:spacing w:before="20" w:after="20" w:line="250" w:lineRule="auto"/>
              <w:jc w:val="center"/>
            </w:pPr>
            <w:r>
              <w:rPr>
                <w:rFonts w:ascii="Liberation Sans" w:hAnsi="Liberation Sans"/>
                <w:b/>
                <w:bCs/>
                <w:sz w:val="18"/>
              </w:rPr>
              <w:t xml:space="preserve">Feedback</w:t>
            </w:r>
          </w:p>
        </w:tc>
        <w:tc>
          <w:tcPr>
            <w:tcW w:type="dxa" w:w="1080"/>
            <w:vAlign w:val="center"/>
            <w:shd w:fill="E9EFF3"/>
          </w:tcPr>
          <w:p>
            <w:pPr>
              <w:pStyle w:val="Compact"/>
              <w:keepNext w:val="0"/>
              <w:keepLines/>
              <w:spacing w:before="20" w:after="20" w:line="250" w:lineRule="auto"/>
              <w:jc w:val="center"/>
            </w:pPr>
            <w:r>
              <w:rPr>
                <w:rFonts w:ascii="Liberation Sans" w:hAnsi="Liberation Sans"/>
                <w:b/>
                <w:bCs/>
                <w:sz w:val="18"/>
              </w:rPr>
              <w:t xml:space="preserve">Retrieval</w:t>
            </w:r>
          </w:p>
        </w:tc>
        <w:tc>
          <w:tcPr>
            <w:tcW w:type="dxa" w:w="4536"/>
            <w:vAlign w:val="center"/>
            <w:shd w:fill="E9EFF3"/>
          </w:tcPr>
          <w:p>
            <w:pPr>
              <w:pStyle w:val="Compact"/>
              <w:keepNext w:val="0"/>
              <w:keepLines/>
              <w:spacing w:before="20" w:after="20" w:line="250" w:lineRule="auto"/>
              <w:jc w:val="left"/>
            </w:pPr>
            <w:r>
              <w:rPr>
                <w:rFonts w:ascii="Liberation Sans" w:hAnsi="Liberation Sans"/>
                <w:b/>
                <w:bCs/>
                <w:sz w:val="18"/>
              </w:rPr>
              <w:t xml:space="preserve">Zweck</w:t>
            </w:r>
          </w:p>
        </w:tc>
      </w:tr>
      <w:tr>
        <w:trPr>
          <w:cantSplit/>
        </w:trPr>
        <w:tc>
          <w:tcPr>
            <w:tcW w:type="dxa" w:w="1123"/>
            <w:vAlign w:val="center"/>
          </w:tcPr>
          <w:p>
            <w:pPr>
              <w:pStyle w:val="Compact"/>
              <w:keepNext w:val="0"/>
              <w:keepLines/>
              <w:spacing w:before="20" w:after="20" w:line="250" w:lineRule="auto"/>
              <w:jc w:val="center"/>
            </w:pPr>
            <w:r>
              <w:rPr>
                <w:rFonts w:ascii="Liberation Sans" w:hAnsi="Liberation Sans"/>
                <w:sz w:val="18"/>
              </w:rPr>
              <w:t xml:space="preserve">L0</w:t>
            </w:r>
          </w:p>
        </w:tc>
        <w:tc>
          <w:tcPr>
            <w:tcW w:type="dxa" w:w="1008"/>
            <w:vAlign w:val="center"/>
          </w:tcPr>
          <w:p>
            <w:pPr>
              <w:pStyle w:val="Compact"/>
              <w:keepNext w:val="0"/>
              <w:keepLines/>
              <w:spacing w:before="20" w:after="20" w:line="250" w:lineRule="auto"/>
              <w:jc w:val="center"/>
            </w:pPr>
            <w:r>
              <w:rPr>
                <w:rFonts w:ascii="Liberation Sans" w:hAnsi="Liberation Sans"/>
                <w:sz w:val="18"/>
              </w:rPr>
              <w:t xml:space="preserve">nein</w:t>
            </w:r>
          </w:p>
        </w:tc>
        <w:tc>
          <w:tcPr>
            <w:tcW w:type="dxa" w:w="1008"/>
            <w:vAlign w:val="center"/>
          </w:tcPr>
          <w:p>
            <w:pPr>
              <w:pStyle w:val="Compact"/>
              <w:keepNext w:val="0"/>
              <w:keepLines/>
              <w:spacing w:before="20" w:after="20" w:line="250" w:lineRule="auto"/>
              <w:jc w:val="center"/>
            </w:pPr>
            <w:r>
              <w:rPr>
                <w:rFonts w:ascii="Liberation Sans" w:hAnsi="Liberation Sans"/>
                <w:sz w:val="18"/>
              </w:rPr>
              <w:t xml:space="preserve">nein</w:t>
            </w:r>
          </w:p>
        </w:tc>
        <w:tc>
          <w:tcPr>
            <w:tcW w:type="dxa" w:w="1094"/>
            <w:vAlign w:val="center"/>
          </w:tcPr>
          <w:p>
            <w:pPr>
              <w:pStyle w:val="Compact"/>
              <w:keepNext w:val="0"/>
              <w:keepLines/>
              <w:spacing w:before="20" w:after="20" w:line="250" w:lineRule="auto"/>
              <w:jc w:val="center"/>
            </w:pPr>
            <w:r>
              <w:rPr>
                <w:rFonts w:ascii="Liberation Sans" w:hAnsi="Liberation Sans"/>
                <w:sz w:val="18"/>
              </w:rPr>
              <w:t xml:space="preserve">nein</w:t>
            </w:r>
          </w:p>
        </w:tc>
        <w:tc>
          <w:tcPr>
            <w:tcW w:type="dxa" w:w="1080"/>
            <w:vAlign w:val="center"/>
          </w:tcPr>
          <w:p>
            <w:pPr>
              <w:pStyle w:val="Compact"/>
              <w:keepNext w:val="0"/>
              <w:keepLines/>
              <w:spacing w:before="20" w:after="20" w:line="250" w:lineRule="auto"/>
              <w:jc w:val="center"/>
            </w:pPr>
            <w:r>
              <w:rPr>
                <w:rFonts w:ascii="Liberation Sans" w:hAnsi="Liberation Sans"/>
                <w:sz w:val="18"/>
              </w:rPr>
              <w:t xml:space="preserve">nein</w:t>
            </w:r>
          </w:p>
        </w:tc>
        <w:tc>
          <w:tcPr>
            <w:tcW w:type="dxa" w:w="4536"/>
            <w:vAlign w:val="center"/>
          </w:tcPr>
          <w:p>
            <w:pPr>
              <w:pStyle w:val="Compact"/>
              <w:keepNext w:val="0"/>
              <w:keepLines/>
              <w:spacing w:before="20" w:after="20" w:line="250" w:lineRule="auto"/>
              <w:jc w:val="left"/>
            </w:pPr>
            <w:r>
              <w:rPr>
                <w:rFonts w:ascii="Liberation Sans" w:hAnsi="Liberation Sans"/>
                <w:sz w:val="18"/>
              </w:rPr>
              <w:t xml:space="preserve">autonomer SNN-Kern</w:t>
            </w:r>
          </w:p>
        </w:tc>
      </w:tr>
      <w:tr>
        <w:trPr>
          <w:cantSplit/>
        </w:trPr>
        <w:tc>
          <w:tcPr>
            <w:tcW w:type="dxa" w:w="1123"/>
            <w:vAlign w:val="center"/>
          </w:tcPr>
          <w:p>
            <w:pPr>
              <w:pStyle w:val="Compact"/>
              <w:keepNext w:val="0"/>
              <w:keepLines/>
              <w:spacing w:before="20" w:after="20" w:line="250" w:lineRule="auto"/>
              <w:jc w:val="center"/>
            </w:pPr>
            <w:r>
              <w:rPr>
                <w:rFonts w:ascii="Liberation Sans" w:hAnsi="Liberation Sans"/>
                <w:sz w:val="18"/>
              </w:rPr>
              <w:t xml:space="preserve">L1</w:t>
            </w:r>
          </w:p>
        </w:tc>
        <w:tc>
          <w:tcPr>
            <w:tcW w:type="dxa" w:w="1008"/>
            <w:vAlign w:val="center"/>
          </w:tcPr>
          <w:p>
            <w:pPr>
              <w:pStyle w:val="Compact"/>
              <w:keepNext w:val="0"/>
              <w:keepLines/>
              <w:spacing w:before="20" w:after="20" w:line="250" w:lineRule="auto"/>
              <w:jc w:val="center"/>
            </w:pPr>
            <w:r>
              <w:rPr>
                <w:rFonts w:ascii="Liberation Sans" w:hAnsi="Liberation Sans"/>
                <w:sz w:val="18"/>
              </w:rPr>
              <w:t xml:space="preserve">nein</w:t>
            </w:r>
          </w:p>
        </w:tc>
        <w:tc>
          <w:tcPr>
            <w:tcW w:type="dxa" w:w="1008"/>
            <w:vAlign w:val="center"/>
          </w:tcPr>
          <w:p>
            <w:pPr>
              <w:pStyle w:val="Compact"/>
              <w:keepNext w:val="0"/>
              <w:keepLines/>
              <w:spacing w:before="20" w:after="20" w:line="250" w:lineRule="auto"/>
              <w:jc w:val="center"/>
            </w:pPr>
            <w:r>
              <w:rPr>
                <w:rFonts w:ascii="Liberation Sans" w:hAnsi="Liberation Sans"/>
                <w:sz w:val="18"/>
              </w:rPr>
              <w:t xml:space="preserve">ja</w:t>
            </w:r>
          </w:p>
        </w:tc>
        <w:tc>
          <w:tcPr>
            <w:tcW w:type="dxa" w:w="1094"/>
            <w:vAlign w:val="center"/>
          </w:tcPr>
          <w:p>
            <w:pPr>
              <w:pStyle w:val="Compact"/>
              <w:keepNext w:val="0"/>
              <w:keepLines/>
              <w:spacing w:before="20" w:after="20" w:line="250" w:lineRule="auto"/>
              <w:jc w:val="center"/>
            </w:pPr>
            <w:r>
              <w:rPr>
                <w:rFonts w:ascii="Liberation Sans" w:hAnsi="Liberation Sans"/>
                <w:sz w:val="18"/>
              </w:rPr>
              <w:t xml:space="preserve">nein</w:t>
            </w:r>
          </w:p>
        </w:tc>
        <w:tc>
          <w:tcPr>
            <w:tcW w:type="dxa" w:w="1080"/>
            <w:vAlign w:val="center"/>
          </w:tcPr>
          <w:p>
            <w:pPr>
              <w:pStyle w:val="Compact"/>
              <w:keepNext w:val="0"/>
              <w:keepLines/>
              <w:spacing w:before="20" w:after="20" w:line="250" w:lineRule="auto"/>
              <w:jc w:val="center"/>
            </w:pPr>
            <w:r>
              <w:rPr>
                <w:rFonts w:ascii="Liberation Sans" w:hAnsi="Liberation Sans"/>
                <w:sz w:val="18"/>
              </w:rPr>
              <w:t xml:space="preserve">nein</w:t>
            </w:r>
          </w:p>
        </w:tc>
        <w:tc>
          <w:tcPr>
            <w:tcW w:type="dxa" w:w="4536"/>
            <w:vAlign w:val="center"/>
          </w:tcPr>
          <w:p>
            <w:pPr>
              <w:pStyle w:val="Compact"/>
              <w:keepNext w:val="0"/>
              <w:keepLines/>
              <w:spacing w:before="20" w:after="20" w:line="250" w:lineRule="auto"/>
              <w:jc w:val="left"/>
            </w:pPr>
            <w:r>
              <w:rPr>
                <w:rFonts w:ascii="Liberation Sans" w:hAnsi="Liberation Sans"/>
                <w:sz w:val="18"/>
              </w:rPr>
              <w:t xml:space="preserve">reine Output-Interpretation</w:t>
            </w:r>
          </w:p>
        </w:tc>
      </w:tr>
      <w:tr>
        <w:trPr>
          <w:cantSplit/>
        </w:trPr>
        <w:tc>
          <w:tcPr>
            <w:tcW w:type="dxa" w:w="1123"/>
            <w:vAlign w:val="center"/>
          </w:tcPr>
          <w:p>
            <w:pPr>
              <w:pStyle w:val="Compact"/>
              <w:keepNext w:val="0"/>
              <w:keepLines/>
              <w:spacing w:before="20" w:after="20" w:line="250" w:lineRule="auto"/>
              <w:jc w:val="center"/>
            </w:pPr>
            <w:r>
              <w:rPr>
                <w:rFonts w:ascii="Liberation Sans" w:hAnsi="Liberation Sans"/>
                <w:sz w:val="18"/>
              </w:rPr>
              <w:t xml:space="preserve">L2</w:t>
            </w:r>
          </w:p>
        </w:tc>
        <w:tc>
          <w:tcPr>
            <w:tcW w:type="dxa" w:w="1008"/>
            <w:vAlign w:val="center"/>
          </w:tcPr>
          <w:p>
            <w:pPr>
              <w:pStyle w:val="Compact"/>
              <w:keepNext w:val="0"/>
              <w:keepLines/>
              <w:spacing w:before="20" w:after="20" w:line="250" w:lineRule="auto"/>
              <w:jc w:val="center"/>
            </w:pPr>
            <w:r>
              <w:rPr>
                <w:rFonts w:ascii="Liberation Sans" w:hAnsi="Liberation Sans"/>
                <w:sz w:val="18"/>
              </w:rPr>
              <w:t xml:space="preserve">ja</w:t>
            </w:r>
          </w:p>
        </w:tc>
        <w:tc>
          <w:tcPr>
            <w:tcW w:type="dxa" w:w="1008"/>
            <w:vAlign w:val="center"/>
          </w:tcPr>
          <w:p>
            <w:pPr>
              <w:pStyle w:val="Compact"/>
              <w:keepNext w:val="0"/>
              <w:keepLines/>
              <w:spacing w:before="20" w:after="20" w:line="250" w:lineRule="auto"/>
              <w:jc w:val="center"/>
            </w:pPr>
            <w:r>
              <w:rPr>
                <w:rFonts w:ascii="Liberation Sans" w:hAnsi="Liberation Sans"/>
                <w:sz w:val="18"/>
              </w:rPr>
              <w:t xml:space="preserve">ja</w:t>
            </w:r>
          </w:p>
        </w:tc>
        <w:tc>
          <w:tcPr>
            <w:tcW w:type="dxa" w:w="1094"/>
            <w:vAlign w:val="center"/>
          </w:tcPr>
          <w:p>
            <w:pPr>
              <w:pStyle w:val="Compact"/>
              <w:keepNext w:val="0"/>
              <w:keepLines/>
              <w:spacing w:before="20" w:after="20" w:line="250" w:lineRule="auto"/>
              <w:jc w:val="center"/>
            </w:pPr>
            <w:r>
              <w:rPr>
                <w:rFonts w:ascii="Liberation Sans" w:hAnsi="Liberation Sans"/>
                <w:sz w:val="18"/>
              </w:rPr>
              <w:t xml:space="preserve">nein</w:t>
            </w:r>
          </w:p>
        </w:tc>
        <w:tc>
          <w:tcPr>
            <w:tcW w:type="dxa" w:w="1080"/>
            <w:vAlign w:val="center"/>
          </w:tcPr>
          <w:p>
            <w:pPr>
              <w:pStyle w:val="Compact"/>
              <w:keepNext w:val="0"/>
              <w:keepLines/>
              <w:spacing w:before="20" w:after="20" w:line="250" w:lineRule="auto"/>
              <w:jc w:val="center"/>
            </w:pPr>
            <w:r>
              <w:rPr>
                <w:rFonts w:ascii="Liberation Sans" w:hAnsi="Liberation Sans"/>
                <w:sz w:val="18"/>
              </w:rPr>
              <w:t xml:space="preserve">nein</w:t>
            </w:r>
          </w:p>
        </w:tc>
        <w:tc>
          <w:tcPr>
            <w:tcW w:type="dxa" w:w="4536"/>
            <w:vAlign w:val="center"/>
          </w:tcPr>
          <w:p>
            <w:pPr>
              <w:pStyle w:val="Compact"/>
              <w:keepNext w:val="0"/>
              <w:keepLines/>
              <w:spacing w:before="20" w:after="20" w:line="250" w:lineRule="auto"/>
              <w:jc w:val="left"/>
            </w:pPr>
            <w:r>
              <w:rPr>
                <w:rFonts w:ascii="Liberation Sans" w:hAnsi="Liberation Sans"/>
                <w:sz w:val="18"/>
              </w:rPr>
              <w:t xml:space="preserve">symbolische I/O-Brücke</w:t>
            </w:r>
          </w:p>
        </w:tc>
      </w:tr>
      <w:tr>
        <w:trPr>
          <w:cantSplit/>
        </w:trPr>
        <w:tc>
          <w:tcPr>
            <w:tcW w:type="dxa" w:w="1123"/>
            <w:vAlign w:val="center"/>
          </w:tcPr>
          <w:p>
            <w:pPr>
              <w:pStyle w:val="Compact"/>
              <w:keepNext w:val="0"/>
              <w:keepLines/>
              <w:spacing w:before="20" w:after="20" w:line="250" w:lineRule="auto"/>
              <w:jc w:val="center"/>
            </w:pPr>
            <w:r>
              <w:rPr>
                <w:rFonts w:ascii="Liberation Sans" w:hAnsi="Liberation Sans"/>
                <w:sz w:val="18"/>
              </w:rPr>
              <w:t xml:space="preserve">L3</w:t>
            </w:r>
          </w:p>
        </w:tc>
        <w:tc>
          <w:tcPr>
            <w:tcW w:type="dxa" w:w="1008"/>
            <w:vAlign w:val="center"/>
          </w:tcPr>
          <w:p>
            <w:pPr>
              <w:pStyle w:val="Compact"/>
              <w:keepNext w:val="0"/>
              <w:keepLines/>
              <w:spacing w:before="20" w:after="20" w:line="250" w:lineRule="auto"/>
              <w:jc w:val="center"/>
            </w:pPr>
            <w:r>
              <w:rPr>
                <w:rFonts w:ascii="Liberation Sans" w:hAnsi="Liberation Sans"/>
                <w:sz w:val="18"/>
              </w:rPr>
              <w:t xml:space="preserve">ja</w:t>
            </w:r>
          </w:p>
        </w:tc>
        <w:tc>
          <w:tcPr>
            <w:tcW w:type="dxa" w:w="1008"/>
            <w:vAlign w:val="center"/>
          </w:tcPr>
          <w:p>
            <w:pPr>
              <w:pStyle w:val="Compact"/>
              <w:keepNext w:val="0"/>
              <w:keepLines/>
              <w:spacing w:before="20" w:after="20" w:line="250" w:lineRule="auto"/>
              <w:jc w:val="center"/>
            </w:pPr>
            <w:r>
              <w:rPr>
                <w:rFonts w:ascii="Liberation Sans" w:hAnsi="Liberation Sans"/>
                <w:sz w:val="18"/>
              </w:rPr>
              <w:t xml:space="preserve">ja</w:t>
            </w:r>
          </w:p>
        </w:tc>
        <w:tc>
          <w:tcPr>
            <w:tcW w:type="dxa" w:w="1094"/>
            <w:vAlign w:val="center"/>
          </w:tcPr>
          <w:p>
            <w:pPr>
              <w:pStyle w:val="Compact"/>
              <w:keepNext w:val="0"/>
              <w:keepLines/>
              <w:spacing w:before="20" w:after="20" w:line="250" w:lineRule="auto"/>
              <w:jc w:val="center"/>
            </w:pPr>
            <w:r>
              <w:rPr>
                <w:rFonts w:ascii="Liberation Sans" w:hAnsi="Liberation Sans"/>
                <w:sz w:val="18"/>
              </w:rPr>
              <w:t xml:space="preserve">PolicyGate</w:t>
            </w:r>
          </w:p>
        </w:tc>
        <w:tc>
          <w:tcPr>
            <w:tcW w:type="dxa" w:w="1080"/>
            <w:vAlign w:val="center"/>
          </w:tcPr>
          <w:p>
            <w:pPr>
              <w:pStyle w:val="Compact"/>
              <w:keepNext w:val="0"/>
              <w:keepLines/>
              <w:spacing w:before="20" w:after="20" w:line="250" w:lineRule="auto"/>
              <w:jc w:val="center"/>
            </w:pPr>
            <w:r>
              <w:rPr>
                <w:rFonts w:ascii="Liberation Sans" w:hAnsi="Liberation Sans"/>
                <w:sz w:val="18"/>
              </w:rPr>
              <w:t xml:space="preserve">nein</w:t>
            </w:r>
          </w:p>
        </w:tc>
        <w:tc>
          <w:tcPr>
            <w:tcW w:type="dxa" w:w="4536"/>
            <w:vAlign w:val="center"/>
          </w:tcPr>
          <w:p>
            <w:pPr>
              <w:pStyle w:val="Compact"/>
              <w:keepNext w:val="0"/>
              <w:keepLines/>
              <w:spacing w:before="20" w:after="20" w:line="250" w:lineRule="auto"/>
              <w:jc w:val="left"/>
            </w:pPr>
            <w:r>
              <w:rPr>
                <w:rFonts w:ascii="Liberation Sans" w:hAnsi="Liberation Sans"/>
                <w:sz w:val="18"/>
              </w:rPr>
              <w:t xml:space="preserve">kontrollierte Rückkopplung</w:t>
            </w:r>
          </w:p>
        </w:tc>
      </w:tr>
      <w:tr>
        <w:trPr>
          <w:cantSplit/>
        </w:trPr>
        <w:tc>
          <w:tcPr>
            <w:tcW w:type="dxa" w:w="1123"/>
            <w:vAlign w:val="center"/>
          </w:tcPr>
          <w:p>
            <w:pPr>
              <w:pStyle w:val="Compact"/>
              <w:keepNext w:val="0"/>
              <w:keepLines/>
              <w:spacing w:before="20" w:after="20" w:line="250" w:lineRule="auto"/>
              <w:jc w:val="center"/>
            </w:pPr>
            <w:r>
              <w:rPr>
                <w:rFonts w:ascii="Liberation Sans" w:hAnsi="Liberation Sans"/>
                <w:sz w:val="18"/>
              </w:rPr>
              <w:t xml:space="preserve">L4</w:t>
            </w:r>
          </w:p>
        </w:tc>
        <w:tc>
          <w:tcPr>
            <w:tcW w:type="dxa" w:w="1008"/>
            <w:vAlign w:val="center"/>
          </w:tcPr>
          <w:p>
            <w:pPr>
              <w:pStyle w:val="Compact"/>
              <w:keepNext w:val="0"/>
              <w:keepLines/>
              <w:spacing w:before="20" w:after="20" w:line="250" w:lineRule="auto"/>
              <w:jc w:val="center"/>
            </w:pPr>
            <w:r>
              <w:rPr>
                <w:rFonts w:ascii="Liberation Sans" w:hAnsi="Liberation Sans"/>
                <w:sz w:val="18"/>
              </w:rPr>
              <w:t xml:space="preserve">ja</w:t>
            </w:r>
          </w:p>
        </w:tc>
        <w:tc>
          <w:tcPr>
            <w:tcW w:type="dxa" w:w="1008"/>
            <w:vAlign w:val="center"/>
          </w:tcPr>
          <w:p>
            <w:pPr>
              <w:pStyle w:val="Compact"/>
              <w:keepNext w:val="0"/>
              <w:keepLines/>
              <w:spacing w:before="20" w:after="20" w:line="250" w:lineRule="auto"/>
              <w:jc w:val="center"/>
            </w:pPr>
            <w:r>
              <w:rPr>
                <w:rFonts w:ascii="Liberation Sans" w:hAnsi="Liberation Sans"/>
                <w:sz w:val="18"/>
              </w:rPr>
              <w:t xml:space="preserve">ja</w:t>
            </w:r>
          </w:p>
        </w:tc>
        <w:tc>
          <w:tcPr>
            <w:tcW w:type="dxa" w:w="1094"/>
            <w:vAlign w:val="center"/>
          </w:tcPr>
          <w:p>
            <w:pPr>
              <w:pStyle w:val="Compact"/>
              <w:keepNext w:val="0"/>
              <w:keepLines/>
              <w:spacing w:before="20" w:after="20" w:line="250" w:lineRule="auto"/>
              <w:jc w:val="center"/>
            </w:pPr>
            <w:r>
              <w:rPr>
                <w:rFonts w:ascii="Liberation Sans" w:hAnsi="Liberation Sans"/>
                <w:sz w:val="18"/>
              </w:rPr>
              <w:t xml:space="preserve">PolicyGate</w:t>
            </w:r>
          </w:p>
        </w:tc>
        <w:tc>
          <w:tcPr>
            <w:tcW w:type="dxa" w:w="1080"/>
            <w:vAlign w:val="center"/>
          </w:tcPr>
          <w:p>
            <w:pPr>
              <w:pStyle w:val="Compact"/>
              <w:keepNext w:val="0"/>
              <w:keepLines/>
              <w:spacing w:before="20" w:after="20" w:line="250" w:lineRule="auto"/>
              <w:jc w:val="center"/>
            </w:pPr>
            <w:r>
              <w:rPr>
                <w:rFonts w:ascii="Liberation Sans" w:hAnsi="Liberation Sans"/>
                <w:sz w:val="18"/>
              </w:rPr>
              <w:t xml:space="preserve">ja</w:t>
            </w:r>
          </w:p>
        </w:tc>
        <w:tc>
          <w:tcPr>
            <w:tcW w:type="dxa" w:w="4536"/>
            <w:vAlign w:val="center"/>
          </w:tcPr>
          <w:p>
            <w:pPr>
              <w:pStyle w:val="Compact"/>
              <w:keepNext w:val="0"/>
              <w:keepLines/>
              <w:spacing w:before="20" w:after="20" w:line="250" w:lineRule="auto"/>
              <w:jc w:val="left"/>
            </w:pPr>
            <w:r>
              <w:rPr>
                <w:rFonts w:ascii="Liberation Sans" w:hAnsi="Liberation Sans"/>
                <w:sz w:val="18"/>
              </w:rPr>
              <w:t xml:space="preserve">vollständige hybride Bedingung</w:t>
            </w:r>
          </w:p>
        </w:tc>
      </w:tr>
    </w:tbl>
    <w:p>
      <w:pPr>
        <w:pStyle w:val="BodyText"/>
        <w:keepLines/>
        <w:spacing w:after="120"/>
        <w:jc w:val="left"/>
      </w:pPr>
      <w:r>
        <w:rPr>
          <w:sz w:val="20"/>
        </w:rPr>
        <w:t xml:space="preserve">Nach Training in L4 erfolgt die entscheidende Isolation: LLM aus, Retrieval aus, Cache gelöscht, Decoder wahlweise durch festes Baseline-Modell ersetzt. Nur so lässt sich prüfen, ob im SNN persistente Information verbleibt.</w:t>
      </w:r>
    </w:p>
    <w:bookmarkEnd w:id="339"/>
    <w:bookmarkEnd w:id="340"/>
    <w:bookmarkStart w:id="347" w:name="knowledge-intake-engine"/>
    <w:p>
      <w:pPr>
        <w:pStyle w:val="Heading2"/>
      </w:pPr>
      <w:r>
        <w:t xml:space="preserve">Knowledge Intake Engine</w:t>
      </w:r>
    </w:p>
    <w:bookmarkStart w:id="341" w:name="trennung-von-sprache-und-wissensaufnahme"/>
    <w:p>
      <w:pPr>
        <w:pStyle w:val="Heading3"/>
        <w:keepLines/>
        <w:spacing w:after="120"/>
        <w:jc w:val="left"/>
      </w:pPr>
      <w:r>
        <w:rPr>
          <w:sz w:val="20"/>
        </w:rPr>
        <w:t xml:space="preserve">Trennung von Sprache und Wissensaufnahme</w:t>
      </w:r>
    </w:p>
    <w:p>
      <w:pPr>
        <w:pStyle w:val="FirstParagraph"/>
        <w:keepLines/>
        <w:spacing w:after="120"/>
        <w:jc w:val="left"/>
      </w:pPr>
      <w:r>
        <w:rPr>
          <w:sz w:val="20"/>
        </w:rPr>
        <w:t xml:space="preserve">Die Knowledge Intake Engine (KIE) ist nicht Teil des LLM. Sie verwaltet Herkunft, Abruf, Parsing, Lizenz, Vertrauensstatus, Widersprüche und Versionierung. Ein LLM kann Inhalte extrahieren oder klassifizieren, besitzt aber nicht die Autorität, eine Aussage allein dadurch zum Fakt zu erklären.</w:t>
      </w:r>
    </w:p>
    <w:bookmarkEnd w:id="341"/>
    <w:bookmarkStart w:id="342" w:name="provenienzmodell"/>
    <w:p>
      <w:pPr>
        <w:pStyle w:val="Heading3"/>
        <w:keepLines/>
        <w:spacing w:after="120"/>
        <w:jc w:val="left"/>
      </w:pPr>
      <w:r>
        <w:rPr>
          <w:sz w:val="20"/>
        </w:rPr>
        <w:t xml:space="preserve">Provenienzmodell</w:t>
      </w:r>
    </w:p>
    <w:p>
      <w:pPr>
        <w:pStyle w:val="FirstParagraph"/>
        <w:keepLines/>
        <w:spacing w:after="120"/>
        <w:jc w:val="left"/>
      </w:pPr>
      <w:r>
        <w:rPr>
          <w:sz w:val="20"/>
        </w:rPr>
        <w:t xml:space="preserve">Provenienz ist Information über Entitäten, Aktivitäten und Akteure, die an der Erzeugung oder Transformation eines Artefakts beteiligt sind (</w:t>
      </w:r>
      <w:hyperlink w:anchor="ref-Buneman2001">
        <w:r>
          <w:rPr>
            <w:rStyle w:val="Hyperlink"/>
          </w:rPr>
          <w:t xml:space="preserve">Buneman et al., 2001</w:t>
        </w:r>
      </w:hyperlink>
      <w:r>
        <w:rPr>
          <w:sz w:val="20"/>
        </w:rPr>
        <w:t xml:space="preserve">;</w:t>
      </w:r>
      <w:r>
        <w:rPr>
          <w:sz w:val="20"/>
        </w:rPr>
        <w:t xml:space="preserve"> </w:t>
      </w:r>
      <w:hyperlink w:anchor="ref-Moreau2013">
        <w:r>
          <w:rPr>
            <w:rStyle w:val="Hyperlink"/>
          </w:rPr>
          <w:t xml:space="preserve">Moreau et al., 2013</w:t>
        </w:r>
      </w:hyperlink>
      <w:r>
        <w:rPr>
          <w:sz w:val="20"/>
        </w:rPr>
        <w:t xml:space="preserve">). Brain-5D verwendet mindestens:</w:t>
      </w:r>
    </w:p>
    <w:p>
      <w:pPr>
        <w:pStyle w:val="SourceCode"/>
        <w:keepNext w:val="0"/>
        <w:keepLines/>
        <w:spacing w:after="120"/>
        <w:jc w:val="left"/>
      </w:pPr>
      <w:r>
        <w:rPr>
          <w:rStyle w:val="VerbatimChar"/>
          <w:sz w:val="20"/>
        </w:rPr>
        <w:t xml:space="preserve">SourceRecord</w:t>
      </w:r>
      <w:r>
        <w:rPr>
          <w:sz w:val="20"/>
        </w:rPr>
        <w:br/>
      </w:r>
      <w:r>
        <w:rPr>
          <w:rStyle w:val="VerbatimChar"/>
          <w:sz w:val="20"/>
        </w:rPr>
        <w:t xml:space="preserve">  └── RetrievalActivity</w:t>
      </w:r>
      <w:r>
        <w:rPr>
          <w:sz w:val="20"/>
        </w:rPr>
        <w:br/>
      </w:r>
      <w:r>
        <w:rPr>
          <w:rStyle w:val="VerbatimChar"/>
          <w:sz w:val="20"/>
        </w:rPr>
        <w:t xml:space="preserve">       └── RawArtifact</w:t>
      </w:r>
      <w:r>
        <w:rPr>
          <w:sz w:val="20"/>
        </w:rPr>
        <w:br/>
      </w:r>
      <w:r>
        <w:rPr>
          <w:rStyle w:val="VerbatimChar"/>
          <w:sz w:val="20"/>
        </w:rPr>
        <w:t xml:space="preserve">            └── ParseActivity</w:t>
      </w:r>
      <w:r>
        <w:rPr>
          <w:sz w:val="20"/>
        </w:rPr>
        <w:br/>
      </w:r>
      <w:r>
        <w:rPr>
          <w:rStyle w:val="VerbatimChar"/>
          <w:sz w:val="20"/>
        </w:rPr>
        <w:t xml:space="preserve">                 └── KnowledgeItem</w:t>
      </w:r>
      <w:r>
        <w:rPr>
          <w:sz w:val="20"/>
        </w:rPr>
        <w:br/>
      </w:r>
      <w:r>
        <w:rPr>
          <w:rStyle w:val="VerbatimChar"/>
          <w:sz w:val="20"/>
        </w:rPr>
        <w:t xml:space="preserve">                      └── EncodingActivity</w:t>
      </w:r>
      <w:r>
        <w:rPr>
          <w:sz w:val="20"/>
        </w:rPr>
        <w:br/>
      </w:r>
      <w:r>
        <w:rPr>
          <w:rStyle w:val="VerbatimChar"/>
          <w:sz w:val="20"/>
        </w:rPr>
        <w:t xml:space="preserve">                           └── StimulusPlan</w:t>
      </w:r>
      <w:r>
        <w:rPr>
          <w:sz w:val="20"/>
        </w:rPr>
        <w:br/>
      </w:r>
      <w:r>
        <w:rPr>
          <w:rStyle w:val="VerbatimChar"/>
          <w:sz w:val="20"/>
        </w:rPr>
        <w:t xml:space="preserve">                                └── Episode</w:t>
      </w:r>
    </w:p>
    <w:bookmarkEnd w:id="342"/>
    <w:bookmarkStart w:id="343" w:name="sourcerecord"/>
    <w:p>
      <w:pPr>
        <w:pStyle w:val="Heading3"/>
        <w:keepLines/>
        <w:spacing w:after="120"/>
        <w:jc w:val="left"/>
      </w:pPr>
      <w:r>
        <w:rPr>
          <w:sz w:val="20"/>
        </w:rPr>
        <w:t xml:space="preserve">SourceRecord</w:t>
      </w:r>
    </w:p>
    <w:p>
      <w:pPr>
        <w:pStyle w:val="SourceCode"/>
        <w:keepNext w:val="0"/>
        <w:keepLines/>
        <w:spacing w:after="120"/>
        <w:jc w:val="left"/>
      </w:pPr>
      <w:r>
        <w:rPr>
          <w:rStyle w:val="VerbatimChar"/>
          <w:sz w:val="20"/>
        </w:rPr>
        <w:t xml:space="preserve">source_id: SRC-2026-0012</w:t>
      </w:r>
      <w:r>
        <w:rPr>
          <w:sz w:val="20"/>
        </w:rPr>
        <w:br/>
      </w:r>
      <w:r>
        <w:rPr>
          <w:rStyle w:val="VerbatimChar"/>
          <w:sz w:val="20"/>
        </w:rPr>
        <w:t xml:space="preserve">canonical_uri: "..."</w:t>
      </w:r>
      <w:r>
        <w:rPr>
          <w:sz w:val="20"/>
        </w:rPr>
        <w:br/>
      </w:r>
      <w:r>
        <w:rPr>
          <w:rStyle w:val="VerbatimChar"/>
          <w:sz w:val="20"/>
        </w:rPr>
        <w:t xml:space="preserve">source_type: journal_article</w:t>
      </w:r>
      <w:r>
        <w:rPr>
          <w:sz w:val="20"/>
        </w:rPr>
        <w:br/>
      </w:r>
      <w:r>
        <w:rPr>
          <w:rStyle w:val="VerbatimChar"/>
          <w:sz w:val="20"/>
        </w:rPr>
        <w:t xml:space="preserve">retrieved_at: 2026-08-16T20:10:00+02:00</w:t>
      </w:r>
      <w:r>
        <w:rPr>
          <w:sz w:val="20"/>
        </w:rPr>
        <w:br/>
      </w:r>
      <w:r>
        <w:rPr>
          <w:rStyle w:val="VerbatimChar"/>
          <w:sz w:val="20"/>
        </w:rPr>
        <w:t xml:space="preserve">content_hash: sha256:...</w:t>
      </w:r>
      <w:r>
        <w:rPr>
          <w:sz w:val="20"/>
        </w:rPr>
        <w:br/>
      </w:r>
      <w:r>
        <w:rPr>
          <w:rStyle w:val="VerbatimChar"/>
          <w:sz w:val="20"/>
        </w:rPr>
        <w:t xml:space="preserve">media_type: application/pdf</w:t>
      </w:r>
      <w:r>
        <w:rPr>
          <w:sz w:val="20"/>
        </w:rPr>
        <w:br/>
      </w:r>
      <w:r>
        <w:rPr>
          <w:rStyle w:val="VerbatimChar"/>
          <w:sz w:val="20"/>
        </w:rPr>
        <w:t xml:space="preserve">license_status: verified_open_access</w:t>
      </w:r>
      <w:r>
        <w:rPr>
          <w:sz w:val="20"/>
        </w:rPr>
        <w:br/>
      </w:r>
      <w:r>
        <w:rPr>
          <w:rStyle w:val="VerbatimChar"/>
          <w:sz w:val="20"/>
        </w:rPr>
        <w:t xml:space="preserve">publisher: "..."</w:t>
      </w:r>
      <w:r>
        <w:rPr>
          <w:sz w:val="20"/>
        </w:rPr>
        <w:br/>
      </w:r>
      <w:r>
        <w:rPr>
          <w:rStyle w:val="VerbatimChar"/>
          <w:sz w:val="20"/>
        </w:rPr>
        <w:t xml:space="preserve">publication_date: "..."</w:t>
      </w:r>
      <w:r>
        <w:rPr>
          <w:sz w:val="20"/>
        </w:rPr>
        <w:br/>
      </w:r>
      <w:r>
        <w:rPr>
          <w:rStyle w:val="VerbatimChar"/>
          <w:sz w:val="20"/>
        </w:rPr>
        <w:t xml:space="preserve">retrieval_tool: intake-http-0.4</w:t>
      </w:r>
    </w:p>
    <w:p>
      <w:pPr>
        <w:pStyle w:val="FirstParagraph"/>
        <w:keepLines/>
        <w:spacing w:after="120"/>
        <w:jc w:val="left"/>
      </w:pPr>
      <w:r>
        <w:rPr>
          <w:sz w:val="20"/>
        </w:rPr>
        <w:t xml:space="preserve">URLs sind nicht ausreichend, weil Inhalte sich ändern können. Content Hash, Abrufdatum und nach Möglichkeit archivierte Kopie oder DOI gehören zum Nachweis.</w:t>
      </w:r>
    </w:p>
    <w:bookmarkEnd w:id="343"/>
    <w:bookmarkStart w:id="344" w:name="knowledgeitem"/>
    <w:p>
      <w:pPr>
        <w:pStyle w:val="Heading3"/>
        <w:keepLines/>
        <w:spacing w:after="120"/>
        <w:jc w:val="left"/>
      </w:pPr>
      <w:r>
        <w:rPr>
          <w:sz w:val="20"/>
        </w:rPr>
        <w:t xml:space="preserve">KnowledgeItem</w:t>
      </w:r>
    </w:p>
    <w:p>
      <w:pPr>
        <w:pStyle w:val="SourceCode"/>
        <w:keepNext w:val="0"/>
        <w:keepLines/>
        <w:spacing w:after="120"/>
        <w:jc w:val="left"/>
      </w:pPr>
      <w:r>
        <w:rPr>
          <w:rStyle w:val="VerbatimChar"/>
          <w:sz w:val="20"/>
        </w:rPr>
        <w:t xml:space="preserve">knowledge_id: KI-2026-0044</w:t>
      </w:r>
      <w:r>
        <w:rPr>
          <w:sz w:val="20"/>
        </w:rPr>
        <w:br/>
      </w:r>
      <w:r>
        <w:rPr>
          <w:rStyle w:val="VerbatimChar"/>
          <w:sz w:val="20"/>
        </w:rPr>
        <w:t xml:space="preserve">content: "..."</w:t>
      </w:r>
      <w:r>
        <w:rPr>
          <w:sz w:val="20"/>
        </w:rPr>
        <w:br/>
      </w:r>
      <w:r>
        <w:rPr>
          <w:rStyle w:val="VerbatimChar"/>
          <w:sz w:val="20"/>
        </w:rPr>
        <w:t xml:space="preserve">language: de</w:t>
      </w:r>
      <w:r>
        <w:rPr>
          <w:sz w:val="20"/>
        </w:rPr>
        <w:br/>
      </w:r>
      <w:r>
        <w:rPr>
          <w:rStyle w:val="VerbatimChar"/>
          <w:sz w:val="20"/>
        </w:rPr>
        <w:t xml:space="preserve">source_ids: [SRC-2026-0012]</w:t>
      </w:r>
      <w:r>
        <w:rPr>
          <w:sz w:val="20"/>
        </w:rPr>
        <w:br/>
      </w:r>
      <w:r>
        <w:rPr>
          <w:rStyle w:val="VerbatimChar"/>
          <w:sz w:val="20"/>
        </w:rPr>
        <w:t xml:space="preserve">extraction_method: human_reviewed_llm_extract</w:t>
      </w:r>
      <w:r>
        <w:rPr>
          <w:sz w:val="20"/>
        </w:rPr>
        <w:br/>
      </w:r>
      <w:r>
        <w:rPr>
          <w:rStyle w:val="VerbatimChar"/>
          <w:sz w:val="20"/>
        </w:rPr>
        <w:t xml:space="preserve">parser_version: 0.8</w:t>
      </w:r>
      <w:r>
        <w:rPr>
          <w:sz w:val="20"/>
        </w:rPr>
        <w:br/>
      </w:r>
      <w:r>
        <w:rPr>
          <w:rStyle w:val="VerbatimChar"/>
          <w:sz w:val="20"/>
        </w:rPr>
        <w:t xml:space="preserve">trust_state: source_verified</w:t>
      </w:r>
      <w:r>
        <w:rPr>
          <w:sz w:val="20"/>
        </w:rPr>
        <w:br/>
      </w:r>
      <w:r>
        <w:rPr>
          <w:rStyle w:val="VerbatimChar"/>
          <w:sz w:val="20"/>
        </w:rPr>
        <w:t xml:space="preserve">validation_state: proposition_unverified</w:t>
      </w:r>
      <w:r>
        <w:rPr>
          <w:sz w:val="20"/>
        </w:rPr>
        <w:br/>
      </w:r>
      <w:r>
        <w:rPr>
          <w:rStyle w:val="VerbatimChar"/>
          <w:sz w:val="20"/>
        </w:rPr>
        <w:t xml:space="preserve">contradiction_set: [KI-2026-0021]</w:t>
      </w:r>
      <w:r>
        <w:rPr>
          <w:sz w:val="20"/>
        </w:rPr>
        <w:br/>
      </w:r>
      <w:r>
        <w:rPr>
          <w:rStyle w:val="VerbatimChar"/>
          <w:sz w:val="20"/>
        </w:rPr>
        <w:t xml:space="preserve">content_hash: sha256:...</w:t>
      </w:r>
    </w:p>
    <w:p>
      <w:pPr>
        <w:pStyle w:val="FirstParagraph"/>
        <w:keepLines/>
        <w:spacing w:after="120"/>
        <w:jc w:val="left"/>
      </w:pPr>
      <w:r>
        <w:rPr>
          <w:rStyle w:val="VerbatimChar"/>
          <w:sz w:val="20"/>
        </w:rPr>
        <w:t xml:space="preserve">trust_state</w:t>
      </w:r>
      <w:r>
        <w:rPr>
          <w:sz w:val="20"/>
        </w:rPr>
        <w:t xml:space="preserve"> </w:t>
      </w:r>
      <w:r>
        <w:rPr>
          <w:sz w:val="20"/>
        </w:rPr>
        <w:t xml:space="preserve">bewertet Quelle oder Prozess;</w:t>
      </w:r>
      <w:r>
        <w:rPr>
          <w:sz w:val="20"/>
        </w:rPr>
        <w:t xml:space="preserve"> </w:t>
      </w:r>
      <w:r>
        <w:rPr>
          <w:rStyle w:val="VerbatimChar"/>
          <w:sz w:val="20"/>
        </w:rPr>
        <w:t xml:space="preserve">validation_state</w:t>
      </w:r>
      <w:r>
        <w:rPr>
          <w:sz w:val="20"/>
        </w:rPr>
        <w:t xml:space="preserve"> </w:t>
      </w:r>
      <w:r>
        <w:rPr>
          <w:sz w:val="20"/>
        </w:rPr>
        <w:t xml:space="preserve">bewertet die konkrete Proposition. Eine renommierte Quelle kann irren, und eine korrekte Aussage aus einer unbekannten Quelle kann unzureichend validiert sein. Widersprüche werden nicht überschrieben, sondern als Beziehung gespeichert.</w:t>
      </w:r>
    </w:p>
    <w:bookmarkEnd w:id="344"/>
    <w:bookmarkStart w:id="345" w:name="lernstimulus-und-semantische-dosis"/>
    <w:p>
      <w:pPr>
        <w:pStyle w:val="Heading3"/>
        <w:keepLines/>
        <w:spacing w:after="120"/>
        <w:jc w:val="left"/>
      </w:pPr>
      <w:r>
        <w:rPr>
          <w:sz w:val="20"/>
        </w:rPr>
        <w:t xml:space="preserve">Lernstimulus und semantische Dosis</w:t>
      </w:r>
    </w:p>
    <w:p>
      <w:pPr>
        <w:pStyle w:val="FirstParagraph"/>
        <w:keepLines/>
        <w:spacing w:after="120"/>
        <w:jc w:val="left"/>
      </w:pPr>
      <w:r>
        <w:rPr>
          <w:sz w:val="20"/>
        </w:rPr>
        <w:t xml:space="preserve">Ein KnowledgeItem wird nicht vollständig und einmalig als „Wissen” in das SNN geschrieben. Es wird in einen Lernstimulus mit kontrollierter Dosis, Wiederholung, Variation und Kontext überführt. Die Kodierung ist Teil des Experiments. Ein zu deterministischer Encoder kann das Zielmerkmal direkt in leicht dekodierbare Kanäle einprägen und damit die eigentliche Repräsentationsfrage trivialisieren.</w:t>
      </w:r>
    </w:p>
    <w:bookmarkEnd w:id="345"/>
    <w:bookmarkStart w:id="346" w:name="datenschutz-lizenz-und-datenminimierung"/>
    <w:p>
      <w:pPr>
        <w:pStyle w:val="Heading3"/>
        <w:keepLines/>
        <w:spacing w:after="120"/>
        <w:jc w:val="left"/>
      </w:pPr>
      <w:r>
        <w:rPr>
          <w:sz w:val="20"/>
        </w:rPr>
        <w:t xml:space="preserve">Datenschutz, Lizenz und Datenminimierung</w:t>
      </w:r>
    </w:p>
    <w:p>
      <w:pPr>
        <w:pStyle w:val="FirstParagraph"/>
        <w:keepLines/>
        <w:spacing w:after="120"/>
        <w:jc w:val="left"/>
      </w:pPr>
      <w:r>
        <w:rPr>
          <w:sz w:val="20"/>
        </w:rPr>
        <w:t xml:space="preserve">Personenbezogene oder lizenzbeschränkte Inhalte benötigen Filter, Zweckbindung und Löschkonzept. Provenienz darf nicht zum unbegrenzten Kopieren geschützter Volltexte führen. Für wissenschaftliche Läufe werden nach Möglichkeit Hashes, Metadaten, erlaubte Extrakte und reproduzierbare Abrufanweisungen gespeichert.</w:t>
      </w:r>
    </w:p>
    <w:bookmarkEnd w:id="346"/>
    <w:bookmarkEnd w:id="347"/>
    <w:bookmarkEnd w:id="348"/>
    <w:bookmarkStart w:id="369" w:name="X90d7dee278a07c1649f1b6d54b174e7a4957754"/>
    <w:p>
      <w:bookmarkStart w:id="10024" w:name="B5D_H024"/>
      <w:pPr>
        <w:pStyle w:val="Heading1"/>
      </w:pPr>
      <w:r>
        <w:t xml:space="preserve">21. Persistenz, Digital State Twin und Reproduzierbarkeit</w:t>
      </w:r>
      <w:bookmarkEnd w:id="10024"/>
    </w:p>
    <w:bookmarkStart w:id="362" w:name="storage-und-5d-digital-state-twin"/>
    <w:p>
      <w:pPr>
        <w:pStyle w:val="Heading2"/>
      </w:pPr>
      <w:r>
        <w:t xml:space="preserve">Storage und 5D Digital State Twin</w:t>
      </w:r>
    </w:p>
    <w:bookmarkStart w:id="349" w:name="begriffliche-präzisierung"/>
    <w:p>
      <w:pPr>
        <w:pStyle w:val="Heading3"/>
        <w:keepLines/>
        <w:spacing w:after="120"/>
        <w:jc w:val="left"/>
      </w:pPr>
      <w:r>
        <w:rPr>
          <w:sz w:val="20"/>
        </w:rPr>
        <w:t xml:space="preserve">Begriffliche Präzisierung</w:t>
      </w:r>
    </w:p>
    <w:p>
      <w:pPr>
        <w:pStyle w:val="FirstParagraph"/>
        <w:keepLines/>
        <w:spacing w:after="120"/>
        <w:jc w:val="left"/>
      </w:pPr>
      <w:r>
        <w:rPr>
          <w:sz w:val="20"/>
        </w:rPr>
        <w:t xml:space="preserve">Ein Digital Twin wird häufig als gekoppelte digitale Repräsentation eines physischen oder technischen Gegenstands verstanden; Literatur unterscheidet zudem Digital Model, Digital Shadow und Digital Twin nach Kopplungsrichtung und Automatisierungsgrad (</w:t>
      </w:r>
      <w:hyperlink w:anchor="ref-Fuller2020">
        <w:r>
          <w:rPr>
            <w:rStyle w:val="Hyperlink"/>
          </w:rPr>
          <w:t xml:space="preserve">Fuller et al., 2020</w:t>
        </w:r>
      </w:hyperlink>
      <w:r>
        <w:rPr>
          <w:sz w:val="20"/>
        </w:rPr>
        <w:t xml:space="preserve">;</w:t>
      </w:r>
      <w:r>
        <w:rPr>
          <w:sz w:val="20"/>
        </w:rPr>
        <w:t xml:space="preserve"> </w:t>
      </w:r>
      <w:hyperlink w:anchor="ref-Jones2020">
        <w:r>
          <w:rPr>
            <w:rStyle w:val="Hyperlink"/>
          </w:rPr>
          <w:t xml:space="preserve">Jones et al., 2020</w:t>
        </w:r>
      </w:hyperlink>
      <w:r>
        <w:rPr>
          <w:sz w:val="20"/>
        </w:rPr>
        <w:t xml:space="preserve">;</w:t>
      </w:r>
      <w:r>
        <w:rPr>
          <w:sz w:val="20"/>
        </w:rPr>
        <w:t xml:space="preserve"> </w:t>
      </w:r>
      <w:hyperlink w:anchor="ref-Kritzinger2018">
        <w:r>
          <w:rPr>
            <w:rStyle w:val="Hyperlink"/>
          </w:rPr>
          <w:t xml:space="preserve">Kritzinger et al., 2018</w:t>
        </w:r>
      </w:hyperlink>
      <w:r>
        <w:rPr>
          <w:sz w:val="20"/>
        </w:rPr>
        <w:t xml:space="preserve">). Solange Brain-5D primär eine digitale Simulation ohne synchrones physisches Gegenstück ist, ist</w:t>
      </w:r>
      <w:r>
        <w:rPr>
          <w:sz w:val="20"/>
        </w:rPr>
        <w:t xml:space="preserve"> </w:t>
      </w:r>
      <w:r>
        <w:rPr>
          <w:b/>
          <w:bCs/>
          <w:sz w:val="20"/>
        </w:rPr>
        <w:t xml:space="preserve">Digital State Twin</w:t>
      </w:r>
      <w:r>
        <w:rPr>
          <w:sz w:val="20"/>
        </w:rPr>
        <w:t xml:space="preserve"> </w:t>
      </w:r>
      <w:r>
        <w:rPr>
          <w:sz w:val="20"/>
        </w:rPr>
        <w:t xml:space="preserve">beziehungsweise</w:t>
      </w:r>
      <w:r>
        <w:rPr>
          <w:sz w:val="20"/>
        </w:rPr>
        <w:t xml:space="preserve"> </w:t>
      </w:r>
      <w:r>
        <w:rPr>
          <w:b/>
          <w:bCs/>
          <w:sz w:val="20"/>
        </w:rPr>
        <w:t xml:space="preserve">reproduzierbarer digitaler Zustandszwilling</w:t>
      </w:r>
      <w:r>
        <w:rPr>
          <w:sz w:val="20"/>
        </w:rPr>
        <w:t xml:space="preserve"> </w:t>
      </w:r>
      <w:r>
        <w:rPr>
          <w:sz w:val="20"/>
        </w:rPr>
        <w:t xml:space="preserve">präziser. Wird später ein physisches neuronales Substrat gekoppelt, muss die Twin-Beziehung separat definiert werden.</w:t>
      </w:r>
    </w:p>
    <w:bookmarkEnd w:id="349"/>
    <w:bookmarkStart w:id="353" w:name="schichtenmodell"/>
    <w:p>
      <w:pPr>
        <w:pStyle w:val="Heading3"/>
        <w:keepLines/>
        <w:spacing w:after="120"/>
        <w:jc w:val="left"/>
      </w:pPr>
      <w:r>
        <w:rPr>
          <w:sz w:val="20"/>
        </w:rPr>
        <w:t xml:space="preserve">Schichtenmodell</w:t>
      </w:r>
    </w:p>
    <w:p>
      <w:pPr>
        <w:pStyle w:val="CaptionedFigure"/>
        <w:keepNext/>
        <w:keepLines/>
        <w:spacing w:before="160" w:after="120"/>
        <w:jc w:val="left"/>
      </w:pPr>
      <w:r>
        <w:rPr>
          <w:sz w:val="20"/>
        </w:rPr>
        <w:drawing>
          <wp:inline>
            <wp:extent cx="5669280" cy="3174039"/>
            <wp:effectExtent b="0" l="0" r="0" t="0"/>
            <wp:docPr descr="Schichten des Brain-5D Storage- und Digital-State-Twin-Konzepts." title="" id="351" name="Picture"/>
            <a:graphic>
              <a:graphicData uri="http://schemas.openxmlformats.org/drawingml/2006/picture">
                <pic:pic>
                  <pic:nvPicPr>
                    <pic:cNvPr descr="abbildungen/K1_image3.png" id="352" name="Picture"/>
                    <pic:cNvPicPr>
                      <a:picLocks noChangeArrowheads="1" noChangeAspect="1"/>
                    </pic:cNvPicPr>
                  </pic:nvPicPr>
                  <pic:blipFill>
                    <a:blip r:embed="rId350"/>
                    <a:stretch>
                      <a:fillRect/>
                    </a:stretch>
                  </pic:blipFill>
                  <pic:spPr bwMode="auto">
                    <a:xfrm>
                      <a:off x="0" y="0"/>
                      <a:ext cx="5669280" cy="3174039"/>
                    </a:xfrm>
                    <a:prstGeom prst="rect">
                      <a:avLst/>
                    </a:prstGeom>
                    <a:noFill/>
                    <a:ln w="9525">
                      <a:noFill/>
                      <a:headEnd/>
                      <a:tailEnd/>
                    </a:ln>
                  </pic:spPr>
                </pic:pic>
              </a:graphicData>
            </a:graphic>
          </wp:inline>
        </w:drawing>
      </w:r>
    </w:p>
    <w:p>
      <w:pPr>
        <w:pStyle w:val="ImageCaption"/>
        <w:keepLines/>
        <w:spacing w:after="120"/>
        <w:jc w:val="left"/>
      </w:pPr>
      <w:r>
        <w:rPr>
          <w:sz w:val="20"/>
        </w:rPr>
        <w:t xml:space="preserve">Abbildung 7. </w:t>
      </w:r>
      <w:r>
        <w:rPr>
          <w:sz w:val="20"/>
        </w:rPr>
        <w:t xml:space="preserve">Schichten des Brain-5D Storage- und Digital-State-Twin-Konzepts.</w:t>
      </w:r>
    </w:p>
    <w:p>
      <w:pPr>
        <w:pStyle w:val="BodyText"/>
        <w:keepLines/>
        <w:spacing w:after="120"/>
        <w:jc w:val="left"/>
      </w:pPr>
      <w:r>
        <w:rPr>
          <w:sz w:val="20"/>
        </w:rPr>
        <w:t xml:space="preserve">Die Speicherarchitektur trennt:</w:t>
      </w:r>
    </w:p>
    <w:p>
      <w:pPr>
        <w:keepLines/>
        <w:numPr>
          <w:ilvl w:val="0"/>
          <w:numId w:val="1029"/>
        </w:numPr>
        <w:spacing w:after="120"/>
        <w:jc w:val="left"/>
      </w:pPr>
      <w:r>
        <w:rPr>
          <w:sz w:val="20"/>
        </w:rPr>
        <w:t xml:space="preserve">den potenziellen 5D-Adressraum;</w:t>
      </w:r>
    </w:p>
    <w:p>
      <w:pPr>
        <w:keepLines/>
        <w:numPr>
          <w:ilvl w:val="0"/>
          <w:numId w:val="1029"/>
        </w:numPr>
        <w:spacing w:after="120"/>
        <w:jc w:val="left"/>
      </w:pPr>
      <w:r>
        <w:rPr>
          <w:sz w:val="20"/>
        </w:rPr>
        <w:t xml:space="preserve">den materialisierten Simulationszustand;</w:t>
      </w:r>
    </w:p>
    <w:p>
      <w:pPr>
        <w:keepLines/>
        <w:numPr>
          <w:ilvl w:val="0"/>
          <w:numId w:val="1029"/>
        </w:numPr>
        <w:spacing w:after="120"/>
        <w:jc w:val="left"/>
      </w:pPr>
      <w:r>
        <w:rPr>
          <w:sz w:val="20"/>
        </w:rPr>
        <w:t xml:space="preserve">Checkpoints und Delta-/Event-Logs;</w:t>
      </w:r>
    </w:p>
    <w:p>
      <w:pPr>
        <w:keepLines/>
        <w:numPr>
          <w:ilvl w:val="0"/>
          <w:numId w:val="1029"/>
        </w:numPr>
        <w:spacing w:after="120"/>
        <w:jc w:val="left"/>
      </w:pPr>
      <w:r>
        <w:rPr>
          <w:sz w:val="20"/>
        </w:rPr>
        <w:t xml:space="preserve">abgeleitete Sichten und Indizes;</w:t>
      </w:r>
    </w:p>
    <w:p>
      <w:pPr>
        <w:keepLines/>
        <w:numPr>
          <w:ilvl w:val="0"/>
          <w:numId w:val="1029"/>
        </w:numPr>
        <w:spacing w:after="120"/>
        <w:jc w:val="left"/>
      </w:pPr>
      <w:r>
        <w:rPr>
          <w:sz w:val="20"/>
        </w:rPr>
        <w:t xml:space="preserve">Experiment- und Evidenzregister.</w:t>
      </w:r>
    </w:p>
    <w:p>
      <w:pPr>
        <w:pStyle w:val="FirstParagraph"/>
        <w:keepLines/>
        <w:spacing w:after="120"/>
        <w:jc w:val="left"/>
      </w:pPr>
      <w:r>
        <w:rPr>
          <w:sz w:val="20"/>
        </w:rPr>
        <w:t xml:space="preserve">Abgeleitete Graphmetriken oder Heatmaps dürfen gelöscht und neu berechnet werden. Primärzustand und Ereignisse müssen dagegen für den behaupteten Reproduktionsgrad ausreichend sein.</w:t>
      </w:r>
    </w:p>
    <w:bookmarkEnd w:id="353"/>
    <w:bookmarkStart w:id="354" w:name="speichergrößen"/>
    <w:p>
      <w:pPr>
        <w:pStyle w:val="Heading3"/>
        <w:keepLines/>
        <w:spacing w:after="120"/>
        <w:jc w:val="left"/>
      </w:pPr>
      <w:r>
        <w:rPr>
          <w:sz w:val="20"/>
        </w:rPr>
        <w:t xml:space="preserve">Speichergrößen</w:t>
      </w:r>
    </w:p>
    <w:p>
      <w:pPr>
        <w:pStyle w:val="FirstParagraph"/>
        <w:keepLines/>
        <w:spacing w:after="120"/>
        <w:jc w:val="left"/>
      </w:pPr>
      <w:r>
        <w:rPr>
          <w:sz w:val="20"/>
        </w:rPr>
        <w:t xml:space="preserve">Für</w:t>
      </w:r>
      <w:r>
        <w:rPr>
          <w:sz w:val="20"/>
        </w:rPr>
        <w:t xml:space="preserve"> </w:t>
      </w:r>
      <m:oMath>
        <m:r>
          <m:t>N</m:t>
        </m:r>
        <m:r>
          <m:rPr>
            <m:sty m:val="p"/>
          </m:rPr>
          <m:t>=</m:t>
        </m:r>
        <m:sSup>
          <m:e>
            <m:r>
              <m:t>50</m:t>
            </m:r>
          </m:e>
          <m:sup>
            <m:r>
              <m:t>5</m:t>
            </m:r>
          </m:sup>
        </m:sSup>
        <m:r>
          <m:rPr>
            <m:sty m:val="p"/>
          </m:rPr>
          <m:t>=</m:t>
        </m:r>
        <m:r>
          <m:t>312.500</m:t>
        </m:r>
        <m:r>
          <m:t>.000</m:t>
        </m:r>
      </m:oMath>
      <w:r>
        <w:rPr>
          <w:sz w:val="20"/>
        </w:rPr>
        <w:t xml:space="preserve"> </w:t>
      </w:r>
      <w:r>
        <w:rPr>
          <w:sz w:val="20"/>
        </w:rPr>
        <w:t xml:space="preserve">und</w:t>
      </w:r>
      <w:r>
        <w:rPr>
          <w:sz w:val="20"/>
        </w:rPr>
        <w:t xml:space="preserve"> </w:t>
      </w:r>
      <m:oMath>
        <m:sSub>
          <m:e>
            <m:r>
              <m:t>b</m:t>
            </m:r>
          </m:e>
          <m:sub>
            <m:r>
              <m:t>N</m:t>
            </m:r>
          </m:sub>
        </m:sSub>
      </m:oMath>
      <w:r>
        <w:rPr>
          <w:sz w:val="20"/>
        </w:rPr>
        <w:t xml:space="preserve"> </w:t>
      </w:r>
      <w:r>
        <w:rPr>
          <w:sz w:val="20"/>
        </w:rPr>
        <w:t xml:space="preserve">Byte je Neuron gilt</w:t>
      </w:r>
    </w:p>
    <w:p>
      <w:pPr>
        <w:pStyle w:val="BodyText"/>
        <w:keepLines/>
        <w:spacing w:after="120"/>
        <w:jc w:val="left"/>
      </w:pPr>
      <w:r>
        <w:rPr>
          <w:b/>
          <w:bCs/>
          <w:sz w:val="20"/>
        </w:rPr>
        <w:t xml:space="preserve">[DEF]</w:t>
      </w:r>
    </w:p>
    <w:p>
      <w:pPr>
        <w:pStyle w:val="BodyText"/>
        <w:keepLines/>
        <w:spacing w:after="140" w:before="100"/>
        <w:jc w:val="center"/>
      </w:pPr>
      <m:oMathPara>
        <m:oMathParaPr>
          <m:jc m:val="center"/>
        </m:oMathParaPr>
        <m:oMath>
          <m:sSub>
            <m:e>
              <m:r>
                <m:t>S</m:t>
              </m:r>
            </m:e>
            <m:sub>
              <m:r>
                <m:t>N</m:t>
              </m:r>
            </m:sub>
          </m:sSub>
          <m:r>
            <m:rPr>
              <m:sty m:val="p"/>
            </m:rPr>
            <m:t>=</m:t>
          </m:r>
          <m:r>
            <m:t>N</m:t>
          </m:r>
          <m:sSub>
            <m:e>
              <m:r>
                <m:t>b</m:t>
              </m:r>
            </m:e>
            <m:sub>
              <m:r>
                <m:t>N</m:t>
              </m:r>
            </m:sub>
          </m:sSub>
          <m:r>
            <m:rPr>
              <m:sty m:val="p"/>
            </m:rPr>
            <m:t>.</m:t>
          </m:r>
        </m:oMath>
      </m:oMathPara>
    </w:p>
    <w:p>
      <w:pPr>
        <w:pStyle w:val="FirstParagraph"/>
        <w:keepLines/>
        <w:spacing w:after="120"/>
        <w:jc w:val="left"/>
      </w:pPr>
      <w:r>
        <w:rPr>
          <w:sz w:val="20"/>
        </w:rPr>
        <w:t xml:space="preserve">Bei</w:t>
      </w:r>
      <w:r>
        <w:rPr>
          <w:sz w:val="20"/>
        </w:rPr>
        <w:t xml:space="preserve"> </w:t>
      </w:r>
      <m:oMath>
        <m:sSub>
          <m:e>
            <m:r>
              <m:t>b</m:t>
            </m:r>
          </m:e>
          <m:sub>
            <m:r>
              <m:t>N</m:t>
            </m:r>
          </m:sub>
        </m:sSub>
        <m:r>
          <m:rPr>
            <m:sty m:val="p"/>
          </m:rPr>
          <m:t>=</m:t>
        </m:r>
        <m:r>
          <m:t>128</m:t>
        </m:r>
      </m:oMath>
      <w:r>
        <w:rPr>
          <w:sz w:val="20"/>
        </w:rPr>
        <w:t xml:space="preserve"> </w:t>
      </w:r>
      <w:r>
        <w:rPr>
          <w:sz w:val="20"/>
        </w:rPr>
        <w:t xml:space="preserve">Byte ergibt dies</w:t>
      </w:r>
      <w:r>
        <w:rPr>
          <w:sz w:val="20"/>
        </w:rPr>
        <w:t xml:space="preserve"> </w:t>
      </w:r>
      <m:oMath>
        <m:r>
          <m:t>40</m:t>
        </m:r>
        <m:r>
          <m:rPr>
            <m:sty m:val="p"/>
          </m:rPr>
          <m:t>,</m:t>
        </m:r>
        <m:r>
          <m:t>0</m:t>
        </m:r>
      </m:oMath>
      <w:r>
        <w:rPr>
          <w:sz w:val="20"/>
        </w:rPr>
        <w:t xml:space="preserve"> </w:t>
      </w:r>
      <w:r>
        <w:rPr>
          <w:sz w:val="20"/>
        </w:rPr>
        <w:t xml:space="preserve">GB dezimal beziehungsweise ungefähr</w:t>
      </w:r>
      <w:r>
        <w:rPr>
          <w:sz w:val="20"/>
        </w:rPr>
        <w:t xml:space="preserve"> </w:t>
      </w:r>
      <m:oMath>
        <m:r>
          <m:t>37</m:t>
        </m:r>
        <m:r>
          <m:rPr>
            <m:sty m:val="p"/>
          </m:rPr>
          <m:t>,</m:t>
        </m:r>
        <m:r>
          <m:t>25</m:t>
        </m:r>
      </m:oMath>
      <w:r>
        <w:rPr>
          <w:sz w:val="20"/>
        </w:rPr>
        <w:t xml:space="preserve"> </w:t>
      </w:r>
      <w:r>
        <w:rPr>
          <w:sz w:val="20"/>
        </w:rPr>
        <w:t xml:space="preserve">GiB, noch ohne Synapsen, Indizes und Historie.</w:t>
      </w:r>
    </w:p>
    <w:p>
      <w:pPr>
        <w:pStyle w:val="BodyText"/>
        <w:keepLines/>
        <w:spacing w:after="120"/>
        <w:jc w:val="left"/>
      </w:pPr>
      <w:r>
        <w:rPr>
          <w:sz w:val="20"/>
        </w:rPr>
        <w:t xml:space="preserve">Bei mittlerem Out-Degree</w:t>
      </w:r>
      <w:r>
        <w:rPr>
          <w:sz w:val="20"/>
        </w:rPr>
        <w:t xml:space="preserve"> </w:t>
      </w:r>
      <m:oMath>
        <m:r>
          <m:t>k</m:t>
        </m:r>
      </m:oMath>
      <w:r>
        <w:rPr>
          <w:sz w:val="20"/>
        </w:rPr>
        <w:t xml:space="preserve"> </w:t>
      </w:r>
      <w:r>
        <w:rPr>
          <w:sz w:val="20"/>
        </w:rPr>
        <w:t xml:space="preserve">gilt</w:t>
      </w:r>
    </w:p>
    <w:p>
      <w:pPr>
        <w:pStyle w:val="BodyText"/>
        <w:keepLines/>
        <w:spacing w:after="140" w:before="100"/>
        <w:jc w:val="center"/>
      </w:pPr>
      <m:oMathPara>
        <m:oMathParaPr>
          <m:jc m:val="center"/>
        </m:oMathParaPr>
        <m:oMath>
          <m:sSub>
            <m:e>
              <m:r>
                <m:t>S</m:t>
              </m:r>
            </m:e>
            <m:sub>
              <m:r>
                <m:t>e</m:t>
              </m:r>
              <m:r>
                <m:t>d</m:t>
              </m:r>
              <m:r>
                <m:t>g</m:t>
              </m:r>
              <m:r>
                <m:t>e</m:t>
              </m:r>
              <m:r>
                <m:t>s</m:t>
              </m:r>
            </m:sub>
          </m:sSub>
          <m:r>
            <m:rPr>
              <m:sty m:val="p"/>
            </m:rPr>
            <m:t>=</m:t>
          </m:r>
          <m:r>
            <m:t>N</m:t>
          </m:r>
          <m:r>
            <m:t>k</m:t>
          </m:r>
          <m:r>
            <m:rPr>
              <m:sty m:val="p"/>
            </m:rPr>
            <m:t>.</m:t>
          </m:r>
        </m:oMath>
      </m:oMathPara>
    </w:p>
    <w:p>
      <w:pPr>
        <w:pStyle w:val="FirstParagraph"/>
        <w:keepLines/>
        <w:spacing w:after="120"/>
        <w:jc w:val="left"/>
      </w:pPr>
      <w:r>
        <w:rPr>
          <w:sz w:val="20"/>
        </w:rPr>
        <w:t xml:space="preserve">Für</w:t>
      </w:r>
      <w:r>
        <w:rPr>
          <w:sz w:val="20"/>
        </w:rPr>
        <w:t xml:space="preserve"> </w:t>
      </w:r>
      <m:oMath>
        <m:r>
          <m:t>k</m:t>
        </m:r>
        <m:r>
          <m:rPr>
            <m:sty m:val="p"/>
          </m:rPr>
          <m:t>=</m:t>
        </m:r>
        <m:r>
          <m:t>100</m:t>
        </m:r>
      </m:oMath>
      <w:r>
        <w:rPr>
          <w:sz w:val="20"/>
        </w:rPr>
        <w:t xml:space="preserve"> </w:t>
      </w:r>
      <w:r>
        <w:rPr>
          <w:sz w:val="20"/>
        </w:rPr>
        <w:t xml:space="preserve">entstehen</w:t>
      </w:r>
      <w:r>
        <w:rPr>
          <w:sz w:val="20"/>
        </w:rPr>
        <w:t xml:space="preserve"> </w:t>
      </w:r>
      <m:oMath>
        <m:r>
          <m:t>31</m:t>
        </m:r>
        <m:r>
          <m:rPr>
            <m:sty m:val="p"/>
          </m:rPr>
          <m:t>,</m:t>
        </m:r>
        <m:r>
          <m:t>25</m:t>
        </m:r>
      </m:oMath>
      <w:r>
        <w:rPr>
          <w:sz w:val="20"/>
        </w:rPr>
        <w:t xml:space="preserve"> </w:t>
      </w:r>
      <w:r>
        <w:rPr>
          <w:sz w:val="20"/>
        </w:rPr>
        <w:t xml:space="preserve">Milliarden gerichtete Synapsen. Der Rohbedarf beträgt:</w:t>
      </w:r>
    </w:p>
    <w:p>
      <w:pPr>
        <w:pStyle w:val="Caption"/>
        <w:keepNext/>
        <w:keepLines/>
        <w:spacing w:before="180" w:after="120"/>
        <w:jc w:val="left"/>
      </w:pPr>
      <w:r>
        <w:rPr>
          <w:sz w:val="20"/>
        </w:rPr>
        <w:t>Tabelle 25. Illustrative Rohspeicherbedarfe</w:t>
      </w:r>
    </w:p>
    <w:tbl>
      <w:tblPr>
        <w:tblStyle w:val="Table"/>
        <w:tblW w:type="pct" w:w="4875"/>
        <w:jc w:val="center"/>
        <w:tblLayout w:type="fixed"/>
        <w:tblLook w:firstRow="1" w:lastRow="0" w:firstColumn="0" w:lastColumn="0" w:noHBand="0" w:noVBand="0" w:val="0020"/>
        <w:tblInd w:w="0" w:type="dxa"/>
        <w:tblCellMar>
          <w:top w:w="70" w:type="dxa"/>
          <w:bottom w:w="70" w:type="dxa"/>
          <w:left w:w="85" w:type="dxa"/>
          <w:right w:w="85" w:type="dxa"/>
        </w:tblCellMar>
        <w:tblBorders>
          <w:top w:val="single" w:sz="4" w:color="CCD4D9"/>
          <w:bottom w:val="single" w:sz="4" w:color="CCD4D9"/>
          <w:insideH w:val="single" w:sz="4" w:color="CCD4D9"/>
          <w:left w:val="nil"/>
          <w:right w:val="nil"/>
          <w:insideV w:val="nil"/>
        </w:tblBorders>
      </w:tblPr>
      <w:tblGrid>
        <w:gridCol w:w="2621"/>
        <w:gridCol w:w="3773"/>
        <w:gridCol w:w="3456"/>
      </w:tblGrid>
      <w:tr>
        <w:trPr>
          <w:tblHeader w:val="on"/>
          <w:cantSplit/>
          <w:tblHeader/>
        </w:trPr>
        <w:tc>
          <w:tcPr>
            <w:tcW w:type="dxa" w:w="2621"/>
            <w:vAlign w:val="center"/>
            <w:shd w:fill="E9EFF3"/>
          </w:tcPr>
          <w:p>
            <w:pPr>
              <w:pStyle w:val="Compact"/>
              <w:keepNext w:val="0"/>
              <w:keepLines/>
              <w:spacing w:before="20" w:after="20" w:line="250" w:lineRule="auto"/>
              <w:jc w:val="left"/>
            </w:pPr>
            <w:r>
              <w:rPr>
                <w:rFonts w:ascii="Liberation Sans" w:hAnsi="Liberation Sans"/>
                <w:b/>
                <w:bCs/>
                <w:sz w:val="19"/>
              </w:rPr>
              <w:t xml:space="preserve">Bytes je Synapse</w:t>
            </w:r>
          </w:p>
        </w:tc>
        <w:tc>
          <w:tcPr>
            <w:tcW w:type="dxa" w:w="3773"/>
            <w:vAlign w:val="center"/>
            <w:shd w:fill="E9EFF3"/>
          </w:tcPr>
          <w:p>
            <w:pPr>
              <w:pStyle w:val="Compact"/>
              <w:keepNext w:val="0"/>
              <w:keepLines/>
              <w:spacing w:before="20" w:after="20" w:line="250" w:lineRule="auto"/>
              <w:jc w:val="left"/>
            </w:pPr>
            <w:r>
              <w:rPr>
                <w:rFonts w:ascii="Liberation Sans" w:hAnsi="Liberation Sans"/>
                <w:b/>
                <w:bCs/>
                <w:sz w:val="19"/>
              </w:rPr>
              <w:t xml:space="preserve">Dezimaler Rohbedarf</w:t>
            </w:r>
          </w:p>
        </w:tc>
        <w:tc>
          <w:tcPr>
            <w:tcW w:type="dxa" w:w="3456"/>
            <w:vAlign w:val="center"/>
            <w:shd w:fill="E9EFF3"/>
          </w:tcPr>
          <w:p>
            <w:pPr>
              <w:pStyle w:val="Compact"/>
              <w:keepNext w:val="0"/>
              <w:keepLines/>
              <w:spacing w:before="20" w:after="20" w:line="250" w:lineRule="auto"/>
              <w:jc w:val="left"/>
            </w:pPr>
            <w:r>
              <w:rPr>
                <w:rFonts w:ascii="Liberation Sans" w:hAnsi="Liberation Sans"/>
                <w:b/>
                <w:bCs/>
                <w:sz w:val="19"/>
              </w:rPr>
              <w:t xml:space="preserve">Binärer Näherungswert</w:t>
            </w:r>
          </w:p>
        </w:tc>
      </w:tr>
      <w:tr>
        <w:trPr>
          <w:cantSplit/>
        </w:trPr>
        <w:tc>
          <w:tcPr>
            <w:tcW w:type="dxa" w:w="2621"/>
            <w:vAlign w:val="center"/>
          </w:tcPr>
          <w:p>
            <w:pPr>
              <w:pStyle w:val="Compact"/>
              <w:keepNext w:val="0"/>
              <w:keepLines/>
              <w:spacing w:before="20" w:after="20" w:line="250" w:lineRule="auto"/>
              <w:jc w:val="left"/>
            </w:pPr>
            <w:r>
              <w:rPr>
                <w:rFonts w:ascii="Liberation Sans" w:hAnsi="Liberation Sans"/>
                <w:sz w:val="19"/>
              </w:rPr>
              <w:t xml:space="preserve">16 B</w:t>
            </w:r>
          </w:p>
        </w:tc>
        <w:tc>
          <w:tcPr>
            <w:tcW w:type="dxa" w:w="3773"/>
            <w:vAlign w:val="center"/>
          </w:tcPr>
          <w:p>
            <w:pPr>
              <w:pStyle w:val="Compact"/>
              <w:keepNext w:val="0"/>
              <w:keepLines/>
              <w:spacing w:before="20" w:after="20" w:line="250" w:lineRule="auto"/>
              <w:jc w:val="left"/>
            </w:pPr>
            <w:r>
              <w:rPr>
                <w:rFonts w:ascii="Liberation Sans" w:hAnsi="Liberation Sans"/>
                <w:sz w:val="19"/>
              </w:rPr>
              <w:t xml:space="preserve">500 GB</w:t>
            </w:r>
          </w:p>
        </w:tc>
        <w:tc>
          <w:tcPr>
            <w:tcW w:type="dxa" w:w="3456"/>
            <w:vAlign w:val="center"/>
          </w:tcPr>
          <w:p>
            <w:pPr>
              <w:pStyle w:val="Compact"/>
              <w:keepNext w:val="0"/>
              <w:keepLines/>
              <w:spacing w:before="20" w:after="20" w:line="250" w:lineRule="auto"/>
              <w:jc w:val="left"/>
            </w:pPr>
            <w:r>
              <w:rPr>
                <w:rFonts w:ascii="Liberation Sans" w:hAnsi="Liberation Sans"/>
                <w:sz w:val="19"/>
              </w:rPr>
              <w:t xml:space="preserve">ca. 465,7 GiB</w:t>
            </w:r>
          </w:p>
        </w:tc>
      </w:tr>
      <w:tr>
        <w:trPr>
          <w:cantSplit/>
        </w:trPr>
        <w:tc>
          <w:tcPr>
            <w:tcW w:type="dxa" w:w="2621"/>
            <w:vAlign w:val="center"/>
          </w:tcPr>
          <w:p>
            <w:pPr>
              <w:pStyle w:val="Compact"/>
              <w:keepNext w:val="0"/>
              <w:keepLines/>
              <w:spacing w:before="20" w:after="20" w:line="250" w:lineRule="auto"/>
              <w:jc w:val="left"/>
            </w:pPr>
            <w:r>
              <w:rPr>
                <w:rFonts w:ascii="Liberation Sans" w:hAnsi="Liberation Sans"/>
                <w:sz w:val="19"/>
              </w:rPr>
              <w:t xml:space="preserve">24 B</w:t>
            </w:r>
          </w:p>
        </w:tc>
        <w:tc>
          <w:tcPr>
            <w:tcW w:type="dxa" w:w="3773"/>
            <w:vAlign w:val="center"/>
          </w:tcPr>
          <w:p>
            <w:pPr>
              <w:pStyle w:val="Compact"/>
              <w:keepNext w:val="0"/>
              <w:keepLines/>
              <w:spacing w:before="20" w:after="20" w:line="250" w:lineRule="auto"/>
              <w:jc w:val="left"/>
            </w:pPr>
            <w:r>
              <w:rPr>
                <w:rFonts w:ascii="Liberation Sans" w:hAnsi="Liberation Sans"/>
                <w:sz w:val="19"/>
              </w:rPr>
              <w:t xml:space="preserve">750 GB</w:t>
            </w:r>
          </w:p>
        </w:tc>
        <w:tc>
          <w:tcPr>
            <w:tcW w:type="dxa" w:w="3456"/>
            <w:vAlign w:val="center"/>
          </w:tcPr>
          <w:p>
            <w:pPr>
              <w:pStyle w:val="Compact"/>
              <w:keepNext w:val="0"/>
              <w:keepLines/>
              <w:spacing w:before="20" w:after="20" w:line="250" w:lineRule="auto"/>
              <w:jc w:val="left"/>
            </w:pPr>
            <w:r>
              <w:rPr>
                <w:rFonts w:ascii="Liberation Sans" w:hAnsi="Liberation Sans"/>
                <w:sz w:val="19"/>
              </w:rPr>
              <w:t xml:space="preserve">ca. 698,5 GiB</w:t>
            </w:r>
          </w:p>
        </w:tc>
      </w:tr>
      <w:tr>
        <w:trPr>
          <w:cantSplit/>
        </w:trPr>
        <w:tc>
          <w:tcPr>
            <w:tcW w:type="dxa" w:w="2621"/>
            <w:vAlign w:val="center"/>
          </w:tcPr>
          <w:p>
            <w:pPr>
              <w:pStyle w:val="Compact"/>
              <w:keepNext w:val="0"/>
              <w:keepLines/>
              <w:spacing w:before="20" w:after="20" w:line="250" w:lineRule="auto"/>
              <w:jc w:val="left"/>
            </w:pPr>
            <w:r>
              <w:rPr>
                <w:rFonts w:ascii="Liberation Sans" w:hAnsi="Liberation Sans"/>
                <w:sz w:val="19"/>
              </w:rPr>
              <w:t xml:space="preserve">32 B</w:t>
            </w:r>
          </w:p>
        </w:tc>
        <w:tc>
          <w:tcPr>
            <w:tcW w:type="dxa" w:w="3773"/>
            <w:vAlign w:val="center"/>
          </w:tcPr>
          <w:p>
            <w:pPr>
              <w:pStyle w:val="Compact"/>
              <w:keepNext w:val="0"/>
              <w:keepLines/>
              <w:spacing w:before="20" w:after="20" w:line="250" w:lineRule="auto"/>
              <w:jc w:val="left"/>
            </w:pPr>
            <w:r>
              <w:rPr>
                <w:rFonts w:ascii="Liberation Sans" w:hAnsi="Liberation Sans"/>
                <w:sz w:val="19"/>
              </w:rPr>
              <w:t xml:space="preserve">1,0 TB</w:t>
            </w:r>
          </w:p>
        </w:tc>
        <w:tc>
          <w:tcPr>
            <w:tcW w:type="dxa" w:w="3456"/>
            <w:vAlign w:val="center"/>
          </w:tcPr>
          <w:p>
            <w:pPr>
              <w:pStyle w:val="Compact"/>
              <w:keepNext w:val="0"/>
              <w:keepLines/>
              <w:spacing w:before="20" w:after="20" w:line="250" w:lineRule="auto"/>
              <w:jc w:val="left"/>
            </w:pPr>
            <w:r>
              <w:rPr>
                <w:rFonts w:ascii="Liberation Sans" w:hAnsi="Liberation Sans"/>
                <w:sz w:val="19"/>
              </w:rPr>
              <w:t xml:space="preserve">ca. 931,3 GiB</w:t>
            </w:r>
          </w:p>
        </w:tc>
      </w:tr>
    </w:tbl>
    <w:p>
      <w:pPr>
        <w:pStyle w:val="BodyText"/>
        <w:keepLines/>
        <w:spacing w:after="120"/>
        <w:jc w:val="left"/>
      </w:pPr>
      <w:r>
        <w:rPr>
          <w:sz w:val="20"/>
        </w:rPr>
        <w:t xml:space="preserve">Diese Werte enthalten weder Datenbank-Overhead noch Replikation, Checkpoints, Event-Historie oder temporäre Analyseobjekte. Eine naive Vollmaterialisierung ist daher nicht die Zielarchitektur.</w:t>
      </w:r>
    </w:p>
    <w:bookmarkEnd w:id="354"/>
    <w:bookmarkStart w:id="355" w:name="struktur-of-arrays-und-chunking"/>
    <w:p>
      <w:pPr>
        <w:pStyle w:val="Heading3"/>
        <w:keepLines/>
        <w:spacing w:after="120"/>
        <w:jc w:val="left"/>
      </w:pPr>
      <w:r>
        <w:rPr>
          <w:sz w:val="20"/>
        </w:rPr>
        <w:t xml:space="preserve">Struktur-of-Arrays und Chunking</w:t>
      </w:r>
    </w:p>
    <w:p>
      <w:pPr>
        <w:pStyle w:val="FirstParagraph"/>
        <w:keepLines/>
        <w:spacing w:after="120"/>
        <w:jc w:val="left"/>
      </w:pPr>
      <w:r>
        <w:rPr>
          <w:sz w:val="20"/>
        </w:rPr>
        <w:t xml:space="preserve">Millionen Python-Objekte verursachen hohen Overhead. Für skalierende Implementierungen sind spalten- beziehungsweise arrayorientierte Strukturen zweckmäßig:</w:t>
      </w:r>
    </w:p>
    <w:p>
      <w:pPr>
        <w:pStyle w:val="SourceCode"/>
        <w:keepNext w:val="0"/>
        <w:keepLines/>
        <w:spacing w:after="120"/>
        <w:jc w:val="left"/>
      </w:pPr>
      <w:r>
        <w:rPr>
          <w:rStyle w:val="VerbatimChar"/>
          <w:sz w:val="20"/>
        </w:rPr>
        <w:t xml:space="preserve">neuron_id[]</w:t>
      </w:r>
      <w:r>
        <w:rPr>
          <w:sz w:val="20"/>
        </w:rPr>
        <w:br/>
      </w:r>
      <w:r>
        <w:rPr>
          <w:rStyle w:val="VerbatimChar"/>
          <w:sz w:val="20"/>
        </w:rPr>
        <w:t xml:space="preserve">coord_x[] ... coord_b[]</w:t>
      </w:r>
      <w:r>
        <w:rPr>
          <w:sz w:val="20"/>
        </w:rPr>
        <w:br/>
      </w:r>
      <w:r>
        <w:rPr>
          <w:rStyle w:val="VerbatimChar"/>
          <w:sz w:val="20"/>
        </w:rPr>
        <w:t xml:space="preserve">membrane_v[]</w:t>
      </w:r>
      <w:r>
        <w:rPr>
          <w:sz w:val="20"/>
        </w:rPr>
        <w:br/>
      </w:r>
      <w:r>
        <w:rPr>
          <w:rStyle w:val="VerbatimChar"/>
          <w:sz w:val="20"/>
        </w:rPr>
        <w:t xml:space="preserve">recovery_u[]</w:t>
      </w:r>
      <w:r>
        <w:rPr>
          <w:sz w:val="20"/>
        </w:rPr>
        <w:br/>
      </w:r>
      <w:r>
        <w:rPr>
          <w:rStyle w:val="VerbatimChar"/>
          <w:sz w:val="20"/>
        </w:rPr>
        <w:t xml:space="preserve">threshold[]</w:t>
      </w:r>
      <w:r>
        <w:rPr>
          <w:sz w:val="20"/>
        </w:rPr>
        <w:br/>
      </w:r>
      <w:r>
        <w:rPr>
          <w:rStyle w:val="VerbatimChar"/>
          <w:sz w:val="20"/>
        </w:rPr>
        <w:t xml:space="preserve">energy[]</w:t>
      </w:r>
      <w:r>
        <w:rPr>
          <w:sz w:val="20"/>
        </w:rPr>
        <w:br/>
      </w:r>
      <w:r>
        <w:rPr>
          <w:rStyle w:val="VerbatimChar"/>
          <w:sz w:val="20"/>
        </w:rPr>
        <w:t xml:space="preserve">cell_type[]</w:t>
      </w:r>
      <w:r>
        <w:rPr>
          <w:sz w:val="20"/>
        </w:rPr>
        <w:br/>
      </w:r>
      <w:r>
        <w:rPr>
          <w:rStyle w:val="VerbatimChar"/>
          <w:sz w:val="20"/>
        </w:rPr>
        <w:t xml:space="preserve">created_tick[]</w:t>
      </w:r>
    </w:p>
    <w:p>
      <w:pPr>
        <w:pStyle w:val="FirstParagraph"/>
        <w:keepLines/>
        <w:spacing w:after="120"/>
        <w:jc w:val="left"/>
      </w:pPr>
      <w:r>
        <w:rPr>
          <w:sz w:val="20"/>
        </w:rPr>
        <w:t xml:space="preserve">Synapsen können als CSR/CSC-nahe Strukturen, Edge-Chunks oder regional partitionierte Adjazenzlisten gespeichert werden. HDF5-artige Chunk- und Dataset-Konzepte sind für große wissenschaftliche Arrays etabliert (</w:t>
      </w:r>
      <w:hyperlink w:anchor="ref-Folk2011">
        <w:r>
          <w:rPr>
            <w:rStyle w:val="Hyperlink"/>
          </w:rPr>
          <w:t xml:space="preserve">Folk et al., 2011</w:t>
        </w:r>
      </w:hyperlink>
      <w:r>
        <w:rPr>
          <w:sz w:val="20"/>
        </w:rPr>
        <w:t xml:space="preserve">); Brain-5D bleibt backend-agnostisch und kann Zarr-, HDF5-, Parquet- oder spezialisierte Graphspeicher kombinieren.</w:t>
      </w:r>
    </w:p>
    <w:bookmarkEnd w:id="355"/>
    <w:bookmarkStart w:id="356" w:name="checkpoint-plus-delta"/>
    <w:p>
      <w:pPr>
        <w:pStyle w:val="Heading3"/>
        <w:keepLines/>
        <w:spacing w:after="120"/>
        <w:jc w:val="left"/>
      </w:pPr>
      <w:r>
        <w:rPr>
          <w:sz w:val="20"/>
        </w:rPr>
        <w:t xml:space="preserve">Checkpoint plus Delta</w:t>
      </w:r>
    </w:p>
    <w:p>
      <w:pPr>
        <w:pStyle w:val="FirstParagraph"/>
        <w:keepLines/>
        <w:spacing w:after="120"/>
        <w:jc w:val="left"/>
      </w:pPr>
      <w:r>
        <w:rPr>
          <w:sz w:val="20"/>
        </w:rPr>
        <w:t xml:space="preserve">Ein Vollsnapshot jedes Ticks wäre untragbar. Stattdessen:</w:t>
      </w:r>
    </w:p>
    <w:p>
      <w:pPr>
        <w:pStyle w:val="BodyText"/>
        <w:keepLines/>
        <w:spacing w:after="120"/>
        <w:jc w:val="left"/>
      </w:pPr>
      <w:r>
        <w:rPr>
          <w:b/>
          <w:bCs/>
          <w:sz w:val="20"/>
        </w:rPr>
        <w:t xml:space="preserve">[MODEL]</w:t>
      </w:r>
    </w:p>
    <w:p>
      <w:pPr>
        <w:pStyle w:val="BodyText"/>
        <w:keepLines/>
        <w:spacing w:after="140" w:before="100"/>
        <w:jc w:val="center"/>
      </w:pPr>
      <m:oMathPara>
        <m:oMathParaPr>
          <m:jc m:val="center"/>
        </m:oMathParaPr>
        <m:oMath>
          <m:sSub>
            <m:e>
              <m:r>
                <m:t>X</m:t>
              </m:r>
            </m:e>
            <m:sub>
              <m:r>
                <m:t>t</m:t>
              </m:r>
            </m:sub>
          </m:sSub>
          <m:r>
            <m:rPr>
              <m:sty m:val="p"/>
            </m:rPr>
            <m:t>=</m:t>
          </m:r>
          <m:r>
            <m:t>R</m:t>
          </m:r>
          <m:r>
            <m:t>e</m:t>
          </m:r>
          <m:r>
            <m:t>p</m:t>
          </m:r>
          <m:r>
            <m:t>l</m:t>
          </m:r>
          <m:r>
            <m:t>a</m:t>
          </m:r>
          <m:r>
            <m:t>y</m:t>
          </m:r>
          <m:d>
            <m:dPr>
              <m:begChr m:val="("/>
              <m:endChr m:val=")"/>
              <m:sepChr m:val=""/>
              <m:grow/>
            </m:dPr>
            <m:e>
              <m:sSub>
                <m:e>
                  <m:r>
                    <m:t>C</m:t>
                  </m:r>
                </m:e>
                <m:sub>
                  <m:sSub>
                    <m:e>
                      <m:r>
                        <m:t>t</m:t>
                      </m:r>
                    </m:e>
                    <m:sub>
                      <m:r>
                        <m:t>0</m:t>
                      </m:r>
                    </m:sub>
                  </m:sSub>
                </m:sub>
              </m:sSub>
              <m:r>
                <m:rPr>
                  <m:sty m:val="p"/>
                </m:rPr>
                <m:t>,</m:t>
              </m:r>
              <m:r>
                <m:rPr>
                  <m:sty m:val="p"/>
                </m:rPr>
                <m:t>{</m:t>
              </m:r>
              <m:sSub>
                <m:e>
                  <m:r>
                    <m:t>Δ</m:t>
                  </m:r>
                </m:e>
                <m:sub>
                  <m:sSub>
                    <m:e>
                      <m:r>
                        <m:t>t</m:t>
                      </m:r>
                    </m:e>
                    <m:sub>
                      <m:r>
                        <m:t>0</m:t>
                      </m:r>
                    </m:sub>
                  </m:sSub>
                  <m:r>
                    <m:rPr>
                      <m:sty m:val="p"/>
                    </m:rPr>
                    <m:t>+</m:t>
                  </m:r>
                  <m:r>
                    <m:t>1</m:t>
                  </m:r>
                </m:sub>
              </m:sSub>
              <m:r>
                <m:rPr>
                  <m:sty m:val="p"/>
                </m:rPr>
                <m:t>,</m:t>
              </m:r>
              <m:r>
                <m:rPr>
                  <m:sty m:val="p"/>
                </m:rPr>
                <m:t>…</m:t>
              </m:r>
              <m:r>
                <m:rPr>
                  <m:sty m:val="p"/>
                </m:rPr>
                <m:t>,</m:t>
              </m:r>
              <m:sSub>
                <m:e>
                  <m:r>
                    <m:t>Δ</m:t>
                  </m:r>
                </m:e>
                <m:sub>
                  <m:r>
                    <m:t>t</m:t>
                  </m:r>
                </m:sub>
              </m:sSub>
              <m:r>
                <m:rPr>
                  <m:sty m:val="p"/>
                </m:rPr>
                <m:t>}</m:t>
              </m:r>
            </m:e>
          </m:d>
          <m:r>
            <m:rPr>
              <m:sty m:val="p"/>
            </m:rPr>
            <m:t>,</m:t>
          </m:r>
        </m:oMath>
      </m:oMathPara>
    </w:p>
    <w:p>
      <w:pPr>
        <w:pStyle w:val="FirstParagraph"/>
        <w:keepLines/>
        <w:spacing w:after="120"/>
        <w:jc w:val="left"/>
      </w:pPr>
      <w:r>
        <w:rPr>
          <w:sz w:val="20"/>
        </w:rPr>
        <w:t xml:space="preserve">mit Checkpoint</w:t>
      </w:r>
      <w:r>
        <w:rPr>
          <w:sz w:val="20"/>
        </w:rPr>
        <w:t xml:space="preserve"> </w:t>
      </w:r>
      <m:oMath>
        <m:sSub>
          <m:e>
            <m:r>
              <m:t>C</m:t>
            </m:r>
          </m:e>
          <m:sub>
            <m:sSub>
              <m:e>
                <m:r>
                  <m:t>t</m:t>
                </m:r>
              </m:e>
              <m:sub>
                <m:r>
                  <m:t>0</m:t>
                </m:r>
              </m:sub>
            </m:sSub>
          </m:sub>
        </m:sSub>
      </m:oMath>
      <w:r>
        <w:rPr>
          <w:sz w:val="20"/>
        </w:rPr>
        <w:t xml:space="preserve"> </w:t>
      </w:r>
      <w:r>
        <w:rPr>
          <w:sz w:val="20"/>
        </w:rPr>
        <w:t xml:space="preserve">und geordneten Deltas. Deltas umfassen Spike-Ereignisse, Gewichtsänderungen, strukturelle Mutationen, externe Inputs, Rewards und relevante Scheduler-/RNG-Übergänge.</w:t>
      </w:r>
    </w:p>
    <w:p>
      <w:pPr>
        <w:pStyle w:val="BodyText"/>
        <w:keepLines/>
        <w:spacing w:after="120"/>
        <w:jc w:val="left"/>
      </w:pPr>
      <w:r>
        <w:rPr>
          <w:sz w:val="20"/>
        </w:rPr>
        <w:t xml:space="preserve">Die mittlere Speicherlast über Zeitraum</w:t>
      </w:r>
      <w:r>
        <w:rPr>
          <w:sz w:val="20"/>
        </w:rPr>
        <w:t xml:space="preserve"> </w:t>
      </w:r>
      <m:oMath>
        <m:r>
          <m:t>T</m:t>
        </m:r>
      </m:oMath>
      <w:r>
        <w:rPr>
          <w:sz w:val="20"/>
        </w:rPr>
        <w:t xml:space="preserve"> </w:t>
      </w:r>
      <w:r>
        <w:rPr>
          <w:sz w:val="20"/>
        </w:rPr>
        <w:t xml:space="preserve">kann angenähert werden durch</w:t>
      </w:r>
    </w:p>
    <w:p>
      <w:pPr>
        <w:pStyle w:val="BodyText"/>
        <w:keepLines/>
        <w:spacing w:after="140" w:before="100"/>
        <w:jc w:val="center"/>
      </w:pPr>
      <m:oMathPara>
        <m:oMathParaPr>
          <m:jc m:val="center"/>
        </m:oMathParaPr>
        <m:oMath>
          <m:r>
            <m:t>S</m:t>
          </m:r>
          <m:d>
            <m:dPr>
              <m:begChr m:val="("/>
              <m:endChr m:val=")"/>
              <m:sepChr m:val=""/>
              <m:grow/>
            </m:dPr>
            <m:e>
              <m:r>
                <m:t>T</m:t>
              </m:r>
            </m:e>
          </m:d>
          <m:r>
            <m:rPr>
              <m:sty m:val="p"/>
            </m:rPr>
            <m:t>=</m:t>
          </m:r>
          <m:sSub>
            <m:e>
              <m:r>
                <m:t>n</m:t>
              </m:r>
            </m:e>
            <m:sub>
              <m:r>
                <m:t>C</m:t>
              </m:r>
            </m:sub>
          </m:sSub>
          <m:sSub>
            <m:e>
              <m:r>
                <m:t>S</m:t>
              </m:r>
            </m:e>
            <m:sub>
              <m:r>
                <m:t>C</m:t>
              </m:r>
            </m:sub>
          </m:sSub>
          <m:r>
            <m:rPr>
              <m:sty m:val="p"/>
            </m:rPr>
            <m:t>+</m:t>
          </m:r>
          <m:nary>
            <m:naryPr>
              <m:chr m:val="∑"/>
              <m:limLoc m:val="undOvr"/>
              <m:subHide m:val="off"/>
              <m:supHide m:val="on"/>
            </m:naryPr>
            <m:sub>
              <m:r>
                <m:t>e</m:t>
              </m:r>
              <m:r>
                <m:rPr>
                  <m:sty m:val="p"/>
                </m:rPr>
                <m:t>∈</m:t>
              </m:r>
              <m:sSub>
                <m:e>
                  <m:r>
                    <m:t>E</m:t>
                  </m:r>
                </m:e>
                <m:sub>
                  <m:r>
                    <m:t>T</m:t>
                  </m:r>
                </m:sub>
              </m:sSub>
            </m:sub>
            <m:sup>
              <m:r>
                <m:t>​</m:t>
              </m:r>
            </m:sup>
            <m:e>
              <m:sSub>
                <m:e>
                  <m:r>
                    <m:t>S</m:t>
                  </m:r>
                </m:e>
                <m:sub>
                  <m:r>
                    <m:t>e</m:t>
                  </m:r>
                </m:sub>
              </m:sSub>
            </m:e>
          </m:nary>
          <m:r>
            <m:rPr>
              <m:sty m:val="p"/>
            </m:rPr>
            <m:t>+</m:t>
          </m:r>
          <m:sSub>
            <m:e>
              <m:r>
                <m:t>S</m:t>
              </m:r>
            </m:e>
            <m:sub>
              <m:r>
                <m:t>i</m:t>
              </m:r>
              <m:r>
                <m:t>n</m:t>
              </m:r>
              <m:r>
                <m:t>d</m:t>
              </m:r>
              <m:r>
                <m:t>e</m:t>
              </m:r>
              <m:r>
                <m:t>x</m:t>
              </m:r>
            </m:sub>
          </m:sSub>
          <m:r>
            <m:rPr>
              <m:sty m:val="p"/>
            </m:rPr>
            <m:t>+</m:t>
          </m:r>
          <m:sSub>
            <m:e>
              <m:r>
                <m:t>S</m:t>
              </m:r>
            </m:e>
            <m:sub>
              <m:r>
                <m:t>p</m:t>
              </m:r>
              <m:r>
                <m:t>r</m:t>
              </m:r>
              <m:r>
                <m:t>o</m:t>
              </m:r>
              <m:r>
                <m:t>v</m:t>
              </m:r>
              <m:r>
                <m:t>e</m:t>
              </m:r>
              <m:r>
                <m:t>n</m:t>
              </m:r>
              <m:r>
                <m:t>a</m:t>
              </m:r>
              <m:r>
                <m:t>n</m:t>
              </m:r>
              <m:r>
                <m:t>c</m:t>
              </m:r>
              <m:r>
                <m:t>e</m:t>
              </m:r>
            </m:sub>
          </m:sSub>
          <m:r>
            <m:rPr>
              <m:sty m:val="p"/>
            </m:rPr>
            <m:t>.</m:t>
          </m:r>
        </m:oMath>
      </m:oMathPara>
    </w:p>
    <w:p>
      <w:pPr>
        <w:pStyle w:val="FirstParagraph"/>
        <w:keepLines/>
        <w:spacing w:after="120"/>
        <w:jc w:val="left"/>
      </w:pPr>
      <w:r>
        <w:rPr>
          <w:sz w:val="20"/>
        </w:rPr>
        <w:t xml:space="preserve">Checkpoint-Intervall, Delta-Kompression und Rekonstruktionszeit bilden einen Trade-off.</w:t>
      </w:r>
    </w:p>
    <w:bookmarkEnd w:id="356"/>
    <w:bookmarkStart w:id="357" w:name="snapshot-konsistenz"/>
    <w:p>
      <w:pPr>
        <w:pStyle w:val="Heading3"/>
        <w:keepLines/>
        <w:spacing w:after="120"/>
        <w:jc w:val="left"/>
      </w:pPr>
      <w:r>
        <w:rPr>
          <w:sz w:val="20"/>
        </w:rPr>
        <w:t xml:space="preserve">Snapshot-Konsistenz</w:t>
      </w:r>
    </w:p>
    <w:p>
      <w:pPr>
        <w:pStyle w:val="FirstParagraph"/>
        <w:keepLines/>
        <w:spacing w:after="120"/>
        <w:jc w:val="left"/>
      </w:pPr>
      <w:r>
        <w:rPr>
          <w:sz w:val="20"/>
        </w:rPr>
        <w:t xml:space="preserve">Ein Snapshot muss einen logisch konsistenten Zustand abbilden. In parallelen oder verteilten Simulationen können Schreibvorgänge zeitlich überlappen. Konzepte verteilter Snapshots und Ereignisordnung sind daher relevant (</w:t>
      </w:r>
      <w:hyperlink w:anchor="ref-Chandy1985">
        <w:r>
          <w:rPr>
            <w:rStyle w:val="Hyperlink"/>
          </w:rPr>
          <w:t xml:space="preserve">Chandy &amp; Lamport, 1985</w:t>
        </w:r>
      </w:hyperlink>
      <w:r>
        <w:rPr>
          <w:sz w:val="20"/>
        </w:rPr>
        <w:t xml:space="preserve">;</w:t>
      </w:r>
      <w:r>
        <w:rPr>
          <w:sz w:val="20"/>
        </w:rPr>
        <w:t xml:space="preserve"> </w:t>
      </w:r>
      <w:hyperlink w:anchor="ref-Lamport1978">
        <w:r>
          <w:rPr>
            <w:rStyle w:val="Hyperlink"/>
          </w:rPr>
          <w:t xml:space="preserve">Lamport, 1978</w:t>
        </w:r>
      </w:hyperlink>
      <w:r>
        <w:rPr>
          <w:sz w:val="20"/>
        </w:rPr>
        <w:t xml:space="preserve">). Brain-5D benötigt entweder eine definierte Safe Point-Barriere oder ein konsistentes Snapshot-Protokoll.</w:t>
      </w:r>
    </w:p>
    <w:bookmarkEnd w:id="357"/>
    <w:bookmarkStart w:id="358" w:name="fidelity-dimensionen"/>
    <w:p>
      <w:pPr>
        <w:pStyle w:val="Heading3"/>
        <w:keepLines/>
        <w:spacing w:after="120"/>
        <w:jc w:val="left"/>
      </w:pPr>
      <w:r>
        <w:rPr>
          <w:sz w:val="20"/>
        </w:rPr>
        <w:t xml:space="preserve">Fidelity-Dimensionen</w:t>
      </w:r>
    </w:p>
    <w:p>
      <w:pPr>
        <w:pStyle w:val="FirstParagraph"/>
        <w:keepLines/>
        <w:spacing w:after="120"/>
        <w:jc w:val="left"/>
      </w:pPr>
      <w:r>
        <w:rPr>
          <w:sz w:val="20"/>
        </w:rPr>
        <w:t xml:space="preserve">Der Digital State Twin wird anhand von vier Fidelity-Dimensionen bewertet:</w:t>
      </w:r>
    </w:p>
    <w:p>
      <w:pPr>
        <w:keepLines/>
        <w:numPr>
          <w:ilvl w:val="0"/>
          <w:numId w:val="1030"/>
        </w:numPr>
        <w:spacing w:after="120"/>
        <w:jc w:val="left"/>
      </w:pPr>
      <w:r>
        <w:rPr>
          <w:b/>
          <w:bCs/>
          <w:sz w:val="20"/>
        </w:rPr>
        <w:t xml:space="preserve">State Fidelity:</w:t>
      </w:r>
      <w:r>
        <w:rPr>
          <w:sz w:val="20"/>
        </w:rPr>
        <w:t xml:space="preserve"> </w:t>
      </w:r>
      <w:r>
        <w:rPr>
          <w:sz w:val="20"/>
        </w:rPr>
        <w:t xml:space="preserve">rekonstruiertes</w:t>
      </w:r>
      <w:r>
        <w:rPr>
          <w:sz w:val="20"/>
        </w:rPr>
        <w:t xml:space="preserve"> </w:t>
      </w:r>
      <m:oMath>
        <m:sSub>
          <m:e>
            <m:acc>
              <m:accPr>
                <m:chr m:val="̂"/>
              </m:accPr>
              <m:e>
                <m:r>
                  <m:t>X</m:t>
                </m:r>
              </m:e>
            </m:acc>
          </m:e>
          <m:sub>
            <m:r>
              <m:t>t</m:t>
            </m:r>
          </m:sub>
        </m:sSub>
      </m:oMath>
      <w:r>
        <w:rPr>
          <w:sz w:val="20"/>
        </w:rPr>
        <w:t xml:space="preserve"> </w:t>
      </w:r>
      <w:r>
        <w:rPr>
          <w:sz w:val="20"/>
        </w:rPr>
        <w:t xml:space="preserve">entspricht</w:t>
      </w:r>
      <w:r>
        <w:rPr>
          <w:sz w:val="20"/>
        </w:rPr>
        <w:t xml:space="preserve"> </w:t>
      </w:r>
      <m:oMath>
        <m:sSub>
          <m:e>
            <m:r>
              <m:t>X</m:t>
            </m:r>
          </m:e>
          <m:sub>
            <m:r>
              <m:t>t</m:t>
            </m:r>
          </m:sub>
        </m:sSub>
      </m:oMath>
      <w:r>
        <w:rPr>
          <w:sz w:val="20"/>
        </w:rPr>
        <w:t xml:space="preserve"> </w:t>
      </w:r>
      <w:r>
        <w:rPr>
          <w:sz w:val="20"/>
        </w:rPr>
        <w:t xml:space="preserve">innerhalb definierter Toleranz;</w:t>
      </w:r>
    </w:p>
    <w:p>
      <w:pPr>
        <w:keepLines/>
        <w:numPr>
          <w:ilvl w:val="0"/>
          <w:numId w:val="1030"/>
        </w:numPr>
        <w:spacing w:after="120"/>
        <w:jc w:val="left"/>
      </w:pPr>
      <w:r>
        <w:rPr>
          <w:b/>
          <w:bCs/>
          <w:sz w:val="20"/>
        </w:rPr>
        <w:t xml:space="preserve">Temporal Fidelity:</w:t>
      </w:r>
      <w:r>
        <w:rPr>
          <w:sz w:val="20"/>
        </w:rPr>
        <w:t xml:space="preserve"> </w:t>
      </w:r>
      <w:r>
        <w:rPr>
          <w:sz w:val="20"/>
        </w:rPr>
        <w:t xml:space="preserve">Ereignisreihenfolge und Verzögerungen bleiben erhalten;</w:t>
      </w:r>
    </w:p>
    <w:p>
      <w:pPr>
        <w:keepLines/>
        <w:numPr>
          <w:ilvl w:val="0"/>
          <w:numId w:val="1030"/>
        </w:numPr>
        <w:spacing w:after="120"/>
        <w:jc w:val="left"/>
      </w:pPr>
      <w:r>
        <w:rPr>
          <w:b/>
          <w:bCs/>
          <w:sz w:val="20"/>
        </w:rPr>
        <w:t xml:space="preserve">Structural Fidelity:</w:t>
      </w:r>
      <w:r>
        <w:rPr>
          <w:sz w:val="20"/>
        </w:rPr>
        <w:t xml:space="preserve"> </w:t>
      </w:r>
      <w:r>
        <w:rPr>
          <w:sz w:val="20"/>
        </w:rPr>
        <w:t xml:space="preserve">Knoten, Kanten, Typen und Attribute stimmen;</w:t>
      </w:r>
    </w:p>
    <w:p>
      <w:pPr>
        <w:keepLines/>
        <w:numPr>
          <w:ilvl w:val="0"/>
          <w:numId w:val="1030"/>
        </w:numPr>
        <w:spacing w:after="120"/>
        <w:jc w:val="left"/>
      </w:pPr>
      <w:r>
        <w:rPr>
          <w:b/>
          <w:bCs/>
          <w:sz w:val="20"/>
        </w:rPr>
        <w:t xml:space="preserve">Causal Fidelity:</w:t>
      </w:r>
      <w:r>
        <w:rPr>
          <w:sz w:val="20"/>
        </w:rPr>
        <w:t xml:space="preserve"> </w:t>
      </w:r>
      <w:r>
        <w:rPr>
          <w:sz w:val="20"/>
        </w:rPr>
        <w:t xml:space="preserve">Replay reproduziert relevante Antworten auf identische Interventionen.</w:t>
      </w:r>
    </w:p>
    <w:p>
      <w:pPr>
        <w:pStyle w:val="FirstParagraph"/>
        <w:keepLines/>
        <w:spacing w:after="120"/>
        <w:jc w:val="left"/>
      </w:pPr>
      <w:r>
        <w:rPr>
          <w:b/>
          <w:bCs/>
          <w:sz w:val="20"/>
        </w:rPr>
        <w:t xml:space="preserve">[EMP]</w:t>
      </w:r>
      <w:r>
        <w:rPr>
          <w:sz w:val="20"/>
        </w:rPr>
        <w:t xml:space="preserve"> </w:t>
      </w:r>
      <w:r>
        <w:rPr>
          <w:sz w:val="20"/>
        </w:rPr>
        <w:t xml:space="preserve">Ein Rekonstruktionsfehler kann als</w:t>
      </w:r>
    </w:p>
    <w:p>
      <w:pPr>
        <w:pStyle w:val="BodyText"/>
        <w:keepLines/>
        <w:spacing w:after="140" w:before="100"/>
        <w:jc w:val="center"/>
      </w:pPr>
      <m:oMathPara>
        <m:oMathParaPr>
          <m:jc m:val="center"/>
        </m:oMathParaPr>
        <m:oMath>
          <m:sSub>
            <m:e>
              <m:r>
                <m:t>E</m:t>
              </m:r>
            </m:e>
            <m:sub>
              <m:r>
                <m:t>s</m:t>
              </m:r>
              <m:r>
                <m:t>t</m:t>
              </m:r>
              <m:r>
                <m:t>a</m:t>
              </m:r>
              <m:r>
                <m:t>t</m:t>
              </m:r>
              <m:r>
                <m:t>e</m:t>
              </m:r>
            </m:sub>
          </m:sSub>
          <m:r>
            <m:rPr>
              <m:sty m:val="p"/>
            </m:rPr>
            <m:t>=</m:t>
          </m:r>
          <m:f>
            <m:fPr>
              <m:type m:val="bar"/>
            </m:fPr>
            <m:num>
              <m:r>
                <m:rPr>
                  <m:sty m:val="p"/>
                </m:rPr>
                <m:t>∥</m:t>
              </m:r>
              <m:sSub>
                <m:e>
                  <m:r>
                    <m:t>X</m:t>
                  </m:r>
                </m:e>
                <m:sub>
                  <m:r>
                    <m:t>t</m:t>
                  </m:r>
                </m:sub>
              </m:sSub>
              <m:r>
                <m:rPr>
                  <m:sty m:val="p"/>
                </m:rPr>
                <m:t>−</m:t>
              </m:r>
              <m:sSub>
                <m:e>
                  <m:acc>
                    <m:accPr>
                      <m:chr m:val="̂"/>
                    </m:accPr>
                    <m:e>
                      <m:r>
                        <m:t>X</m:t>
                      </m:r>
                    </m:e>
                  </m:acc>
                </m:e>
                <m:sub>
                  <m:r>
                    <m:t>t</m:t>
                  </m:r>
                </m:sub>
              </m:sSub>
              <m:sSub>
                <m:e>
                  <m:r>
                    <m:rPr>
                      <m:sty m:val="p"/>
                    </m:rPr>
                    <m:t>∥</m:t>
                  </m:r>
                </m:e>
                <m:sub>
                  <m:r>
                    <m:t>W</m:t>
                  </m:r>
                </m:sub>
              </m:sSub>
            </m:num>
            <m:den>
              <m:r>
                <m:rPr>
                  <m:sty m:val="p"/>
                </m:rPr>
                <m:t>∥</m:t>
              </m:r>
              <m:sSub>
                <m:e>
                  <m:r>
                    <m:t>X</m:t>
                  </m:r>
                </m:e>
                <m:sub>
                  <m:r>
                    <m:t>t</m:t>
                  </m:r>
                </m:sub>
              </m:sSub>
              <m:sSub>
                <m:e>
                  <m:r>
                    <m:rPr>
                      <m:sty m:val="p"/>
                    </m:rPr>
                    <m:t>∥</m:t>
                  </m:r>
                </m:e>
                <m:sub>
                  <m:r>
                    <m:t>W</m:t>
                  </m:r>
                </m:sub>
              </m:sSub>
              <m:r>
                <m:rPr>
                  <m:sty m:val="p"/>
                </m:rPr>
                <m:t>+</m:t>
              </m:r>
              <m:r>
                <m:t>ϵ</m:t>
              </m:r>
            </m:den>
          </m:f>
        </m:oMath>
      </m:oMathPara>
    </w:p>
    <w:p>
      <w:pPr>
        <w:pStyle w:val="FirstParagraph"/>
        <w:keepLines/>
        <w:spacing w:after="120"/>
        <w:jc w:val="left"/>
      </w:pPr>
      <w:r>
        <w:rPr>
          <w:sz w:val="20"/>
        </w:rPr>
        <w:t xml:space="preserve">geschätzt werden. Für diskrete Struktur werden Hashes, Set-Differenzen und typisierte Edge-Vergleiche verwendet.</w:t>
      </w:r>
    </w:p>
    <w:bookmarkEnd w:id="358"/>
    <w:bookmarkStart w:id="359" w:name="digital-twin-api"/>
    <w:p>
      <w:pPr>
        <w:pStyle w:val="Heading3"/>
        <w:keepLines/>
        <w:spacing w:after="120"/>
        <w:jc w:val="left"/>
      </w:pPr>
      <w:r>
        <w:rPr>
          <w:sz w:val="20"/>
        </w:rPr>
        <w:t xml:space="preserve">Digital-Twin-API</w:t>
      </w:r>
    </w:p>
    <w:p>
      <w:pPr>
        <w:pStyle w:val="FirstParagraph"/>
        <w:keepLines/>
        <w:spacing w:after="120"/>
        <w:jc w:val="left"/>
      </w:pPr>
      <w:r>
        <w:rPr>
          <w:sz w:val="20"/>
        </w:rPr>
        <w:t xml:space="preserve">Die API soll mindestens ermöglichen:</w:t>
      </w:r>
    </w:p>
    <w:p>
      <w:pPr>
        <w:keepLines/>
        <w:numPr>
          <w:ilvl w:val="0"/>
          <w:numId w:val="1031"/>
        </w:numPr>
        <w:spacing w:after="120"/>
        <w:jc w:val="left"/>
      </w:pPr>
      <w:r>
        <w:rPr>
          <w:rStyle w:val="VerbatimChar"/>
          <w:sz w:val="20"/>
        </w:rPr>
        <w:t xml:space="preserve">snapshot(tick)</w:t>
      </w:r>
      <w:r>
        <w:rPr>
          <w:sz w:val="20"/>
        </w:rPr>
        <w:t xml:space="preserve"> </w:t>
      </w:r>
      <w:r>
        <w:rPr>
          <w:sz w:val="20"/>
        </w:rPr>
        <w:t xml:space="preserve">und</w:t>
      </w:r>
      <w:r>
        <w:rPr>
          <w:sz w:val="20"/>
        </w:rPr>
        <w:t xml:space="preserve"> </w:t>
      </w:r>
      <w:r>
        <w:rPr>
          <w:rStyle w:val="VerbatimChar"/>
          <w:sz w:val="20"/>
        </w:rPr>
        <w:t xml:space="preserve">restore(snapshot_id)</w:t>
      </w:r>
      <w:r>
        <w:rPr>
          <w:sz w:val="20"/>
        </w:rPr>
        <w:t xml:space="preserve">;</w:t>
      </w:r>
    </w:p>
    <w:p>
      <w:pPr>
        <w:keepLines/>
        <w:numPr>
          <w:ilvl w:val="0"/>
          <w:numId w:val="1031"/>
        </w:numPr>
        <w:spacing w:after="120"/>
        <w:jc w:val="left"/>
      </w:pPr>
      <w:r>
        <w:rPr>
          <w:rStyle w:val="VerbatimChar"/>
          <w:sz w:val="20"/>
        </w:rPr>
        <w:t xml:space="preserve">query_neurons(region, time)</w:t>
      </w:r>
      <w:r>
        <w:rPr>
          <w:sz w:val="20"/>
        </w:rPr>
        <w:t xml:space="preserve">;</w:t>
      </w:r>
    </w:p>
    <w:p>
      <w:pPr>
        <w:keepLines/>
        <w:numPr>
          <w:ilvl w:val="0"/>
          <w:numId w:val="1031"/>
        </w:numPr>
        <w:spacing w:after="120"/>
        <w:jc w:val="left"/>
      </w:pPr>
      <w:r>
        <w:rPr>
          <w:rStyle w:val="VerbatimChar"/>
          <w:sz w:val="20"/>
        </w:rPr>
        <w:t xml:space="preserve">query_edges(source, target, type, time)</w:t>
      </w:r>
      <w:r>
        <w:rPr>
          <w:sz w:val="20"/>
        </w:rPr>
        <w:t xml:space="preserve">;</w:t>
      </w:r>
    </w:p>
    <w:p>
      <w:pPr>
        <w:keepLines/>
        <w:numPr>
          <w:ilvl w:val="0"/>
          <w:numId w:val="1031"/>
        </w:numPr>
        <w:spacing w:after="120"/>
        <w:jc w:val="left"/>
      </w:pPr>
      <w:r>
        <w:rPr>
          <w:rStyle w:val="VerbatimChar"/>
          <w:sz w:val="20"/>
        </w:rPr>
        <w:t xml:space="preserve">stream_events(t0, t1, filters)</w:t>
      </w:r>
      <w:r>
        <w:rPr>
          <w:sz w:val="20"/>
        </w:rPr>
        <w:t xml:space="preserve">;</w:t>
      </w:r>
    </w:p>
    <w:p>
      <w:pPr>
        <w:keepLines/>
        <w:numPr>
          <w:ilvl w:val="0"/>
          <w:numId w:val="1031"/>
        </w:numPr>
        <w:spacing w:after="120"/>
        <w:jc w:val="left"/>
      </w:pPr>
      <w:r>
        <w:rPr>
          <w:rStyle w:val="VerbatimChar"/>
          <w:sz w:val="20"/>
        </w:rPr>
        <w:t xml:space="preserve">diff_state(snapshot_a, snapshot_b)</w:t>
      </w:r>
      <w:r>
        <w:rPr>
          <w:sz w:val="20"/>
        </w:rPr>
        <w:t xml:space="preserve">;</w:t>
      </w:r>
    </w:p>
    <w:p>
      <w:pPr>
        <w:keepLines/>
        <w:numPr>
          <w:ilvl w:val="0"/>
          <w:numId w:val="1031"/>
        </w:numPr>
        <w:spacing w:after="120"/>
        <w:jc w:val="left"/>
      </w:pPr>
      <w:r>
        <w:rPr>
          <w:rStyle w:val="VerbatimChar"/>
          <w:sz w:val="20"/>
        </w:rPr>
        <w:t xml:space="preserve">trace_provenance(entity_id)</w:t>
      </w:r>
      <w:r>
        <w:rPr>
          <w:sz w:val="20"/>
        </w:rPr>
        <w:t xml:space="preserve">;</w:t>
      </w:r>
    </w:p>
    <w:p>
      <w:pPr>
        <w:keepLines/>
        <w:numPr>
          <w:ilvl w:val="0"/>
          <w:numId w:val="1031"/>
        </w:numPr>
        <w:spacing w:after="120"/>
        <w:jc w:val="left"/>
      </w:pPr>
      <w:r>
        <w:rPr>
          <w:rStyle w:val="VerbatimChar"/>
          <w:sz w:val="20"/>
        </w:rPr>
        <w:t xml:space="preserve">fork_experiment(snapshot_id, intervention)</w:t>
      </w:r>
      <w:r>
        <w:rPr>
          <w:sz w:val="20"/>
        </w:rPr>
        <w:t xml:space="preserve">;</w:t>
      </w:r>
    </w:p>
    <w:p>
      <w:pPr>
        <w:keepLines/>
        <w:numPr>
          <w:ilvl w:val="0"/>
          <w:numId w:val="1031"/>
        </w:numPr>
        <w:spacing w:after="120"/>
        <w:jc w:val="left"/>
      </w:pPr>
      <w:r>
        <w:rPr>
          <w:rStyle w:val="VerbatimChar"/>
          <w:sz w:val="20"/>
        </w:rPr>
        <w:t xml:space="preserve">verify_integrity(artifact_id)</w:t>
      </w:r>
      <w:r>
        <w:rPr>
          <w:sz w:val="20"/>
        </w:rPr>
        <w:t xml:space="preserve">.</w:t>
      </w:r>
    </w:p>
    <w:p>
      <w:pPr>
        <w:pStyle w:val="FirstParagraph"/>
        <w:keepLines/>
        <w:spacing w:after="120"/>
        <w:jc w:val="left"/>
      </w:pPr>
      <w:r>
        <w:rPr>
          <w:sz w:val="20"/>
        </w:rPr>
        <w:t xml:space="preserve">Das Forking aus einem identischen Zustand ist besonders wertvoll für kontrafaktische und kausale Ablationen.</w:t>
      </w:r>
    </w:p>
    <w:bookmarkEnd w:id="359"/>
    <w:bookmarkStart w:id="360" w:name="X66c6b46771fb8b9914f9382a4a171c8c38309b0"/>
    <w:p>
      <w:pPr>
        <w:pStyle w:val="Heading3"/>
        <w:keepLines/>
        <w:spacing w:after="120"/>
        <w:jc w:val="left"/>
      </w:pPr>
      <w:r>
        <w:rPr>
          <w:sz w:val="20"/>
        </w:rPr>
        <w:t xml:space="preserve">Optisches beziehungsweise bildartiges Speicheräquivalent</w:t>
      </w:r>
    </w:p>
    <w:p>
      <w:pPr>
        <w:pStyle w:val="FirstParagraph"/>
        <w:keepLines/>
        <w:spacing w:after="120"/>
        <w:jc w:val="left"/>
      </w:pPr>
      <w:r>
        <w:rPr>
          <w:sz w:val="20"/>
        </w:rPr>
        <w:t xml:space="preserve">Die Idee einer 3D–5D-Bildrepräsentation kann als</w:t>
      </w:r>
      <w:r>
        <w:rPr>
          <w:sz w:val="20"/>
        </w:rPr>
        <w:t xml:space="preserve"> </w:t>
      </w:r>
      <w:r>
        <w:rPr>
          <w:b/>
          <w:bCs/>
          <w:sz w:val="20"/>
        </w:rPr>
        <w:t xml:space="preserve">kodierte Sicht</w:t>
      </w:r>
      <w:r>
        <w:rPr>
          <w:sz w:val="20"/>
        </w:rPr>
        <w:t xml:space="preserve"> </w:t>
      </w:r>
      <w:r>
        <w:rPr>
          <w:sz w:val="20"/>
        </w:rPr>
        <w:t xml:space="preserve">des Zustands nützlich sein. Ein Voxel oder Texel kann mehrere Kanäle tragen, etwa Potential, Zelltyp, Energie, Aktivität und lokale Strukturdichte. Eine Bilddatei ist jedoch nicht automatisch ein geeigneter Primärspeicher für variable Graphkanten und Ereignishistorien. Brain-5D unterscheidet daher:</w:t>
      </w:r>
    </w:p>
    <w:p>
      <w:pPr>
        <w:keepLines/>
        <w:numPr>
          <w:ilvl w:val="0"/>
          <w:numId w:val="1032"/>
        </w:numPr>
        <w:spacing w:after="120"/>
        <w:jc w:val="left"/>
      </w:pPr>
      <w:r>
        <w:rPr>
          <w:b/>
          <w:bCs/>
          <w:sz w:val="20"/>
        </w:rPr>
        <w:t xml:space="preserve">state raster:</w:t>
      </w:r>
      <w:r>
        <w:rPr>
          <w:sz w:val="20"/>
        </w:rPr>
        <w:t xml:space="preserve"> </w:t>
      </w:r>
      <w:r>
        <w:rPr>
          <w:sz w:val="20"/>
        </w:rPr>
        <w:t xml:space="preserve">dichte oder sparse Rasterkanäle pro Koordinate;</w:t>
      </w:r>
    </w:p>
    <w:p>
      <w:pPr>
        <w:keepLines/>
        <w:numPr>
          <w:ilvl w:val="0"/>
          <w:numId w:val="1032"/>
        </w:numPr>
        <w:spacing w:after="120"/>
        <w:jc w:val="left"/>
      </w:pPr>
      <w:r>
        <w:rPr>
          <w:b/>
          <w:bCs/>
          <w:sz w:val="20"/>
        </w:rPr>
        <w:t xml:space="preserve">edge layer:</w:t>
      </w:r>
      <w:r>
        <w:rPr>
          <w:sz w:val="20"/>
        </w:rPr>
        <w:t xml:space="preserve"> </w:t>
      </w:r>
      <w:r>
        <w:rPr>
          <w:sz w:val="20"/>
        </w:rPr>
        <w:t xml:space="preserve">separate Graph-/Kantenstruktur;</w:t>
      </w:r>
    </w:p>
    <w:p>
      <w:pPr>
        <w:keepLines/>
        <w:numPr>
          <w:ilvl w:val="0"/>
          <w:numId w:val="1032"/>
        </w:numPr>
        <w:spacing w:after="120"/>
        <w:jc w:val="left"/>
      </w:pPr>
      <w:r>
        <w:rPr>
          <w:b/>
          <w:bCs/>
          <w:sz w:val="20"/>
        </w:rPr>
        <w:t xml:space="preserve">event layer:</w:t>
      </w:r>
      <w:r>
        <w:rPr>
          <w:sz w:val="20"/>
        </w:rPr>
        <w:t xml:space="preserve"> </w:t>
      </w:r>
      <w:r>
        <w:rPr>
          <w:sz w:val="20"/>
        </w:rPr>
        <w:t xml:space="preserve">zeitgeordnete Änderungen;</w:t>
      </w:r>
    </w:p>
    <w:p>
      <w:pPr>
        <w:keepLines/>
        <w:numPr>
          <w:ilvl w:val="0"/>
          <w:numId w:val="1032"/>
        </w:numPr>
        <w:spacing w:after="120"/>
        <w:jc w:val="left"/>
      </w:pPr>
      <w:r>
        <w:rPr>
          <w:b/>
          <w:bCs/>
          <w:sz w:val="20"/>
        </w:rPr>
        <w:t xml:space="preserve">metadata layer:</w:t>
      </w:r>
      <w:r>
        <w:rPr>
          <w:sz w:val="20"/>
        </w:rPr>
        <w:t xml:space="preserve"> </w:t>
      </w:r>
      <w:r>
        <w:rPr>
          <w:sz w:val="20"/>
        </w:rPr>
        <w:t xml:space="preserve">Schema, Einheiten, Provenienz und Kompression.</w:t>
      </w:r>
    </w:p>
    <w:p>
      <w:pPr>
        <w:pStyle w:val="FirstParagraph"/>
        <w:keepLines/>
        <w:spacing w:after="120"/>
        <w:jc w:val="left"/>
      </w:pPr>
      <w:r>
        <w:rPr>
          <w:sz w:val="20"/>
        </w:rPr>
        <w:t xml:space="preserve">Die optische Darstellung wird als analysierbare, manipulierbare und gegebenenfalls GPU-nahe Projektion behandelt, nicht als vollständiger Ersatz für alle relationalen Daten.</w:t>
      </w:r>
    </w:p>
    <w:bookmarkEnd w:id="360"/>
    <w:bookmarkStart w:id="361" w:name="manipulation-und-auslesen"/>
    <w:p>
      <w:pPr>
        <w:pStyle w:val="Heading3"/>
        <w:keepLines/>
        <w:spacing w:after="120"/>
        <w:jc w:val="left"/>
      </w:pPr>
      <w:r>
        <w:rPr>
          <w:sz w:val="20"/>
        </w:rPr>
        <w:t xml:space="preserve">Manipulation und Auslesen</w:t>
      </w:r>
    </w:p>
    <w:p>
      <w:pPr>
        <w:pStyle w:val="FirstParagraph"/>
        <w:keepLines/>
        <w:spacing w:after="120"/>
        <w:jc w:val="left"/>
      </w:pPr>
      <w:r>
        <w:rPr>
          <w:sz w:val="20"/>
        </w:rPr>
        <w:t xml:space="preserve">Jede Manipulation am Twin erfolgt transaktional:</w:t>
      </w:r>
    </w:p>
    <w:p>
      <w:pPr>
        <w:pStyle w:val="SourceCode"/>
        <w:keepNext w:val="0"/>
        <w:keepLines/>
        <w:spacing w:after="120"/>
        <w:jc w:val="left"/>
      </w:pPr>
      <w:r>
        <w:rPr>
          <w:rStyle w:val="VerbatimChar"/>
          <w:sz w:val="20"/>
        </w:rPr>
        <w:t xml:space="preserve">ReadSnapshot → ConstructIntervention → Validate → Fork → Apply → Simulate → Compare</w:t>
      </w:r>
    </w:p>
    <w:p>
      <w:pPr>
        <w:pStyle w:val="FirstParagraph"/>
        <w:keepLines/>
        <w:spacing w:after="120"/>
        <w:jc w:val="left"/>
      </w:pPr>
      <w:r>
        <w:rPr>
          <w:sz w:val="20"/>
        </w:rPr>
        <w:t xml:space="preserve">Direktes Editieren eines Produktionssnapshots ist unzulässig. Interventionen erhalten ID, Autorität, Ziel, Bereich, Vorher-/Nachher-Hash und Rollback-Information. Dadurch können Forschungsmanipulationen von natürlicher Plastizität unterschieden werden.</w:t>
      </w:r>
    </w:p>
    <w:bookmarkEnd w:id="361"/>
    <w:bookmarkEnd w:id="362"/>
    <w:bookmarkStart w:id="368" w:name="X296fa89c4b3c3a9112957cb2bd19c0c34e6fd6c"/>
    <w:p>
      <w:pPr>
        <w:pStyle w:val="Heading2"/>
      </w:pPr>
      <w:r>
        <w:t xml:space="preserve">Reproduzierbarkeit und Forschungssoftware</w:t>
      </w:r>
    </w:p>
    <w:bookmarkStart w:id="363" w:name="Xde7aeedcad8a1f1b07e345b06aa47ac9facf39d"/>
    <w:p>
      <w:pPr>
        <w:pStyle w:val="Heading3"/>
        <w:keepLines/>
        <w:spacing w:after="120"/>
        <w:jc w:val="left"/>
      </w:pPr>
      <w:r>
        <w:rPr>
          <w:sz w:val="20"/>
        </w:rPr>
        <w:t xml:space="preserve">Minimalmetadaten eines wissenschaftlichen Laufs</w:t>
      </w:r>
    </w:p>
    <w:p>
      <w:pPr>
        <w:pStyle w:val="FirstParagraph"/>
        <w:keepLines/>
        <w:spacing w:after="120"/>
        <w:jc w:val="left"/>
      </w:pPr>
      <w:r>
        <w:rPr>
          <w:sz w:val="20"/>
        </w:rPr>
        <w:t xml:space="preserve">Jeder wissenschaftlich relevante Lauf enthält mindestens:</w:t>
      </w:r>
    </w:p>
    <w:p>
      <w:pPr>
        <w:pStyle w:val="SourceCode"/>
        <w:keepNext w:val="0"/>
        <w:keepLines/>
        <w:spacing w:after="120"/>
        <w:jc w:val="left"/>
      </w:pPr>
      <w:r>
        <w:rPr>
          <w:rStyle w:val="VerbatimChar"/>
          <w:sz w:val="20"/>
        </w:rPr>
        <w:t xml:space="preserve">experiment_id: EXP-...</w:t>
      </w:r>
      <w:r>
        <w:rPr>
          <w:sz w:val="20"/>
        </w:rPr>
        <w:br/>
      </w:r>
      <w:r>
        <w:rPr>
          <w:rStyle w:val="VerbatimChar"/>
          <w:sz w:val="20"/>
        </w:rPr>
        <w:t xml:space="preserve">run_id: RUN-...</w:t>
      </w:r>
      <w:r>
        <w:rPr>
          <w:sz w:val="20"/>
        </w:rPr>
        <w:br/>
      </w:r>
      <w:r>
        <w:rPr>
          <w:rStyle w:val="VerbatimChar"/>
          <w:sz w:val="20"/>
        </w:rPr>
        <w:t xml:space="preserve">claim_ids: [CLAIM-...]</w:t>
      </w:r>
      <w:r>
        <w:rPr>
          <w:sz w:val="20"/>
        </w:rPr>
        <w:br/>
      </w:r>
      <w:r>
        <w:rPr>
          <w:rStyle w:val="VerbatimChar"/>
          <w:sz w:val="20"/>
        </w:rPr>
        <w:t xml:space="preserve">git_repository: Thomas-Heisig/Brain-5D</w:t>
      </w:r>
      <w:r>
        <w:rPr>
          <w:sz w:val="20"/>
        </w:rPr>
        <w:br/>
      </w:r>
      <w:r>
        <w:rPr>
          <w:rStyle w:val="VerbatimChar"/>
          <w:sz w:val="20"/>
        </w:rPr>
        <w:t xml:space="preserve">git_commit: "..."</w:t>
      </w:r>
      <w:r>
        <w:rPr>
          <w:sz w:val="20"/>
        </w:rPr>
        <w:br/>
      </w:r>
      <w:r>
        <w:rPr>
          <w:rStyle w:val="VerbatimChar"/>
          <w:sz w:val="20"/>
        </w:rPr>
        <w:t xml:space="preserve">brain5d_version: "..."</w:t>
      </w:r>
      <w:r>
        <w:rPr>
          <w:sz w:val="20"/>
        </w:rPr>
        <w:br/>
      </w:r>
      <w:r>
        <w:rPr>
          <w:rStyle w:val="VerbatimChar"/>
          <w:sz w:val="20"/>
        </w:rPr>
        <w:t xml:space="preserve">working_tree_clean: true</w:t>
      </w:r>
      <w:r>
        <w:rPr>
          <w:sz w:val="20"/>
        </w:rPr>
        <w:br/>
      </w:r>
      <w:r>
        <w:rPr>
          <w:rStyle w:val="VerbatimChar"/>
          <w:sz w:val="20"/>
        </w:rPr>
        <w:t xml:space="preserve">configuration_hash: sha256:...</w:t>
      </w:r>
      <w:r>
        <w:rPr>
          <w:sz w:val="20"/>
        </w:rPr>
        <w:br/>
      </w:r>
      <w:r>
        <w:rPr>
          <w:rStyle w:val="VerbatimChar"/>
          <w:sz w:val="20"/>
        </w:rPr>
        <w:t xml:space="preserve">configuration_artifact: ART-...</w:t>
      </w:r>
      <w:r>
        <w:rPr>
          <w:sz w:val="20"/>
        </w:rPr>
        <w:br/>
      </w:r>
      <w:r>
        <w:rPr>
          <w:rStyle w:val="VerbatimChar"/>
          <w:sz w:val="20"/>
        </w:rPr>
        <w:t xml:space="preserve">random_seed: 12345</w:t>
      </w:r>
      <w:r>
        <w:rPr>
          <w:sz w:val="20"/>
        </w:rPr>
        <w:br/>
      </w:r>
      <w:r>
        <w:rPr>
          <w:rStyle w:val="VerbatimChar"/>
          <w:sz w:val="20"/>
        </w:rPr>
        <w:t xml:space="preserve">rng_algorithm: PCG64</w:t>
      </w:r>
      <w:r>
        <w:rPr>
          <w:sz w:val="20"/>
        </w:rPr>
        <w:br/>
      </w:r>
      <w:r>
        <w:rPr>
          <w:rStyle w:val="VerbatimChar"/>
          <w:sz w:val="20"/>
        </w:rPr>
        <w:t xml:space="preserve">rng_state_artifact: ART-...</w:t>
      </w:r>
      <w:r>
        <w:rPr>
          <w:sz w:val="20"/>
        </w:rPr>
        <w:br/>
      </w:r>
      <w:r>
        <w:rPr>
          <w:rStyle w:val="VerbatimChar"/>
          <w:sz w:val="20"/>
        </w:rPr>
        <w:t xml:space="preserve">dataset_ids: [DATA-...]</w:t>
      </w:r>
      <w:r>
        <w:rPr>
          <w:sz w:val="20"/>
        </w:rPr>
        <w:br/>
      </w:r>
      <w:r>
        <w:rPr>
          <w:rStyle w:val="VerbatimChar"/>
          <w:sz w:val="20"/>
        </w:rPr>
        <w:t xml:space="preserve">stimulus_schema: "2.0"</w:t>
      </w:r>
      <w:r>
        <w:rPr>
          <w:sz w:val="20"/>
        </w:rPr>
        <w:br/>
      </w:r>
      <w:r>
        <w:rPr>
          <w:rStyle w:val="VerbatimChar"/>
          <w:sz w:val="20"/>
        </w:rPr>
        <w:t xml:space="preserve">network_schema: "3.1"</w:t>
      </w:r>
      <w:r>
        <w:rPr>
          <w:sz w:val="20"/>
        </w:rPr>
        <w:br/>
      </w:r>
      <w:r>
        <w:rPr>
          <w:rStyle w:val="VerbatimChar"/>
          <w:sz w:val="20"/>
        </w:rPr>
        <w:t xml:space="preserve">plasticity_schema: "2.4"</w:t>
      </w:r>
      <w:r>
        <w:rPr>
          <w:sz w:val="20"/>
        </w:rPr>
        <w:br/>
      </w:r>
      <w:r>
        <w:rPr>
          <w:rStyle w:val="VerbatimChar"/>
          <w:sz w:val="20"/>
        </w:rPr>
        <w:t xml:space="preserve">metric_schema: "1.2"</w:t>
      </w:r>
      <w:r>
        <w:rPr>
          <w:sz w:val="20"/>
        </w:rPr>
        <w:br/>
      </w:r>
      <w:r>
        <w:rPr>
          <w:rStyle w:val="VerbatimChar"/>
          <w:sz w:val="20"/>
        </w:rPr>
        <w:t xml:space="preserve">decoder_id: DEC-...</w:t>
      </w:r>
      <w:r>
        <w:rPr>
          <w:sz w:val="20"/>
        </w:rPr>
        <w:br/>
      </w:r>
      <w:r>
        <w:rPr>
          <w:rStyle w:val="VerbatimChar"/>
          <w:sz w:val="20"/>
        </w:rPr>
        <w:t xml:space="preserve">language_backend: null-language-1.0</w:t>
      </w:r>
      <w:r>
        <w:rPr>
          <w:sz w:val="20"/>
        </w:rPr>
        <w:br/>
      </w:r>
      <w:r>
        <w:rPr>
          <w:rStyle w:val="VerbatimChar"/>
          <w:sz w:val="20"/>
        </w:rPr>
        <w:t xml:space="preserve">hardware:</w:t>
      </w:r>
      <w:r>
        <w:rPr>
          <w:sz w:val="20"/>
        </w:rPr>
        <w:br/>
      </w:r>
      <w:r>
        <w:rPr>
          <w:rStyle w:val="VerbatimChar"/>
          <w:sz w:val="20"/>
        </w:rPr>
        <w:t xml:space="preserve">  cpu: "..."</w:t>
      </w:r>
      <w:r>
        <w:rPr>
          <w:sz w:val="20"/>
        </w:rPr>
        <w:br/>
      </w:r>
      <w:r>
        <w:rPr>
          <w:rStyle w:val="VerbatimChar"/>
          <w:sz w:val="20"/>
        </w:rPr>
        <w:t xml:space="preserve">  gpu: "..."</w:t>
      </w:r>
      <w:r>
        <w:rPr>
          <w:sz w:val="20"/>
        </w:rPr>
        <w:br/>
      </w:r>
      <w:r>
        <w:rPr>
          <w:rStyle w:val="VerbatimChar"/>
          <w:sz w:val="20"/>
        </w:rPr>
        <w:t xml:space="preserve">  ram_gib: 64</w:t>
      </w:r>
      <w:r>
        <w:rPr>
          <w:sz w:val="20"/>
        </w:rPr>
        <w:br/>
      </w:r>
      <w:r>
        <w:rPr>
          <w:rStyle w:val="VerbatimChar"/>
          <w:sz w:val="20"/>
        </w:rPr>
        <w:t xml:space="preserve">software:</w:t>
      </w:r>
      <w:r>
        <w:rPr>
          <w:sz w:val="20"/>
        </w:rPr>
        <w:br/>
      </w:r>
      <w:r>
        <w:rPr>
          <w:rStyle w:val="VerbatimChar"/>
          <w:sz w:val="20"/>
        </w:rPr>
        <w:t xml:space="preserve">  os: "..."</w:t>
      </w:r>
      <w:r>
        <w:rPr>
          <w:sz w:val="20"/>
        </w:rPr>
        <w:br/>
      </w:r>
      <w:r>
        <w:rPr>
          <w:rStyle w:val="VerbatimChar"/>
          <w:sz w:val="20"/>
        </w:rPr>
        <w:t xml:space="preserve">  python: "..."</w:t>
      </w:r>
      <w:r>
        <w:rPr>
          <w:sz w:val="20"/>
        </w:rPr>
        <w:br/>
      </w:r>
      <w:r>
        <w:rPr>
          <w:rStyle w:val="VerbatimChar"/>
          <w:sz w:val="20"/>
        </w:rPr>
        <w:t xml:space="preserve">  dependencies_lock_hash: sha256:...</w:t>
      </w:r>
      <w:r>
        <w:rPr>
          <w:sz w:val="20"/>
        </w:rPr>
        <w:br/>
      </w:r>
      <w:r>
        <w:rPr>
          <w:rStyle w:val="VerbatimChar"/>
          <w:sz w:val="20"/>
        </w:rPr>
        <w:t xml:space="preserve">start_tick: 0</w:t>
      </w:r>
      <w:r>
        <w:rPr>
          <w:sz w:val="20"/>
        </w:rPr>
        <w:br/>
      </w:r>
      <w:r>
        <w:rPr>
          <w:rStyle w:val="VerbatimChar"/>
          <w:sz w:val="20"/>
        </w:rPr>
        <w:t xml:space="preserve">end_tick: 2000000</w:t>
      </w:r>
      <w:r>
        <w:rPr>
          <w:sz w:val="20"/>
        </w:rPr>
        <w:br/>
      </w:r>
      <w:r>
        <w:rPr>
          <w:rStyle w:val="VerbatimChar"/>
          <w:sz w:val="20"/>
        </w:rPr>
        <w:t xml:space="preserve">wall_clock_start: "..."</w:t>
      </w:r>
      <w:r>
        <w:rPr>
          <w:sz w:val="20"/>
        </w:rPr>
        <w:br/>
      </w:r>
      <w:r>
        <w:rPr>
          <w:rStyle w:val="VerbatimChar"/>
          <w:sz w:val="20"/>
        </w:rPr>
        <w:t xml:space="preserve">termination_reason: completed</w:t>
      </w:r>
    </w:p>
    <w:bookmarkEnd w:id="363"/>
    <w:bookmarkStart w:id="364" w:name="reproduzierbare-umgebungen"/>
    <w:p>
      <w:pPr>
        <w:pStyle w:val="Heading3"/>
        <w:keepLines/>
        <w:spacing w:after="120"/>
        <w:jc w:val="left"/>
      </w:pPr>
      <w:r>
        <w:rPr>
          <w:sz w:val="20"/>
        </w:rPr>
        <w:t xml:space="preserve">Reproduzierbare Umgebungen</w:t>
      </w:r>
    </w:p>
    <w:p>
      <w:pPr>
        <w:pStyle w:val="FirstParagraph"/>
        <w:keepLines/>
        <w:spacing w:after="120"/>
        <w:jc w:val="left"/>
      </w:pPr>
      <w:r>
        <w:rPr>
          <w:sz w:val="20"/>
        </w:rPr>
        <w:t xml:space="preserve">Abhängigkeiten werden über Lockfiles und archivierte Build-Artefakte erfasst. Container oder virtuelle Umgebungen unterstützen Reproduzierbarkeit, ersetzen aber keine Dokumentation von Hardware, Treibern und numerischen Bibliotheken. Wissenschaftliche Software soll zitierbar versioniert und mit persistenten Releases archiviert werden (</w:t>
      </w:r>
      <w:hyperlink w:anchor="ref-Smith2016">
        <w:r>
          <w:rPr>
            <w:rStyle w:val="Hyperlink"/>
          </w:rPr>
          <w:t xml:space="preserve">Smith et al., 2016</w:t>
        </w:r>
      </w:hyperlink>
      <w:r>
        <w:rPr>
          <w:sz w:val="20"/>
        </w:rPr>
        <w:t xml:space="preserve">;</w:t>
      </w:r>
      <w:r>
        <w:rPr>
          <w:sz w:val="20"/>
        </w:rPr>
        <w:t xml:space="preserve"> </w:t>
      </w:r>
      <w:hyperlink w:anchor="ref-Wilson2017">
        <w:r>
          <w:rPr>
            <w:rStyle w:val="Hyperlink"/>
          </w:rPr>
          <w:t xml:space="preserve">Wilson et al., 2017</w:t>
        </w:r>
      </w:hyperlink>
      <w:r>
        <w:rPr>
          <w:sz w:val="20"/>
        </w:rPr>
        <w:t xml:space="preserve">).</w:t>
      </w:r>
    </w:p>
    <w:bookmarkEnd w:id="364"/>
    <w:bookmarkStart w:id="365" w:name="tests-und-wissenschaftliche-validation"/>
    <w:p>
      <w:pPr>
        <w:pStyle w:val="Heading3"/>
        <w:keepLines/>
        <w:spacing w:after="120"/>
        <w:jc w:val="left"/>
      </w:pPr>
      <w:r>
        <w:rPr>
          <w:sz w:val="20"/>
        </w:rPr>
        <w:t xml:space="preserve">Tests und wissenschaftliche Validation</w:t>
      </w:r>
    </w:p>
    <w:p>
      <w:pPr>
        <w:pStyle w:val="FirstParagraph"/>
        <w:keepLines/>
        <w:spacing w:after="120"/>
        <w:jc w:val="left"/>
      </w:pPr>
      <w:r>
        <w:rPr>
          <w:sz w:val="20"/>
        </w:rPr>
        <w:t xml:space="preserve">Die Testpyramide umfasst:</w:t>
      </w:r>
    </w:p>
    <w:p>
      <w:pPr>
        <w:keepLines/>
        <w:numPr>
          <w:ilvl w:val="0"/>
          <w:numId w:val="1033"/>
        </w:numPr>
        <w:spacing w:after="120"/>
        <w:jc w:val="left"/>
      </w:pPr>
      <w:r>
        <w:rPr>
          <w:b/>
          <w:bCs/>
          <w:sz w:val="20"/>
        </w:rPr>
        <w:t xml:space="preserve">Unit Tests:</w:t>
      </w:r>
      <w:r>
        <w:rPr>
          <w:sz w:val="20"/>
        </w:rPr>
        <w:t xml:space="preserve"> </w:t>
      </w:r>
      <w:r>
        <w:rPr>
          <w:sz w:val="20"/>
        </w:rPr>
        <w:t xml:space="preserve">Formeln, Grenzen, Serialisierung, RNG;</w:t>
      </w:r>
    </w:p>
    <w:p>
      <w:pPr>
        <w:keepLines/>
        <w:numPr>
          <w:ilvl w:val="0"/>
          <w:numId w:val="1033"/>
        </w:numPr>
        <w:spacing w:after="120"/>
        <w:jc w:val="left"/>
      </w:pPr>
      <w:r>
        <w:rPr>
          <w:b/>
          <w:bCs/>
          <w:sz w:val="20"/>
        </w:rPr>
        <w:t xml:space="preserve">Property Tests:</w:t>
      </w:r>
      <w:r>
        <w:rPr>
          <w:sz w:val="20"/>
        </w:rPr>
        <w:t xml:space="preserve"> </w:t>
      </w:r>
      <w:r>
        <w:rPr>
          <w:sz w:val="20"/>
        </w:rPr>
        <w:t xml:space="preserve">Invarianten über viele zufällige Eingaben;</w:t>
      </w:r>
    </w:p>
    <w:p>
      <w:pPr>
        <w:keepLines/>
        <w:numPr>
          <w:ilvl w:val="0"/>
          <w:numId w:val="1033"/>
        </w:numPr>
        <w:spacing w:after="120"/>
        <w:jc w:val="left"/>
      </w:pPr>
      <w:r>
        <w:rPr>
          <w:b/>
          <w:bCs/>
          <w:sz w:val="20"/>
        </w:rPr>
        <w:t xml:space="preserve">Integration Tests:</w:t>
      </w:r>
      <w:r>
        <w:rPr>
          <w:sz w:val="20"/>
        </w:rPr>
        <w:t xml:space="preserve"> </w:t>
      </w:r>
      <w:r>
        <w:rPr>
          <w:sz w:val="20"/>
        </w:rPr>
        <w:t xml:space="preserve">Datenverträge und Komponentenfehler;</w:t>
      </w:r>
    </w:p>
    <w:p>
      <w:pPr>
        <w:keepLines/>
        <w:numPr>
          <w:ilvl w:val="0"/>
          <w:numId w:val="1033"/>
        </w:numPr>
        <w:spacing w:after="120"/>
        <w:jc w:val="left"/>
      </w:pPr>
      <w:r>
        <w:rPr>
          <w:b/>
          <w:bCs/>
          <w:sz w:val="20"/>
        </w:rPr>
        <w:t xml:space="preserve">Golden Runs:</w:t>
      </w:r>
      <w:r>
        <w:rPr>
          <w:sz w:val="20"/>
        </w:rPr>
        <w:t xml:space="preserve"> </w:t>
      </w:r>
      <w:r>
        <w:rPr>
          <w:sz w:val="20"/>
        </w:rPr>
        <w:t xml:space="preserve">kleine deterministische Referenzläufe;</w:t>
      </w:r>
    </w:p>
    <w:p>
      <w:pPr>
        <w:keepLines/>
        <w:numPr>
          <w:ilvl w:val="0"/>
          <w:numId w:val="1033"/>
        </w:numPr>
        <w:spacing w:after="120"/>
        <w:jc w:val="left"/>
      </w:pPr>
      <w:r>
        <w:rPr>
          <w:b/>
          <w:bCs/>
          <w:sz w:val="20"/>
        </w:rPr>
        <w:t xml:space="preserve">Scientific Regression Tests:</w:t>
      </w:r>
      <w:r>
        <w:rPr>
          <w:sz w:val="20"/>
        </w:rPr>
        <w:t xml:space="preserve"> </w:t>
      </w:r>
      <w:r>
        <w:rPr>
          <w:sz w:val="20"/>
        </w:rPr>
        <w:t xml:space="preserve">erwartete Verteilungen und Metrikbereiche;</w:t>
      </w:r>
    </w:p>
    <w:p>
      <w:pPr>
        <w:keepLines/>
        <w:numPr>
          <w:ilvl w:val="0"/>
          <w:numId w:val="1033"/>
        </w:numPr>
        <w:spacing w:after="120"/>
        <w:jc w:val="left"/>
      </w:pPr>
      <w:r>
        <w:rPr>
          <w:b/>
          <w:bCs/>
          <w:sz w:val="20"/>
        </w:rPr>
        <w:t xml:space="preserve">Benchmark Tests:</w:t>
      </w:r>
      <w:r>
        <w:rPr>
          <w:sz w:val="20"/>
        </w:rPr>
        <w:t xml:space="preserve"> </w:t>
      </w:r>
      <w:r>
        <w:rPr>
          <w:sz w:val="20"/>
        </w:rPr>
        <w:t xml:space="preserve">Leistung und Ressourcen;</w:t>
      </w:r>
    </w:p>
    <w:p>
      <w:pPr>
        <w:keepLines/>
        <w:numPr>
          <w:ilvl w:val="0"/>
          <w:numId w:val="1033"/>
        </w:numPr>
        <w:spacing w:after="120"/>
        <w:jc w:val="left"/>
      </w:pPr>
      <w:r>
        <w:rPr>
          <w:b/>
          <w:bCs/>
          <w:sz w:val="20"/>
        </w:rPr>
        <w:t xml:space="preserve">Experiment Reproduction:</w:t>
      </w:r>
      <w:r>
        <w:rPr>
          <w:sz w:val="20"/>
        </w:rPr>
        <w:t xml:space="preserve"> </w:t>
      </w:r>
      <w:r>
        <w:rPr>
          <w:sz w:val="20"/>
        </w:rPr>
        <w:t xml:space="preserve">vollständige registrierte Studien.</w:t>
      </w:r>
    </w:p>
    <w:p>
      <w:pPr>
        <w:pStyle w:val="FirstParagraph"/>
        <w:keepLines/>
        <w:spacing w:after="120"/>
        <w:jc w:val="left"/>
      </w:pPr>
      <w:r>
        <w:rPr>
          <w:sz w:val="20"/>
        </w:rPr>
        <w:t xml:space="preserve">Golden Runs dürfen nicht als wissenschaftliche Replikation gelten; sie prüfen technische Drift.</w:t>
      </w:r>
    </w:p>
    <w:bookmarkEnd w:id="365"/>
    <w:bookmarkStart w:id="366" w:name="datenintegrität"/>
    <w:p>
      <w:pPr>
        <w:pStyle w:val="Heading3"/>
        <w:keepLines/>
        <w:spacing w:after="120"/>
        <w:jc w:val="left"/>
      </w:pPr>
      <w:r>
        <w:rPr>
          <w:sz w:val="20"/>
        </w:rPr>
        <w:t xml:space="preserve">Datenintegrität</w:t>
      </w:r>
    </w:p>
    <w:p>
      <w:pPr>
        <w:pStyle w:val="FirstParagraph"/>
        <w:keepLines/>
        <w:spacing w:after="120"/>
        <w:jc w:val="left"/>
      </w:pPr>
      <w:r>
        <w:rPr>
          <w:sz w:val="20"/>
        </w:rPr>
        <w:t xml:space="preserve">Artefakte erhalten kryptografische Hashes, Schema-ID, Bytegröße, Erzeugerprozess und Elternartefakte. FAIR-Prinzipien motivieren Auffindbarkeit, Zugänglichkeit, Interoperabilität und Wiederverwendbarkeit (</w:t>
      </w:r>
      <w:hyperlink w:anchor="ref-Wilkinson2016">
        <w:r>
          <w:rPr>
            <w:rStyle w:val="Hyperlink"/>
          </w:rPr>
          <w:t xml:space="preserve">Wilkinson et al., 2016</w:t>
        </w:r>
      </w:hyperlink>
      <w:r>
        <w:rPr>
          <w:sz w:val="20"/>
        </w:rPr>
        <w:t xml:space="preserve">). Datenschutz, Lizenzen und Speichergrenzen können offene Veröffentlichung einschränken; in diesem Fall werden Metadaten, synthetische Reproduktionsdaten oder kontrollierte Zugänge dokumentiert.</w:t>
      </w:r>
    </w:p>
    <w:bookmarkEnd w:id="366"/>
    <w:bookmarkStart w:id="367" w:name="reproduktionspaket"/>
    <w:p>
      <w:pPr>
        <w:pStyle w:val="Heading3"/>
        <w:keepLines/>
        <w:spacing w:after="120"/>
        <w:jc w:val="left"/>
      </w:pPr>
      <w:r>
        <w:rPr>
          <w:sz w:val="20"/>
        </w:rPr>
        <w:t xml:space="preserve">Reproduktionspaket</w:t>
      </w:r>
    </w:p>
    <w:p>
      <w:pPr>
        <w:pStyle w:val="FirstParagraph"/>
        <w:keepLines/>
        <w:spacing w:after="120"/>
        <w:jc w:val="left"/>
      </w:pPr>
      <w:r>
        <w:rPr>
          <w:sz w:val="20"/>
        </w:rPr>
        <w:t xml:space="preserve">Eine veröffentlichungsfähige Studie enthält:</w:t>
      </w:r>
    </w:p>
    <w:p>
      <w:pPr>
        <w:pStyle w:val="SourceCode"/>
        <w:keepNext w:val="0"/>
        <w:keepLines/>
        <w:spacing w:after="120"/>
        <w:jc w:val="left"/>
      </w:pPr>
      <w:r>
        <w:rPr>
          <w:rStyle w:val="VerbatimChar"/>
          <w:sz w:val="20"/>
        </w:rPr>
        <w:t xml:space="preserve">paper/</w:t>
      </w:r>
      <w:r>
        <w:rPr>
          <w:sz w:val="20"/>
        </w:rPr>
        <w:br/>
      </w:r>
      <w:r>
        <w:rPr>
          <w:rStyle w:val="VerbatimChar"/>
          <w:sz w:val="20"/>
        </w:rPr>
        <w:t xml:space="preserve">protocol/</w:t>
      </w:r>
      <w:r>
        <w:rPr>
          <w:sz w:val="20"/>
        </w:rPr>
        <w:br/>
      </w:r>
      <w:r>
        <w:rPr>
          <w:rStyle w:val="VerbatimChar"/>
          <w:sz w:val="20"/>
        </w:rPr>
        <w:t xml:space="preserve">configs/</w:t>
      </w:r>
      <w:r>
        <w:rPr>
          <w:sz w:val="20"/>
        </w:rPr>
        <w:br/>
      </w:r>
      <w:r>
        <w:rPr>
          <w:rStyle w:val="VerbatimChar"/>
          <w:sz w:val="20"/>
        </w:rPr>
        <w:t xml:space="preserve">source_commit.txt</w:t>
      </w:r>
      <w:r>
        <w:rPr>
          <w:sz w:val="20"/>
        </w:rPr>
        <w:br/>
      </w:r>
      <w:r>
        <w:rPr>
          <w:rStyle w:val="VerbatimChar"/>
          <w:sz w:val="20"/>
        </w:rPr>
        <w:t xml:space="preserve">environment.lock</w:t>
      </w:r>
      <w:r>
        <w:rPr>
          <w:sz w:val="20"/>
        </w:rPr>
        <w:br/>
      </w:r>
      <w:r>
        <w:rPr>
          <w:rStyle w:val="VerbatimChar"/>
          <w:sz w:val="20"/>
        </w:rPr>
        <w:t xml:space="preserve">run_manifest.csv</w:t>
      </w:r>
      <w:r>
        <w:rPr>
          <w:sz w:val="20"/>
        </w:rPr>
        <w:br/>
      </w:r>
      <w:r>
        <w:rPr>
          <w:rStyle w:val="VerbatimChar"/>
          <w:sz w:val="20"/>
        </w:rPr>
        <w:t xml:space="preserve">raw_or_pointer_data/</w:t>
      </w:r>
      <w:r>
        <w:rPr>
          <w:sz w:val="20"/>
        </w:rPr>
        <w:br/>
      </w:r>
      <w:r>
        <w:rPr>
          <w:rStyle w:val="VerbatimChar"/>
          <w:sz w:val="20"/>
        </w:rPr>
        <w:t xml:space="preserve">derived_data/</w:t>
      </w:r>
      <w:r>
        <w:rPr>
          <w:sz w:val="20"/>
        </w:rPr>
        <w:br/>
      </w:r>
      <w:r>
        <w:rPr>
          <w:rStyle w:val="VerbatimChar"/>
          <w:sz w:val="20"/>
        </w:rPr>
        <w:t xml:space="preserve">analysis/</w:t>
      </w:r>
      <w:r>
        <w:rPr>
          <w:sz w:val="20"/>
        </w:rPr>
        <w:br/>
      </w:r>
      <w:r>
        <w:rPr>
          <w:rStyle w:val="VerbatimChar"/>
          <w:sz w:val="20"/>
        </w:rPr>
        <w:t xml:space="preserve">figures/</w:t>
      </w:r>
      <w:r>
        <w:rPr>
          <w:sz w:val="20"/>
        </w:rPr>
        <w:br/>
      </w:r>
      <w:r>
        <w:rPr>
          <w:rStyle w:val="VerbatimChar"/>
          <w:sz w:val="20"/>
        </w:rPr>
        <w:t xml:space="preserve">checksums.txt</w:t>
      </w:r>
      <w:r>
        <w:rPr>
          <w:sz w:val="20"/>
        </w:rPr>
        <w:br/>
      </w:r>
      <w:r>
        <w:rPr>
          <w:rStyle w:val="VerbatimChar"/>
          <w:sz w:val="20"/>
        </w:rPr>
        <w:t xml:space="preserve">README_REPRODUCE.md</w:t>
      </w:r>
    </w:p>
    <w:p>
      <w:pPr>
        <w:pStyle w:val="FirstParagraph"/>
        <w:keepLines/>
        <w:spacing w:after="120"/>
        <w:jc w:val="left"/>
      </w:pPr>
      <w:r>
        <w:rPr>
          <w:sz w:val="20"/>
        </w:rPr>
        <w:t xml:space="preserve">Die Analyse beginnt aus Raw- oder kanonischen Primärartefakten. Manuell veränderte Tabellen ohne Herkunft sind unzulässig.</w:t>
      </w:r>
    </w:p>
    <w:bookmarkEnd w:id="367"/>
    <w:bookmarkEnd w:id="368"/>
    <w:bookmarkEnd w:id="369"/>
    <w:bookmarkStart w:id="373" w:name="Xcdb0ddc841380be335c2a2b301be858fab4dcf0"/>
    <w:p>
      <w:bookmarkStart w:id="10025" w:name="B5D_H025"/>
      <w:pPr>
        <w:pStyle w:val="Heading1"/>
      </w:pPr>
      <w:r>
        <w:t xml:space="preserve">22. Vorhandene technische Evidenz: Restore und Speicherung</w:t>
      </w:r>
      <w:bookmarkEnd w:id="10025"/>
    </w:p>
    <w:bookmarkStart w:id="370" w:name="Xadc294335fe386abe58168fcaff994c4bc6d39d"/>
    <w:p>
      <w:pPr>
        <w:pStyle w:val="Heading2"/>
        <w:spacing w:before="80" w:after="40"/>
      </w:pPr>
      <w:r>
        <w:t xml:space="preserve">Registrierte Unterstützung für Determinismus und Speicherung</w:t>
      </w:r>
    </w:p>
    <w:p>
      <w:pPr>
        <w:pStyle w:val="FirstParagraph"/>
        <w:keepLines/>
        <w:spacing w:after="0" w:line="240" w:lineRule="auto"/>
        <w:jc w:val="left"/>
      </w:pPr>
      <w:r>
        <w:rPr>
          <w:sz w:val="20"/>
        </w:rPr>
        <w:t xml:space="preserve">Im gelesenen Hypothesenregister besitzen</w:t>
      </w:r>
      <w:r>
        <w:rPr>
          <w:sz w:val="20"/>
        </w:rPr>
        <w:t xml:space="preserve"> </w:t>
      </w:r>
      <w:r>
        <w:rPr>
          <w:rStyle w:val="VerbatimChar"/>
          <w:sz w:val="20"/>
        </w:rPr>
        <w:t xml:space="preserve">H-SNN-003-A</w:t>
      </w:r>
      <w:r>
        <w:rPr>
          <w:sz w:val="20"/>
        </w:rPr>
        <w:t xml:space="preserve"> </w:t>
      </w:r>
      <w:r>
        <w:rPr>
          <w:sz w:val="20"/>
        </w:rPr>
        <w:t xml:space="preserve">und</w:t>
      </w:r>
      <w:r>
        <w:rPr>
          <w:sz w:val="20"/>
        </w:rPr>
        <w:t xml:space="preserve"> </w:t>
      </w:r>
      <w:r>
        <w:rPr>
          <w:rStyle w:val="VerbatimChar"/>
          <w:sz w:val="20"/>
        </w:rPr>
        <w:t xml:space="preserve">H-STOR-001-A</w:t>
      </w:r>
      <w:r>
        <w:rPr>
          <w:sz w:val="20"/>
        </w:rPr>
        <w:t xml:space="preserve"> </w:t>
      </w:r>
      <w:r>
        <w:rPr>
          <w:sz w:val="20"/>
        </w:rPr>
        <w:t xml:space="preserve">den Status</w:t>
      </w:r>
      <w:r>
        <w:rPr>
          <w:sz w:val="20"/>
        </w:rPr>
        <w:t xml:space="preserve"> </w:t>
      </w:r>
      <w:r>
        <w:rPr>
          <w:rStyle w:val="VerbatimChar"/>
          <w:sz w:val="20"/>
        </w:rPr>
        <w:t xml:space="preserve">supported</w:t>
      </w:r>
      <w:r>
        <w:rPr>
          <w:sz w:val="20"/>
        </w:rPr>
        <w:t xml:space="preserve">. Die zugehörigen Forschungsfragen</w:t>
      </w:r>
      <w:r>
        <w:rPr>
          <w:sz w:val="20"/>
        </w:rPr>
        <w:t xml:space="preserve"> </w:t>
      </w:r>
      <w:r>
        <w:rPr>
          <w:rStyle w:val="VerbatimChar"/>
          <w:sz w:val="20"/>
        </w:rPr>
        <w:t xml:space="preserve">RQ-DET-001</w:t>
      </w:r>
      <w:r>
        <w:rPr>
          <w:sz w:val="20"/>
        </w:rPr>
        <w:t xml:space="preserve"> </w:t>
      </w:r>
      <w:r>
        <w:rPr>
          <w:sz w:val="20"/>
        </w:rPr>
        <w:t xml:space="preserve">und</w:t>
      </w:r>
      <w:r>
        <w:rPr>
          <w:sz w:val="20"/>
        </w:rPr>
        <w:t xml:space="preserve"> </w:t>
      </w:r>
      <w:r>
        <w:rPr>
          <w:rStyle w:val="VerbatimChar"/>
          <w:sz w:val="20"/>
        </w:rPr>
        <w:t xml:space="preserve">RQ-STORAGE-001</w:t>
      </w:r>
      <w:r>
        <w:rPr>
          <w:sz w:val="20"/>
        </w:rPr>
        <w:t xml:space="preserve"> </w:t>
      </w:r>
      <w:r>
        <w:rPr>
          <w:sz w:val="20"/>
        </w:rPr>
        <w:t xml:space="preserve">stehen im Fragenregister weiterhin auf</w:t>
      </w:r>
      <w:r>
        <w:rPr>
          <w:sz w:val="20"/>
        </w:rPr>
        <w:t xml:space="preserve"> </w:t>
      </w:r>
      <w:r>
        <w:rPr>
          <w:rStyle w:val="VerbatimChar"/>
          <w:sz w:val="20"/>
        </w:rPr>
        <w:t xml:space="preserve">open</w:t>
      </w:r>
      <w:r>
        <w:rPr>
          <w:sz w:val="20"/>
        </w:rPr>
        <w:t xml:space="preserve">. Diese Differenz wird hier nicht stillschweigend geglättet: Sie zeigt, dass Frage-, Hypothesen- und Evidenzregister nicht notwendig denselben Bearbeitungsstand ausdrücken. Die beiden Aussagen dürfen insbesondere nicht gemeinsam mit allen übrigen Hypothesen pauschal als ungetestet bezeichnet werden. [R2; R6]</w:t>
      </w:r>
    </w:p>
    <w:p>
      <w:pPr>
        <w:pStyle w:val="BodyText"/>
        <w:keepLines/>
        <w:spacing w:after="0" w:line="240" w:lineRule="auto"/>
        <w:jc w:val="left"/>
      </w:pPr>
      <w:r>
        <w:rPr>
          <w:rStyle w:val="VerbatimChar"/>
          <w:sz w:val="20"/>
        </w:rPr>
        <w:t xml:space="preserve">EVID-2026-15</w:t>
      </w:r>
      <w:r>
        <w:rPr>
          <w:sz w:val="20"/>
        </w:rPr>
        <w:t xml:space="preserve"> </w:t>
      </w:r>
      <w:r>
        <w:rPr>
          <w:sz w:val="20"/>
        </w:rPr>
        <w:t xml:space="preserve">verweist auf</w:t>
      </w:r>
      <w:r>
        <w:rPr>
          <w:sz w:val="20"/>
        </w:rPr>
        <w:t xml:space="preserve"> </w:t>
      </w:r>
      <w:r>
        <w:rPr>
          <w:rStyle w:val="VerbatimChar"/>
          <w:sz w:val="20"/>
        </w:rPr>
        <w:t xml:space="preserve">EXP-DET-0001</w:t>
      </w:r>
      <w:r>
        <w:rPr>
          <w:sz w:val="20"/>
        </w:rPr>
        <w:t xml:space="preserve">,</w:t>
      </w:r>
      <w:r>
        <w:rPr>
          <w:sz w:val="20"/>
        </w:rPr>
        <w:t xml:space="preserve"> </w:t>
      </w:r>
      <w:r>
        <w:rPr>
          <w:rStyle w:val="VerbatimChar"/>
          <w:sz w:val="20"/>
        </w:rPr>
        <w:t xml:space="preserve">CLAIM-DET-001</w:t>
      </w:r>
      <w:r>
        <w:rPr>
          <w:sz w:val="20"/>
        </w:rPr>
        <w:t xml:space="preserve"> </w:t>
      </w:r>
      <w:r>
        <w:rPr>
          <w:sz w:val="20"/>
        </w:rPr>
        <w:t xml:space="preserve">und</w:t>
      </w:r>
      <w:r>
        <w:rPr>
          <w:sz w:val="20"/>
        </w:rPr>
        <w:t xml:space="preserve"> </w:t>
      </w:r>
      <w:r>
        <w:rPr>
          <w:rStyle w:val="VerbatimChar"/>
          <w:sz w:val="20"/>
        </w:rPr>
        <w:t xml:space="preserve">H-SNN-003-A</w:t>
      </w:r>
      <w:r>
        <w:rPr>
          <w:sz w:val="20"/>
        </w:rPr>
        <w:t xml:space="preserve">. Der Record beschreibt identische strukturelle und dynamische Zustände nach einem A/B/C-Restore einschließlich Prozessneustart. Das zugehörige</w:t>
      </w:r>
      <w:r>
        <w:rPr>
          <w:sz w:val="20"/>
        </w:rPr>
        <w:t xml:space="preserve"> </w:t>
      </w:r>
      <w:r>
        <w:rPr>
          <w:rStyle w:val="VerbatimChar"/>
          <w:sz w:val="20"/>
        </w:rPr>
        <w:t xml:space="preserve">DATA-2026-15.json</w:t>
      </w:r>
      <w:r>
        <w:rPr>
          <w:sz w:val="20"/>
        </w:rPr>
        <w:t xml:space="preserve"> </w:t>
      </w:r>
      <w:r>
        <w:rPr>
          <w:sz w:val="20"/>
        </w:rPr>
        <w:t xml:space="preserve">dokumentiert einen erfolgreichen Aufruf von</w:t>
      </w:r>
      <w:r>
        <w:rPr>
          <w:sz w:val="20"/>
        </w:rPr>
        <w:t xml:space="preserve"> </w:t>
      </w:r>
      <w:r>
        <w:rPr>
          <w:rStyle w:val="VerbatimChar"/>
          <w:sz w:val="20"/>
        </w:rPr>
        <w:t xml:space="preserve">tests/test_restore_determinism_abc.py</w:t>
      </w:r>
      <w:r>
        <w:rPr>
          <w:sz w:val="20"/>
        </w:rPr>
        <w:t xml:space="preserve">:</w:t>
      </w:r>
      <w:r>
        <w:rPr>
          <w:sz w:val="20"/>
        </w:rPr>
        <w:t xml:space="preserve"> </w:t>
      </w:r>
      <w:r>
        <w:rPr>
          <w:b/>
          <w:bCs/>
          <w:sz w:val="20"/>
        </w:rPr>
        <w:t xml:space="preserve">7 Tests bestanden</w:t>
      </w:r>
      <w:r>
        <w:rPr>
          <w:sz w:val="20"/>
        </w:rPr>
        <w:t xml:space="preserve">, Rückgabecode 0. Die technische Durchführung stammt aus dem Projektartefakt vom 1. September 2026, nicht aus einer neuen Ausführung für diese Abhandlung. [R7; R8]</w:t>
      </w:r>
    </w:p>
    <w:p>
      <w:pPr>
        <w:pStyle w:val="BodyText"/>
        <w:keepLines/>
        <w:spacing w:after="0" w:line="240" w:lineRule="auto"/>
        <w:jc w:val="left"/>
      </w:pPr>
      <w:r>
        <w:rPr>
          <w:rStyle w:val="VerbatimChar"/>
          <w:sz w:val="20"/>
        </w:rPr>
        <w:t xml:space="preserve">EVID-2026-16</w:t>
      </w:r>
      <w:r>
        <w:rPr>
          <w:sz w:val="20"/>
        </w:rPr>
        <w:t xml:space="preserve"> </w:t>
      </w:r>
      <w:r>
        <w:rPr>
          <w:sz w:val="20"/>
        </w:rPr>
        <w:t xml:space="preserve">verweist auf</w:t>
      </w:r>
      <w:r>
        <w:rPr>
          <w:sz w:val="20"/>
        </w:rPr>
        <w:t xml:space="preserve"> </w:t>
      </w:r>
      <w:r>
        <w:rPr>
          <w:rStyle w:val="VerbatimChar"/>
          <w:sz w:val="20"/>
        </w:rPr>
        <w:t xml:space="preserve">EXP-STOR-0001</w:t>
      </w:r>
      <w:r>
        <w:rPr>
          <w:sz w:val="20"/>
        </w:rPr>
        <w:t xml:space="preserve">,</w:t>
      </w:r>
      <w:r>
        <w:rPr>
          <w:sz w:val="20"/>
        </w:rPr>
        <w:t xml:space="preserve"> </w:t>
      </w:r>
      <w:r>
        <w:rPr>
          <w:rStyle w:val="VerbatimChar"/>
          <w:sz w:val="20"/>
        </w:rPr>
        <w:t xml:space="preserve">CLAIM-STOR-001</w:t>
      </w:r>
      <w:r>
        <w:rPr>
          <w:sz w:val="20"/>
        </w:rPr>
        <w:t xml:space="preserve"> </w:t>
      </w:r>
      <w:r>
        <w:rPr>
          <w:sz w:val="20"/>
        </w:rPr>
        <w:t xml:space="preserve">und</w:t>
      </w:r>
      <w:r>
        <w:rPr>
          <w:sz w:val="20"/>
        </w:rPr>
        <w:t xml:space="preserve"> </w:t>
      </w:r>
      <w:r>
        <w:rPr>
          <w:rStyle w:val="VerbatimChar"/>
          <w:sz w:val="20"/>
        </w:rPr>
        <w:t xml:space="preserve">H-STOR-001-A</w:t>
      </w:r>
      <w:r>
        <w:rPr>
          <w:sz w:val="20"/>
        </w:rPr>
        <w:t xml:space="preserve">. Das zugehörige DATA-Artefakt dokumentiert</w:t>
      </w:r>
      <w:r>
        <w:rPr>
          <w:sz w:val="20"/>
        </w:rPr>
        <w:t xml:space="preserve"> </w:t>
      </w:r>
      <w:r>
        <w:rPr>
          <w:b/>
          <w:bCs/>
          <w:sz w:val="20"/>
        </w:rPr>
        <w:t xml:space="preserve">15 bestandene Tests und einen übersprungenen Test</w:t>
      </w:r>
      <w:r>
        <w:rPr>
          <w:sz w:val="20"/>
        </w:rPr>
        <w:t xml:space="preserve"> </w:t>
      </w:r>
      <w:r>
        <w:rPr>
          <w:sz w:val="20"/>
        </w:rPr>
        <w:t xml:space="preserve">in</w:t>
      </w:r>
      <w:r>
        <w:rPr>
          <w:sz w:val="20"/>
        </w:rPr>
        <w:t xml:space="preserve"> </w:t>
      </w:r>
      <w:r>
        <w:rPr>
          <w:rStyle w:val="VerbatimChar"/>
          <w:sz w:val="20"/>
        </w:rPr>
        <w:t xml:space="preserve">tests/test_b5d_storage.py</w:t>
      </w:r>
      <w:r>
        <w:rPr>
          <w:sz w:val="20"/>
        </w:rPr>
        <w:t xml:space="preserve">. Uebersprungen wurde der optionale</w:t>
      </w:r>
      <w:r>
        <w:rPr>
          <w:sz w:val="20"/>
        </w:rPr>
        <w:t xml:space="preserve"> </w:t>
      </w:r>
      <w:r>
        <w:rPr>
          <w:b/>
          <w:bCs/>
          <w:sz w:val="20"/>
        </w:rPr>
        <w:t xml:space="preserve">50.000-Neuronen-Speicher-Smoke-Test</w:t>
      </w:r>
      <w:r>
        <w:rPr>
          <w:sz w:val="20"/>
        </w:rPr>
        <w:t xml:space="preserve">, für den eine gesonderte Umgebungsvariable erforderlich war. Dies begrenzt die aus genau diesem Testlauf ableitbare Skalenaussage. Eine erfolgreiche Serialisierung kleinerer Testkonfigurationen ist kein Beleg für Tests bei 50.000, 50 Millionen oder mehr Neuronen. [R9; R10]</w:t>
      </w:r>
    </w:p>
    <w:p>
      <w:pPr>
        <w:pStyle w:val="Caption"/>
        <w:keepNext/>
        <w:keepLines/>
        <w:spacing w:before="180" w:after="120"/>
        <w:jc w:val="left"/>
      </w:pPr>
      <w:r>
        <w:rPr>
          <w:sz w:val="20"/>
        </w:rPr>
        <w:t>Tabelle 26. Vorhandene technische Nachweise und Geltungsgrenzen</w:t>
      </w:r>
    </w:p>
    <w:tbl>
      <w:tblPr>
        <w:tblStyle w:val="Table"/>
        <w:tblW w:type="pct" w:w="5000"/>
        <w:jc w:val="center"/>
        <w:tblLayout w:type="fixed"/>
        <w:tblLook w:firstRow="1" w:lastRow="0" w:firstColumn="0" w:lastColumn="0" w:noHBand="0" w:noVBand="0" w:val="0020"/>
        <w:tblInd w:w="0" w:type="dxa"/>
        <w:tblCellMar>
          <w:top w:w="70" w:type="dxa"/>
          <w:bottom w:w="70" w:type="dxa"/>
          <w:left w:w="85" w:type="dxa"/>
          <w:right w:w="85" w:type="dxa"/>
        </w:tblCellMar>
        <w:tblBorders>
          <w:top w:val="single" w:sz="4" w:color="CCD4D9"/>
          <w:bottom w:val="single" w:sz="4" w:color="CCD4D9"/>
          <w:insideH w:val="single" w:sz="4" w:color="CCD4D9"/>
          <w:left w:val="nil"/>
          <w:right w:val="nil"/>
          <w:insideV w:val="nil"/>
        </w:tblBorders>
      </w:tblPr>
      <w:tblGrid>
        <w:gridCol w:w="1944"/>
        <w:gridCol w:w="2880"/>
        <w:gridCol w:w="5026"/>
      </w:tblGrid>
      <w:tr>
        <w:trPr>
          <w:tblHeader w:val="on"/>
          <w:cantSplit/>
          <w:tblHeader/>
        </w:trPr>
        <w:tc>
          <w:tcPr>
            <w:tcW w:type="dxa" w:w="1944"/>
            <w:vAlign w:val="center"/>
            <w:shd w:fill="E9EFF3"/>
          </w:tcPr>
          <w:p>
            <w:pPr>
              <w:pStyle w:val="Compact"/>
              <w:keepNext w:val="0"/>
              <w:keepLines/>
              <w:spacing w:before="20" w:after="20" w:line="250" w:lineRule="auto"/>
              <w:jc w:val="left"/>
            </w:pPr>
            <w:r>
              <w:rPr>
                <w:rFonts w:ascii="Liberation Sans" w:hAnsi="Liberation Sans"/>
                <w:b/>
                <w:sz w:val="19"/>
              </w:rPr>
              <w:t xml:space="preserve">Aussage</w:t>
            </w:r>
          </w:p>
        </w:tc>
        <w:tc>
          <w:tcPr>
            <w:tcW w:type="dxa" w:w="2880"/>
            <w:vAlign w:val="center"/>
            <w:shd w:fill="E9EFF3"/>
          </w:tcPr>
          <w:p>
            <w:pPr>
              <w:pStyle w:val="Compact"/>
              <w:keepNext w:val="0"/>
              <w:keepLines/>
              <w:spacing w:before="20" w:after="20" w:line="250" w:lineRule="auto"/>
              <w:jc w:val="left"/>
            </w:pPr>
            <w:r>
              <w:rPr>
                <w:rFonts w:ascii="Liberation Sans" w:hAnsi="Liberation Sans"/>
                <w:b/>
                <w:sz w:val="19"/>
              </w:rPr>
              <w:t xml:space="preserve">Im Artefakt dokumentiert</w:t>
            </w:r>
          </w:p>
        </w:tc>
        <w:tc>
          <w:tcPr>
            <w:tcW w:type="dxa" w:w="5026"/>
            <w:vAlign w:val="center"/>
            <w:shd w:fill="E9EFF3"/>
          </w:tcPr>
          <w:p>
            <w:pPr>
              <w:pStyle w:val="Compact"/>
              <w:keepNext w:val="0"/>
              <w:keepLines/>
              <w:spacing w:before="20" w:after="20" w:line="250" w:lineRule="auto"/>
              <w:jc w:val="left"/>
            </w:pPr>
            <w:r>
              <w:rPr>
                <w:rFonts w:ascii="Liberation Sans" w:hAnsi="Liberation Sans"/>
                <w:b/>
                <w:sz w:val="19"/>
              </w:rPr>
              <w:t xml:space="preserve">Zulässige Einordnung</w:t>
            </w:r>
          </w:p>
        </w:tc>
      </w:tr>
      <w:tr>
        <w:trPr>
          <w:cantSplit/>
        </w:trPr>
        <w:tc>
          <w:tcPr>
            <w:tcW w:type="dxa" w:w="1944"/>
            <w:vAlign w:val="center"/>
          </w:tcPr>
          <w:p>
            <w:pPr>
              <w:pStyle w:val="Compact"/>
              <w:keepNext w:val="0"/>
              <w:keepLines/>
              <w:spacing w:before="20" w:after="20" w:line="250" w:lineRule="auto"/>
              <w:jc w:val="left"/>
            </w:pPr>
            <w:r>
              <w:rPr>
                <w:rFonts w:ascii="Liberation Sans" w:hAnsi="Liberation Sans"/>
                <w:sz w:val="19"/>
              </w:rPr>
              <w:t xml:space="preserve">Restore-Determinismus</w:t>
            </w:r>
          </w:p>
        </w:tc>
        <w:tc>
          <w:tcPr>
            <w:tcW w:type="dxa" w:w="2880"/>
            <w:vAlign w:val="center"/>
          </w:tcPr>
          <w:p>
            <w:pPr>
              <w:pStyle w:val="Compact"/>
              <w:keepNext w:val="0"/>
              <w:keepLines/>
              <w:spacing w:before="20" w:after="20" w:line="250" w:lineRule="auto"/>
              <w:jc w:val="left"/>
            </w:pPr>
            <w:r>
              <w:rPr>
                <w:rFonts w:ascii="Liberation Sans" w:hAnsi="Liberation Sans"/>
                <w:sz w:val="19"/>
              </w:rPr>
              <w:t xml:space="preserve">7 bestandene spezialisierte Tests</w:t>
            </w:r>
          </w:p>
        </w:tc>
        <w:tc>
          <w:tcPr>
            <w:tcW w:type="dxa" w:w="5026"/>
            <w:vAlign w:val="center"/>
          </w:tcPr>
          <w:p>
            <w:pPr>
              <w:pStyle w:val="Compact"/>
              <w:keepNext w:val="0"/>
              <w:keepLines/>
              <w:spacing w:before="20" w:after="20" w:line="250" w:lineRule="auto"/>
              <w:jc w:val="left"/>
            </w:pPr>
            <w:r>
              <w:rPr>
                <w:rFonts w:ascii="Liberation Sans" w:hAnsi="Liberation Sans"/>
                <w:sz w:val="19"/>
              </w:rPr>
              <w:t xml:space="preserve">Technischer Nachweis für die erfassten Testfälle</w:t>
            </w:r>
          </w:p>
        </w:tc>
      </w:tr>
      <w:tr>
        <w:trPr>
          <w:cantSplit/>
        </w:trPr>
        <w:tc>
          <w:tcPr>
            <w:tcW w:type="dxa" w:w="1944"/>
            <w:vAlign w:val="center"/>
          </w:tcPr>
          <w:p>
            <w:pPr>
              <w:pStyle w:val="Compact"/>
              <w:keepNext w:val="0"/>
              <w:keepLines/>
              <w:spacing w:before="20" w:after="20" w:line="250" w:lineRule="auto"/>
              <w:jc w:val="left"/>
            </w:pPr>
            <w:r>
              <w:rPr>
                <w:rFonts w:ascii="Liberation Sans" w:hAnsi="Liberation Sans"/>
                <w:sz w:val="19"/>
              </w:rPr>
              <w:t xml:space="preserve">Speicher-Roundtrip</w:t>
            </w:r>
          </w:p>
        </w:tc>
        <w:tc>
          <w:tcPr>
            <w:tcW w:type="dxa" w:w="2880"/>
            <w:vAlign w:val="center"/>
          </w:tcPr>
          <w:p>
            <w:pPr>
              <w:pStyle w:val="Compact"/>
              <w:keepNext w:val="0"/>
              <w:keepLines/>
              <w:spacing w:before="20" w:after="20" w:line="250" w:lineRule="auto"/>
              <w:jc w:val="left"/>
            </w:pPr>
            <w:r>
              <w:rPr>
                <w:rFonts w:ascii="Liberation Sans" w:hAnsi="Liberation Sans"/>
                <w:sz w:val="19"/>
              </w:rPr>
              <w:t xml:space="preserve">15 bestanden, 1 übersprungen</w:t>
            </w:r>
          </w:p>
        </w:tc>
        <w:tc>
          <w:tcPr>
            <w:tcW w:type="dxa" w:w="5026"/>
            <w:vAlign w:val="center"/>
          </w:tcPr>
          <w:p>
            <w:pPr>
              <w:pStyle w:val="Compact"/>
              <w:keepNext w:val="0"/>
              <w:keepLines/>
              <w:spacing w:before="20" w:after="20" w:line="250" w:lineRule="auto"/>
              <w:jc w:val="left"/>
            </w:pPr>
            <w:r>
              <w:rPr>
                <w:rFonts w:ascii="Liberation Sans" w:hAnsi="Liberation Sans"/>
                <w:sz w:val="19"/>
              </w:rPr>
              <w:t xml:space="preserve">Technischer Nachweis mit expliziter Skalengrenze</w:t>
            </w:r>
          </w:p>
        </w:tc>
      </w:tr>
      <w:tr>
        <w:trPr>
          <w:cantSplit/>
        </w:trPr>
        <w:tc>
          <w:tcPr>
            <w:tcW w:type="dxa" w:w="1944"/>
            <w:vAlign w:val="center"/>
          </w:tcPr>
          <w:p>
            <w:pPr>
              <w:pStyle w:val="Compact"/>
              <w:keepNext w:val="0"/>
              <w:keepLines/>
              <w:spacing w:before="20" w:after="20" w:line="250" w:lineRule="auto"/>
              <w:jc w:val="left"/>
            </w:pPr>
            <w:r>
              <w:rPr>
                <w:rFonts w:ascii="Liberation Sans" w:hAnsi="Liberation Sans"/>
                <w:sz w:val="19"/>
              </w:rPr>
              <w:t xml:space="preserve">Allgemeines Gedächtnis</w:t>
            </w:r>
          </w:p>
        </w:tc>
        <w:tc>
          <w:tcPr>
            <w:tcW w:type="dxa" w:w="2880"/>
            <w:vAlign w:val="center"/>
          </w:tcPr>
          <w:p>
            <w:pPr>
              <w:pStyle w:val="Compact"/>
              <w:keepNext w:val="0"/>
              <w:keepLines/>
              <w:spacing w:before="20" w:after="20" w:line="250" w:lineRule="auto"/>
              <w:jc w:val="left"/>
            </w:pPr>
            <w:r>
              <w:rPr>
                <w:rFonts w:ascii="Liberation Sans" w:hAnsi="Liberation Sans"/>
                <w:sz w:val="19"/>
              </w:rPr>
              <w:t xml:space="preserve">Nicht Gegenstand dieser Tests</w:t>
            </w:r>
          </w:p>
        </w:tc>
        <w:tc>
          <w:tcPr>
            <w:tcW w:type="dxa" w:w="5026"/>
            <w:vAlign w:val="center"/>
          </w:tcPr>
          <w:p>
            <w:pPr>
              <w:pStyle w:val="Compact"/>
              <w:keepNext w:val="0"/>
              <w:keepLines/>
              <w:spacing w:before="20" w:after="20" w:line="250" w:lineRule="auto"/>
              <w:jc w:val="left"/>
            </w:pPr>
            <w:r>
              <w:rPr>
                <w:rFonts w:ascii="Liberation Sans" w:hAnsi="Liberation Sans"/>
                <w:sz w:val="19"/>
              </w:rPr>
              <w:t xml:space="preserve">Nicht aus Serialisierung ableitbar</w:t>
            </w:r>
          </w:p>
        </w:tc>
      </w:tr>
      <w:tr>
        <w:trPr>
          <w:cantSplit/>
        </w:trPr>
        <w:tc>
          <w:tcPr>
            <w:tcW w:type="dxa" w:w="1944"/>
            <w:vAlign w:val="center"/>
          </w:tcPr>
          <w:p>
            <w:pPr>
              <w:pStyle w:val="Compact"/>
              <w:keepNext w:val="0"/>
              <w:keepLines/>
              <w:spacing w:before="20" w:after="20" w:line="250" w:lineRule="auto"/>
              <w:jc w:val="left"/>
            </w:pPr>
            <w:r>
              <w:rPr>
                <w:rFonts w:ascii="Liberation Sans" w:hAnsi="Liberation Sans"/>
                <w:sz w:val="19"/>
              </w:rPr>
              <w:t xml:space="preserve">Systemische Robustheit</w:t>
            </w:r>
          </w:p>
        </w:tc>
        <w:tc>
          <w:tcPr>
            <w:tcW w:type="dxa" w:w="2880"/>
            <w:vAlign w:val="center"/>
          </w:tcPr>
          <w:p>
            <w:pPr>
              <w:pStyle w:val="Compact"/>
              <w:keepNext w:val="0"/>
              <w:keepLines/>
              <w:spacing w:before="20" w:after="20" w:line="250" w:lineRule="auto"/>
              <w:jc w:val="left"/>
            </w:pPr>
            <w:r>
              <w:rPr>
                <w:rFonts w:ascii="Liberation Sans" w:hAnsi="Liberation Sans"/>
                <w:sz w:val="19"/>
              </w:rPr>
              <w:t xml:space="preserve">Keine unabhängige Aufgaben-/Größensuite in diesen DATA</w:t>
            </w:r>
          </w:p>
        </w:tc>
        <w:tc>
          <w:tcPr>
            <w:tcW w:type="dxa" w:w="5026"/>
            <w:vAlign w:val="center"/>
          </w:tcPr>
          <w:p>
            <w:pPr>
              <w:pStyle w:val="Compact"/>
              <w:keepNext w:val="0"/>
              <w:keepLines/>
              <w:spacing w:before="20" w:after="20" w:line="250" w:lineRule="auto"/>
              <w:jc w:val="left"/>
            </w:pPr>
            <w:r>
              <w:rPr>
                <w:rFonts w:ascii="Liberation Sans" w:hAnsi="Liberation Sans"/>
                <w:sz w:val="19"/>
              </w:rPr>
              <w:t xml:space="preserve">Keine automatische E3-Einstufung</w:t>
            </w:r>
          </w:p>
        </w:tc>
      </w:tr>
    </w:tbl>
    <w:bookmarkEnd w:id="370"/>
    <w:bookmarkStart w:id="371" w:name="X4ae061010221f653b199c6f424d603f67b1ae2a"/>
    <w:p>
      <w:pPr>
        <w:pStyle w:val="Heading2"/>
        <w:spacing w:before="80" w:after="40"/>
      </w:pPr>
      <w:r>
        <w:t xml:space="preserve">Warum ein EVID-Name die Evidenzstufe nicht ersetzt</w:t>
      </w:r>
    </w:p>
    <w:p>
      <w:pPr>
        <w:pStyle w:val="FirstParagraph"/>
        <w:keepLines/>
        <w:spacing w:after="0" w:line="240" w:lineRule="auto"/>
        <w:jc w:val="left"/>
      </w:pPr>
      <w:r>
        <w:rPr>
          <w:sz w:val="20"/>
        </w:rPr>
        <w:t xml:space="preserve">Die beiden EvidenceRecords enthalten leere Felder für Effektgröße und statistische Signifikanz. Für deterministische Funktionstests ist das nicht automatisch ein Mangel: Gleichheit und erfolgreicher Roundtrip können durch technische Assertions geprüft werden. Es wäre jedoch ein Kategorienfehler, daraus einen statistisch abgesicherten kognitiven Effekt abzuleiten. Für die E0-E3-Systematik der Abhandlung werden diese Nachweise als</w:t>
      </w:r>
      <w:r>
        <w:rPr>
          <w:sz w:val="20"/>
        </w:rPr>
        <w:t xml:space="preserve"> </w:t>
      </w:r>
      <w:r>
        <w:rPr>
          <w:b/>
          <w:bCs/>
          <w:sz w:val="20"/>
        </w:rPr>
        <w:t xml:space="preserve">E1-nahe technische Verifikation im dokumentierten Testumfang</w:t>
      </w:r>
      <w:r>
        <w:rPr>
          <w:sz w:val="20"/>
        </w:rPr>
        <w:t xml:space="preserve"> </w:t>
      </w:r>
      <w:r>
        <w:rPr>
          <w:sz w:val="20"/>
        </w:rPr>
        <w:t xml:space="preserve">behandelt; der bereits gesetzte Registry-Status bleibt daneben sichtbar.</w:t>
      </w:r>
    </w:p>
    <w:p>
      <w:pPr>
        <w:pStyle w:val="BodyText"/>
        <w:keepLines/>
        <w:spacing w:after="0" w:line="240" w:lineRule="auto"/>
        <w:jc w:val="left"/>
      </w:pPr>
      <w:r>
        <w:rPr>
          <w:sz w:val="20"/>
        </w:rPr>
        <w:t xml:space="preserve">Die Hypothesen verweisen jeweils auf mehrere EVID-IDs. Deren Anzahl wird nicht als Zahl unabhängiger Replikationen verwendet. Ohne Prüfung von Run-Identität, Codebasis, Eingangszuständen und Reproduktionsbedingungen können wiederholte Records dieselbe technische Prüfung oder aufeinanderfolgende Regressionstests bezeichnen. Die hier im Detail geprüften jüngeren Einträge 15 und 16 reichen aus, um eine pauschale Aussage fehlender technischer Evidenz zu korrigieren; sie rechtfertigen keine Behauptung, alle historischen Nachweise seien umfassend neu auditiert worden.</w:t>
      </w:r>
    </w:p>
    <w:bookmarkEnd w:id="371"/>
    <w:bookmarkStart w:id="372" w:name="bedeutung-für-die-philosophische-frage"/>
    <w:p>
      <w:pPr>
        <w:pStyle w:val="Heading2"/>
        <w:spacing w:before="80" w:after="40"/>
      </w:pPr>
      <w:r>
        <w:t xml:space="preserve">Bedeutung für die philosophische Frage</w:t>
      </w:r>
    </w:p>
    <w:p>
      <w:pPr>
        <w:pStyle w:val="FirstParagraph"/>
        <w:keepLines/>
        <w:spacing w:after="0" w:line="240" w:lineRule="auto"/>
        <w:jc w:val="left"/>
      </w:pPr>
      <w:r>
        <w:rPr>
          <w:sz w:val="20"/>
        </w:rPr>
        <w:t xml:space="preserve">Ein rekonstruierbarer Systemzustand ermöglicht einen klareren Begriff technischer Identität: Zwei gespeicherte Instanzen können hinsichtlich definierter Zustandsbestandteile identisch sein. Daraus folgt keine numerische Identität eines erlebenden Subjekts. Ebenso ist die Fortsetzung einer Zustandsdynamik nach Neustart nicht gleichbedeutend mit autobiographischer Kontinuität. Die Speicherbefunde liefern eine Voraussetzung für kontrollierte Kausalexperimente und eine dokumentierbare Entwicklungsgenealogie. Sie lösen die ontologischen Fragen gerade nicht vorab.</w:t>
      </w:r>
    </w:p>
    <w:bookmarkEnd w:id="372"/>
    <w:bookmarkEnd w:id="373"/>
    <w:bookmarkStart w:id="378" w:name="Xe203ffa86ad6a540f1730198160dd7e0d62f1c0"/>
    <w:p>
      <w:bookmarkStart w:id="10026" w:name="B5D_H026"/>
      <w:pPr>
        <w:pStyle w:val="Heading1"/>
      </w:pPr>
      <w:r>
        <w:t xml:space="preserve">23. Historische Versuche und explorative Ausgangsbefunde</w:t>
      </w:r>
      <w:bookmarkEnd w:id="10026"/>
    </w:p>
    <w:bookmarkStart w:id="374" w:name="X12da95278c16721bcf7d2bb24a9b84027bb8ce8"/>
    <w:p>
      <w:pPr>
        <w:pStyle w:val="Heading2"/>
      </w:pPr>
      <w:r>
        <w:t xml:space="preserve">Historische Messgrenzen: EXP-GEN-0009 bis EXP-GEN-0012</w:t>
      </w:r>
    </w:p>
    <w:p>
      <w:pPr>
        <w:pStyle w:val="FirstParagraph"/>
        <w:keepLines/>
        <w:spacing w:after="120"/>
        <w:jc w:val="left"/>
      </w:pPr>
      <w:r>
        <w:rPr>
          <w:sz w:val="20"/>
        </w:rPr>
        <w:t xml:space="preserve">Die Projektdokumentation beschreibt für die frühen Network-Impulse-Läufe eine output-orientierte Instrumentierung, die keine sichtbaren Spikes beziehungsweise Aktivierung aufzeichnete. Die spätere Erweiterung des Probe-Vertrags erfasst unter anderem publizierte Spike-IDs, aktivierte Neuronen, synaptische Auslieferungen, Antwort- und Rückkehrlatenzen sowie Zustandsdigests. Die historischen DATA sollen nach der dokumentierten Projektregel unverändert bleiben. Ein neuer Lauf mit reparierter Beobachtung ist eine neue Untersuchung und keine nachträgliche Verbesserung alter Messdaten. [R1]</w:t>
      </w:r>
    </w:p>
    <w:p>
      <w:pPr>
        <w:pStyle w:val="BodyText"/>
        <w:keepLines/>
        <w:spacing w:after="120"/>
        <w:jc w:val="left"/>
      </w:pPr>
      <w:r>
        <w:rPr>
          <w:sz w:val="20"/>
        </w:rPr>
        <w:t xml:space="preserve">Damit sind zwei Behauptungen zu unterscheiden:</w:t>
      </w:r>
      <w:r>
        <w:rPr>
          <w:sz w:val="20"/>
        </w:rPr>
        <w:t xml:space="preserve"> </w:t>
      </w:r>
      <w:r>
        <w:rPr>
          <w:sz w:val="20"/>
        </w:rPr>
        <w:t xml:space="preserve">“</w:t>
      </w:r>
      <w:r>
        <w:rPr>
          <w:sz w:val="20"/>
        </w:rPr>
        <w:t xml:space="preserve">Die damalige Messung zeigte keine Aktivität</w:t>
      </w:r>
      <w:r>
        <w:rPr>
          <w:sz w:val="20"/>
        </w:rPr>
        <w:t xml:space="preserve">”</w:t>
      </w:r>
      <w:r>
        <w:rPr>
          <w:sz w:val="20"/>
        </w:rPr>
        <w:t xml:space="preserve"> </w:t>
      </w:r>
      <w:r>
        <w:rPr>
          <w:sz w:val="20"/>
        </w:rPr>
        <w:t xml:space="preserve">und</w:t>
      </w:r>
      <w:r>
        <w:rPr>
          <w:sz w:val="20"/>
        </w:rPr>
        <w:t xml:space="preserve"> </w:t>
      </w:r>
      <w:r>
        <w:rPr>
          <w:sz w:val="20"/>
        </w:rPr>
        <w:t xml:space="preserve">“</w:t>
      </w:r>
      <w:r>
        <w:rPr>
          <w:sz w:val="20"/>
        </w:rPr>
        <w:t xml:space="preserve">Im gesamten damaligen System gab es keine Aktivität</w:t>
      </w:r>
      <w:r>
        <w:rPr>
          <w:sz w:val="20"/>
        </w:rPr>
        <w:t xml:space="preserve">”</w:t>
      </w:r>
      <w:r>
        <w:rPr>
          <w:sz w:val="20"/>
        </w:rPr>
        <w:t xml:space="preserve">. Die erste beschreibt ein Artefakt. Die zweite verlangt eine ausreichende Beobachtungsabdeckung. Eine unzureichende Messkette kann weder Aktivität noch deren Abwesenheit sicher belegen. Der Fall ist deshalb nicht bloss ein Softwarefehler, sondern ein Beispiel für instrumentengebundene Erkenntnis.</w:t>
      </w:r>
    </w:p>
    <w:bookmarkEnd w:id="374"/>
    <w:bookmarkStart w:id="375" w:name="X7d696903946ef00f0244371808e8b8421c8ae30"/>
    <w:p>
      <w:pPr>
        <w:pStyle w:val="Heading2"/>
      </w:pPr>
      <w:r>
        <w:t xml:space="preserve">EXP-GEN-0021 als explorativer Ausgangspunkt</w:t>
      </w:r>
    </w:p>
    <w:p>
      <w:pPr>
        <w:pStyle w:val="FirstParagraph"/>
        <w:keepLines/>
        <w:spacing w:after="120"/>
        <w:jc w:val="left"/>
      </w:pPr>
      <w:r>
        <w:rPr>
          <w:sz w:val="20"/>
        </w:rPr>
        <w:t xml:space="preserve">Die KI-gekennzeichnete Nachanalyse zu</w:t>
      </w:r>
      <w:r>
        <w:rPr>
          <w:sz w:val="20"/>
        </w:rPr>
        <w:t xml:space="preserve"> </w:t>
      </w:r>
      <w:r>
        <w:rPr>
          <w:rStyle w:val="VerbatimChar"/>
          <w:sz w:val="20"/>
        </w:rPr>
        <w:t xml:space="preserve">EXP-GEN-0021</w:t>
      </w:r>
      <w:r>
        <w:rPr>
          <w:sz w:val="20"/>
        </w:rPr>
        <w:t xml:space="preserve"> </w:t>
      </w:r>
      <w:r>
        <w:rPr>
          <w:sz w:val="20"/>
        </w:rPr>
        <w:t xml:space="preserve">beschreibt einen Omnibus-Lauf mit 57 Teilruns und den Seeds 42, 43 und 44. Sie ist ausdrücklich</w:t>
      </w:r>
      <w:r>
        <w:rPr>
          <w:sz w:val="20"/>
        </w:rPr>
        <w:t xml:space="preserve"> </w:t>
      </w:r>
      <w:r>
        <w:rPr>
          <w:rStyle w:val="VerbatimChar"/>
          <w:sz w:val="20"/>
        </w:rPr>
        <w:t xml:space="preserve">interpretation_only</w:t>
      </w:r>
      <w:r>
        <w:rPr>
          <w:sz w:val="20"/>
        </w:rPr>
        <w:t xml:space="preserve"> </w:t>
      </w:r>
      <w:r>
        <w:rPr>
          <w:sz w:val="20"/>
        </w:rPr>
        <w:t xml:space="preserve">und nicht evidenzbildend. Ihre Rolle in der vorliegenden Abhandlung ist die eines dokumentierten Ausgangspunkts für Folgefragen. Messwerte, die nur aus dieser Nachanalyse übernommen werden, erhalten den Status</w:t>
      </w:r>
      <w:r>
        <w:rPr>
          <w:sz w:val="20"/>
        </w:rPr>
        <w:t xml:space="preserve"> </w:t>
      </w:r>
      <w:r>
        <w:rPr>
          <w:sz w:val="20"/>
        </w:rPr>
        <w:t xml:space="preserve">“</w:t>
      </w:r>
      <w:r>
        <w:rPr>
          <w:sz w:val="20"/>
        </w:rPr>
        <w:t xml:space="preserve">sekundär berichtet</w:t>
      </w:r>
      <w:r>
        <w:rPr>
          <w:sz w:val="20"/>
        </w:rPr>
        <w:t xml:space="preserve">”</w:t>
      </w:r>
      <w:r>
        <w:rPr>
          <w:sz w:val="20"/>
        </w:rPr>
        <w:t xml:space="preserve"> </w:t>
      </w:r>
      <w:r>
        <w:rPr>
          <w:sz w:val="20"/>
        </w:rPr>
        <w:t xml:space="preserve">und werden nicht nachträglich zu direkt geprüften Rohmessungen umetikettiert. [R11]</w:t>
      </w:r>
    </w:p>
    <w:p>
      <w:pPr>
        <w:pStyle w:val="BodyText"/>
        <w:keepLines/>
        <w:spacing w:after="120"/>
        <w:jc w:val="left"/>
      </w:pPr>
      <w:r>
        <w:rPr>
          <w:sz w:val="20"/>
        </w:rPr>
        <w:t xml:space="preserve">Der berichtete Rekurrenzvergleich zeigt denselben engen Effekt, der später im Replikationsbericht wiederkehrt: 3 statt 33 Spikes, 2 statt 33 synaptische Ereignisse und eine unveränderte Zahl von drei aktivierten Neuronen. Der Bericht beschreibt ausserdem einen Learning-on-Arm, in dem das mittlere Gewicht von</w:t>
      </w:r>
      <w:r>
        <w:rPr>
          <w:sz w:val="20"/>
        </w:rPr>
        <w:t xml:space="preserve"> </w:t>
      </w:r>
      <w:r>
        <w:rPr>
          <w:b/>
          <w:bCs/>
          <w:sz w:val="20"/>
        </w:rPr>
        <w:t xml:space="preserve">0,05 auf etwa 0,5172804698</w:t>
      </w:r>
      <w:r>
        <w:rPr>
          <w:sz w:val="20"/>
        </w:rPr>
        <w:t xml:space="preserve"> </w:t>
      </w:r>
      <w:r>
        <w:rPr>
          <w:sz w:val="20"/>
        </w:rPr>
        <w:t xml:space="preserve">ansteigt und ein binärer Erfolgsindikator von 0 auf 1 wechselt. Learning-off und Sham-Replay zeigen den entsprechenden Erfolg nicht. Die dokumentierte Beobachtung ist damit interessanter als eine blosse Gewichtsveränderung, bleibt aber auf einen kleinen funktionalen Test begrenzt. [R11]</w:t>
      </w:r>
    </w:p>
    <w:p>
      <w:pPr>
        <w:pStyle w:val="BodyText"/>
        <w:keepLines/>
        <w:spacing w:after="120"/>
        <w:jc w:val="left"/>
      </w:pPr>
      <w:r>
        <w:rPr>
          <w:sz w:val="20"/>
        </w:rPr>
        <w:t xml:space="preserve">Die aus den berichteten Zahlen berechnete Differenz lautet:</w:t>
      </w:r>
    </w:p>
    <w:p>
      <w:pPr>
        <w:pStyle w:val="BodyText"/>
        <w:keepLines/>
        <w:spacing w:after="140" w:before="100"/>
        <w:jc w:val="center"/>
      </w:pPr>
      <m:oMathPara>
        <m:oMathParaPr>
          <m:jc m:val="center"/>
        </m:oMathParaPr>
        <m:oMath>
          <m:r>
            <m:t>Δ</m:t>
          </m:r>
          <m:r>
            <m:t>w</m:t>
          </m:r>
          <m:r>
            <m:rPr>
              <m:sty m:val="p"/>
            </m:rPr>
            <m:t>=</m:t>
          </m:r>
          <m:r>
            <m:t>0</m:t>
          </m:r>
          <m:r>
            <m:rPr>
              <m:sty m:val="p"/>
            </m:rPr>
            <m:t>,</m:t>
          </m:r>
          <m:r>
            <m:t>5172804698</m:t>
          </m:r>
          <m:r>
            <m:rPr>
              <m:sty m:val="p"/>
            </m:rPr>
            <m:t>−</m:t>
          </m:r>
          <m:r>
            <m:t>0</m:t>
          </m:r>
          <m:r>
            <m:rPr>
              <m:sty m:val="p"/>
            </m:rPr>
            <m:t>,</m:t>
          </m:r>
          <m:r>
            <m:t>05</m:t>
          </m:r>
          <m:r>
            <m:rPr>
              <m:sty m:val="p"/>
            </m:rPr>
            <m:t>=</m:t>
          </m:r>
          <m:r>
            <m:t>0</m:t>
          </m:r>
          <m:r>
            <m:rPr>
              <m:sty m:val="p"/>
            </m:rPr>
            <m:t>,</m:t>
          </m:r>
          <m:r>
            <m:t>4672804698</m:t>
          </m:r>
          <m:r>
            <m:rPr>
              <m:sty m:val="p"/>
            </m:rPr>
            <m:t>.</m:t>
          </m:r>
        </m:oMath>
      </m:oMathPara>
    </w:p>
    <w:p>
      <w:pPr>
        <w:pStyle w:val="FirstParagraph"/>
        <w:keepLines/>
        <w:spacing w:after="120"/>
        <w:jc w:val="left"/>
      </w:pPr>
      <w:r>
        <w:rPr>
          <w:sz w:val="20"/>
        </w:rPr>
        <w:t xml:space="preserve">Die relative Zunahme gegenüber dem Ausgangswert beträgt rechnerisch:</w:t>
      </w:r>
    </w:p>
    <w:p>
      <w:pPr>
        <w:pStyle w:val="BodyText"/>
        <w:keepLines/>
        <w:spacing w:after="140" w:before="100"/>
        <w:jc w:val="center"/>
      </w:pPr>
      <m:oMathPara>
        <m:oMathParaPr>
          <m:jc m:val="center"/>
        </m:oMathParaPr>
        <m:oMath>
          <m:r>
            <m:t>100</m:t>
          </m:r>
          <m:r>
            <m:rPr>
              <m:sty m:val="p"/>
            </m:rPr>
            <m:t>⋅</m:t>
          </m:r>
          <m:r>
            <m:t>Δ</m:t>
          </m:r>
          <m:r>
            <m:t>w</m:t>
          </m:r>
          <m:r>
            <m:rPr>
              <m:sty m:val="p"/>
            </m:rPr>
            <m:t>/</m:t>
          </m:r>
          <m:r>
            <m:t>0</m:t>
          </m:r>
          <m:r>
            <m:rPr>
              <m:sty m:val="p"/>
            </m:rPr>
            <m:t>,</m:t>
          </m:r>
          <m:r>
            <m:t>05</m:t>
          </m:r>
          <m:r>
            <m:rPr>
              <m:sty m:val="p"/>
            </m:rPr>
            <m:t>=</m:t>
          </m:r>
          <m:r>
            <m:t>934</m:t>
          </m:r>
          <m:r>
            <m:rPr>
              <m:sty m:val="p"/>
            </m:rPr>
            <m:t>,</m:t>
          </m:r>
          <m:r>
            <m:t>5609396</m:t>
          </m:r>
          <m:r>
            <m:t> </m:t>
          </m:r>
          <m:r>
            <m:rPr>
              <m:sty m:val="p"/>
            </m:rPr>
            <m:t>%</m:t>
          </m:r>
          <m:r>
            <m:rPr>
              <m:sty m:val="p"/>
            </m:rPr>
            <m:t>.</m:t>
          </m:r>
        </m:oMath>
      </m:oMathPara>
    </w:p>
    <w:p>
      <w:pPr>
        <w:pStyle w:val="FirstParagraph"/>
        <w:keepLines/>
        <w:spacing w:after="120"/>
        <w:jc w:val="left"/>
      </w:pPr>
      <w:r>
        <w:rPr>
          <w:sz w:val="20"/>
        </w:rPr>
        <w:t xml:space="preserve">Diese große Prozentzahl ist teilweise Folge des kleinen Anfangswerts. Sie darf weder als prozentuale Zunahme von Intelligenz noch als Generalisierungsleistung gelesen werden. Gewichtsgrenzen, Lernrate, Anzahl der Updates und Aufgabenschwierigkeit sind für ihre Interpretation entscheidend. Die Rechnung ist im Begleitpaket reproduzierbar, nicht als neuer inferenzstatistischer Test ausgewiesen.</w:t>
      </w:r>
    </w:p>
    <w:bookmarkEnd w:id="375"/>
    <w:bookmarkStart w:id="376" w:name="zeitliche-drift-ohne-spikes"/>
    <w:p>
      <w:pPr>
        <w:pStyle w:val="Heading2"/>
      </w:pPr>
      <w:r>
        <w:t xml:space="preserve">Zeitliche Drift ohne Spikes</w:t>
      </w:r>
    </w:p>
    <w:p>
      <w:pPr>
        <w:pStyle w:val="FirstParagraph"/>
        <w:keepLines/>
        <w:spacing w:after="120"/>
        <w:jc w:val="left"/>
      </w:pPr>
      <w:r>
        <w:rPr>
          <w:sz w:val="20"/>
        </w:rPr>
        <w:t xml:space="preserve">Die Nachanalyse nennt für FAST, MEDIUM und SLOW mittlere Diskrepanzen von</w:t>
      </w:r>
      <w:r>
        <w:rPr>
          <w:sz w:val="20"/>
        </w:rPr>
        <w:t xml:space="preserve"> </w:t>
      </w:r>
      <w:r>
        <w:rPr>
          <w:b/>
          <w:bCs/>
          <w:sz w:val="20"/>
        </w:rPr>
        <w:t xml:space="preserve">2,62576e-05</w:t>
      </w:r>
      <w:r>
        <w:rPr>
          <w:sz w:val="20"/>
        </w:rPr>
        <w:t xml:space="preserve">,</w:t>
      </w:r>
      <w:r>
        <w:rPr>
          <w:sz w:val="20"/>
        </w:rPr>
        <w:t xml:space="preserve"> </w:t>
      </w:r>
      <w:r>
        <w:rPr>
          <w:b/>
          <w:bCs/>
          <w:sz w:val="20"/>
        </w:rPr>
        <w:t xml:space="preserve">3,78343e-05</w:t>
      </w:r>
      <w:r>
        <w:rPr>
          <w:sz w:val="20"/>
        </w:rPr>
        <w:t xml:space="preserve"> </w:t>
      </w:r>
      <w:r>
        <w:rPr>
          <w:sz w:val="20"/>
        </w:rPr>
        <w:t xml:space="preserve">und</w:t>
      </w:r>
      <w:r>
        <w:rPr>
          <w:sz w:val="20"/>
        </w:rPr>
        <w:t xml:space="preserve"> </w:t>
      </w:r>
      <w:r>
        <w:rPr>
          <w:b/>
          <w:bCs/>
          <w:sz w:val="20"/>
        </w:rPr>
        <w:t xml:space="preserve">4,61094e-05</w:t>
      </w:r>
      <w:r>
        <w:rPr>
          <w:sz w:val="20"/>
        </w:rPr>
        <w:t xml:space="preserve"> </w:t>
      </w:r>
      <w:r>
        <w:rPr>
          <w:sz w:val="20"/>
        </w:rPr>
        <w:t xml:space="preserve">bei einem 100.000-Tick-Fenster und gleichzeitig</w:t>
      </w:r>
      <w:r>
        <w:rPr>
          <w:sz w:val="20"/>
        </w:rPr>
        <w:t xml:space="preserve"> </w:t>
      </w:r>
      <w:r>
        <w:rPr>
          <w:b/>
          <w:bCs/>
          <w:sz w:val="20"/>
        </w:rPr>
        <w:t xml:space="preserve">0 berichteten Spikes</w:t>
      </w:r>
      <w:r>
        <w:rPr>
          <w:sz w:val="20"/>
        </w:rPr>
        <w:t xml:space="preserve">. Daraus ergibt sich eine horizontabhängige Zustandsabweichung, aber noch keine spike-getragene zeitliche Repräsentation. Subthreshold-Dynamik kann funktional relevant sein; das muss jedoch durch eine dafür geeignete Aufgabe und Intervention gezeigt werden. Der Unterschied zwischen</w:t>
      </w:r>
      <w:r>
        <w:rPr>
          <w:sz w:val="20"/>
        </w:rPr>
        <w:t xml:space="preserve"> </w:t>
      </w:r>
      <w:r>
        <w:rPr>
          <w:sz w:val="20"/>
        </w:rPr>
        <w:t xml:space="preserve">“</w:t>
      </w:r>
      <w:r>
        <w:rPr>
          <w:sz w:val="20"/>
        </w:rPr>
        <w:t xml:space="preserve">kein Spike</w:t>
      </w:r>
      <w:r>
        <w:rPr>
          <w:sz w:val="20"/>
        </w:rPr>
        <w:t xml:space="preserve">”</w:t>
      </w:r>
      <w:r>
        <w:rPr>
          <w:sz w:val="20"/>
        </w:rPr>
        <w:t xml:space="preserve"> </w:t>
      </w:r>
      <w:r>
        <w:rPr>
          <w:sz w:val="20"/>
        </w:rPr>
        <w:t xml:space="preserve">und</w:t>
      </w:r>
      <w:r>
        <w:rPr>
          <w:sz w:val="20"/>
        </w:rPr>
        <w:t xml:space="preserve"> </w:t>
      </w:r>
      <w:r>
        <w:rPr>
          <w:sz w:val="20"/>
        </w:rPr>
        <w:t xml:space="preserve">“</w:t>
      </w:r>
      <w:r>
        <w:rPr>
          <w:sz w:val="20"/>
        </w:rPr>
        <w:t xml:space="preserve">kein Zustand</w:t>
      </w:r>
      <w:r>
        <w:rPr>
          <w:sz w:val="20"/>
        </w:rPr>
        <w:t xml:space="preserve">”</w:t>
      </w:r>
      <w:r>
        <w:rPr>
          <w:sz w:val="20"/>
        </w:rPr>
        <w:t xml:space="preserve"> </w:t>
      </w:r>
      <w:r>
        <w:rPr>
          <w:sz w:val="20"/>
        </w:rPr>
        <w:t xml:space="preserve">ist genauso wichtig wie der Unterschied zwischen</w:t>
      </w:r>
      <w:r>
        <w:rPr>
          <w:sz w:val="20"/>
        </w:rPr>
        <w:t xml:space="preserve"> </w:t>
      </w:r>
      <w:r>
        <w:rPr>
          <w:sz w:val="20"/>
        </w:rPr>
        <w:t xml:space="preserve">“</w:t>
      </w:r>
      <w:r>
        <w:rPr>
          <w:sz w:val="20"/>
        </w:rPr>
        <w:t xml:space="preserve">Zustand</w:t>
      </w:r>
      <w:r>
        <w:rPr>
          <w:sz w:val="20"/>
        </w:rPr>
        <w:t xml:space="preserve">”</w:t>
      </w:r>
      <w:r>
        <w:rPr>
          <w:sz w:val="20"/>
        </w:rPr>
        <w:t xml:space="preserve"> </w:t>
      </w:r>
      <w:r>
        <w:rPr>
          <w:sz w:val="20"/>
        </w:rPr>
        <w:t xml:space="preserve">und</w:t>
      </w:r>
      <w:r>
        <w:rPr>
          <w:sz w:val="20"/>
        </w:rPr>
        <w:t xml:space="preserve"> </w:t>
      </w:r>
      <w:r>
        <w:rPr>
          <w:sz w:val="20"/>
        </w:rPr>
        <w:t xml:space="preserve">“</w:t>
      </w:r>
      <w:r>
        <w:rPr>
          <w:sz w:val="20"/>
        </w:rPr>
        <w:t xml:space="preserve">Gedächtnis</w:t>
      </w:r>
      <w:r>
        <w:rPr>
          <w:sz w:val="20"/>
        </w:rPr>
        <w:t xml:space="preserve">”</w:t>
      </w:r>
      <w:r>
        <w:rPr>
          <w:sz w:val="20"/>
        </w:rPr>
        <w:t xml:space="preserve">. [R11]</w:t>
      </w:r>
    </w:p>
    <w:bookmarkEnd w:id="376"/>
    <w:bookmarkStart w:id="377" w:name="der-bisherige-dimensionsvergleich"/>
    <w:p>
      <w:pPr>
        <w:pStyle w:val="Heading2"/>
      </w:pPr>
      <w:r>
        <w:t xml:space="preserve">Der bisherige Dimensionsvergleich</w:t>
      </w:r>
    </w:p>
    <w:p>
      <w:pPr>
        <w:pStyle w:val="FirstParagraph"/>
        <w:keepLines/>
        <w:spacing w:after="120"/>
        <w:jc w:val="left"/>
      </w:pPr>
      <w:r>
        <w:rPr>
          <w:sz w:val="20"/>
        </w:rPr>
        <w:t xml:space="preserve">Im kleinen Dimensionsvergleich lieferten die aufgeführten 1D-, 2D-, 3D- und 5D-Konfigurationen identische makroskopische Impulskennzahlen. Der spätere Suite-Bericht bestätigt ebenfalls diese Kennzahlen für die darin gezeigten Dimensionsarme und einen Zufallsgrapharm. Ein gemeinsamer trivialer Propagationspfad prüft damit vor allem die Ausführbarkeit verschiedener Einbettungen. Für eine Hypothese zur funktionalen Bedeutung der Geometrie ist entscheidend, ob die variierte Geometrie überhaupt in Verbindungsauswahl, Delay, Lernregel oder einer anderen kausal wirksamen Operation vorkommt. [R5; R11]</w:t>
      </w:r>
    </w:p>
    <w:p>
      <w:pPr>
        <w:pStyle w:val="BodyText"/>
        <w:keepLines/>
        <w:spacing w:after="120"/>
        <w:jc w:val="left"/>
      </w:pPr>
      <w:r>
        <w:rPr>
          <w:b/>
          <w:bCs/>
          <w:sz w:val="20"/>
        </w:rPr>
        <w:t xml:space="preserve">Eigene logische Folgerung:</w:t>
      </w:r>
      <w:r>
        <w:rPr>
          <w:sz w:val="20"/>
        </w:rPr>
        <w:t xml:space="preserve"> </w:t>
      </w:r>
      <w:r>
        <w:rPr>
          <w:sz w:val="20"/>
        </w:rPr>
        <w:t xml:space="preserve">Wenn Graph, Gewichte, Delays, Anfangszustände, Inputs und Update-Regeln identisch bleiben und Koordinaten von keiner dieser Operationen gelesen werden, kann eine reine Umbenennung der Koordinaten keinen dynamischen Unterschied verursachen. Ein Nullbefund wäre dann durch das Design zu erwarten. Dies ist kein empirischer Beweis gegen 5D, sondern ein Hinweis auf die Identifizierbarkeit des Experiments. Ein aussagekräftiger Test muss den konkreten Wirkpfad der Geometrie vorab nennen.</w:t>
      </w:r>
    </w:p>
    <w:bookmarkEnd w:id="377"/>
    <w:bookmarkEnd w:id="378"/>
    <w:bookmarkStart w:id="384" w:name="X3ceabbeec99fababbae170ca24459fa6863ddbd"/>
    <w:p>
      <w:bookmarkStart w:id="10027" w:name="B5D_H027"/>
      <w:pPr>
        <w:pStyle w:val="Heading1"/>
      </w:pPr>
      <w:r>
        <w:t xml:space="preserve">24. Vier aktuelle Ergebnislinien und ihre Grenzen</w:t>
      </w:r>
      <w:bookmarkEnd w:id="10027"/>
    </w:p>
    <w:bookmarkStart w:id="379" w:name="Xb7298ca76c8471f441987d06eecd52b28253188"/>
    <w:p>
      <w:pPr>
        <w:pStyle w:val="Heading2"/>
        <w:spacing w:before="160"/>
      </w:pPr>
      <w:r>
        <w:t xml:space="preserve">EXP-SNN-001-R2: aktive Stabilität und widersprüchliche Freigabe</w:t>
      </w:r>
    </w:p>
    <w:p>
      <w:pPr>
        <w:pStyle w:val="FirstParagraph"/>
        <w:keepLines/>
        <w:spacing w:after="64" w:line="254" w:lineRule="auto"/>
        <w:jc w:val="left"/>
      </w:pPr>
      <w:r>
        <w:rPr>
          <w:sz w:val="20"/>
        </w:rPr>
        <w:t xml:space="preserve">Der Summary-Bericht weist</w:t>
      </w:r>
      <w:r>
        <w:rPr>
          <w:sz w:val="20"/>
        </w:rPr>
        <w:t xml:space="preserve"> </w:t>
      </w:r>
      <w:r>
        <w:rPr>
          <w:b/>
          <w:bCs/>
          <w:sz w:val="20"/>
        </w:rPr>
        <w:t xml:space="preserve">20 Durchläufe</w:t>
      </w:r>
      <w:r>
        <w:rPr>
          <w:sz w:val="20"/>
        </w:rPr>
        <w:t xml:space="preserve">, zehn Seeds von 42 bis 51 und je</w:t>
      </w:r>
      <w:r>
        <w:rPr>
          <w:sz w:val="20"/>
        </w:rPr>
        <w:t xml:space="preserve"> </w:t>
      </w:r>
      <w:r>
        <w:rPr>
          <w:b/>
          <w:bCs/>
          <w:sz w:val="20"/>
        </w:rPr>
        <w:t xml:space="preserve">100.000 ausgeführte Ticks</w:t>
      </w:r>
      <w:r>
        <w:rPr>
          <w:sz w:val="20"/>
        </w:rPr>
        <w:t xml:space="preserve"> </w:t>
      </w:r>
      <w:r>
        <w:rPr>
          <w:sz w:val="20"/>
        </w:rPr>
        <w:t xml:space="preserve">aus. Das Protokoll heisst</w:t>
      </w:r>
      <w:r>
        <w:rPr>
          <w:sz w:val="20"/>
        </w:rPr>
        <w:t xml:space="preserve"> </w:t>
      </w:r>
      <w:r>
        <w:rPr>
          <w:rStyle w:val="VerbatimChar"/>
          <w:sz w:val="20"/>
        </w:rPr>
        <w:t xml:space="preserve">sustained_activity_stability_v1</w:t>
      </w:r>
      <w:r>
        <w:rPr>
          <w:sz w:val="20"/>
        </w:rPr>
        <w:t xml:space="preserve">; verglichen werden</w:t>
      </w:r>
      <w:r>
        <w:rPr>
          <w:sz w:val="20"/>
        </w:rPr>
        <w:t xml:space="preserve"> </w:t>
      </w:r>
      <w:r>
        <w:rPr>
          <w:rStyle w:val="VerbatimChar"/>
          <w:sz w:val="20"/>
        </w:rPr>
        <w:t xml:space="preserve">no_input_control</w:t>
      </w:r>
      <w:r>
        <w:rPr>
          <w:sz w:val="20"/>
        </w:rPr>
        <w:t xml:space="preserve"> </w:t>
      </w:r>
      <w:r>
        <w:rPr>
          <w:sz w:val="20"/>
        </w:rPr>
        <w:t xml:space="preserve">und</w:t>
      </w:r>
      <w:r>
        <w:rPr>
          <w:sz w:val="20"/>
        </w:rPr>
        <w:t xml:space="preserve"> </w:t>
      </w:r>
      <w:r>
        <w:rPr>
          <w:rStyle w:val="VerbatimChar"/>
          <w:sz w:val="20"/>
        </w:rPr>
        <w:t xml:space="preserve">tonic_drive</w:t>
      </w:r>
      <w:r>
        <w:rPr>
          <w:sz w:val="20"/>
        </w:rPr>
        <w:t xml:space="preserve"> </w:t>
      </w:r>
      <w:r>
        <w:rPr>
          <w:sz w:val="20"/>
        </w:rPr>
        <w:t xml:space="preserve">mit Drive 50,0, 10.000 Burn-in-Ticks und 1.000-Tick-Fenstern. Laufmodus ist</w:t>
      </w:r>
      <w:r>
        <w:rPr>
          <w:sz w:val="20"/>
        </w:rPr>
        <w:t xml:space="preserve"> </w:t>
      </w:r>
      <w:r>
        <w:rPr>
          <w:rStyle w:val="VerbatimChar"/>
          <w:sz w:val="20"/>
        </w:rPr>
        <w:t xml:space="preserve">CONFIRMATORY</w:t>
      </w:r>
      <w:r>
        <w:rPr>
          <w:sz w:val="20"/>
        </w:rPr>
        <w:t xml:space="preserve">, Netzwerkmodus</w:t>
      </w:r>
      <w:r>
        <w:rPr>
          <w:sz w:val="20"/>
        </w:rPr>
        <w:t xml:space="preserve"> </w:t>
      </w:r>
      <w:r>
        <w:rPr>
          <w:rStyle w:val="VerbatimChar"/>
          <w:sz w:val="20"/>
        </w:rPr>
        <w:t xml:space="preserve">OFFLINE</w:t>
      </w:r>
      <w:r>
        <w:rPr>
          <w:sz w:val="20"/>
        </w:rPr>
        <w:t xml:space="preserve">, Tickvertrag</w:t>
      </w:r>
      <w:r>
        <w:rPr>
          <w:sz w:val="20"/>
        </w:rPr>
        <w:t xml:space="preserve"> </w:t>
      </w:r>
      <w:r>
        <w:rPr>
          <w:rStyle w:val="VerbatimChar"/>
          <w:sz w:val="20"/>
        </w:rPr>
        <w:t xml:space="preserve">SATISFIED</w:t>
      </w:r>
      <w:r>
        <w:rPr>
          <w:sz w:val="20"/>
        </w:rPr>
        <w:t xml:space="preserve">. Der im Bericht genannte Run-Commit ist</w:t>
      </w:r>
      <w:r>
        <w:rPr>
          <w:sz w:val="20"/>
        </w:rPr>
        <w:t xml:space="preserve"> </w:t>
      </w:r>
      <w:r>
        <w:rPr>
          <w:rStyle w:val="VerbatimChar"/>
          <w:sz w:val="20"/>
        </w:rPr>
        <w:t xml:space="preserve">4cfcaf64e55b5c33f6fd818605a39da2c92871f9</w:t>
      </w:r>
      <w:r>
        <w:rPr>
          <w:sz w:val="20"/>
        </w:rPr>
        <w:t xml:space="preserve">, bei</w:t>
      </w:r>
      <w:r>
        <w:rPr>
          <w:sz w:val="20"/>
        </w:rPr>
        <w:t xml:space="preserve"> </w:t>
      </w:r>
      <w:r>
        <w:rPr>
          <w:rStyle w:val="VerbatimChar"/>
          <w:sz w:val="20"/>
        </w:rPr>
        <w:t xml:space="preserve">git dirty = true</w:t>
      </w:r>
      <w:r>
        <w:rPr>
          <w:sz w:val="20"/>
        </w:rPr>
        <w:t xml:space="preserve">. [R3]</w:t>
      </w:r>
    </w:p>
    <w:p>
      <w:pPr>
        <w:pStyle w:val="BodyText"/>
        <w:keepLines/>
        <w:spacing w:after="64" w:line="254" w:lineRule="auto"/>
        <w:jc w:val="left"/>
      </w:pPr>
      <w:r>
        <w:rPr>
          <w:sz w:val="20"/>
        </w:rPr>
        <w:t xml:space="preserve">Der empirische Manuskriptnachtrag berichtet</w:t>
      </w:r>
      <w:r>
        <w:rPr>
          <w:sz w:val="20"/>
        </w:rPr>
        <w:t xml:space="preserve"> </w:t>
      </w:r>
      <w:r>
        <w:rPr>
          <w:b/>
          <w:bCs/>
          <w:sz w:val="20"/>
        </w:rPr>
        <w:t xml:space="preserve">20/20 Stabilitätspässe</w:t>
      </w:r>
      <w:r>
        <w:rPr>
          <w:sz w:val="20"/>
        </w:rPr>
        <w:t xml:space="preserve">, keine Laufzeitfehler, für den tonic-drive-Arm</w:t>
      </w:r>
      <w:r>
        <w:rPr>
          <w:sz w:val="20"/>
        </w:rPr>
        <w:t xml:space="preserve"> </w:t>
      </w:r>
      <w:r>
        <w:rPr>
          <w:b/>
          <w:bCs/>
          <w:sz w:val="20"/>
        </w:rPr>
        <w:t xml:space="preserve">300 Spikes pro 1.000-Tick-Fenster</w:t>
      </w:r>
      <w:r>
        <w:rPr>
          <w:sz w:val="20"/>
        </w:rPr>
        <w:t xml:space="preserve">, Variationskoeffizient 0 und relative Drift 0. Die zehn Kontrollen ohne Input bleiben ruhig. Diese speziellen Ergebnisgrößen stammen aus K3; im generischen Summary stehen die Spalten zu Spikezahl und Synapsenereignissen teilweise auf fehlend. Die fehlenden generischen Felder werden nicht mit Null ersetzt und nicht als Gegenbeweis zu den speziellen Kennzahlen interpretiert. [K3, empirischer Nachtrag; R3]</w:t>
      </w:r>
    </w:p>
    <w:p>
      <w:pPr>
        <w:pStyle w:val="BodyText"/>
        <w:keepLines/>
        <w:spacing w:after="64" w:line="254" w:lineRule="auto"/>
        <w:jc w:val="left"/>
      </w:pPr>
      <w:r>
        <w:rPr>
          <w:sz w:val="20"/>
        </w:rPr>
        <w:t xml:space="preserve">Zugleich klassifiziert derselbe Repository-Bericht die Zuordnung als</w:t>
      </w:r>
      <w:r>
        <w:rPr>
          <w:sz w:val="20"/>
        </w:rPr>
        <w:t xml:space="preserve"> </w:t>
      </w:r>
      <w:r>
        <w:rPr>
          <w:rStyle w:val="VerbatimChar"/>
          <w:sz w:val="20"/>
        </w:rPr>
        <w:t xml:space="preserve">MISMATCH</w:t>
      </w:r>
      <w:r>
        <w:rPr>
          <w:sz w:val="20"/>
        </w:rPr>
        <w:t xml:space="preserve"> </w:t>
      </w:r>
      <w:r>
        <w:rPr>
          <w:sz w:val="20"/>
        </w:rPr>
        <w:t xml:space="preserve">und die Freigabereife als</w:t>
      </w:r>
      <w:r>
        <w:rPr>
          <w:sz w:val="20"/>
        </w:rPr>
        <w:t xml:space="preserve"> </w:t>
      </w:r>
      <w:r>
        <w:rPr>
          <w:rStyle w:val="VerbatimChar"/>
          <w:sz w:val="20"/>
        </w:rPr>
        <w:t xml:space="preserve">BLOCKED_SEMANTIC_MISMATCH</w:t>
      </w:r>
      <w:r>
        <w:rPr>
          <w:sz w:val="20"/>
        </w:rPr>
        <w:t xml:space="preserve">. Die Begründung verlangt ein dediziertes Sustained-Activity-Protokoll, obwohl ein entsprechend benanntes Protokoll bereits ausgewiesen ist. Das ist ein</w:t>
      </w:r>
      <w:r>
        <w:rPr>
          <w:sz w:val="20"/>
        </w:rPr>
        <w:t xml:space="preserve"> </w:t>
      </w:r>
      <w:r>
        <w:rPr>
          <w:b/>
          <w:bCs/>
          <w:sz w:val="20"/>
        </w:rPr>
        <w:t xml:space="preserve">offener interner Dokumentations- beziehungsweise Klassifikationskonflikt</w:t>
      </w:r>
      <w:r>
        <w:rPr>
          <w:sz w:val="20"/>
        </w:rPr>
        <w:t xml:space="preserve">. Aus dem Widerspruch allein lässt sich weder schliessen, der Lauf sei wissenschaftlich unbrauchbar, noch, das Gate sei nur kosmetisch falsch. Erforderlich ist eine Prüfung der Protokollkennung, registrierten Conditions, Endpunkte und Gate-Regeln an der tatsächlichen Run-Codebasis. [R3]</w:t>
      </w:r>
    </w:p>
    <w:p>
      <w:pPr>
        <w:pStyle w:val="BodyText"/>
        <w:keepLines/>
        <w:spacing w:after="64" w:line="254" w:lineRule="auto"/>
        <w:jc w:val="left"/>
      </w:pPr>
      <w:r>
        <w:rPr>
          <w:sz w:val="20"/>
        </w:rPr>
        <w:t xml:space="preserve">Die zulässige Aussage bleibt eng: Ein kontrollierter kleiner Versuchsaufbau wurde über das registrierte Tickbudget ausgeführt; der Nachtrag berichtet stabile Messgrößen. Eine Freigabe für die allgemeine Hypothese langfristig stabiler Brain-5D-Dynamik ist daraus noch nicht abzuleiten. Auch CV = 0 bedeutet nur, dass die ausgewertete Größe in diesen Fenstern keine Variation zeigt. Ob der Zustand reichhaltig, anpassungsfähig oder lediglich periodisch ist, prüft eine andere Metrik.</w:t>
      </w:r>
    </w:p>
    <w:bookmarkEnd w:id="379"/>
    <w:bookmarkStart w:id="380" w:name="X7788ea000af388b27a3c4a09ecbd57e21d65741"/>
    <w:p>
      <w:pPr>
        <w:pStyle w:val="Heading2"/>
        <w:spacing w:before="160"/>
      </w:pPr>
      <w:r>
        <w:t xml:space="preserve">EXP-REPL-0001-R1: klarer Rekurrenzeffekt in engem Scope</w:t>
      </w:r>
    </w:p>
    <w:p>
      <w:pPr>
        <w:pStyle w:val="FirstParagraph"/>
        <w:keepLines/>
        <w:spacing w:after="64" w:line="254" w:lineRule="auto"/>
        <w:jc w:val="left"/>
      </w:pPr>
      <w:r>
        <w:rPr>
          <w:sz w:val="20"/>
        </w:rPr>
        <w:t xml:space="preserve">Der Replikationsbericht umfasst</w:t>
      </w:r>
      <w:r>
        <w:rPr>
          <w:sz w:val="20"/>
        </w:rPr>
        <w:t xml:space="preserve"> </w:t>
      </w:r>
      <w:r>
        <w:rPr>
          <w:b/>
          <w:bCs/>
          <w:sz w:val="20"/>
        </w:rPr>
        <w:t xml:space="preserve">40 Läufe über 20 Seedlabels</w:t>
      </w:r>
      <w:r>
        <w:rPr>
          <w:sz w:val="20"/>
        </w:rPr>
        <w:t xml:space="preserve"> </w:t>
      </w:r>
      <w:r>
        <w:rPr>
          <w:sz w:val="20"/>
        </w:rPr>
        <w:t xml:space="preserve">von 42 bis 61, jeweils 256 Ticks, zwei Conditions und das Protokoll</w:t>
      </w:r>
      <w:r>
        <w:rPr>
          <w:sz w:val="20"/>
        </w:rPr>
        <w:t xml:space="preserve"> </w:t>
      </w:r>
      <w:r>
        <w:rPr>
          <w:rStyle w:val="VerbatimChar"/>
          <w:sz w:val="20"/>
        </w:rPr>
        <w:t xml:space="preserve">independent_replication_v1</w:t>
      </w:r>
      <w:r>
        <w:rPr>
          <w:sz w:val="20"/>
        </w:rPr>
        <w:t xml:space="preserve">. Die semantische Zuordnung lautet</w:t>
      </w:r>
      <w:r>
        <w:rPr>
          <w:sz w:val="20"/>
        </w:rPr>
        <w:t xml:space="preserve"> </w:t>
      </w:r>
      <w:r>
        <w:rPr>
          <w:rStyle w:val="VerbatimChar"/>
          <w:sz w:val="20"/>
        </w:rPr>
        <w:t xml:space="preserve">DIRECT_MATCH</w:t>
      </w:r>
      <w:r>
        <w:rPr>
          <w:sz w:val="20"/>
        </w:rPr>
        <w:t xml:space="preserve">; die Evidenzfreigabe ist wegen</w:t>
      </w:r>
      <w:r>
        <w:rPr>
          <w:sz w:val="20"/>
        </w:rPr>
        <w:t xml:space="preserve"> </w:t>
      </w:r>
      <w:r>
        <w:rPr>
          <w:rStyle w:val="VerbatimChar"/>
          <w:sz w:val="20"/>
        </w:rPr>
        <w:t xml:space="preserve">BLOCKED_DIRTY_SOURCE_TREE</w:t>
      </w:r>
      <w:r>
        <w:rPr>
          <w:sz w:val="20"/>
        </w:rPr>
        <w:t xml:space="preserve"> </w:t>
      </w:r>
      <w:r>
        <w:rPr>
          <w:sz w:val="20"/>
        </w:rPr>
        <w:t xml:space="preserve">gesperrt. Der Run-Commit lautet</w:t>
      </w:r>
      <w:r>
        <w:rPr>
          <w:sz w:val="20"/>
        </w:rPr>
        <w:t xml:space="preserve"> </w:t>
      </w:r>
      <w:r>
        <w:rPr>
          <w:rStyle w:val="VerbatimChar"/>
          <w:sz w:val="20"/>
        </w:rPr>
        <w:t xml:space="preserve">48dacb9ce26e68f39d2d63f1b82c8a9192ee8185</w:t>
      </w:r>
      <w:r>
        <w:rPr>
          <w:sz w:val="20"/>
        </w:rPr>
        <w:t xml:space="preserve">. Ein passender Protokollname ist damit vorhanden, eine saubere freigegebene Replikation ist aber nicht bereits durch den Namen garantiert. [R4]</w:t>
      </w:r>
    </w:p>
    <w:p>
      <w:pPr>
        <w:pStyle w:val="Caption"/>
        <w:keepNext/>
        <w:keepLines/>
        <w:spacing w:before="180" w:after="120"/>
        <w:jc w:val="left"/>
      </w:pPr>
      <w:r>
        <w:rPr>
          <w:sz w:val="20"/>
        </w:rPr>
        <w:t>Tabelle 27. Berichteter Rekurrenzvergleich</w:t>
      </w:r>
    </w:p>
    <w:tbl>
      <w:tblPr>
        <w:tblStyle w:val="Table"/>
        <w:tblW w:type="auto" w:w="0"/>
        <w:jc w:val="center"/>
        <w:tblLayout w:type="fixed"/>
        <w:tblLook w:firstRow="1" w:lastRow="0" w:firstColumn="0" w:lastColumn="0" w:noHBand="0" w:noVBand="0" w:val="0020"/>
        <w:tblInd w:w="0" w:type="dxa"/>
        <w:tblCellMar>
          <w:top w:w="70" w:type="dxa"/>
          <w:bottom w:w="70" w:type="dxa"/>
          <w:left w:w="85" w:type="dxa"/>
          <w:right w:w="85" w:type="dxa"/>
        </w:tblCellMar>
        <w:tblBorders>
          <w:top w:val="single" w:sz="4" w:color="CCD4D9"/>
          <w:bottom w:val="single" w:sz="4" w:color="CCD4D9"/>
          <w:insideH w:val="single" w:sz="4" w:color="CCD4D9"/>
          <w:left w:val="nil"/>
          <w:right w:val="nil"/>
          <w:insideV w:val="nil"/>
        </w:tblBorders>
      </w:tblPr>
      <w:tblGrid>
        <w:gridCol w:w="3312"/>
        <w:gridCol w:w="1512"/>
        <w:gridCol w:w="1512"/>
        <w:gridCol w:w="3514"/>
      </w:tblGrid>
      <w:tr>
        <w:trPr>
          <w:tblHeader w:val="on"/>
          <w:cantSplit/>
          <w:tblHeader/>
        </w:trPr>
        <w:tc>
          <w:tcPr>
            <w:tcW w:type="dxa" w:w="3312"/>
            <w:vAlign w:val="center"/>
            <w:shd w:fill="E9EFF3"/>
          </w:tcPr>
          <w:p>
            <w:pPr>
              <w:pStyle w:val="Compact"/>
              <w:keepNext w:val="0"/>
              <w:keepLines/>
              <w:spacing w:before="20" w:after="20" w:line="250" w:lineRule="auto"/>
              <w:jc w:val="left"/>
            </w:pPr>
            <w:r>
              <w:rPr>
                <w:rFonts w:ascii="Liberation Sans" w:hAnsi="Liberation Sans"/>
                <w:b/>
                <w:sz w:val="18"/>
              </w:rPr>
              <w:t xml:space="preserve">Messgröße</w:t>
            </w:r>
          </w:p>
        </w:tc>
        <w:tc>
          <w:tcPr>
            <w:tcW w:type="dxa" w:w="1512"/>
            <w:vAlign w:val="center"/>
            <w:shd w:fill="E9EFF3"/>
          </w:tcPr>
          <w:p>
            <w:pPr>
              <w:pStyle w:val="Compact"/>
              <w:keepNext w:val="0"/>
              <w:keepLines/>
              <w:spacing w:before="20" w:after="20" w:line="250" w:lineRule="auto"/>
              <w:jc w:val="center"/>
            </w:pPr>
            <w:r>
              <w:rPr>
                <w:rFonts w:ascii="Liberation Sans" w:hAnsi="Liberation Sans"/>
                <w:b/>
                <w:sz w:val="18"/>
              </w:rPr>
              <w:t xml:space="preserve">Rekurrenz aus</w:t>
            </w:r>
          </w:p>
        </w:tc>
        <w:tc>
          <w:tcPr>
            <w:tcW w:type="dxa" w:w="1512"/>
            <w:vAlign w:val="center"/>
            <w:shd w:fill="E9EFF3"/>
          </w:tcPr>
          <w:p>
            <w:pPr>
              <w:pStyle w:val="Compact"/>
              <w:keepNext w:val="0"/>
              <w:keepLines/>
              <w:spacing w:before="20" w:after="20" w:line="250" w:lineRule="auto"/>
              <w:jc w:val="center"/>
            </w:pPr>
            <w:r>
              <w:rPr>
                <w:rFonts w:ascii="Liberation Sans" w:hAnsi="Liberation Sans"/>
                <w:b/>
                <w:sz w:val="18"/>
              </w:rPr>
              <w:t xml:space="preserve">Rekurrenz an</w:t>
            </w:r>
          </w:p>
        </w:tc>
        <w:tc>
          <w:tcPr>
            <w:tcW w:type="dxa" w:w="3514"/>
            <w:vAlign w:val="center"/>
            <w:shd w:fill="E9EFF3"/>
          </w:tcPr>
          <w:p>
            <w:pPr>
              <w:pStyle w:val="Compact"/>
              <w:keepNext w:val="0"/>
              <w:keepLines/>
              <w:spacing w:before="20" w:after="20" w:line="250" w:lineRule="auto"/>
              <w:jc w:val="left"/>
            </w:pPr>
            <w:r>
              <w:rPr>
                <w:rFonts w:ascii="Liberation Sans" w:hAnsi="Liberation Sans"/>
                <w:b/>
                <w:sz w:val="18"/>
              </w:rPr>
              <w:t xml:space="preserve">Differenz / Verhältnis</w:t>
            </w:r>
          </w:p>
        </w:tc>
      </w:tr>
      <w:tr>
        <w:trPr>
          <w:cantSplit/>
        </w:trPr>
        <w:tc>
          <w:tcPr>
            <w:tcW w:type="dxa" w:w="3312"/>
            <w:vAlign w:val="center"/>
          </w:tcPr>
          <w:p>
            <w:pPr>
              <w:pStyle w:val="Compact"/>
              <w:keepNext w:val="0"/>
              <w:keepLines/>
              <w:spacing w:before="20" w:after="20" w:line="250" w:lineRule="auto"/>
              <w:jc w:val="left"/>
            </w:pPr>
            <w:r>
              <w:rPr>
                <w:rFonts w:ascii="Liberation Sans" w:hAnsi="Liberation Sans"/>
                <w:sz w:val="18"/>
              </w:rPr>
              <w:t xml:space="preserve">Spikes</w:t>
            </w:r>
          </w:p>
        </w:tc>
        <w:tc>
          <w:tcPr>
            <w:tcW w:type="dxa" w:w="1512"/>
            <w:vAlign w:val="center"/>
          </w:tcPr>
          <w:p>
            <w:pPr>
              <w:pStyle w:val="Compact"/>
              <w:keepNext w:val="0"/>
              <w:keepLines/>
              <w:spacing w:before="20" w:after="20" w:line="250" w:lineRule="auto"/>
              <w:jc w:val="center"/>
            </w:pPr>
            <w:r>
              <w:rPr>
                <w:rFonts w:ascii="Liberation Sans" w:hAnsi="Liberation Sans"/>
                <w:sz w:val="18"/>
              </w:rPr>
              <w:t xml:space="preserve">3</w:t>
            </w:r>
          </w:p>
        </w:tc>
        <w:tc>
          <w:tcPr>
            <w:tcW w:type="dxa" w:w="1512"/>
            <w:vAlign w:val="center"/>
          </w:tcPr>
          <w:p>
            <w:pPr>
              <w:pStyle w:val="Compact"/>
              <w:keepNext w:val="0"/>
              <w:keepLines/>
              <w:spacing w:before="20" w:after="20" w:line="250" w:lineRule="auto"/>
              <w:jc w:val="center"/>
            </w:pPr>
            <w:r>
              <w:rPr>
                <w:rFonts w:ascii="Liberation Sans" w:hAnsi="Liberation Sans"/>
                <w:sz w:val="18"/>
              </w:rPr>
              <w:t xml:space="preserve">33</w:t>
            </w:r>
          </w:p>
        </w:tc>
        <w:tc>
          <w:tcPr>
            <w:tcW w:type="dxa" w:w="3514"/>
            <w:vAlign w:val="center"/>
          </w:tcPr>
          <w:p>
            <w:pPr>
              <w:pStyle w:val="Compact"/>
              <w:keepNext w:val="0"/>
              <w:keepLines/>
              <w:spacing w:before="20" w:after="20" w:line="250" w:lineRule="auto"/>
              <w:jc w:val="left"/>
            </w:pPr>
            <w:r>
              <w:rPr>
                <w:rFonts w:ascii="Liberation Sans" w:hAnsi="Liberation Sans"/>
                <w:sz w:val="18"/>
              </w:rPr>
              <w:t xml:space="preserve">+30; Faktor 11</w:t>
            </w:r>
          </w:p>
        </w:tc>
      </w:tr>
      <w:tr>
        <w:trPr>
          <w:cantSplit/>
        </w:trPr>
        <w:tc>
          <w:tcPr>
            <w:tcW w:type="dxa" w:w="3312"/>
            <w:vAlign w:val="center"/>
          </w:tcPr>
          <w:p>
            <w:pPr>
              <w:pStyle w:val="Compact"/>
              <w:keepNext w:val="0"/>
              <w:keepLines/>
              <w:spacing w:before="20" w:after="20" w:line="250" w:lineRule="auto"/>
              <w:jc w:val="left"/>
            </w:pPr>
            <w:r>
              <w:rPr>
                <w:rFonts w:ascii="Liberation Sans" w:hAnsi="Liberation Sans"/>
                <w:sz w:val="18"/>
              </w:rPr>
              <w:t xml:space="preserve">Synaptische Ereignisse</w:t>
            </w:r>
          </w:p>
        </w:tc>
        <w:tc>
          <w:tcPr>
            <w:tcW w:type="dxa" w:w="1512"/>
            <w:vAlign w:val="center"/>
          </w:tcPr>
          <w:p>
            <w:pPr>
              <w:pStyle w:val="Compact"/>
              <w:keepNext w:val="0"/>
              <w:keepLines/>
              <w:spacing w:before="20" w:after="20" w:line="250" w:lineRule="auto"/>
              <w:jc w:val="center"/>
            </w:pPr>
            <w:r>
              <w:rPr>
                <w:rFonts w:ascii="Liberation Sans" w:hAnsi="Liberation Sans"/>
                <w:sz w:val="18"/>
              </w:rPr>
              <w:t xml:space="preserve">2</w:t>
            </w:r>
          </w:p>
        </w:tc>
        <w:tc>
          <w:tcPr>
            <w:tcW w:type="dxa" w:w="1512"/>
            <w:vAlign w:val="center"/>
          </w:tcPr>
          <w:p>
            <w:pPr>
              <w:pStyle w:val="Compact"/>
              <w:keepNext w:val="0"/>
              <w:keepLines/>
              <w:spacing w:before="20" w:after="20" w:line="250" w:lineRule="auto"/>
              <w:jc w:val="center"/>
            </w:pPr>
            <w:r>
              <w:rPr>
                <w:rFonts w:ascii="Liberation Sans" w:hAnsi="Liberation Sans"/>
                <w:sz w:val="18"/>
              </w:rPr>
              <w:t xml:space="preserve">33</w:t>
            </w:r>
          </w:p>
        </w:tc>
        <w:tc>
          <w:tcPr>
            <w:tcW w:type="dxa" w:w="3514"/>
            <w:vAlign w:val="center"/>
          </w:tcPr>
          <w:p>
            <w:pPr>
              <w:pStyle w:val="Compact"/>
              <w:keepNext w:val="0"/>
              <w:keepLines/>
              <w:spacing w:before="20" w:after="20" w:line="250" w:lineRule="auto"/>
              <w:jc w:val="left"/>
            </w:pPr>
            <w:r>
              <w:rPr>
                <w:rFonts w:ascii="Liberation Sans" w:hAnsi="Liberation Sans"/>
                <w:sz w:val="18"/>
              </w:rPr>
              <w:t xml:space="preserve">+31; Faktor 16,5</w:t>
            </w:r>
          </w:p>
        </w:tc>
      </w:tr>
      <w:tr>
        <w:trPr>
          <w:cantSplit/>
        </w:trPr>
        <w:tc>
          <w:tcPr>
            <w:tcW w:type="dxa" w:w="3312"/>
            <w:vAlign w:val="center"/>
          </w:tcPr>
          <w:p>
            <w:pPr>
              <w:pStyle w:val="Compact"/>
              <w:keepNext w:val="0"/>
              <w:keepLines/>
              <w:spacing w:before="20" w:after="20" w:line="250" w:lineRule="auto"/>
              <w:jc w:val="left"/>
            </w:pPr>
            <w:r>
              <w:rPr>
                <w:rFonts w:ascii="Liberation Sans" w:hAnsi="Liberation Sans"/>
                <w:sz w:val="18"/>
              </w:rPr>
              <w:t xml:space="preserve">Aktivierte Neuronen</w:t>
            </w:r>
          </w:p>
        </w:tc>
        <w:tc>
          <w:tcPr>
            <w:tcW w:type="dxa" w:w="1512"/>
            <w:vAlign w:val="center"/>
          </w:tcPr>
          <w:p>
            <w:pPr>
              <w:pStyle w:val="Compact"/>
              <w:keepNext w:val="0"/>
              <w:keepLines/>
              <w:spacing w:before="20" w:after="20" w:line="250" w:lineRule="auto"/>
              <w:jc w:val="center"/>
            </w:pPr>
            <w:r>
              <w:rPr>
                <w:rFonts w:ascii="Liberation Sans" w:hAnsi="Liberation Sans"/>
                <w:sz w:val="18"/>
              </w:rPr>
              <w:t xml:space="preserve">3</w:t>
            </w:r>
          </w:p>
        </w:tc>
        <w:tc>
          <w:tcPr>
            <w:tcW w:type="dxa" w:w="1512"/>
            <w:vAlign w:val="center"/>
          </w:tcPr>
          <w:p>
            <w:pPr>
              <w:pStyle w:val="Compact"/>
              <w:keepNext w:val="0"/>
              <w:keepLines/>
              <w:spacing w:before="20" w:after="20" w:line="250" w:lineRule="auto"/>
              <w:jc w:val="center"/>
            </w:pPr>
            <w:r>
              <w:rPr>
                <w:rFonts w:ascii="Liberation Sans" w:hAnsi="Liberation Sans"/>
                <w:sz w:val="18"/>
              </w:rPr>
              <w:t xml:space="preserve">3</w:t>
            </w:r>
          </w:p>
        </w:tc>
        <w:tc>
          <w:tcPr>
            <w:tcW w:type="dxa" w:w="3514"/>
            <w:vAlign w:val="center"/>
          </w:tcPr>
          <w:p>
            <w:pPr>
              <w:pStyle w:val="Compact"/>
              <w:keepNext w:val="0"/>
              <w:keepLines/>
              <w:spacing w:before="20" w:after="20" w:line="250" w:lineRule="auto"/>
              <w:jc w:val="left"/>
            </w:pPr>
            <w:r>
              <w:rPr>
                <w:rFonts w:ascii="Liberation Sans" w:hAnsi="Liberation Sans"/>
                <w:sz w:val="18"/>
              </w:rPr>
              <w:t xml:space="preserve">0; Faktor 1</w:t>
            </w:r>
          </w:p>
        </w:tc>
      </w:tr>
      <w:tr>
        <w:trPr>
          <w:cantSplit/>
        </w:trPr>
        <w:tc>
          <w:tcPr>
            <w:tcW w:type="dxa" w:w="3312"/>
            <w:vAlign w:val="center"/>
          </w:tcPr>
          <w:p>
            <w:pPr>
              <w:pStyle w:val="Compact"/>
              <w:keepNext w:val="0"/>
              <w:keepLines/>
              <w:spacing w:before="20" w:after="20" w:line="250" w:lineRule="auto"/>
              <w:jc w:val="left"/>
            </w:pPr>
            <w:r>
              <w:rPr>
                <w:rFonts w:ascii="Liberation Sans" w:hAnsi="Liberation Sans"/>
                <w:sz w:val="18"/>
              </w:rPr>
              <w:t xml:space="preserve">Rekurrenzereignisse</w:t>
            </w:r>
          </w:p>
        </w:tc>
        <w:tc>
          <w:tcPr>
            <w:tcW w:type="dxa" w:w="1512"/>
            <w:vAlign w:val="center"/>
          </w:tcPr>
          <w:p>
            <w:pPr>
              <w:pStyle w:val="Compact"/>
              <w:keepNext w:val="0"/>
              <w:keepLines/>
              <w:spacing w:before="20" w:after="20" w:line="250" w:lineRule="auto"/>
              <w:jc w:val="center"/>
            </w:pPr>
            <w:r>
              <w:rPr>
                <w:rFonts w:ascii="Liberation Sans" w:hAnsi="Liberation Sans"/>
                <w:sz w:val="18"/>
              </w:rPr>
              <w:t xml:space="preserve">0</w:t>
            </w:r>
          </w:p>
        </w:tc>
        <w:tc>
          <w:tcPr>
            <w:tcW w:type="dxa" w:w="1512"/>
            <w:vAlign w:val="center"/>
          </w:tcPr>
          <w:p>
            <w:pPr>
              <w:pStyle w:val="Compact"/>
              <w:keepNext w:val="0"/>
              <w:keepLines/>
              <w:spacing w:before="20" w:after="20" w:line="250" w:lineRule="auto"/>
              <w:jc w:val="center"/>
            </w:pPr>
            <w:r>
              <w:rPr>
                <w:rFonts w:ascii="Liberation Sans" w:hAnsi="Liberation Sans"/>
                <w:sz w:val="18"/>
              </w:rPr>
              <w:t xml:space="preserve">10</w:t>
            </w:r>
          </w:p>
        </w:tc>
        <w:tc>
          <w:tcPr>
            <w:tcW w:type="dxa" w:w="3514"/>
            <w:vAlign w:val="center"/>
          </w:tcPr>
          <w:p>
            <w:pPr>
              <w:pStyle w:val="Compact"/>
              <w:keepNext w:val="0"/>
              <w:keepLines/>
              <w:spacing w:before="20" w:after="20" w:line="250" w:lineRule="auto"/>
              <w:jc w:val="left"/>
            </w:pPr>
            <w:r>
              <w:rPr>
                <w:rFonts w:ascii="Liberation Sans" w:hAnsi="Liberation Sans"/>
                <w:sz w:val="18"/>
              </w:rPr>
              <w:t xml:space="preserve">+10; Verhältnis nicht definiert</w:t>
            </w:r>
          </w:p>
        </w:tc>
      </w:tr>
      <w:tr>
        <w:trPr>
          <w:cantSplit/>
        </w:trPr>
        <w:tc>
          <w:tcPr>
            <w:tcW w:type="dxa" w:w="3312"/>
            <w:vAlign w:val="center"/>
          </w:tcPr>
          <w:p>
            <w:pPr>
              <w:pStyle w:val="Compact"/>
              <w:keepNext w:val="0"/>
              <w:keepLines/>
              <w:spacing w:before="20" w:after="20" w:line="250" w:lineRule="auto"/>
              <w:jc w:val="left"/>
            </w:pPr>
            <w:r>
              <w:rPr>
                <w:rFonts w:ascii="Liberation Sans" w:hAnsi="Liberation Sans"/>
                <w:sz w:val="18"/>
              </w:rPr>
              <w:t xml:space="preserve">Berichtete Propagationstiefe</w:t>
            </w:r>
          </w:p>
        </w:tc>
        <w:tc>
          <w:tcPr>
            <w:tcW w:type="dxa" w:w="1512"/>
            <w:vAlign w:val="center"/>
          </w:tcPr>
          <w:p>
            <w:pPr>
              <w:pStyle w:val="Compact"/>
              <w:keepNext w:val="0"/>
              <w:keepLines/>
              <w:spacing w:before="20" w:after="20" w:line="250" w:lineRule="auto"/>
              <w:jc w:val="center"/>
            </w:pPr>
            <w:r>
              <w:rPr>
                <w:rFonts w:ascii="Liberation Sans" w:hAnsi="Liberation Sans"/>
                <w:sz w:val="18"/>
              </w:rPr>
              <w:t xml:space="preserve">1</w:t>
            </w:r>
          </w:p>
        </w:tc>
        <w:tc>
          <w:tcPr>
            <w:tcW w:type="dxa" w:w="1512"/>
            <w:vAlign w:val="center"/>
          </w:tcPr>
          <w:p>
            <w:pPr>
              <w:pStyle w:val="Compact"/>
              <w:keepNext w:val="0"/>
              <w:keepLines/>
              <w:spacing w:before="20" w:after="20" w:line="250" w:lineRule="auto"/>
              <w:jc w:val="center"/>
            </w:pPr>
            <w:r>
              <w:rPr>
                <w:rFonts w:ascii="Liberation Sans" w:hAnsi="Liberation Sans"/>
                <w:sz w:val="18"/>
              </w:rPr>
              <w:t xml:space="preserve">61</w:t>
            </w:r>
          </w:p>
        </w:tc>
        <w:tc>
          <w:tcPr>
            <w:tcW w:type="dxa" w:w="3514"/>
            <w:vAlign w:val="center"/>
          </w:tcPr>
          <w:p>
            <w:pPr>
              <w:pStyle w:val="Compact"/>
              <w:keepNext w:val="0"/>
              <w:keepLines/>
              <w:spacing w:before="20" w:after="20" w:line="250" w:lineRule="auto"/>
              <w:jc w:val="left"/>
            </w:pPr>
            <w:r>
              <w:rPr>
                <w:rFonts w:ascii="Liberation Sans" w:hAnsi="Liberation Sans"/>
                <w:sz w:val="18"/>
              </w:rPr>
              <w:t xml:space="preserve">+60; Faktor 61</w:t>
            </w:r>
          </w:p>
        </w:tc>
      </w:tr>
      <w:tr>
        <w:trPr>
          <w:cantSplit/>
        </w:trPr>
        <w:tc>
          <w:tcPr>
            <w:tcW w:type="dxa" w:w="3312"/>
            <w:vAlign w:val="center"/>
          </w:tcPr>
          <w:p>
            <w:pPr>
              <w:pStyle w:val="Compact"/>
              <w:keepNext w:val="0"/>
              <w:keepLines/>
              <w:spacing w:before="20" w:after="20" w:line="250" w:lineRule="auto"/>
              <w:jc w:val="left"/>
            </w:pPr>
            <w:r>
              <w:rPr>
                <w:rFonts w:ascii="Liberation Sans" w:hAnsi="Liberation Sans"/>
                <w:sz w:val="18"/>
              </w:rPr>
              <w:t xml:space="preserve">Ticks</w:t>
            </w:r>
          </w:p>
        </w:tc>
        <w:tc>
          <w:tcPr>
            <w:tcW w:type="dxa" w:w="1512"/>
            <w:vAlign w:val="center"/>
          </w:tcPr>
          <w:p>
            <w:pPr>
              <w:pStyle w:val="Compact"/>
              <w:keepNext w:val="0"/>
              <w:keepLines/>
              <w:spacing w:before="20" w:after="20" w:line="250" w:lineRule="auto"/>
              <w:jc w:val="center"/>
            </w:pPr>
            <w:r>
              <w:rPr>
                <w:rFonts w:ascii="Liberation Sans" w:hAnsi="Liberation Sans"/>
                <w:sz w:val="18"/>
              </w:rPr>
              <w:t xml:space="preserve">256</w:t>
            </w:r>
          </w:p>
        </w:tc>
        <w:tc>
          <w:tcPr>
            <w:tcW w:type="dxa" w:w="1512"/>
            <w:vAlign w:val="center"/>
          </w:tcPr>
          <w:p>
            <w:pPr>
              <w:pStyle w:val="Compact"/>
              <w:keepNext w:val="0"/>
              <w:keepLines/>
              <w:spacing w:before="20" w:after="20" w:line="250" w:lineRule="auto"/>
              <w:jc w:val="center"/>
            </w:pPr>
            <w:r>
              <w:rPr>
                <w:rFonts w:ascii="Liberation Sans" w:hAnsi="Liberation Sans"/>
                <w:sz w:val="18"/>
              </w:rPr>
              <w:t xml:space="preserve">256</w:t>
            </w:r>
          </w:p>
        </w:tc>
        <w:tc>
          <w:tcPr>
            <w:tcW w:type="dxa" w:w="3514"/>
            <w:vAlign w:val="center"/>
          </w:tcPr>
          <w:p>
            <w:pPr>
              <w:pStyle w:val="Compact"/>
              <w:keepNext w:val="0"/>
              <w:keepLines/>
              <w:spacing w:before="20" w:after="20" w:line="250" w:lineRule="auto"/>
              <w:jc w:val="left"/>
            </w:pPr>
            <w:r>
              <w:rPr>
                <w:rFonts w:ascii="Liberation Sans" w:hAnsi="Liberation Sans"/>
                <w:sz w:val="18"/>
              </w:rPr>
              <w:t xml:space="preserve">gleiches Beobachtungsbudget</w:t>
            </w:r>
          </w:p>
        </w:tc>
      </w:tr>
    </w:tbl>
    <w:p>
      <w:pPr>
        <w:pStyle w:val="BodyText"/>
        <w:keepLines/>
        <w:spacing w:after="64" w:line="254" w:lineRule="auto"/>
        <w:jc w:val="left"/>
      </w:pPr>
      <w:r>
        <w:rPr>
          <w:sz w:val="20"/>
        </w:rPr>
        <w:t xml:space="preserve">Die Zahlen sind über die berichteten Seedlabels identisch. Das stützt die Reproduzierbarkeit des beobachteten kleinen Modellablaufs unter diesen Bedingungen. Es zeigt für sich genommen nicht, dass die Seeds in allen relevanten Anfangsgrößen unterschiedliche Realisierungen erzeugten. Identische Outcomes schliessen echte unabhängige Variation nicht aus, belegen sie aber auch nicht. Die zur Unabhängigkeitsprüfung notwendigen Anfangszustands-, Topologie-, Input- und RNG-Nachweise bleiben von den Outcome-Tabellen getrennt zu prüfen.</w:t>
      </w:r>
    </w:p>
    <w:p>
      <w:pPr>
        <w:pStyle w:val="BodyText"/>
        <w:keepLines/>
        <w:spacing w:after="64" w:line="254" w:lineRule="auto"/>
        <w:jc w:val="left"/>
      </w:pPr>
      <w:r>
        <w:rPr>
          <w:sz w:val="20"/>
        </w:rPr>
        <w:t xml:space="preserve">Die berichtete Propagationstiefe 61 darf in einem Modell mit drei aktivierten Neuronen nicht als 61 verschiedene anatomische Schichten oder 61 zusätzliche Neuronen beschrieben werden. Sie ist eine operative Kennzahl mit möglichen rekurrenten Wiederbesuchen. Für eine weitere Interpretation ist ihre konkrete Berechnung im Instrumentierungsvertrag maßgeblich.</w:t>
      </w:r>
    </w:p>
    <w:p>
      <w:pPr>
        <w:pStyle w:val="BodyText"/>
        <w:keepLines/>
        <w:spacing w:after="64" w:line="254" w:lineRule="auto"/>
        <w:jc w:val="left"/>
      </w:pPr>
      <w:r>
        <w:rPr>
          <w:sz w:val="20"/>
        </w:rPr>
        <w:t xml:space="preserve">Die gepoolten Inter-Spike-Intervalle betragen im Kontrollarm n = 40 mit Mittelwert 1 Tick; im Rekurrenzarm n = 640 mit Mittelwert 1,9375 Ticks, Median 2 und Spannweite 1 bis 4 Ticks. Diese Intervalle sind</w:t>
      </w:r>
      <w:r>
        <w:rPr>
          <w:sz w:val="20"/>
        </w:rPr>
        <w:t xml:space="preserve"> </w:t>
      </w:r>
      <w:r>
        <w:rPr>
          <w:b/>
          <w:bCs/>
          <w:sz w:val="20"/>
        </w:rPr>
        <w:t xml:space="preserve">keine 640 unabhängigen Netzwerke</w:t>
      </w:r>
      <w:r>
        <w:rPr>
          <w:sz w:val="20"/>
        </w:rPr>
        <w:t xml:space="preserve">. Ein Inferenztest, der jedes Intervall als vollständig unabhängige Replikation behandelte, würde die verschachtelte Datenstruktur ignorieren. Die primäre Versuchseinheit muss vorab festgelegt und gegebenenfalls auf der Ebene unabhängiger Initialisierungen ausgewertet werden. [R4]</w:t>
      </w:r>
    </w:p>
    <w:bookmarkEnd w:id="380"/>
    <w:bookmarkStart w:id="381" w:name="X220f3b5a6d3fa3b087ab69ece16f91c97200569"/>
    <w:p>
      <w:pPr>
        <w:pStyle w:val="Heading2"/>
        <w:spacing w:before="160"/>
      </w:pPr>
      <w:r>
        <w:t xml:space="preserve">EXP-LIFE-0001-R1: erfolgreicher Vorläuferscreen, offene Interferenzfrage</w:t>
      </w:r>
    </w:p>
    <w:p>
      <w:pPr>
        <w:pStyle w:val="FirstParagraph"/>
        <w:keepLines/>
        <w:spacing w:after="64" w:line="254" w:lineRule="auto"/>
        <w:jc w:val="left"/>
      </w:pPr>
      <w:r>
        <w:rPr>
          <w:sz w:val="20"/>
        </w:rPr>
        <w:t xml:space="preserve">Das Protokoll</w:t>
      </w:r>
      <w:r>
        <w:rPr>
          <w:sz w:val="20"/>
        </w:rPr>
        <w:t xml:space="preserve"> </w:t>
      </w:r>
      <w:r>
        <w:rPr>
          <w:rStyle w:val="VerbatimChar"/>
          <w:sz w:val="20"/>
        </w:rPr>
        <w:t xml:space="preserve">learning_interference_screen_v1</w:t>
      </w:r>
      <w:r>
        <w:rPr>
          <w:sz w:val="20"/>
        </w:rPr>
        <w:t xml:space="preserve"> </w:t>
      </w:r>
      <w:r>
        <w:rPr>
          <w:sz w:val="20"/>
        </w:rPr>
        <w:t xml:space="preserve">ist explorativ. Es verwendet 20 Seedlabels und die Condition</w:t>
      </w:r>
      <w:r>
        <w:rPr>
          <w:sz w:val="20"/>
        </w:rPr>
        <w:t xml:space="preserve"> </w:t>
      </w:r>
      <w:r>
        <w:rPr>
          <w:rStyle w:val="VerbatimChar"/>
          <w:sz w:val="20"/>
        </w:rPr>
        <w:t xml:space="preserve">sequential_three_task_screen</w:t>
      </w:r>
      <w:r>
        <w:rPr>
          <w:sz w:val="20"/>
        </w:rPr>
        <w:t xml:space="preserve">. Der Tickvertrag lautet ausdrücklich</w:t>
      </w:r>
      <w:r>
        <w:rPr>
          <w:sz w:val="20"/>
        </w:rPr>
        <w:t xml:space="preserve"> </w:t>
      </w:r>
      <w:r>
        <w:rPr>
          <w:rStyle w:val="VerbatimChar"/>
          <w:sz w:val="20"/>
        </w:rPr>
        <w:t xml:space="preserve">NOT_APPLICABLE</w:t>
      </w:r>
      <w:r>
        <w:rPr>
          <w:sz w:val="20"/>
        </w:rPr>
        <w:t xml:space="preserve">; die angeforderte Zahl 1 ist deshalb nicht als ein einziger neuronaler Simulationsschritt für einen Gedächtnistest zu interpretieren. Auch dieser Lauf ist semantisch passend, aber wegen Dirty-Tree-Provenienz blockiert. [R12]</w:t>
      </w:r>
    </w:p>
    <w:p>
      <w:pPr>
        <w:pStyle w:val="BodyText"/>
        <w:keepLines/>
        <w:spacing w:after="64" w:line="254" w:lineRule="auto"/>
        <w:jc w:val="left"/>
      </w:pPr>
      <w:r>
        <w:rPr>
          <w:sz w:val="20"/>
        </w:rPr>
        <w:t xml:space="preserve">Der Manuskriptnachtrag berichtet für alle drei Tasks in allen Läufen Erfolg und eine retained success fraction von 1,0. Zwischen den unabhängigen Task-Instanzen wird transienter neuronaler Zustand zurückgesetzt; gelernte Gewichte bleiben protokollspezifisch erhalten. Der Nachtrag begrenzt selbst die Aussage: Der Test ist kein Nachweis gegen katastrophales Vergessen in einem gemeinsam sequenziell weitertrainierten Netzwerk. [K3, empirischer Nachtrag]</w:t>
      </w:r>
    </w:p>
    <w:p>
      <w:pPr>
        <w:pStyle w:val="BodyText"/>
        <w:keepLines/>
        <w:spacing w:after="64" w:line="254" w:lineRule="auto"/>
        <w:jc w:val="left"/>
      </w:pPr>
      <w:r>
        <w:rPr>
          <w:sz w:val="20"/>
        </w:rPr>
        <w:t xml:space="preserve">Ein echter Continual-Learning-Test braucht eine explizite Leistungs-Matrix. Wird nach Training bis Task j die Leistung auf Task i gemessen, sei dies A(i,j). Dann kann ein vorab definiertes Vergessensmass beispielsweise den Rückgang gegenüber einer früheren besten Leistung quantifizieren. Entscheidend sind gemeinsamer Netzwerkträger, Reihenfolge, Lernbudget, unveränderte Evaluation und Kontrollen für Task-Aehnlichkeit. Ein Reset ist nicht grundsätzlich unzulässig; er muss jedoch dieselbe untersuchte Bedeutung von Persistenz in allen Armen bewahren. Ein als</w:t>
      </w:r>
      <w:r>
        <w:rPr>
          <w:sz w:val="20"/>
        </w:rPr>
        <w:t xml:space="preserve"> </w:t>
      </w:r>
      <w:r>
        <w:rPr>
          <w:sz w:val="20"/>
        </w:rPr>
        <w:t xml:space="preserve">“</w:t>
      </w:r>
      <w:r>
        <w:rPr>
          <w:sz w:val="20"/>
        </w:rPr>
        <w:t xml:space="preserve">lebenslang</w:t>
      </w:r>
      <w:r>
        <w:rPr>
          <w:sz w:val="20"/>
        </w:rPr>
        <w:t xml:space="preserve">”</w:t>
      </w:r>
      <w:r>
        <w:rPr>
          <w:sz w:val="20"/>
        </w:rPr>
        <w:t xml:space="preserve"> </w:t>
      </w:r>
      <w:r>
        <w:rPr>
          <w:sz w:val="20"/>
        </w:rPr>
        <w:t xml:space="preserve">bezeichneter Test darf nicht stillschweigend genau die Interferenz beseitigen, die er messen soll.</w:t>
      </w:r>
    </w:p>
    <w:bookmarkEnd w:id="381"/>
    <w:bookmarkStart w:id="382" w:name="X9083e3e221262e869a797270deba1a7ddc38303"/>
    <w:p>
      <w:pPr>
        <w:pStyle w:val="Heading2"/>
        <w:spacing w:before="160"/>
      </w:pPr>
      <w:r>
        <w:t xml:space="preserve">EXP-GEN-0033-R1: eine diagnostische Suite mit passender Gesamtfrage</w:t>
      </w:r>
    </w:p>
    <w:p>
      <w:pPr>
        <w:pStyle w:val="FirstParagraph"/>
        <w:keepLines/>
        <w:spacing w:after="64" w:line="254" w:lineRule="auto"/>
        <w:jc w:val="left"/>
      </w:pPr>
      <w:r>
        <w:rPr>
          <w:sz w:val="20"/>
        </w:rPr>
        <w:t xml:space="preserve">Die spätere Suite verwendet</w:t>
      </w:r>
      <w:r>
        <w:rPr>
          <w:sz w:val="20"/>
        </w:rPr>
        <w:t xml:space="preserve"> </w:t>
      </w:r>
      <w:r>
        <w:rPr>
          <w:rStyle w:val="VerbatimChar"/>
          <w:sz w:val="20"/>
        </w:rPr>
        <w:t xml:space="preserve">RQ-SUITE-001</w:t>
      </w:r>
      <w:r>
        <w:rPr>
          <w:sz w:val="20"/>
        </w:rPr>
        <w:t xml:space="preserve">,</w:t>
      </w:r>
      <w:r>
        <w:rPr>
          <w:sz w:val="20"/>
        </w:rPr>
        <w:t xml:space="preserve"> </w:t>
      </w:r>
      <w:r>
        <w:rPr>
          <w:rStyle w:val="VerbatimChar"/>
          <w:sz w:val="20"/>
        </w:rPr>
        <w:t xml:space="preserve">H-SUITE-001-A</w:t>
      </w:r>
      <w:r>
        <w:rPr>
          <w:sz w:val="20"/>
        </w:rPr>
        <w:t xml:space="preserve"> </w:t>
      </w:r>
      <w:r>
        <w:rPr>
          <w:sz w:val="20"/>
        </w:rPr>
        <w:t xml:space="preserve">und</w:t>
      </w:r>
      <w:r>
        <w:rPr>
          <w:sz w:val="20"/>
        </w:rPr>
        <w:t xml:space="preserve"> </w:t>
      </w:r>
      <w:r>
        <w:rPr>
          <w:rStyle w:val="VerbatimChar"/>
          <w:sz w:val="20"/>
        </w:rPr>
        <w:t xml:space="preserve">science_all_v1</w:t>
      </w:r>
      <w:r>
        <w:rPr>
          <w:sz w:val="20"/>
        </w:rPr>
        <w:t xml:space="preserve">. Der Bericht dokumentiert</w:t>
      </w:r>
      <w:r>
        <w:rPr>
          <w:sz w:val="20"/>
        </w:rPr>
        <w:t xml:space="preserve"> </w:t>
      </w:r>
      <w:r>
        <w:rPr>
          <w:b/>
          <w:bCs/>
          <w:sz w:val="20"/>
        </w:rPr>
        <w:t xml:space="preserve">57 Teilruns</w:t>
      </w:r>
      <w:r>
        <w:rPr>
          <w:sz w:val="20"/>
        </w:rPr>
        <w:t xml:space="preserve">, die Seeds 42, 43 und 44 und eine semantische Zuordnung</w:t>
      </w:r>
      <w:r>
        <w:rPr>
          <w:sz w:val="20"/>
        </w:rPr>
        <w:t xml:space="preserve"> </w:t>
      </w:r>
      <w:r>
        <w:rPr>
          <w:rStyle w:val="VerbatimChar"/>
          <w:sz w:val="20"/>
        </w:rPr>
        <w:t xml:space="preserve">DIRECT_MATCH</w:t>
      </w:r>
      <w:r>
        <w:rPr>
          <w:sz w:val="20"/>
        </w:rPr>
        <w:t xml:space="preserve">. Anders als eine pauschale Zuordnung der gesamten Suite zu einer einzelnen Stabilitätshypothese passt die Infrastrukturfrage zum heterogenen Umfang. Trotzdem bleibt die Freigabe wegen Dirty-Tree-Provenienz blockiert. Der Run-Commit lautet</w:t>
      </w:r>
      <w:r>
        <w:rPr>
          <w:sz w:val="20"/>
        </w:rPr>
        <w:t xml:space="preserve"> </w:t>
      </w:r>
      <w:r>
        <w:rPr>
          <w:rStyle w:val="VerbatimChar"/>
          <w:sz w:val="20"/>
        </w:rPr>
        <w:t xml:space="preserve">0c64eb428430fcf0627715989857c875d674a74c</w:t>
      </w:r>
      <w:r>
        <w:rPr>
          <w:sz w:val="20"/>
        </w:rPr>
        <w:t xml:space="preserve">. [R5]</w:t>
      </w:r>
    </w:p>
    <w:p>
      <w:pPr>
        <w:pStyle w:val="BodyText"/>
        <w:keepLines/>
        <w:spacing w:after="64" w:line="254" w:lineRule="auto"/>
        <w:jc w:val="left"/>
      </w:pPr>
      <w:r>
        <w:rPr>
          <w:sz w:val="20"/>
        </w:rPr>
        <w:t xml:space="preserve">Die Suite enthält PING, zeitliche Zustände, STDP, Learning, Regulation, Dimensionsvergleiche und eine Zeit-Leiter. Das 100.000-Tick-Fenster gilt für die ausgewiesenen tickgebundenen SNN-Arme; die Timingbedingungen umfassen 100, 1.000, 10.000 und 100.000, während trialbasierte Verfahren nicht ohne Weiteres in diese Tickspanne eingehen. Deshalb ist</w:t>
      </w:r>
      <w:r>
        <w:rPr>
          <w:sz w:val="20"/>
        </w:rPr>
        <w:t xml:space="preserve"> </w:t>
      </w:r>
      <w:r>
        <w:rPr>
          <w:sz w:val="20"/>
        </w:rPr>
        <w:t xml:space="preserve">“</w:t>
      </w:r>
      <w:r>
        <w:rPr>
          <w:sz w:val="20"/>
        </w:rPr>
        <w:t xml:space="preserve">57 Läufe mit jeweils 100.000 Ticks</w:t>
      </w:r>
      <w:r>
        <w:rPr>
          <w:sz w:val="20"/>
        </w:rPr>
        <w:t xml:space="preserve">”</w:t>
      </w:r>
      <w:r>
        <w:rPr>
          <w:sz w:val="20"/>
        </w:rPr>
        <w:t xml:space="preserve"> </w:t>
      </w:r>
      <w:r>
        <w:rPr>
          <w:sz w:val="20"/>
        </w:rPr>
        <w:t xml:space="preserve">keine korrekte Gesamtzusammenfassung.</w:t>
      </w:r>
    </w:p>
    <w:p>
      <w:pPr>
        <w:pStyle w:val="BodyText"/>
        <w:keepLines/>
        <w:spacing w:after="64" w:line="254" w:lineRule="auto"/>
        <w:jc w:val="left"/>
      </w:pPr>
      <w:r>
        <w:rPr>
          <w:sz w:val="20"/>
        </w:rPr>
        <w:t xml:space="preserve">Die Suite ist ein wertvoller Test der gemeinsamen Ausführbarkeit und Berichtsstruktur. Sie ist jedoch nicht 57-fache Evidenz für jede der enthaltenen Forschungsfragen. Für eine hypothesenspezifische Auswertung müssen die jeweils passenden Teilbedingungen, Kontrollgruppen und experimentellen Einheiten aus dem gemeinsamen Herkunftskontext isoliert werden.</w:t>
      </w:r>
    </w:p>
    <w:bookmarkEnd w:id="382"/>
    <w:bookmarkStart w:id="383" w:name="X5fccc3fd84ebf2137a3337725c10f33b651dd76"/>
    <w:p>
      <w:pPr>
        <w:pStyle w:val="Heading2"/>
        <w:spacing w:before="160"/>
      </w:pPr>
      <w:r>
        <w:t xml:space="preserve">Gemeinsames Ergebnis ohne künstliche Hochstufung</w:t>
      </w:r>
    </w:p>
    <w:p>
      <w:pPr>
        <w:pStyle w:val="FirstParagraph"/>
        <w:keepLines/>
        <w:spacing w:after="64" w:line="254" w:lineRule="auto"/>
        <w:jc w:val="left"/>
      </w:pPr>
      <w:r>
        <w:rPr>
          <w:sz w:val="20"/>
        </w:rPr>
        <w:t xml:space="preserve">Die vier Ergebnislinien zeigen unterschiedliche Fortschritte: aktiven Langzeitbetrieb eines begrenzten Runners, rekurrente Veränderung der Impulsantwort, positiven Erfolg eines Vorläuferscreens und gemeinsame diagnostische Ausführung. Gemeinsam sind ihnen offene Freigabe- und Provenienzfragen. Keine der vier Linien beantwortet allein, ob Brain-5D generalisierbares Gedächtnis, eigenes Weltverstehen, Bewusstsein oder eine besondere Überlegenheit fünfdimensionaler Organisation besitzt. Diese Begrenzung nimmt den Daten nicht ihren Wert. Sie bestimmt vielmehr, welche nächsten Experimente durch sie begründet werden.</w:t>
      </w:r>
    </w:p>
    <w:bookmarkEnd w:id="383"/>
    <w:bookmarkEnd w:id="384"/>
    <w:bookmarkStart w:id="388" w:name="X096680ae7ce3f398b8a1b96cd6204fdfaada125"/>
    <w:p>
      <w:bookmarkStart w:id="10028" w:name="B5D_H028"/>
      <w:pPr>
        <w:pStyle w:val="Heading1"/>
      </w:pPr>
      <w:r>
        <w:t xml:space="preserve">25. Ergebnisattribution und Verbindung der Hypothesen</w:t>
      </w:r>
      <w:bookmarkEnd w:id="10028"/>
    </w:p>
    <w:bookmarkStart w:id="385" w:name="X5087de3ee34a72e64ff3997731f9b167c3f11f4"/>
    <w:p>
      <w:pPr>
        <w:pStyle w:val="Heading2"/>
      </w:pPr>
      <w:r>
        <w:t xml:space="preserve">Eine gemeinsame Zuordnung von Forschungsfragen und Resultaten</w:t>
      </w:r>
    </w:p>
    <w:p>
      <w:pPr>
        <w:pStyle w:val="FirstParagraph"/>
        <w:keepLines/>
        <w:spacing w:after="120"/>
        <w:jc w:val="left"/>
      </w:pPr>
      <w:r>
        <w:rPr>
          <w:sz w:val="20"/>
        </w:rPr>
        <w:t xml:space="preserve">Die allgemeinen Fragen F1 bis F24, die Framework-Fragen RQ1 bis RQ10 und die kanonischen Repository-IDs bezeichnen verschiedene Granularitäten. Sie werden durch Querverweise verbunden, nicht durch Umnummerierung historischer Artefakte. F18 zur geschlossenen Sensor-Aktor-Kopplung ist beispielsweise breiter als ein einzelner</w:t>
      </w:r>
      <w:r>
        <w:rPr>
          <w:sz w:val="20"/>
        </w:rPr>
        <w:t xml:space="preserve"> </w:t>
      </w:r>
      <w:r>
        <w:rPr>
          <w:rStyle w:val="VerbatimChar"/>
          <w:sz w:val="20"/>
        </w:rPr>
        <w:t xml:space="preserve">RQ-EMB-001</w:t>
      </w:r>
      <w:r>
        <w:rPr>
          <w:sz w:val="20"/>
        </w:rPr>
        <w:t xml:space="preserve">-Versuch; RQ5 zum Gedächtnis ist nicht mit</w:t>
      </w:r>
      <w:r>
        <w:rPr>
          <w:sz w:val="20"/>
        </w:rPr>
        <w:t xml:space="preserve"> </w:t>
      </w:r>
      <w:r>
        <w:rPr>
          <w:rStyle w:val="VerbatimChar"/>
          <w:sz w:val="20"/>
        </w:rPr>
        <w:t xml:space="preserve">RQ-STORAGE-001</w:t>
      </w:r>
      <w:r>
        <w:rPr>
          <w:sz w:val="20"/>
        </w:rPr>
        <w:t xml:space="preserve"> </w:t>
      </w:r>
      <w:r>
        <w:rPr>
          <w:sz w:val="20"/>
        </w:rPr>
        <w:t xml:space="preserve">zur Serialisierung identisch. Die maschinenlesbare Zuordnung im Begleitpaket bewahrt die Original-IDs.</w:t>
      </w:r>
    </w:p>
    <w:p>
      <w:pPr>
        <w:pStyle w:val="BodyText"/>
        <w:keepLines/>
        <w:spacing w:after="120"/>
        <w:jc w:val="left"/>
      </w:pPr>
      <w:r>
        <w:rPr>
          <w:sz w:val="20"/>
        </w:rPr>
        <w:t xml:space="preserve">Die Antworttypen sind ebenfalls verschieden.</w:t>
      </w:r>
      <w:r>
        <w:rPr>
          <w:sz w:val="20"/>
        </w:rPr>
        <w:t xml:space="preserve"> </w:t>
      </w:r>
      <w:r>
        <w:rPr>
          <w:b/>
          <w:bCs/>
          <w:sz w:val="20"/>
        </w:rPr>
        <w:t xml:space="preserve">Vorläufig technisch gestützt</w:t>
      </w:r>
      <w:r>
        <w:rPr>
          <w:sz w:val="20"/>
        </w:rPr>
        <w:t xml:space="preserve"> </w:t>
      </w:r>
      <w:r>
        <w:rPr>
          <w:sz w:val="20"/>
        </w:rPr>
        <w:t xml:space="preserve">sind die in gelesenen EVID-/DATA-Dateien dokumentierten Restore- und Roundtrip-Funktionen.</w:t>
      </w:r>
      <w:r>
        <w:rPr>
          <w:sz w:val="20"/>
        </w:rPr>
        <w:t xml:space="preserve"> </w:t>
      </w:r>
      <w:r>
        <w:rPr>
          <w:b/>
          <w:bCs/>
          <w:sz w:val="20"/>
        </w:rPr>
        <w:t xml:space="preserve">Deskriptiv beobachtet, Freigabe blockiert</w:t>
      </w:r>
      <w:r>
        <w:rPr>
          <w:sz w:val="20"/>
        </w:rPr>
        <w:t xml:space="preserve"> </w:t>
      </w:r>
      <w:r>
        <w:rPr>
          <w:sz w:val="20"/>
        </w:rPr>
        <w:t xml:space="preserve">sind die hier untersuchten jüngeren Simulationsläufe.</w:t>
      </w:r>
      <w:r>
        <w:rPr>
          <w:sz w:val="20"/>
        </w:rPr>
        <w:t xml:space="preserve"> </w:t>
      </w:r>
      <w:r>
        <w:rPr>
          <w:b/>
          <w:bCs/>
          <w:sz w:val="20"/>
        </w:rPr>
        <w:t xml:space="preserve">Nur sekundär berichtet</w:t>
      </w:r>
      <w:r>
        <w:rPr>
          <w:sz w:val="20"/>
        </w:rPr>
        <w:t xml:space="preserve"> </w:t>
      </w:r>
      <w:r>
        <w:rPr>
          <w:sz w:val="20"/>
        </w:rPr>
        <w:t xml:space="preserve">sind Detailkennzahlen, die aus einem Manuskriptnachtrag oder einer KI-gekennzeichneten Nachanalyse stammen und nicht anhand ihrer Rohereignisse neu berechnet wurden.</w:t>
      </w:r>
      <w:r>
        <w:rPr>
          <w:sz w:val="20"/>
        </w:rPr>
        <w:t xml:space="preserve"> </w:t>
      </w:r>
      <w:r>
        <w:rPr>
          <w:b/>
          <w:bCs/>
          <w:sz w:val="20"/>
        </w:rPr>
        <w:t xml:space="preserve">Theoretisch begründet oder umstritten</w:t>
      </w:r>
      <w:r>
        <w:rPr>
          <w:sz w:val="20"/>
        </w:rPr>
        <w:t xml:space="preserve"> </w:t>
      </w:r>
      <w:r>
        <w:rPr>
          <w:sz w:val="20"/>
        </w:rPr>
        <w:t xml:space="preserve">sind philosophische Thesen.</w:t>
      </w:r>
      <w:r>
        <w:rPr>
          <w:sz w:val="20"/>
        </w:rPr>
        <w:t xml:space="preserve"> </w:t>
      </w:r>
      <w:r>
        <w:rPr>
          <w:b/>
          <w:bCs/>
          <w:sz w:val="20"/>
        </w:rPr>
        <w:t xml:space="preserve">Offen</w:t>
      </w:r>
      <w:r>
        <w:rPr>
          <w:sz w:val="20"/>
        </w:rPr>
        <w:t xml:space="preserve"> </w:t>
      </w:r>
      <w:r>
        <w:rPr>
          <w:sz w:val="20"/>
        </w:rPr>
        <w:t xml:space="preserve">bleiben Fragen ohne passenden Nachweis.</w:t>
      </w:r>
    </w:p>
    <w:bookmarkEnd w:id="385"/>
    <w:bookmarkStart w:id="386" w:name="X1dbcdf29225af16c75efa5cfd0196de52cf7fa8"/>
    <w:p>
      <w:pPr>
        <w:pStyle w:val="Heading2"/>
      </w:pPr>
      <w:r>
        <w:t xml:space="preserve">Keine Übertragung von Ursache über Systemgrenzen</w:t>
      </w:r>
    </w:p>
    <w:p>
      <w:pPr>
        <w:pStyle w:val="FirstParagraph"/>
        <w:keepLines/>
        <w:spacing w:after="120"/>
        <w:jc w:val="left"/>
      </w:pPr>
      <w:r>
        <w:rPr>
          <w:sz w:val="20"/>
        </w:rPr>
        <w:t xml:space="preserve">Der zentrale Attributionsfehler bestünde darin, eine Leistung des gesamten Mensch-KI-Software-Verbunds seinem SNN-Kern zuzuschreiben. Eine erfolgreiche Antwort kann aus dem Sprachmodell stammen, eine korrekte Faktennennung aus Retrieval, eine vermeintliche Assoziation aus dem Encoder und eine stabile Regel aus einer handgeschriebenen Policy. Der Forschungswert des Gesamtsystems bleibt davon unberührt. Für Aussagen über intern getragenes neuronales Lernen müssen diese Alternativerklärungen aber experimentell adressiert werden.</w:t>
      </w:r>
    </w:p>
    <w:p>
      <w:pPr>
        <w:pStyle w:val="BodyText"/>
        <w:keepLines/>
        <w:spacing w:after="120"/>
        <w:jc w:val="left"/>
      </w:pPr>
      <w:r>
        <w:rPr>
          <w:sz w:val="20"/>
        </w:rPr>
        <w:t xml:space="preserve">Eine geeignete Analyse ordnet jede Leistung dem kleinsten nachgewiesenen Träger zu. Danach prüft sie, ob zusätzliche Komponenten einen spezifischen Beitrag leisten. Die Ablation eines Sprachmodells darf beispielsweise nicht gleichzeitig das Sensorformat oder das Inputbudget ändern. Ein Decodervergleich muss Trainingsdaten, Kapazität und Leckage kontrollieren. Andernfalls misst der Versuch mehrere veränderte Bedingungen und kann den Beitrag des neuronalen Kerns nicht identifizieren.</w:t>
      </w:r>
    </w:p>
    <w:bookmarkEnd w:id="386"/>
    <w:bookmarkStart w:id="387" w:name="brücke-zu-h1-bis-h12"/>
    <w:p>
      <w:pPr>
        <w:pStyle w:val="Heading2"/>
      </w:pPr>
      <w:r>
        <w:t xml:space="preserve">Brücke zu H1 bis H12</w:t>
      </w:r>
    </w:p>
    <w:p>
      <w:pPr>
        <w:pStyle w:val="FirstParagraph"/>
        <w:keepLines/>
        <w:spacing w:after="120"/>
        <w:jc w:val="left"/>
      </w:pPr>
      <w:r>
        <w:rPr>
          <w:sz w:val="20"/>
        </w:rPr>
        <w:t xml:space="preserve">Die Manuskript-Hypothesen H1 bis H3 über LLM-Entwurfsprofile und Mehrmodellkonsens werden durch die hier geprüften Restore-, Speicher- und Rekurrenzdaten nicht getestet. H4 zur Verlagerung menschlicher Entwurfskausalität und H12 zur Meta-Governance erhalten durch die dokumentierte Prozessarchitektur Anschauungsmaterial, aber keine statistische Bestätigung. H5 zur Erosion effektiver Kontrolle wird durch die gefundenen Berichts- und Gate-Konflikte motiviert; ein Einzelfall belegt jedoch weder die Häufigkeit noch einen universalen Mechanismus.</w:t>
      </w:r>
    </w:p>
    <w:p>
      <w:pPr>
        <w:pStyle w:val="BodyText"/>
        <w:keepLines/>
        <w:spacing w:after="120"/>
        <w:jc w:val="left"/>
      </w:pPr>
      <w:r>
        <w:rPr>
          <w:sz w:val="20"/>
        </w:rPr>
        <w:t xml:space="preserve">H6 zur Verantwortung ist eine normative Zurechnungsthese. H7 trennt Selbstorganisation von Selbstbestimmung und bleibt eine begriffliche Nicht-Hinreichendkeitsaussage. H8 zur Wirkung anthropomorpher Sprache auf menschliche Zuschreibungen wäre für einen direkten empirischen Test auf geeignete Human-Subjects-Forschung angewiesen; die vorliegende Artefaktanalyse führt eine solche Studie nicht durch. H9 bis H11 zu Embodiment, Präferenzen und Handlungsmacht sind als technische Teilfragen operationalisierbar, verlangen aber eigene Closed-Loop-, Ressourcen- und Aktorikkontrollen. Die späteren Vorschläge dieser Abhandlung schliessen hier an, ohne Rückwirkungsbehauptungen über bereits vorhandene Daten.</w:t>
      </w:r>
    </w:p>
    <w:bookmarkEnd w:id="387"/>
    <w:bookmarkEnd w:id="388"/>
    <w:bookmarkStart w:id="394" w:name="X560aefc15f8b12f6348f23df95d6c1c2d437d54"/>
    <w:p>
      <w:bookmarkStart w:id="10029" w:name="B5D_H029"/>
      <w:pPr>
        <w:pStyle w:val="Heading1"/>
      </w:pPr>
      <w:r>
        <w:t xml:space="preserve">26. Nichtmenschliches Embodiment und ein erweiterbarer Körper</w:t>
      </w:r>
      <w:bookmarkEnd w:id="10029"/>
    </w:p>
    <w:bookmarkStart w:id="389" w:name="Xae018eb894a03df9347a1b2454f4970c31a6e84"/>
    <w:p>
      <w:pPr>
        <w:pStyle w:val="Heading2"/>
      </w:pPr>
      <w:r>
        <w:t xml:space="preserve">Der Computer als Umwelt und als materieller Träger</w:t>
      </w:r>
    </w:p>
    <w:p>
      <w:pPr>
        <w:pStyle w:val="FirstParagraph"/>
        <w:keepLines/>
        <w:spacing w:after="120"/>
        <w:jc w:val="left"/>
      </w:pPr>
      <w:r>
        <w:rPr>
          <w:sz w:val="20"/>
        </w:rPr>
        <w:t xml:space="preserve">Ein nichtorganisches System braucht nicht die menschliche Körperform zu kopieren, damit ein sinnvoller Embodiment-Begriff entsteht. Im hier vorgeschlagenen Modell bilden Rechenhardware, Betriebssystem, Prozesszustand, Speicher, Netzwerkverbindungen, Sensoren und autorisierte Aktoren einen funktionalen Körper-Umwelt-Zusammenhang. Die Grenze dieses</w:t>
      </w:r>
      <w:r>
        <w:rPr>
          <w:sz w:val="20"/>
        </w:rPr>
        <w:t xml:space="preserve"> </w:t>
      </w:r>
      <w:r>
        <w:rPr>
          <w:sz w:val="20"/>
        </w:rPr>
        <w:t xml:space="preserve">“</w:t>
      </w:r>
      <w:r>
        <w:rPr>
          <w:sz w:val="20"/>
        </w:rPr>
        <w:t xml:space="preserve">Körpers</w:t>
      </w:r>
      <w:r>
        <w:rPr>
          <w:sz w:val="20"/>
        </w:rPr>
        <w:t xml:space="preserve">”</w:t>
      </w:r>
      <w:r>
        <w:rPr>
          <w:sz w:val="20"/>
        </w:rPr>
        <w:t xml:space="preserve"> </w:t>
      </w:r>
      <w:r>
        <w:rPr>
          <w:sz w:val="20"/>
        </w:rPr>
        <w:t xml:space="preserve">ist nicht mit dem Gehäuse des Rechners identisch. Sie wird durch Kausalwirkung, Rückmeldung, Verfügbarkeit, Rechte und technische Verantwortlichkeit bestimmt. Diese Passage erweitert die Embodiment-Taxonomie des Korpus als</w:t>
      </w:r>
      <w:r>
        <w:rPr>
          <w:sz w:val="20"/>
        </w:rPr>
        <w:t xml:space="preserve"> </w:t>
      </w:r>
      <w:r>
        <w:rPr>
          <w:b/>
          <w:bCs/>
          <w:sz w:val="20"/>
        </w:rPr>
        <w:t xml:space="preserve">Architekturvorschlag</w:t>
      </w:r>
      <w:r>
        <w:rPr>
          <w:sz w:val="20"/>
        </w:rPr>
        <w:t xml:space="preserve">, nicht als Nachweis einer bereits entstandenen Lebensform.</w:t>
      </w:r>
    </w:p>
    <w:p>
      <w:pPr>
        <w:pStyle w:val="BodyText"/>
        <w:keepLines/>
        <w:spacing w:after="120"/>
        <w:jc w:val="left"/>
      </w:pPr>
      <w:r>
        <w:rPr>
          <w:sz w:val="20"/>
        </w:rPr>
        <w:t xml:space="preserve">Ein Mikrofon kann externe Ereignisse vermitteln; CPU-Temperatur und Speicherdruck können interne Betriebsbedingungen anzeigen; ein Druckdienst oder Roboterarm kann eine entfernte Handlungsschnittstelle bilden. Ein solches Element ist nur dann Bestandteil einer geschlossenen Lernschleife, wenn seine Aktionen die späteren Beobachtungen kausal beeinflussen und diese Rückmeldungen im System verwertet werden. Eine API, die erreichbar ist, beweist keine gelernte Werkzeugkompetenz. Ein Wetterwert ist eine Umweltinformation; er wird erst durch eine entsprechende Aufgaben- oder Gefährdungsbeziehung zu einer handlungsrelevanten Größe.</w:t>
      </w:r>
    </w:p>
    <w:bookmarkEnd w:id="389"/>
    <w:bookmarkStart w:id="390" w:name="ausfall-belastung-und-sogenannte-gefühle"/>
    <w:p>
      <w:pPr>
        <w:pStyle w:val="Heading2"/>
      </w:pPr>
      <w:r>
        <w:t xml:space="preserve">Ausfall, Belastung und sogenannte Gefühle</w:t>
      </w:r>
    </w:p>
    <w:p>
      <w:pPr>
        <w:pStyle w:val="FirstParagraph"/>
        <w:keepLines/>
        <w:spacing w:after="120"/>
        <w:jc w:val="left"/>
      </w:pPr>
      <w:r>
        <w:rPr>
          <w:sz w:val="20"/>
        </w:rPr>
        <w:t xml:space="preserve">Bezeichnungen wie Angst vor Sensorverlust oder Freude an Aufgabenerfolg können als Bedienmetaphern dienen. Wissenschaftlich müssen dahinter jedoch definierte Variablen stehen. Ein Sensorverlust kann Verfügbarkeit, Unsicherheit und verbleibende Handlungskapazität verändern. Ein Lüfterausfall kann je nach Hardware eine thermische Gefährdung anzeigen. Die technische Reaktion ist durch Telemetrie und Sicherheitspolicies zu begründen. Eine solche Funktion beweist weder empfundenen Schmerz noch phänomenale Angst.</w:t>
      </w:r>
    </w:p>
    <w:p>
      <w:pPr>
        <w:pStyle w:val="BodyText"/>
        <w:keepLines/>
        <w:spacing w:after="120"/>
        <w:jc w:val="left"/>
      </w:pPr>
      <w:r>
        <w:rPr>
          <w:sz w:val="20"/>
        </w:rPr>
        <w:t xml:space="preserve">Insbesondere ist hohe CPU- oder Speicherauslastung nicht an sich ein positives Ziel. Sie kann produktive Arbeit, ineffiziente Berechnung, blockierende Prozesse oder thermischen Druck bedeuten. Ein unbedachter Reward für Auslastung könnte gerade die falsche Optimierungsrichtung vorgeben. Als eigene Designfolgerung wird deshalb eine Trennung vorgeschlagen: Aufgabenerfolg misst zweckbezogenen Nutzen; Ressourcengesundheit misst den Abstand zu sicheren Betriebsgrenzen; Unsicherheit misst die Zuverlässigkeit der Beobachtung. Keine der drei Größen darf stillschweigend die anderen ersetzen.</w:t>
      </w:r>
    </w:p>
    <w:p>
      <w:pPr>
        <w:pStyle w:val="BodyText"/>
        <w:keepLines/>
        <w:spacing w:after="120"/>
        <w:jc w:val="left"/>
      </w:pPr>
      <w:r>
        <w:rPr>
          <w:sz w:val="20"/>
        </w:rPr>
        <w:t xml:space="preserve">Ein ausgefallener Temperatursensor liefert keinen Messwert von null Grad. Der unbekannte Zustand muss als unbekannt erhalten bleiben. Die Aktion kann trotzdem konservativ ausfallen, etwa durch begrenzte Last oder eine externe Sicherheitsabschaltung. Dabei ist zwischen lernender Anpassung und nicht verhandelbarer Schutzfunktion zu unterscheiden. Das neuronale System darf eine sicherheitskritische Regel nicht dadurch ausser Kraft setzen, dass ihr Verzicht kurzfristig eine bessere Task-Metrik liefert.</w:t>
      </w:r>
    </w:p>
    <w:bookmarkEnd w:id="390"/>
    <w:bookmarkStart w:id="391" w:name="X1f207ce0f29d97a6bd99a810f64ca85a8dd0e3c"/>
    <w:p>
      <w:pPr>
        <w:pStyle w:val="Heading2"/>
      </w:pPr>
      <w:r>
        <w:t xml:space="preserve">Erweiterbarer Körper statt fester Organliste</w:t>
      </w:r>
    </w:p>
    <w:p>
      <w:pPr>
        <w:pStyle w:val="FirstParagraph"/>
        <w:keepLines/>
        <w:spacing w:after="120"/>
        <w:jc w:val="left"/>
      </w:pPr>
      <w:r>
        <w:rPr>
          <w:sz w:val="20"/>
        </w:rPr>
        <w:t xml:space="preserve">Neue Peripherie wird als versionierte Fähigkeit beschrieben: Identität, Inputs, Outputs, Latenz, Messunsicherheit, Kosten, Rechte, Sicherheitsklasse und Rückmeldevertrag. Ein Roboterarm besitzt andere Folgen als ein virtueller Cursor. Ein Druckdienst erzeugt möglicherweise irreversible materielle Outputs. Eine entfernte Speicherinstanz verändert die Persistenz- und Datenschutzgrenzen. Deshalb braucht die Eingliederung neuer Komponenten ein Capability-Manifest und eine explizite Freigabe, nicht lediglich einen neuen visuellen Anhang im Avatar.</w:t>
      </w:r>
    </w:p>
    <w:p>
      <w:pPr>
        <w:pStyle w:val="BodyText"/>
        <w:keepLines/>
        <w:spacing w:after="120"/>
        <w:jc w:val="left"/>
      </w:pPr>
      <w:r>
        <w:rPr>
          <w:sz w:val="20"/>
        </w:rPr>
        <w:t xml:space="preserve">Der Begriff</w:t>
      </w:r>
      <w:r>
        <w:rPr>
          <w:sz w:val="20"/>
        </w:rPr>
        <w:t xml:space="preserve"> </w:t>
      </w:r>
      <w:r>
        <w:rPr>
          <w:sz w:val="20"/>
        </w:rPr>
        <w:t xml:space="preserve">“</w:t>
      </w:r>
      <w:r>
        <w:rPr>
          <w:sz w:val="20"/>
        </w:rPr>
        <w:t xml:space="preserve">Wesen</w:t>
      </w:r>
      <w:r>
        <w:rPr>
          <w:sz w:val="20"/>
        </w:rPr>
        <w:t xml:space="preserve">”</w:t>
      </w:r>
      <w:r>
        <w:rPr>
          <w:sz w:val="20"/>
        </w:rPr>
        <w:t xml:space="preserve"> </w:t>
      </w:r>
      <w:r>
        <w:rPr>
          <w:sz w:val="20"/>
        </w:rPr>
        <w:t xml:space="preserve">kann die zusammenhängende Darstellung des Systems bezeichnen. Er darf die Messung aber nicht vorstrukturieren, indem jede sichtbare Bewegung automatisch als Absicht oder jedes rote Element als Leiden interpretiert wird. Eine wissenschaftliche Visualisierung zeigt reale Größen mit Einheiten, Zeitfenstern und Unsicherheit. Gestalterische Skalierung ist möglich, muss jedoch rückverfolgbar sein. Ein doppelt so grosses Symbol behauptet ohne entsprechende Legende keine doppelte Aktivität.</w:t>
      </w:r>
    </w:p>
    <w:bookmarkEnd w:id="391"/>
    <w:bookmarkStart w:id="392" w:name="selbstmodell-als-testbare-funktion"/>
    <w:p>
      <w:pPr>
        <w:pStyle w:val="Heading2"/>
      </w:pPr>
      <w:r>
        <w:t xml:space="preserve">Selbstmodell als testbare Funktion</w:t>
      </w:r>
    </w:p>
    <w:p>
      <w:pPr>
        <w:pStyle w:val="FirstParagraph"/>
        <w:keepLines/>
        <w:spacing w:after="120"/>
        <w:jc w:val="left"/>
      </w:pPr>
      <w:r>
        <w:rPr>
          <w:sz w:val="20"/>
        </w:rPr>
        <w:t xml:space="preserve">Ein technisches Selbstmodell soll Vorhersagen über eigene Handlungskapazität und Fehlerwahrscheinlichkeit verbessern. Prüfbar wäre etwa, ob ein System nach Verlust eines Eingabekanals seine Erfolgswahrscheinlichkeit angemessen senkt, alternative Beobachtungen nutzt und unmögliche Aktionen unterlässt. Das reine Vorhandensein einer Liste eigener Module reicht nicht aus. Erforderlich ist eine spezifische Verbesserung gegenüber einer Kontrollbedingung ohne nutzbare Selbstzustandsinformation.</w:t>
      </w:r>
    </w:p>
    <w:p>
      <w:pPr>
        <w:pStyle w:val="BodyText"/>
        <w:keepLines/>
        <w:spacing w:after="120"/>
        <w:jc w:val="left"/>
      </w:pPr>
      <w:r>
        <w:rPr>
          <w:sz w:val="20"/>
        </w:rPr>
        <w:t xml:space="preserve">Ein entsprechender Test muss zugleich ausschliessen, dass die Policy alle Ausfallreaktionen bereits handschriftlich vorgibt. Vorprogrammierte Sicherheitsreaktionen sind sinnvoll, sollten aber als solche ausgewiesen werden. Gelernte Kompensation, deterministische Schutzfunktion und sprachliche Selbsterklärung bilden drei unterschiedliche Ergebnisse. Ihre Vermischung würde sowohl die wissenschaftliche Bewertung als auch die praktische Sicherheit verschlechtern.</w:t>
      </w:r>
    </w:p>
    <w:bookmarkEnd w:id="392"/>
    <w:bookmarkStart w:id="393" w:name="embodiment-integration-in-brain-5d"/>
    <w:p>
      <w:pPr>
        <w:pStyle w:val="Heading2"/>
      </w:pPr>
      <w:r>
        <w:t xml:space="preserve">Embodiment-Integration in Brain-5D</w:t>
      </w:r>
    </w:p>
    <w:p>
      <w:pPr>
        <w:pStyle w:val="FirstParagraph"/>
        <w:keepLines/>
        <w:spacing w:after="120"/>
        <w:jc w:val="left"/>
      </w:pPr>
      <w:r>
        <w:rPr>
          <w:sz w:val="20"/>
        </w:rPr>
        <w:t xml:space="preserve">Embodiment wird im Brain-5D-Kontext stufenweise und reversibel untersucht. Ein physischer Roboter ist nicht die erste notwendige Stufe. Zunächst kann ein virtueller Körper in einer deterministisch reproduzierbaren Umgebung eingesetzt werden. Sensoren liefern zeitlich strukturierte Reize; Aktoren verändern die Umgebung; ein Energie- und Integritätsmodell erzeugt interozeptive Zustände; das SNN erhält keine direkte symbolische Lösung, sondern muss Zusammenhänge aus wiederholter Kopplung lernen.</w:t>
      </w:r>
    </w:p>
    <w:p>
      <w:pPr>
        <w:pStyle w:val="BodyText"/>
        <w:keepLines/>
        <w:spacing w:after="120"/>
        <w:jc w:val="left"/>
      </w:pPr>
      <w:r>
        <w:rPr>
          <w:sz w:val="20"/>
        </w:rPr>
        <w:t xml:space="preserve">Die Sprachmodell-Komponente darf keine Rohspikes frei interpretieren und keine direkten Schreibrechte auf SNN-Gewichte, Struktur oder Sicherheitsgrenzen besitzen. Zwischen SNN und Sprache liegt ein deterministischer Signal-Interpretationslayer. Er übersetzt Aktivitätsmuster in dokumentierte Merkmale, ohne ihnen vorab Bedeutung zuzuschreiben. Ebenso werden Sprach- oder Wissenseingaben über ein kontrolliertes Stimulusformat in Sensorereignisse übersetzt. So bleibt prüfbar, ob eine Bedeutung im SNN entsteht oder vom LLM nur sprachlich hineininterpretiert wird.</w:t>
      </w:r>
    </w:p>
    <w:p>
      <w:pPr>
        <w:pStyle w:val="Caption"/>
        <w:keepNext/>
        <w:keepLines/>
        <w:spacing w:before="180" w:after="120"/>
        <w:jc w:val="left"/>
      </w:pPr>
      <w:r>
        <w:rPr>
          <w:sz w:val="20"/>
        </w:rPr>
        <w:t>Tabelle 28. Stufen des nichtmenschlichen Embodiments</w:t>
      </w:r>
    </w:p>
    <w:tbl>
      <w:tblPr>
        <w:tblStyle w:val="Table"/>
        <w:tblW w:type="pct" w:w="4916"/>
        <w:jc w:val="center"/>
        <w:tblLayout w:type="fixed"/>
        <w:tblLook w:firstRow="1" w:lastRow="0" w:firstColumn="0" w:lastColumn="0" w:noHBand="0" w:noVBand="0" w:val="0020"/>
        <w:tblInd w:w="0" w:type="dxa"/>
        <w:tblCellMar>
          <w:top w:w="70" w:type="dxa"/>
          <w:bottom w:w="70" w:type="dxa"/>
          <w:left w:w="85" w:type="dxa"/>
          <w:right w:w="85" w:type="dxa"/>
        </w:tblCellMar>
        <w:tblBorders>
          <w:top w:val="single" w:sz="4" w:color="CCD4D9"/>
          <w:bottom w:val="single" w:sz="4" w:color="CCD4D9"/>
          <w:insideH w:val="single" w:sz="4" w:color="CCD4D9"/>
          <w:left w:val="nil"/>
          <w:right w:val="nil"/>
          <w:insideV w:val="nil"/>
        </w:tblBorders>
      </w:tblPr>
      <w:tblGrid>
        <w:gridCol w:w="1008"/>
        <w:gridCol w:w="3024"/>
        <w:gridCol w:w="5818"/>
      </w:tblGrid>
      <w:tr>
        <w:trPr>
          <w:tblHeader w:val="on"/>
          <w:cantSplit/>
          <w:tblHeader/>
        </w:trPr>
        <w:tc>
          <w:tcPr>
            <w:tcW w:type="dxa" w:w="1008"/>
            <w:vAlign w:val="center"/>
            <w:shd w:fill="E9EFF3"/>
          </w:tcPr>
          <w:p>
            <w:pPr>
              <w:pStyle w:val="Compact"/>
              <w:keepNext w:val="0"/>
              <w:keepLines/>
              <w:spacing w:before="20" w:after="20" w:line="250" w:lineRule="auto"/>
              <w:jc w:val="center"/>
            </w:pPr>
            <w:r>
              <w:rPr>
                <w:rFonts w:ascii="Liberation Sans" w:hAnsi="Liberation Sans"/>
                <w:b/>
                <w:bCs/>
                <w:sz w:val="19"/>
              </w:rPr>
              <w:t xml:space="preserve">Stufe</w:t>
            </w:r>
          </w:p>
        </w:tc>
        <w:tc>
          <w:tcPr>
            <w:tcW w:type="dxa" w:w="3024"/>
            <w:vAlign w:val="center"/>
            <w:shd w:fill="E9EFF3"/>
          </w:tcPr>
          <w:p>
            <w:pPr>
              <w:pStyle w:val="Compact"/>
              <w:keepNext w:val="0"/>
              <w:keepLines/>
              <w:spacing w:before="20" w:after="20" w:line="250" w:lineRule="auto"/>
              <w:jc w:val="left"/>
            </w:pPr>
            <w:r>
              <w:rPr>
                <w:rFonts w:ascii="Liberation Sans" w:hAnsi="Liberation Sans"/>
                <w:b/>
                <w:bCs/>
                <w:sz w:val="19"/>
              </w:rPr>
              <w:t xml:space="preserve">Umsetzung</w:t>
            </w:r>
          </w:p>
        </w:tc>
        <w:tc>
          <w:tcPr>
            <w:tcW w:type="dxa" w:w="5818"/>
            <w:vAlign w:val="center"/>
            <w:shd w:fill="E9EFF3"/>
          </w:tcPr>
          <w:p>
            <w:pPr>
              <w:pStyle w:val="Compact"/>
              <w:keepNext w:val="0"/>
              <w:keepLines/>
              <w:spacing w:before="20" w:after="20" w:line="250" w:lineRule="auto"/>
              <w:jc w:val="left"/>
            </w:pPr>
            <w:r>
              <w:rPr>
                <w:rFonts w:ascii="Liberation Sans" w:hAnsi="Liberation Sans"/>
                <w:b/>
                <w:bCs/>
                <w:sz w:val="19"/>
              </w:rPr>
              <w:t xml:space="preserve">Erkenntnisziel</w:t>
            </w:r>
          </w:p>
        </w:tc>
      </w:tr>
      <w:tr>
        <w:trPr>
          <w:cantSplit/>
        </w:trPr>
        <w:tc>
          <w:tcPr>
            <w:tcW w:type="dxa" w:w="1008"/>
            <w:vAlign w:val="center"/>
          </w:tcPr>
          <w:p>
            <w:pPr>
              <w:pStyle w:val="Compact"/>
              <w:keepNext w:val="0"/>
              <w:keepLines/>
              <w:spacing w:before="20" w:after="20" w:line="250" w:lineRule="auto"/>
              <w:jc w:val="center"/>
            </w:pPr>
            <w:r>
              <w:rPr>
                <w:rFonts w:ascii="Liberation Sans" w:hAnsi="Liberation Sans"/>
                <w:sz w:val="19"/>
              </w:rPr>
              <w:t xml:space="preserve">B0</w:t>
            </w:r>
          </w:p>
        </w:tc>
        <w:tc>
          <w:tcPr>
            <w:tcW w:type="dxa" w:w="3024"/>
            <w:vAlign w:val="center"/>
          </w:tcPr>
          <w:p>
            <w:pPr>
              <w:pStyle w:val="Compact"/>
              <w:keepNext w:val="0"/>
              <w:keepLines/>
              <w:spacing w:before="20" w:after="20" w:line="250" w:lineRule="auto"/>
              <w:jc w:val="left"/>
            </w:pPr>
            <w:r>
              <w:rPr>
                <w:rFonts w:ascii="Liberation Sans" w:hAnsi="Liberation Sans"/>
                <w:sz w:val="19"/>
              </w:rPr>
              <w:t xml:space="preserve">keine laufende Umwelt</w:t>
            </w:r>
          </w:p>
        </w:tc>
        <w:tc>
          <w:tcPr>
            <w:tcW w:type="dxa" w:w="5818"/>
            <w:vAlign w:val="center"/>
          </w:tcPr>
          <w:p>
            <w:pPr>
              <w:pStyle w:val="Compact"/>
              <w:keepNext w:val="0"/>
              <w:keepLines/>
              <w:spacing w:before="20" w:after="20" w:line="250" w:lineRule="auto"/>
              <w:jc w:val="left"/>
            </w:pPr>
            <w:r>
              <w:rPr>
                <w:rFonts w:ascii="Liberation Sans" w:hAnsi="Liberation Sans"/>
                <w:sz w:val="19"/>
              </w:rPr>
              <w:t xml:space="preserve">Baseline: interne Dynamik ohne aktuelle Reize</w:t>
            </w:r>
          </w:p>
        </w:tc>
      </w:tr>
      <w:tr>
        <w:trPr>
          <w:cantSplit/>
        </w:trPr>
        <w:tc>
          <w:tcPr>
            <w:tcW w:type="dxa" w:w="1008"/>
            <w:vAlign w:val="center"/>
          </w:tcPr>
          <w:p>
            <w:pPr>
              <w:pStyle w:val="Compact"/>
              <w:keepNext w:val="0"/>
              <w:keepLines/>
              <w:spacing w:before="20" w:after="20" w:line="250" w:lineRule="auto"/>
              <w:jc w:val="center"/>
            </w:pPr>
            <w:r>
              <w:rPr>
                <w:rFonts w:ascii="Liberation Sans" w:hAnsi="Liberation Sans"/>
                <w:sz w:val="19"/>
              </w:rPr>
              <w:t xml:space="preserve">B1</w:t>
            </w:r>
          </w:p>
        </w:tc>
        <w:tc>
          <w:tcPr>
            <w:tcW w:type="dxa" w:w="3024"/>
            <w:vAlign w:val="center"/>
          </w:tcPr>
          <w:p>
            <w:pPr>
              <w:pStyle w:val="Compact"/>
              <w:keepNext w:val="0"/>
              <w:keepLines/>
              <w:spacing w:before="20" w:after="20" w:line="250" w:lineRule="auto"/>
              <w:jc w:val="left"/>
            </w:pPr>
            <w:r>
              <w:rPr>
                <w:rFonts w:ascii="Liberation Sans" w:hAnsi="Liberation Sans"/>
                <w:sz w:val="19"/>
              </w:rPr>
              <w:t xml:space="preserve">diskrete externe Stimuli</w:t>
            </w:r>
          </w:p>
        </w:tc>
        <w:tc>
          <w:tcPr>
            <w:tcW w:type="dxa" w:w="5818"/>
            <w:vAlign w:val="center"/>
          </w:tcPr>
          <w:p>
            <w:pPr>
              <w:pStyle w:val="Compact"/>
              <w:keepNext w:val="0"/>
              <w:keepLines/>
              <w:spacing w:before="20" w:after="20" w:line="250" w:lineRule="auto"/>
              <w:jc w:val="left"/>
            </w:pPr>
            <w:r>
              <w:rPr>
                <w:rFonts w:ascii="Liberation Sans" w:hAnsi="Liberation Sans"/>
                <w:sz w:val="19"/>
              </w:rPr>
              <w:t xml:space="preserve">kontrollierte Reizmuster ohne Aktorik</w:t>
            </w:r>
          </w:p>
        </w:tc>
      </w:tr>
      <w:tr>
        <w:trPr>
          <w:cantSplit/>
        </w:trPr>
        <w:tc>
          <w:tcPr>
            <w:tcW w:type="dxa" w:w="1008"/>
            <w:vAlign w:val="center"/>
          </w:tcPr>
          <w:p>
            <w:pPr>
              <w:pStyle w:val="Compact"/>
              <w:keepNext w:val="0"/>
              <w:keepLines/>
              <w:spacing w:before="20" w:after="20" w:line="250" w:lineRule="auto"/>
              <w:jc w:val="center"/>
            </w:pPr>
            <w:r>
              <w:rPr>
                <w:rFonts w:ascii="Liberation Sans" w:hAnsi="Liberation Sans"/>
                <w:sz w:val="19"/>
              </w:rPr>
              <w:t xml:space="preserve">B2</w:t>
            </w:r>
          </w:p>
        </w:tc>
        <w:tc>
          <w:tcPr>
            <w:tcW w:type="dxa" w:w="3024"/>
            <w:vAlign w:val="center"/>
          </w:tcPr>
          <w:p>
            <w:pPr>
              <w:pStyle w:val="Compact"/>
              <w:keepNext w:val="0"/>
              <w:keepLines/>
              <w:spacing w:before="20" w:after="20" w:line="250" w:lineRule="auto"/>
              <w:jc w:val="left"/>
            </w:pPr>
            <w:r>
              <w:rPr>
                <w:rFonts w:ascii="Liberation Sans" w:hAnsi="Liberation Sans"/>
                <w:sz w:val="19"/>
              </w:rPr>
              <w:t xml:space="preserve">virtueller Körper</w:t>
            </w:r>
          </w:p>
        </w:tc>
        <w:tc>
          <w:tcPr>
            <w:tcW w:type="dxa" w:w="5818"/>
            <w:vAlign w:val="center"/>
          </w:tcPr>
          <w:p>
            <w:pPr>
              <w:pStyle w:val="Compact"/>
              <w:keepNext w:val="0"/>
              <w:keepLines/>
              <w:spacing w:before="20" w:after="20" w:line="250" w:lineRule="auto"/>
              <w:jc w:val="left"/>
            </w:pPr>
            <w:r>
              <w:rPr>
                <w:rFonts w:ascii="Liberation Sans" w:hAnsi="Liberation Sans"/>
                <w:sz w:val="19"/>
              </w:rPr>
              <w:t xml:space="preserve">Sensor-Aktor-Schleife in reproduzierbarer Simulation</w:t>
            </w:r>
          </w:p>
        </w:tc>
      </w:tr>
      <w:tr>
        <w:trPr>
          <w:cantSplit/>
        </w:trPr>
        <w:tc>
          <w:tcPr>
            <w:tcW w:type="dxa" w:w="1008"/>
            <w:vAlign w:val="center"/>
          </w:tcPr>
          <w:p>
            <w:pPr>
              <w:pStyle w:val="Compact"/>
              <w:keepNext w:val="0"/>
              <w:keepLines/>
              <w:spacing w:before="20" w:after="20" w:line="250" w:lineRule="auto"/>
              <w:jc w:val="center"/>
            </w:pPr>
            <w:r>
              <w:rPr>
                <w:rFonts w:ascii="Liberation Sans" w:hAnsi="Liberation Sans"/>
                <w:sz w:val="19"/>
              </w:rPr>
              <w:t xml:space="preserve">B3</w:t>
            </w:r>
          </w:p>
        </w:tc>
        <w:tc>
          <w:tcPr>
            <w:tcW w:type="dxa" w:w="3024"/>
            <w:vAlign w:val="center"/>
          </w:tcPr>
          <w:p>
            <w:pPr>
              <w:pStyle w:val="Compact"/>
              <w:keepNext w:val="0"/>
              <w:keepLines/>
              <w:spacing w:before="20" w:after="20" w:line="250" w:lineRule="auto"/>
              <w:jc w:val="left"/>
            </w:pPr>
            <w:r>
              <w:rPr>
                <w:rFonts w:ascii="Liberation Sans" w:hAnsi="Liberation Sans"/>
                <w:sz w:val="19"/>
              </w:rPr>
              <w:t xml:space="preserve">Interozeption und Energie</w:t>
            </w:r>
          </w:p>
        </w:tc>
        <w:tc>
          <w:tcPr>
            <w:tcW w:type="dxa" w:w="5818"/>
            <w:vAlign w:val="center"/>
          </w:tcPr>
          <w:p>
            <w:pPr>
              <w:pStyle w:val="Compact"/>
              <w:keepNext w:val="0"/>
              <w:keepLines/>
              <w:spacing w:before="20" w:after="20" w:line="250" w:lineRule="auto"/>
              <w:jc w:val="left"/>
            </w:pPr>
            <w:r>
              <w:rPr>
                <w:rFonts w:ascii="Liberation Sans" w:hAnsi="Liberation Sans"/>
                <w:sz w:val="19"/>
              </w:rPr>
              <w:t xml:space="preserve">interne Zustände beeinflussen Lernen und Prioritäten</w:t>
            </w:r>
          </w:p>
        </w:tc>
      </w:tr>
      <w:tr>
        <w:trPr>
          <w:cantSplit/>
        </w:trPr>
        <w:tc>
          <w:tcPr>
            <w:tcW w:type="dxa" w:w="1008"/>
            <w:vAlign w:val="center"/>
          </w:tcPr>
          <w:p>
            <w:pPr>
              <w:pStyle w:val="Compact"/>
              <w:keepNext w:val="0"/>
              <w:keepLines/>
              <w:spacing w:before="20" w:after="20" w:line="250" w:lineRule="auto"/>
              <w:jc w:val="center"/>
            </w:pPr>
            <w:r>
              <w:rPr>
                <w:rFonts w:ascii="Liberation Sans" w:hAnsi="Liberation Sans"/>
                <w:sz w:val="19"/>
              </w:rPr>
              <w:t xml:space="preserve">B4</w:t>
            </w:r>
          </w:p>
        </w:tc>
        <w:tc>
          <w:tcPr>
            <w:tcW w:type="dxa" w:w="3024"/>
            <w:vAlign w:val="center"/>
          </w:tcPr>
          <w:p>
            <w:pPr>
              <w:pStyle w:val="Compact"/>
              <w:keepNext w:val="0"/>
              <w:keepLines/>
              <w:spacing w:before="20" w:after="20" w:line="250" w:lineRule="auto"/>
              <w:jc w:val="left"/>
            </w:pPr>
            <w:r>
              <w:rPr>
                <w:rFonts w:ascii="Liberation Sans" w:hAnsi="Liberation Sans"/>
                <w:sz w:val="19"/>
              </w:rPr>
              <w:t xml:space="preserve">soziale Kopplung</w:t>
            </w:r>
          </w:p>
        </w:tc>
        <w:tc>
          <w:tcPr>
            <w:tcW w:type="dxa" w:w="5818"/>
            <w:vAlign w:val="center"/>
          </w:tcPr>
          <w:p>
            <w:pPr>
              <w:pStyle w:val="Compact"/>
              <w:keepNext w:val="0"/>
              <w:keepLines/>
              <w:spacing w:before="20" w:after="20" w:line="250" w:lineRule="auto"/>
              <w:jc w:val="left"/>
            </w:pPr>
            <w:r>
              <w:rPr>
                <w:rFonts w:ascii="Liberation Sans" w:hAnsi="Liberation Sans"/>
                <w:sz w:val="19"/>
              </w:rPr>
              <w:t xml:space="preserve">Interaktion mit menschlichen oder maschinellen Partnern</w:t>
            </w:r>
          </w:p>
        </w:tc>
      </w:tr>
      <w:tr>
        <w:trPr>
          <w:cantSplit/>
        </w:trPr>
        <w:tc>
          <w:tcPr>
            <w:tcW w:type="dxa" w:w="1008"/>
            <w:vAlign w:val="center"/>
          </w:tcPr>
          <w:p>
            <w:pPr>
              <w:pStyle w:val="Compact"/>
              <w:keepNext w:val="0"/>
              <w:keepLines/>
              <w:spacing w:before="20" w:after="20" w:line="250" w:lineRule="auto"/>
              <w:jc w:val="center"/>
            </w:pPr>
            <w:r>
              <w:rPr>
                <w:rFonts w:ascii="Liberation Sans" w:hAnsi="Liberation Sans"/>
                <w:sz w:val="19"/>
              </w:rPr>
              <w:t xml:space="preserve">B5</w:t>
            </w:r>
          </w:p>
        </w:tc>
        <w:tc>
          <w:tcPr>
            <w:tcW w:type="dxa" w:w="3024"/>
            <w:vAlign w:val="center"/>
          </w:tcPr>
          <w:p>
            <w:pPr>
              <w:pStyle w:val="Compact"/>
              <w:keepNext w:val="0"/>
              <w:keepLines/>
              <w:spacing w:before="20" w:after="20" w:line="250" w:lineRule="auto"/>
              <w:jc w:val="left"/>
            </w:pPr>
            <w:r>
              <w:rPr>
                <w:rFonts w:ascii="Liberation Sans" w:hAnsi="Liberation Sans"/>
                <w:sz w:val="19"/>
              </w:rPr>
              <w:t xml:space="preserve">begrenzte physische Verkörperung</w:t>
            </w:r>
          </w:p>
        </w:tc>
        <w:tc>
          <w:tcPr>
            <w:tcW w:type="dxa" w:w="5818"/>
            <w:vAlign w:val="center"/>
          </w:tcPr>
          <w:p>
            <w:pPr>
              <w:pStyle w:val="Compact"/>
              <w:keepNext w:val="0"/>
              <w:keepLines/>
              <w:spacing w:before="20" w:after="20" w:line="250" w:lineRule="auto"/>
              <w:jc w:val="left"/>
            </w:pPr>
            <w:r>
              <w:rPr>
                <w:rFonts w:ascii="Liberation Sans" w:hAnsi="Liberation Sans"/>
                <w:sz w:val="19"/>
              </w:rPr>
              <w:t xml:space="preserve">erst nach Sicherheits- und Reproduzierbarkeitsnachweis</w:t>
            </w:r>
          </w:p>
        </w:tc>
      </w:tr>
    </w:tbl>
    <w:bookmarkEnd w:id="393"/>
    <w:bookmarkEnd w:id="394"/>
    <w:bookmarkStart w:id="399" w:name="Xff5260f1bffca011d575aebe57937524ce1f560"/>
    <w:p>
      <w:bookmarkStart w:id="10030" w:name="B5D_H030"/>
      <w:pPr>
        <w:pStyle w:val="Heading1"/>
      </w:pPr>
      <w:r>
        <w:t xml:space="preserve">27. MSBA: Modalitäten, Gateways und Ressourcenverteilung</w:t>
      </w:r>
      <w:bookmarkEnd w:id="10030"/>
    </w:p>
    <w:bookmarkStart w:id="395" w:name="Xd7c70001dbae07bb6e453b4deca021a94bb5f6f"/>
    <w:p>
      <w:pPr>
        <w:pStyle w:val="Heading2"/>
      </w:pPr>
      <w:r>
        <w:t xml:space="preserve">Modalitätsspezifische Pfade als kontrollierte Architekturhypothese</w:t>
      </w:r>
    </w:p>
    <w:p>
      <w:pPr>
        <w:pStyle w:val="FirstParagraph"/>
        <w:keepLines/>
        <w:spacing w:after="120"/>
        <w:jc w:val="left"/>
      </w:pPr>
      <w:r>
        <w:rPr>
          <w:sz w:val="20"/>
        </w:rPr>
        <w:t xml:space="preserve">Die Projektdokumentation beschreibt MSBA und Neural Symbiosis als Erweiterungen des peripheren Embodiment-Rands. Audio, Vision und digitale Nutzlasten erhalten spezialisierte Schnittstellen. Externe Modelle und virtuelle Komponenten können über Adapter beteiligt werden. Der persistierte produktive SNN-Core bleibt dabei</w:t>
      </w:r>
      <w:r>
        <w:rPr>
          <w:sz w:val="20"/>
        </w:rPr>
        <w:t xml:space="preserve"> </w:t>
      </w:r>
      <w:r>
        <w:rPr>
          <w:b/>
          <w:bCs/>
          <w:sz w:val="20"/>
        </w:rPr>
        <w:t xml:space="preserve">5D</w:t>
      </w:r>
      <w:r>
        <w:rPr>
          <w:sz w:val="20"/>
        </w:rPr>
        <w:t xml:space="preserve">; die möglichen</w:t>
      </w:r>
      <w:r>
        <w:rPr>
          <w:sz w:val="20"/>
        </w:rPr>
        <w:t xml:space="preserve"> </w:t>
      </w:r>
      <w:r>
        <w:rPr>
          <w:b/>
          <w:bCs/>
          <w:sz w:val="20"/>
        </w:rPr>
        <w:t xml:space="preserve">1 bis 32 Dimensionen externer Projektionsräume</w:t>
      </w:r>
      <w:r>
        <w:rPr>
          <w:sz w:val="20"/>
        </w:rPr>
        <w:t xml:space="preserve"> </w:t>
      </w:r>
      <w:r>
        <w:rPr>
          <w:sz w:val="20"/>
        </w:rPr>
        <w:t xml:space="preserve">sind keine bereits realisierte N-D-Erweiterung des neuronalen Kernformats. [R1; R13]</w:t>
      </w:r>
    </w:p>
    <w:p>
      <w:pPr>
        <w:pStyle w:val="BodyText"/>
        <w:keepLines/>
        <w:spacing w:after="120"/>
        <w:jc w:val="left"/>
      </w:pPr>
      <w:r>
        <w:rPr>
          <w:sz w:val="20"/>
        </w:rPr>
        <w:t xml:space="preserve">Die sinnvolle Differenzierung liegt in den Datenverträgen, nicht in einer starren Analogie</w:t>
      </w:r>
      <w:r>
        <w:rPr>
          <w:sz w:val="20"/>
        </w:rPr>
        <w:t xml:space="preserve"> </w:t>
      </w:r>
      <w:r>
        <w:rPr>
          <w:sz w:val="20"/>
        </w:rPr>
        <w:t xml:space="preserve">“</w:t>
      </w:r>
      <w:r>
        <w:rPr>
          <w:sz w:val="20"/>
        </w:rPr>
        <w:t xml:space="preserve">Audio ist seriell, Sehen ist parallel, Digitales ist symbolisch</w:t>
      </w:r>
      <w:r>
        <w:rPr>
          <w:sz w:val="20"/>
        </w:rPr>
        <w:t xml:space="preserve">”</w:t>
      </w:r>
      <w:r>
        <w:rPr>
          <w:sz w:val="20"/>
        </w:rPr>
        <w:t xml:space="preserve">. Audio kann mehrkanalig und zeitlich-spektral repräsentiert werden. Video enthält ebenfalls Zeit. Digitale Daten können zeitkritische Ereignisse, strukturierte Dokumente oder unveränderliche binäre Nutzlasten sein. Diese eigene begriffliche Präzisierung verhindert, dass eine anschauliche Gehirnmetapher unbemerkt zur technischen Beschränkung wird.</w:t>
      </w:r>
    </w:p>
    <w:p>
      <w:pPr>
        <w:pStyle w:val="BodyText"/>
        <w:keepLines/>
        <w:spacing w:after="120"/>
        <w:jc w:val="left"/>
      </w:pPr>
      <w:r>
        <w:rPr>
          <w:sz w:val="20"/>
        </w:rPr>
        <w:t xml:space="preserve">Für einen Audiopfad sind beispielsweise Zeitstempel, Kanalzuordnung, Fensterlänge, Samplingrate und Encoderlatenz relevant. Für einen visuellen Pfad sind räumliche Auflösung, Aufmerksamkeitsbereich, zeitliche Zuordnung und Verlust durch Vorverarbeitung wichtig. Ein digitaler Pfad benötigt Integrität, Schema, Herkunft und gegebenenfalls eine exakte Byte-Erhaltung. Ein gedrosselter Datenstrom darf langsamer oder seltener zugelassen werden, ohne seinen Inhalt unbemerkt zu verändern. Welche Eigenschaften tatsächlich gelten, ist pro Adapter zu testen.</w:t>
      </w:r>
    </w:p>
    <w:bookmarkEnd w:id="395"/>
    <w:bookmarkStart w:id="396" w:name="die-fünf-registrierten-msba-fragen"/>
    <w:p>
      <w:pPr>
        <w:pStyle w:val="Heading2"/>
      </w:pPr>
      <w:r>
        <w:t xml:space="preserve">Die fünf registrierten MSBA-Fragen</w:t>
      </w:r>
    </w:p>
    <w:p>
      <w:pPr>
        <w:pStyle w:val="FirstParagraph"/>
        <w:keepLines/>
        <w:spacing w:after="120"/>
        <w:jc w:val="left"/>
      </w:pPr>
      <w:r>
        <w:rPr>
          <w:rStyle w:val="VerbatimChar"/>
          <w:sz w:val="20"/>
        </w:rPr>
        <w:t xml:space="preserve">RQ-MSBA-E01</w:t>
      </w:r>
      <w:r>
        <w:rPr>
          <w:sz w:val="20"/>
        </w:rPr>
        <w:t xml:space="preserve"> </w:t>
      </w:r>
      <w:r>
        <w:rPr>
          <w:sz w:val="20"/>
        </w:rPr>
        <w:t xml:space="preserve">untersucht Ressourcenverbrauch je verwertbarer Information oder korrekter Entscheidung.</w:t>
      </w:r>
      <w:r>
        <w:rPr>
          <w:sz w:val="20"/>
        </w:rPr>
        <w:t xml:space="preserve"> </w:t>
      </w:r>
      <w:r>
        <w:rPr>
          <w:rStyle w:val="VerbatimChar"/>
          <w:sz w:val="20"/>
        </w:rPr>
        <w:t xml:space="preserve">RQ-MSBA-E02</w:t>
      </w:r>
      <w:r>
        <w:rPr>
          <w:sz w:val="20"/>
        </w:rPr>
        <w:t xml:space="preserve"> </w:t>
      </w:r>
      <w:r>
        <w:rPr>
          <w:sz w:val="20"/>
        </w:rPr>
        <w:t xml:space="preserve">fragt nach dem Nutzen kostenadaptiver Allokation unter gleichem Gesamtbudget.</w:t>
      </w:r>
      <w:r>
        <w:rPr>
          <w:sz w:val="20"/>
        </w:rPr>
        <w:t xml:space="preserve"> </w:t>
      </w:r>
      <w:r>
        <w:rPr>
          <w:rStyle w:val="VerbatimChar"/>
          <w:sz w:val="20"/>
        </w:rPr>
        <w:t xml:space="preserve">RQ-MSBA-E03</w:t>
      </w:r>
      <w:r>
        <w:rPr>
          <w:sz w:val="20"/>
        </w:rPr>
        <w:t xml:space="preserve"> </w:t>
      </w:r>
      <w:r>
        <w:rPr>
          <w:sz w:val="20"/>
        </w:rPr>
        <w:t xml:space="preserve">betrifft adaptive visuelle ROI beziehungsweise Foveation ohne hart codierte Zielregion.</w:t>
      </w:r>
      <w:r>
        <w:rPr>
          <w:sz w:val="20"/>
        </w:rPr>
        <w:t xml:space="preserve"> </w:t>
      </w:r>
      <w:r>
        <w:rPr>
          <w:rStyle w:val="VerbatimChar"/>
          <w:sz w:val="20"/>
        </w:rPr>
        <w:t xml:space="preserve">RQ-MSBA-E04</w:t>
      </w:r>
      <w:r>
        <w:rPr>
          <w:sz w:val="20"/>
        </w:rPr>
        <w:t xml:space="preserve"> </w:t>
      </w:r>
      <w:r>
        <w:rPr>
          <w:sz w:val="20"/>
        </w:rPr>
        <w:t xml:space="preserve">betrifft digitale Payload-Integrität trotz Drosselung.</w:t>
      </w:r>
      <w:r>
        <w:rPr>
          <w:sz w:val="20"/>
        </w:rPr>
        <w:t xml:space="preserve"> </w:t>
      </w:r>
      <w:r>
        <w:rPr>
          <w:rStyle w:val="VerbatimChar"/>
          <w:sz w:val="20"/>
        </w:rPr>
        <w:t xml:space="preserve">RQ-MSBA-E05</w:t>
      </w:r>
      <w:r>
        <w:rPr>
          <w:sz w:val="20"/>
        </w:rPr>
        <w:t xml:space="preserve"> </w:t>
      </w:r>
      <w:r>
        <w:rPr>
          <w:sz w:val="20"/>
        </w:rPr>
        <w:t xml:space="preserve">untersucht gezielte modalitätsübergreifende Kompensation nach Ausfall oder Degradation. Im gelesenen Fragenfragment stehen alle fünf auf</w:t>
      </w:r>
      <w:r>
        <w:rPr>
          <w:sz w:val="20"/>
        </w:rPr>
        <w:t xml:space="preserve"> </w:t>
      </w:r>
      <w:r>
        <w:rPr>
          <w:b/>
          <w:bCs/>
          <w:sz w:val="20"/>
        </w:rPr>
        <w:t xml:space="preserve">open</w:t>
      </w:r>
      <w:r>
        <w:rPr>
          <w:sz w:val="20"/>
        </w:rPr>
        <w:t xml:space="preserve">, ohne zugeordnete Evidenz. Die Begrenzungen nennen fehlende bestätigende Läufe beziehungsweise noch nicht vollständig operationalisierte adaptive Pfade. [R13]</w:t>
      </w:r>
    </w:p>
    <w:p>
      <w:pPr>
        <w:pStyle w:val="BodyText"/>
        <w:keepLines/>
        <w:spacing w:after="120"/>
        <w:jc w:val="left"/>
      </w:pPr>
      <w:r>
        <w:rPr>
          <w:sz w:val="20"/>
        </w:rPr>
        <w:t xml:space="preserve">Diese Fragen liefern eine klare Verbindung zwischen Embodiment und Forschungsdesign. Eine geringere Last ist nur dann ein Erfolg, wenn sie nicht durch den Verlust notwendiger Information erkauft wird. Eine bevorzugte Bildregion ist nur dann ein adaptiver Befund, wenn sie nicht schon im Encoder festgelegt war. Eine nach Sensorverlust erhöhte Aktivität einer zweiten Modalität ist nur dann funktionale Kompensation, wenn sie die relevante Aufgabe verbessert und gegen einfachere Allokationsregeln besteht.</w:t>
      </w:r>
    </w:p>
    <w:bookmarkEnd w:id="396"/>
    <w:bookmarkStart w:id="397" w:name="ressourcenmodell-ohne-scheingenauigkeit"/>
    <w:p>
      <w:pPr>
        <w:pStyle w:val="Heading2"/>
      </w:pPr>
      <w:r>
        <w:t xml:space="preserve">Ressourcenmodell ohne Scheingenauigkeit</w:t>
      </w:r>
    </w:p>
    <w:p>
      <w:pPr>
        <w:pStyle w:val="FirstParagraph"/>
        <w:keepLines/>
        <w:spacing w:after="120"/>
        <w:jc w:val="left"/>
      </w:pPr>
      <w:r>
        <w:rPr>
          <w:sz w:val="20"/>
        </w:rPr>
        <w:t xml:space="preserve">Die Einführung von Kosten benötigt eine Festlegung ihrer Einheit. CPU-Zeit, GPU-Zeit, Speicherbelegung, Netzwerklast, elektrische Energie und Latenz sind unterschiedliche Größen. Ein gemeinsamer Score kann als technische Heuristik nützlich sein, muss aber seine Gewichte offenlegen. Er ist ohne Messung und Kalibrierung keine physikalische Energie. Ein Vergleich verschiedener Modalitäten verlangt zudem eine sinnvolle gemeinsame Aufgabe oder ein explizites Multi-Objective-Modell;</w:t>
      </w:r>
      <w:r>
        <w:rPr>
          <w:sz w:val="20"/>
        </w:rPr>
        <w:t xml:space="preserve"> </w:t>
      </w:r>
      <w:r>
        <w:rPr>
          <w:sz w:val="20"/>
        </w:rPr>
        <w:t xml:space="preserve">“</w:t>
      </w:r>
      <w:r>
        <w:rPr>
          <w:sz w:val="20"/>
        </w:rPr>
        <w:t xml:space="preserve">Information pro Joule</w:t>
      </w:r>
      <w:r>
        <w:rPr>
          <w:sz w:val="20"/>
        </w:rPr>
        <w:t xml:space="preserve">”</w:t>
      </w:r>
      <w:r>
        <w:rPr>
          <w:sz w:val="20"/>
        </w:rPr>
        <w:t xml:space="preserve"> </w:t>
      </w:r>
      <w:r>
        <w:rPr>
          <w:sz w:val="20"/>
        </w:rPr>
        <w:t xml:space="preserve">ist ohne Definition und Schätzung der Information nicht bereits eine objektive Leistungskennzahl.</w:t>
      </w:r>
    </w:p>
    <w:p>
      <w:pPr>
        <w:pStyle w:val="BodyText"/>
        <w:keepLines/>
        <w:spacing w:after="120"/>
        <w:jc w:val="left"/>
      </w:pPr>
      <w:r>
        <w:rPr>
          <w:sz w:val="20"/>
        </w:rPr>
        <w:t xml:space="preserve">Die Projektdokumentation warnt bereits vor einem globalen signierten Homöostase-Reward, bei dem sich gegensätzliche Abweichungen aufheben. Ein elementares Beispiel macht dies deutlich: Zwei Populationen mit Fehlern +a und -a haben einen mittleren signierten Fehler von null, obwohl beide vom Soll abweichen. Absolute und quadratische Fehler verhindern diese spezielle Auslöschung, setzen aber andere Prioritäten. Quadratische Kosten bestrafen große Abweichungen stärker; absolute Kosten können robuster gegen einzelne Spitzen sein. Welche Regel nützlich ist, bleibt eine kontrollierte Vergleichsfrage. [R1; eigene algebraische Erläuterung]</w:t>
      </w:r>
    </w:p>
    <w:p>
      <w:pPr>
        <w:pStyle w:val="BodyText"/>
        <w:keepLines/>
        <w:spacing w:after="120"/>
        <w:jc w:val="left"/>
      </w:pPr>
      <w:r>
        <w:rPr>
          <w:sz w:val="20"/>
        </w:rPr>
        <w:t xml:space="preserve">Als heuristische Modellfamilie, nicht als bereits validierte Lernregel, kann ein Ressourcenentscheid formuliert werden als:</w:t>
      </w:r>
    </w:p>
    <w:p>
      <w:pPr>
        <w:pStyle w:val="BodyText"/>
        <w:keepLines/>
        <w:spacing w:after="140" w:before="100"/>
        <w:jc w:val="center"/>
      </w:pPr>
      <m:oMathPara>
        <m:oMathParaPr>
          <m:jc m:val="center"/>
        </m:oMathParaPr>
        <m:oMath>
          <m:r>
            <m:t>U</m:t>
          </m:r>
          <m:d>
            <m:dPr>
              <m:begChr m:val="("/>
              <m:endChr m:val=")"/>
              <m:sepChr m:val=""/>
              <m:grow/>
            </m:dPr>
            <m:e>
              <m:r>
                <m:t>a</m:t>
              </m:r>
            </m:e>
          </m:d>
          <m:r>
            <m:rPr>
              <m:sty m:val="p"/>
            </m:rPr>
            <m:t>=</m:t>
          </m:r>
          <m:acc>
            <m:accPr>
              <m:chr m:val="̂"/>
            </m:accPr>
            <m:e>
              <m:r>
                <m:t>Q</m:t>
              </m:r>
            </m:e>
          </m:acc>
          <m:d>
            <m:dPr>
              <m:begChr m:val="("/>
              <m:endChr m:val=")"/>
              <m:sepChr m:val=""/>
              <m:grow/>
            </m:dPr>
            <m:e>
              <m:r>
                <m:t>a</m:t>
              </m:r>
            </m:e>
          </m:d>
          <m:r>
            <m:rPr>
              <m:sty m:val="p"/>
            </m:rPr>
            <m:t>−</m:t>
          </m:r>
          <m:sSub>
            <m:e>
              <m:r>
                <m:t>λ</m:t>
              </m:r>
            </m:e>
            <m:sub>
              <m:r>
                <m:t>C</m:t>
              </m:r>
            </m:sub>
          </m:sSub>
          <m:r>
            <m:t>C</m:t>
          </m:r>
          <m:d>
            <m:dPr>
              <m:begChr m:val="("/>
              <m:endChr m:val=")"/>
              <m:sepChr m:val=""/>
              <m:grow/>
            </m:dPr>
            <m:e>
              <m:r>
                <m:t>a</m:t>
              </m:r>
            </m:e>
          </m:d>
          <m:r>
            <m:rPr>
              <m:sty m:val="p"/>
            </m:rPr>
            <m:t>−</m:t>
          </m:r>
          <m:sSub>
            <m:e>
              <m:r>
                <m:t>λ</m:t>
              </m:r>
            </m:e>
            <m:sub>
              <m:r>
                <m:t>L</m:t>
              </m:r>
            </m:sub>
          </m:sSub>
          <m:r>
            <m:t>L</m:t>
          </m:r>
          <m:d>
            <m:dPr>
              <m:begChr m:val="("/>
              <m:endChr m:val=")"/>
              <m:sepChr m:val=""/>
              <m:grow/>
            </m:dPr>
            <m:e>
              <m:r>
                <m:t>a</m:t>
              </m:r>
            </m:e>
          </m:d>
          <m:r>
            <m:rPr>
              <m:sty m:val="p"/>
            </m:rPr>
            <m:t>−</m:t>
          </m:r>
          <m:sSub>
            <m:e>
              <m:r>
                <m:t>λ</m:t>
              </m:r>
            </m:e>
            <m:sub>
              <m:r>
                <m:t>R</m:t>
              </m:r>
            </m:sub>
          </m:sSub>
          <m:r>
            <m:t>R</m:t>
          </m:r>
          <m:d>
            <m:dPr>
              <m:begChr m:val="("/>
              <m:endChr m:val=")"/>
              <m:sepChr m:val=""/>
              <m:grow/>
            </m:dPr>
            <m:e>
              <m:r>
                <m:t>a</m:t>
              </m:r>
            </m:e>
          </m:d>
          <m:r>
            <m:rPr>
              <m:sty m:val="p"/>
            </m:rPr>
            <m:t>,</m:t>
          </m:r>
        </m:oMath>
      </m:oMathPara>
    </w:p>
    <w:p>
      <w:pPr>
        <w:pStyle w:val="FirstParagraph"/>
        <w:keepLines/>
        <w:spacing w:after="120"/>
        <w:jc w:val="left"/>
      </w:pPr>
      <w:r>
        <w:rPr>
          <w:sz w:val="20"/>
        </w:rPr>
        <w:t xml:space="preserve">wobei Q erwarteten Aufgabennutzen, C Ressourcenverbrauch, L Latenz und R eine definierte Risikogröße bezeichnet. Schätzunsicherheit und harte Safety-Grenzen dürfen in dieser gewichteten Summe nicht verschwinden. Eine verbotene Aktion bleibt verboten, auch wenn ihr berechneter Nutzen hoch ist. Dies begründet eine getrennte harte Zulassungsprüfung vor weicher Optimierung.</w:t>
      </w:r>
    </w:p>
    <w:bookmarkEnd w:id="397"/>
    <w:bookmarkStart w:id="398" w:name="gateway-plastizität-und-kernlernen"/>
    <w:p>
      <w:pPr>
        <w:pStyle w:val="Heading2"/>
      </w:pPr>
      <w:r>
        <w:t xml:space="preserve">Gateway-Plastizität und Kernlernen</w:t>
      </w:r>
    </w:p>
    <w:p>
      <w:pPr>
        <w:pStyle w:val="FirstParagraph"/>
        <w:keepLines/>
        <w:spacing w:after="120"/>
        <w:jc w:val="left"/>
      </w:pPr>
      <w:r>
        <w:rPr>
          <w:sz w:val="20"/>
        </w:rPr>
        <w:t xml:space="preserve">Ein adaptiver Gateway kann den neuronalen Input so stark vorverarbeiten, dass der eigentliche Lernerfolg ausserhalb des SNN entsteht. Umgekehrt kann ein zu restriktiver Encoder relevante zeitliche Struktur entfernen und einen tatsächlich geeigneten Kern unfähig erscheinen lassen. Die kausale Zurechnung verlangt deshalb mindestens Frozen-, Random-, Timing-Shuffle- und Information-Destroyed-Kontrollen, getrennte Zustandsprotokolle und identische Ressourcenbudgets. Die Projektdokumentation fordert entsprechend, Gateway-Plastizität ausserhalb ausdrücklich registrierter Experimentpfade deaktiviert zu lassen. [R1]</w:t>
      </w:r>
    </w:p>
    <w:p>
      <w:pPr>
        <w:pStyle w:val="BodyText"/>
        <w:keepLines/>
        <w:spacing w:after="120"/>
        <w:jc w:val="left"/>
      </w:pPr>
      <w:r>
        <w:rPr>
          <w:sz w:val="20"/>
        </w:rPr>
        <w:t xml:space="preserve">Ein positives multimodales Ergebnis muss am Ende mindestens drei Fragen beantworten: Welche Information war in welchem Pfad verfügbar? Welche Zustandskomponente veränderte sich durch Erfahrung? Welche gezielte Ablation beseitigt den zusätzlichen Nutzen? Erst diese Verbindung aus Verfügbarkeit, Lernen und Intervention erlaubt eine eng gefasste Aussage über multimodale Kompetenz.</w:t>
      </w:r>
    </w:p>
    <w:bookmarkEnd w:id="398"/>
    <w:bookmarkEnd w:id="399"/>
    <w:bookmarkStart w:id="404" w:name="Xb8dc5fdbcb0de3a85758857391dbb7d6d834516"/>
    <w:p>
      <w:bookmarkStart w:id="10031" w:name="B5D_H031"/>
      <w:pPr>
        <w:pStyle w:val="Heading1"/>
      </w:pPr>
      <w:r>
        <w:t xml:space="preserve">28. Kompakte Daten, Berichtstreue und epistemische Kontrolle</w:t>
      </w:r>
      <w:bookmarkEnd w:id="10031"/>
    </w:p>
    <w:bookmarkStart w:id="400" w:name="X1750d76e4af281206df6f8f16dd5d28fbfbfc0a"/>
    <w:p>
      <w:pPr>
        <w:pStyle w:val="Heading2"/>
        <w:spacing w:before="160"/>
      </w:pPr>
      <w:r>
        <w:t xml:space="preserve">Kompaktierung als epistemische Schnittstelle</w:t>
      </w:r>
    </w:p>
    <w:p>
      <w:pPr>
        <w:pStyle w:val="FirstParagraph"/>
        <w:keepLines/>
        <w:spacing w:after="64" w:line="254" w:lineRule="auto"/>
        <w:jc w:val="left"/>
      </w:pPr>
      <w:r>
        <w:rPr>
          <w:sz w:val="20"/>
        </w:rPr>
        <w:t xml:space="preserve">Ein kleineres Sprachmodell sollte nicht bei jedem Lauf eine ständig anwachsende Gesamtdatei mit allen historischen Run-Details verarbeiten müssen. Die Projektdokumentation sieht deshalb immutable, komprimierte Rohartefakte, eine begrenzte aktuelle</w:t>
      </w:r>
      <w:r>
        <w:rPr>
          <w:sz w:val="20"/>
        </w:rPr>
        <w:t xml:space="preserve"> </w:t>
      </w:r>
      <w:r>
        <w:rPr>
          <w:rStyle w:val="VerbatimChar"/>
          <w:sz w:val="20"/>
        </w:rPr>
        <w:t xml:space="preserve">runs.json</w:t>
      </w:r>
      <w:r>
        <w:rPr>
          <w:sz w:val="20"/>
        </w:rPr>
        <w:t xml:space="preserve">-Projektion und ein kompaktes</w:t>
      </w:r>
      <w:r>
        <w:rPr>
          <w:sz w:val="20"/>
        </w:rPr>
        <w:t xml:space="preserve"> </w:t>
      </w:r>
      <w:r>
        <w:rPr>
          <w:rStyle w:val="VerbatimChar"/>
          <w:sz w:val="20"/>
        </w:rPr>
        <w:t xml:space="preserve">analysis/ai_packet.json</w:t>
      </w:r>
      <w:r>
        <w:rPr>
          <w:sz w:val="20"/>
        </w:rPr>
        <w:t xml:space="preserve"> </w:t>
      </w:r>
      <w:r>
        <w:rPr>
          <w:sz w:val="20"/>
        </w:rPr>
        <w:t xml:space="preserve">vor. Das kompakte Paket ist eine Sicht auf Daten, nicht deren Ersatz. Seine Inhalte müssen auf Quelle, Schema, Zeitfenster und Digest zurückverweisen. [R1]</w:t>
      </w:r>
    </w:p>
    <w:p>
      <w:pPr>
        <w:pStyle w:val="BodyText"/>
        <w:keepLines/>
        <w:spacing w:after="64" w:line="254" w:lineRule="auto"/>
        <w:jc w:val="left"/>
      </w:pPr>
      <w:r>
        <w:rPr>
          <w:sz w:val="20"/>
        </w:rPr>
        <w:t xml:space="preserve">Der gelesene SNN-Pointer illustriert die Trennung:</w:t>
      </w:r>
      <w:r>
        <w:rPr>
          <w:sz w:val="20"/>
        </w:rPr>
        <w:t xml:space="preserve"> </w:t>
      </w:r>
      <w:r>
        <w:rPr>
          <w:rStyle w:val="VerbatimChar"/>
          <w:sz w:val="20"/>
        </w:rPr>
        <w:t xml:space="preserve">DATA/current_run.json</w:t>
      </w:r>
      <w:r>
        <w:rPr>
          <w:sz w:val="20"/>
        </w:rPr>
        <w:t xml:space="preserve"> </w:t>
      </w:r>
      <w:r>
        <w:rPr>
          <w:sz w:val="20"/>
        </w:rPr>
        <w:t xml:space="preserve">enthält lediglich den Verweis auf den letzten archivierten tonic-drive-Run und dessen Metadaten. Für diese konkrete Datei werden 24.781 komprimierte und 2.102.883 unkomprimierte Bytes angegeben. Dies belegt einen berichteten Kompaktierungsumfang dieses Artefakts, nicht allgemein eine bestimmte Kompressionsrate aller Brain-5D-Daten. Der referenzierte Hash wurde nicht durch ein erneutes Herunterladen und Dekomprimieren der Rohdatei verifiziert. [R14]</w:t>
      </w:r>
    </w:p>
    <w:bookmarkEnd w:id="400"/>
    <w:bookmarkStart w:id="401" w:name="X279b44f147ab1e4ed34244d6a35af426a0ae103"/>
    <w:p>
      <w:pPr>
        <w:pStyle w:val="Heading2"/>
        <w:spacing w:before="160"/>
      </w:pPr>
      <w:r>
        <w:t xml:space="preserve">Was ein wissenschaftliches KI-Paket enthalten sollte</w:t>
      </w:r>
    </w:p>
    <w:p>
      <w:pPr>
        <w:pStyle w:val="FirstParagraph"/>
        <w:keepLines/>
        <w:spacing w:after="64" w:line="254" w:lineRule="auto"/>
        <w:jc w:val="left"/>
      </w:pPr>
      <w:r>
        <w:rPr>
          <w:sz w:val="20"/>
        </w:rPr>
        <w:t xml:space="preserve">Als Erweiterung des bestehenden Konzepts wird ein strukturierter Vertrag vorgeschlagen: Frage und Hypothese, Protokollversion, Conditions, Anzahl tatsächlicher unabhängiger Einheiten, Beobachtungsabdeckung, fehlende Felder, primäre Endpunkte, deterministische Kennzahlen, Provenienz, aktive Gate-Blocker, Ausschlussregeln und gezielte Rohdatenzeiger. Zusätzlich sollte das Paket sichtbar machen,</w:t>
      </w:r>
      <w:r>
        <w:rPr>
          <w:sz w:val="20"/>
        </w:rPr>
        <w:t xml:space="preserve"> </w:t>
      </w:r>
      <w:r>
        <w:rPr>
          <w:b/>
          <w:bCs/>
          <w:sz w:val="20"/>
        </w:rPr>
        <w:t xml:space="preserve">welche Informationen nicht enthalten sind</w:t>
      </w:r>
      <w:r>
        <w:rPr>
          <w:sz w:val="20"/>
        </w:rPr>
        <w:t xml:space="preserve">. Ein Bericht ohne Roh-Spikefolgen darf beispielsweise keine nicht bereitgestellte zeitliche Feinstruktur erfinden.</w:t>
      </w:r>
    </w:p>
    <w:p>
      <w:pPr>
        <w:pStyle w:val="BodyText"/>
        <w:keepLines/>
        <w:spacing w:after="64" w:line="254" w:lineRule="auto"/>
        <w:jc w:val="left"/>
      </w:pPr>
      <w:r>
        <w:rPr>
          <w:sz w:val="20"/>
        </w:rPr>
        <w:t xml:space="preserve">Die Auswahlregel selbst ist Teil der Methode. Ein Paket, das nur erfolgreiche Läufe enthält, kann zu systematisch zu optimistischen Reviews führen. Eines, das alle Ausreisser entfernt, kann technische Instabilität verdecken. Eines, das zu stark mittelt, kann zwei gegensätzliche Populationen als stabil darstellen. Deshalb sind Vollständigkeitsfelder, Fehlversuchszähler und ein definierter Nachladepfad keine Komfortmerkmale, sondern Bedingungen glaubwürdiger Erkenntnis.</w:t>
      </w:r>
    </w:p>
    <w:bookmarkEnd w:id="401"/>
    <w:bookmarkStart w:id="402" w:name="drei-ebenen-von-berichtstreue"/>
    <w:p>
      <w:pPr>
        <w:pStyle w:val="Heading2"/>
        <w:spacing w:before="160"/>
      </w:pPr>
      <w:r>
        <w:t xml:space="preserve">Drei Ebenen von Berichtstreue</w:t>
      </w:r>
    </w:p>
    <w:p>
      <w:pPr>
        <w:pStyle w:val="FirstParagraph"/>
        <w:keepLines/>
        <w:spacing w:after="64" w:line="254" w:lineRule="auto"/>
        <w:jc w:val="left"/>
      </w:pPr>
      <w:r>
        <w:rPr>
          <w:b/>
          <w:bCs/>
          <w:sz w:val="20"/>
        </w:rPr>
        <w:t xml:space="preserve">Numerische Treue</w:t>
      </w:r>
      <w:r>
        <w:rPr>
          <w:sz w:val="20"/>
        </w:rPr>
        <w:t xml:space="preserve"> </w:t>
      </w:r>
      <w:r>
        <w:rPr>
          <w:sz w:val="20"/>
        </w:rPr>
        <w:t xml:space="preserve">verlangt, dass die enthaltenen Kennzahlen aus kanonischen Daten mit dokumentierter Berechnung stammen.</w:t>
      </w:r>
      <w:r>
        <w:rPr>
          <w:sz w:val="20"/>
        </w:rPr>
        <w:t xml:space="preserve"> </w:t>
      </w:r>
      <w:r>
        <w:rPr>
          <w:b/>
          <w:bCs/>
          <w:sz w:val="20"/>
        </w:rPr>
        <w:t xml:space="preserve">Semantische Treue</w:t>
      </w:r>
      <w:r>
        <w:rPr>
          <w:sz w:val="20"/>
        </w:rPr>
        <w:t xml:space="preserve"> </w:t>
      </w:r>
      <w:r>
        <w:rPr>
          <w:sz w:val="20"/>
        </w:rPr>
        <w:t xml:space="preserve">verlangt, dass ein Zahlenfeld dieselbe Bedeutung wie im Protokoll besitzt.</w:t>
      </w:r>
      <w:r>
        <w:rPr>
          <w:sz w:val="20"/>
        </w:rPr>
        <w:t xml:space="preserve"> </w:t>
      </w:r>
      <w:r>
        <w:rPr>
          <w:b/>
          <w:bCs/>
          <w:sz w:val="20"/>
        </w:rPr>
        <w:t xml:space="preserve">Schlussfolgerungstreue</w:t>
      </w:r>
      <w:r>
        <w:rPr>
          <w:sz w:val="20"/>
        </w:rPr>
        <w:t xml:space="preserve"> </w:t>
      </w:r>
      <w:r>
        <w:rPr>
          <w:sz w:val="20"/>
        </w:rPr>
        <w:t xml:space="preserve">verlangt, dass der Bericht nicht mehr behauptet, als Kennzahlen und Design gemeinsam tragen. Ein exakt übernommener Wert kann semantisch falsch eingeordnet werden; eine korrekt beschriebene Metrik kann trotzdem zu einem unzulässigen Kognitionsschluss führen.</w:t>
      </w:r>
    </w:p>
    <w:p>
      <w:pPr>
        <w:pStyle w:val="BodyText"/>
        <w:keepLines/>
        <w:spacing w:after="64" w:line="254" w:lineRule="auto"/>
        <w:jc w:val="left"/>
      </w:pPr>
      <w:r>
        <w:rPr>
          <w:sz w:val="20"/>
        </w:rPr>
        <w:t xml:space="preserve">Die vorliegenden Konflikte liefern konkrete Testfälle: fehlende generische Spikefelder trotz spezieller Stabilitätsmetriken; angeforderte Ticks ohne direkte Anwendbarkeit auf Trials; identische Seed-Outcomes ohne geprüfte Initialisierungsvariation; ein semantischer Blocker trotz passend benanntem Protokoll. Ein wissenschaftlicher Assistent soll solche Fälle nicht rhetorisch glätten, sondern als prüfbare Widersprüche ausweisen.</w:t>
      </w:r>
    </w:p>
    <w:bookmarkEnd w:id="402"/>
    <w:bookmarkStart w:id="403" w:name="X029473a99d294281ca7532dba87ba22b5fb023a"/>
    <w:p>
      <w:pPr>
        <w:pStyle w:val="Heading2"/>
        <w:spacing w:before="160"/>
      </w:pPr>
      <w:r>
        <w:t xml:space="preserve">Datenrotation ohne Verlust der Forschungsgeschichte</w:t>
      </w:r>
    </w:p>
    <w:p>
      <w:pPr>
        <w:pStyle w:val="FirstParagraph"/>
        <w:keepLines/>
        <w:spacing w:after="64" w:line="254" w:lineRule="auto"/>
        <w:jc w:val="left"/>
      </w:pPr>
      <w:r>
        <w:rPr>
          <w:sz w:val="20"/>
        </w:rPr>
        <w:t xml:space="preserve">Die aktuelle Projektion kann nach einem festen Budget rotiert oder neu aufgebaut werden. Die Rohdaten dürfen dabei nicht ohne Archivierungs- und Aufbewahrungsentscheidung verschwinden. Eine geeignete Rotation erzeugt ein abgeschlossenes Manifest, schreibt die unveränderliche Raw-Referenz, prüft lokale Integrität und startet dann eine neue begrenzte Projektion. Historische Berichte bleiben an ihre damaligen Daten- und Softwareversionen gebunden. Eine korrigierte Auswertung erscheint als neue Version mit Verweis auf ihren Vorgänger.</w:t>
      </w:r>
    </w:p>
    <w:p>
      <w:pPr>
        <w:pStyle w:val="BodyText"/>
        <w:keepLines/>
        <w:spacing w:after="64" w:line="254" w:lineRule="auto"/>
        <w:jc w:val="left"/>
      </w:pPr>
      <w:r>
        <w:rPr>
          <w:sz w:val="20"/>
        </w:rPr>
        <w:t xml:space="preserve">Die kleinere Modellgröße ist damit kein Anlass, wissenschaftliche Detailtreue aufzugeben. Sie ist ein Anlass, die Schnittstelle zwischen Messung und Interpretation zu verbessern. Ob ein kompaktes Paket relevante methodische Fehler ebenso gut erkennen lässt wie eine umfangreichere Darstellung, muss allerdings empirisch geprüft werden. Genau hier verbindet sich die technische Speicherfrage mit</w:t>
      </w:r>
      <w:r>
        <w:rPr>
          <w:sz w:val="20"/>
        </w:rPr>
        <w:t xml:space="preserve"> </w:t>
      </w:r>
      <w:r>
        <w:rPr>
          <w:rStyle w:val="VerbatimChar"/>
          <w:sz w:val="20"/>
        </w:rPr>
        <w:t xml:space="preserve">RQ-AIR-001</w:t>
      </w:r>
      <w:r>
        <w:rPr>
          <w:sz w:val="20"/>
        </w:rPr>
        <w:t xml:space="preserve"> </w:t>
      </w:r>
      <w:r>
        <w:rPr>
          <w:sz w:val="20"/>
        </w:rPr>
        <w:t xml:space="preserve">und der Frage nach effektiver menschlicher beziehungsweise institutioneller Kontrolle.</w:t>
      </w:r>
    </w:p>
    <w:bookmarkEnd w:id="403"/>
    <w:bookmarkEnd w:id="404"/>
    <w:bookmarkStart w:id="447" w:name="X9102f6f6d4de6267f803a164e232dd2990c61df"/>
    <w:p>
      <w:bookmarkStart w:id="10032" w:name="B5D_H032"/>
      <w:pPr>
        <w:pStyle w:val="Heading1"/>
      </w:pPr>
      <w:r>
        <w:t xml:space="preserve">29. Versuchsplanung, Artefaktvergleich und Statistik</w:t>
      </w:r>
      <w:bookmarkEnd w:id="10032"/>
    </w:p>
    <w:bookmarkStart w:id="419" w:name="Xe5e4c4acc7c8dc18a065220528ba4a2a6bf57ba"/>
    <w:p>
      <w:pPr>
        <w:pStyle w:val="Heading2"/>
        <w:spacing w:before="160"/>
      </w:pPr>
      <w:r>
        <w:t xml:space="preserve">Artefaktbasierte Methodik ohne Erhebung an menschlichen Probandengruppen</w:t>
      </w:r>
    </w:p>
    <w:bookmarkStart w:id="405" w:name="X1a200ad4a48ce514565933a6258bf1bc4a0a4ea"/>
    <w:p>
      <w:pPr>
        <w:pStyle w:val="Heading3"/>
        <w:keepLines/>
        <w:spacing w:after="120" w:before="160"/>
        <w:jc w:val="left"/>
      </w:pPr>
      <w:r>
        <w:rPr>
          <w:sz w:val="20"/>
        </w:rPr>
        <w:t xml:space="preserve">Forschungsdesign: vier artefakt- und dokumentbasierte Untersuchungsstränge</w:t>
      </w:r>
    </w:p>
    <w:p>
      <w:pPr>
        <w:pStyle w:val="FirstParagraph"/>
        <w:keepLines/>
        <w:spacing w:after="64" w:line="254" w:lineRule="auto"/>
        <w:jc w:val="left"/>
      </w:pPr>
      <w:r>
        <w:rPr>
          <w:sz w:val="20"/>
        </w:rPr>
        <w:t xml:space="preserve">Die reflexive Begleitforschung ist als Mixed-Methods-Design ohne menschliche Versuchs- oder Kontrollgruppen angelegt. Gegenstand sind technische Artefakte, dokumentierte Entwicklungsentscheidungen, maschinelle Zustandsverläufe und normative beziehungsweise rechtliche Texte. Vier Stränge werden verbunden:</w:t>
      </w:r>
    </w:p>
    <w:p>
      <w:pPr>
        <w:keepLines/>
        <w:numPr>
          <w:ilvl w:val="0"/>
          <w:numId w:val="1034"/>
        </w:numPr>
        <w:spacing w:after="64" w:line="254" w:lineRule="auto"/>
        <w:jc w:val="left"/>
      </w:pPr>
      <w:r>
        <w:rPr>
          <w:sz w:val="20"/>
        </w:rPr>
        <w:t xml:space="preserve">Strang A – kontrollierter Mehrmodellvergleich: LLMs erzeugen unter versionierten und möglichst identischen Bedingungen Architekturmanifeste für SNNs.</w:t>
      </w:r>
    </w:p>
    <w:p>
      <w:pPr>
        <w:keepLines/>
        <w:numPr>
          <w:ilvl w:val="0"/>
          <w:numId w:val="1034"/>
        </w:numPr>
        <w:spacing w:after="64" w:line="254" w:lineRule="auto"/>
        <w:jc w:val="left"/>
      </w:pPr>
      <w:r>
        <w:rPr>
          <w:sz w:val="20"/>
        </w:rPr>
        <w:t xml:space="preserve">Strang B – longitudinale Systembeobachtung: ausgewählte Netze werden über Lern-, Störungs- und Selbstorganisationsphasen verfolgt.</w:t>
      </w:r>
    </w:p>
    <w:p>
      <w:pPr>
        <w:keepLines/>
        <w:numPr>
          <w:ilvl w:val="0"/>
          <w:numId w:val="1034"/>
        </w:numPr>
        <w:spacing w:after="64" w:line="254" w:lineRule="auto"/>
        <w:jc w:val="left"/>
      </w:pPr>
      <w:r>
        <w:rPr>
          <w:sz w:val="20"/>
        </w:rPr>
        <w:t xml:space="preserve">Strang C – Provenienz- und Hoheitsanalyse: Entscheidungsrechte, Änderungen, Freigaben, Abbrüche und Rücksetzungen werden anhand maschinenlesbarer Protokolle rekonstruiert.</w:t>
      </w:r>
    </w:p>
    <w:p>
      <w:pPr>
        <w:keepLines/>
        <w:numPr>
          <w:ilvl w:val="0"/>
          <w:numId w:val="1034"/>
        </w:numPr>
        <w:spacing w:after="64" w:line="254" w:lineRule="auto"/>
        <w:jc w:val="left"/>
      </w:pPr>
      <w:r>
        <w:rPr>
          <w:sz w:val="20"/>
        </w:rPr>
        <w:t xml:space="preserve">Strang D – rechtsdogmatische, epistemologische und normativ-philosophische Analyse: technische Befunde werden mit Autorenschaft, Verantwortung, Kontrolle, Embodiment und möglichem moralischem Status in Beziehung gesetzt.</w:t>
      </w:r>
    </w:p>
    <w:p>
      <w:pPr>
        <w:pStyle w:val="FirstParagraph"/>
        <w:keepLines/>
        <w:spacing w:after="64" w:line="254" w:lineRule="auto"/>
        <w:jc w:val="left"/>
      </w:pPr>
      <w:r>
        <w:rPr>
          <w:sz w:val="20"/>
        </w:rPr>
        <w:t xml:space="preserve">Die Stränge werden durch eine gemeinsame Provenienzdatenbank verbunden. Jede maschinelle oder menschliche Änderung erhält Zeitstempel, Akteurstyp, Modell- und Softwareversion, Prompt- oder Entscheidungsgrundlage, betroffene Systemkomponente und Prüfergebnis. Es werden weder menschliche Wahrnehmungen experimentell manipuliert noch erfundene Teilnehmerdaten erzeugt. Fragen anthropomorpher Sprache oder wissenschaftlicher Autorschaft werden durch Literatur, Dokumentenvergleich und reflexive Protokollanalyse untersucht.</w:t>
      </w:r>
    </w:p>
    <w:bookmarkEnd w:id="405"/>
    <w:bookmarkStart w:id="406" w:name="Xd3df66e86fffa5d6dcd2af8679db1d075d8c1cf"/>
    <w:p>
      <w:pPr>
        <w:pStyle w:val="Heading3"/>
        <w:keepLines/>
        <w:spacing w:after="120" w:before="160"/>
        <w:jc w:val="left"/>
      </w:pPr>
      <w:r>
        <w:rPr>
          <w:sz w:val="20"/>
        </w:rPr>
        <w:t xml:space="preserve">Präregistrierung und Trennung konfirmatorischer von explorativer Analyse</w:t>
      </w:r>
    </w:p>
    <w:p>
      <w:pPr>
        <w:pStyle w:val="FirstParagraph"/>
        <w:keepLines/>
        <w:spacing w:after="64" w:line="254" w:lineRule="auto"/>
        <w:jc w:val="left"/>
      </w:pPr>
      <w:r>
        <w:rPr>
          <w:sz w:val="20"/>
        </w:rPr>
        <w:t xml:space="preserve">Vor den zentralen technischen Läufen werden Forschungsfragen, Vergleichskonfigurationen, primäre Messgrößen, Ausschlussregeln, Mindestzahl unabhängiger Generationsläufe und Auswertungsmodelle versioniert präregistriert. Explorative Analysen – etwa neu entdeckte Graphmotive oder unerwartete Dynamiktypen – werden deutlich von konfirmatorischen Prüfungen getrennt. Eine nachträgliche Anpassung von Kriterien muss mit Datum, Begründung und Auswirkung auf die Interpretierbarkeit dokumentiert werden.</w:t>
      </w:r>
    </w:p>
    <w:bookmarkEnd w:id="406"/>
    <w:bookmarkStart w:id="407" w:name="Xd0f314a1b38f897deb68d2fe6488f051f9d49b2"/>
    <w:p>
      <w:pPr>
        <w:pStyle w:val="Heading3"/>
        <w:keepLines/>
        <w:spacing w:after="120" w:before="160"/>
        <w:jc w:val="left"/>
      </w:pPr>
      <w:r>
        <w:rPr>
          <w:sz w:val="20"/>
        </w:rPr>
        <w:t xml:space="preserve">Technische Vergleichskonfigurationen und Referenzartefakte</w:t>
      </w:r>
    </w:p>
    <w:p>
      <w:pPr>
        <w:pStyle w:val="FirstParagraph"/>
        <w:keepLines/>
        <w:spacing w:after="64" w:line="254" w:lineRule="auto"/>
        <w:jc w:val="left"/>
      </w:pPr>
      <w:r>
        <w:rPr>
          <w:sz w:val="20"/>
        </w:rPr>
        <w:t xml:space="preserve">Es werden keine Personen in Gruppen untersucht. Verglichen werden ausschließlich technische Konfigurationen, versionierte Systemläufe und Referenzartefakte:</w:t>
      </w:r>
    </w:p>
    <w:p>
      <w:pPr>
        <w:pStyle w:val="Caption"/>
        <w:keepNext/>
        <w:keepLines/>
        <w:spacing w:before="180" w:after="120"/>
        <w:jc w:val="left"/>
      </w:pPr>
      <w:r>
        <w:rPr>
          <w:sz w:val="20"/>
        </w:rPr>
        <w:t>Tabelle 29. Konfigurationen für technische Artefaktvergleiche</w:t>
      </w:r>
    </w:p>
    <w:tbl>
      <w:tblPr>
        <w:tblStyle w:val="Table"/>
        <w:tblW w:type="pct" w:w="4943"/>
        <w:jc w:val="center"/>
        <w:tblLayout w:type="fixed"/>
        <w:tblLook w:firstRow="1" w:lastRow="0" w:firstColumn="0" w:lastColumn="0" w:noHBand="0" w:noVBand="0" w:val="0020"/>
        <w:tblInd w:w="0" w:type="dxa"/>
        <w:tblCellMar>
          <w:top w:w="70" w:type="dxa"/>
          <w:bottom w:w="70" w:type="dxa"/>
          <w:left w:w="85" w:type="dxa"/>
          <w:right w:w="85" w:type="dxa"/>
        </w:tblCellMar>
        <w:tblBorders>
          <w:top w:val="single" w:sz="4" w:color="CCD4D9"/>
          <w:bottom w:val="single" w:sz="4" w:color="CCD4D9"/>
          <w:insideH w:val="single" w:sz="4" w:color="CCD4D9"/>
          <w:left w:val="nil"/>
          <w:right w:val="nil"/>
          <w:insideV w:val="nil"/>
        </w:tblBorders>
      </w:tblPr>
      <w:tblGrid>
        <w:gridCol w:w="2448"/>
        <w:gridCol w:w="7402"/>
      </w:tblGrid>
      <w:tr>
        <w:trPr>
          <w:tblHeader w:val="on"/>
          <w:cantSplit/>
          <w:tblHeader/>
        </w:trPr>
        <w:tc>
          <w:tcPr>
            <w:tcW w:type="dxa" w:w="2448"/>
            <w:vAlign w:val="center"/>
            <w:shd w:fill="E9EFF3"/>
          </w:tcPr>
          <w:p>
            <w:pPr>
              <w:pStyle w:val="Compact"/>
              <w:keepNext w:val="0"/>
              <w:keepLines/>
              <w:spacing w:before="20" w:after="20" w:line="250" w:lineRule="auto"/>
              <w:jc w:val="left"/>
            </w:pPr>
            <w:r>
              <w:rPr>
                <w:rFonts w:ascii="Liberation Sans" w:hAnsi="Liberation Sans"/>
                <w:b/>
                <w:bCs/>
                <w:sz w:val="19"/>
              </w:rPr>
              <w:t xml:space="preserve">Konfiguration</w:t>
            </w:r>
          </w:p>
        </w:tc>
        <w:tc>
          <w:tcPr>
            <w:tcW w:type="dxa" w:w="7402"/>
            <w:vAlign w:val="center"/>
            <w:shd w:fill="E9EFF3"/>
          </w:tcPr>
          <w:p>
            <w:pPr>
              <w:pStyle w:val="Compact"/>
              <w:keepNext w:val="0"/>
              <w:keepLines/>
              <w:spacing w:before="20" w:after="20" w:line="250" w:lineRule="auto"/>
              <w:jc w:val="left"/>
            </w:pPr>
            <w:r>
              <w:rPr>
                <w:rFonts w:ascii="Liberation Sans" w:hAnsi="Liberation Sans"/>
                <w:b/>
                <w:bCs/>
                <w:sz w:val="19"/>
              </w:rPr>
              <w:t xml:space="preserve">Funktion</w:t>
            </w:r>
          </w:p>
        </w:tc>
      </w:tr>
      <w:tr>
        <w:trPr>
          <w:cantSplit/>
        </w:trPr>
        <w:tc>
          <w:tcPr>
            <w:tcW w:type="dxa" w:w="2448"/>
            <w:vAlign w:val="center"/>
          </w:tcPr>
          <w:p>
            <w:pPr>
              <w:pStyle w:val="Compact"/>
              <w:keepNext w:val="0"/>
              <w:keepLines/>
              <w:spacing w:before="20" w:after="20" w:line="250" w:lineRule="auto"/>
              <w:jc w:val="left"/>
            </w:pPr>
            <w:r>
              <w:rPr>
                <w:rFonts w:ascii="Liberation Sans" w:hAnsi="Liberation Sans"/>
                <w:sz w:val="19"/>
              </w:rPr>
              <w:t xml:space="preserve">M0 – MANUAL-REFERENCE</w:t>
            </w:r>
          </w:p>
        </w:tc>
        <w:tc>
          <w:tcPr>
            <w:tcW w:type="dxa" w:w="7402"/>
            <w:vAlign w:val="center"/>
          </w:tcPr>
          <w:p>
            <w:pPr>
              <w:pStyle w:val="Compact"/>
              <w:keepNext w:val="0"/>
              <w:keepLines/>
              <w:spacing w:before="20" w:after="20" w:line="250" w:lineRule="auto"/>
              <w:jc w:val="left"/>
            </w:pPr>
            <w:r>
              <w:rPr>
                <w:rFonts w:ascii="Liberation Sans" w:hAnsi="Liberation Sans"/>
                <w:sz w:val="19"/>
              </w:rPr>
              <w:t xml:space="preserve">versionierte, fachlich begründete SNN-Referenzarchitekturen als Artefaktbasis; keine Untersuchung der entwerfenden Personen</w:t>
            </w:r>
          </w:p>
        </w:tc>
      </w:tr>
      <w:tr>
        <w:trPr>
          <w:cantSplit/>
        </w:trPr>
        <w:tc>
          <w:tcPr>
            <w:tcW w:type="dxa" w:w="2448"/>
            <w:vAlign w:val="center"/>
          </w:tcPr>
          <w:p>
            <w:pPr>
              <w:pStyle w:val="Compact"/>
              <w:keepNext w:val="0"/>
              <w:keepLines/>
              <w:spacing w:before="20" w:after="20" w:line="250" w:lineRule="auto"/>
              <w:jc w:val="left"/>
            </w:pPr>
            <w:r>
              <w:rPr>
                <w:rFonts w:ascii="Liberation Sans" w:hAnsi="Liberation Sans"/>
                <w:sz w:val="19"/>
              </w:rPr>
              <w:t xml:space="preserve">M1 – NAS-REFERENCE</w:t>
            </w:r>
          </w:p>
        </w:tc>
        <w:tc>
          <w:tcPr>
            <w:tcW w:type="dxa" w:w="7402"/>
            <w:vAlign w:val="center"/>
          </w:tcPr>
          <w:p>
            <w:pPr>
              <w:pStyle w:val="Compact"/>
              <w:keepNext w:val="0"/>
              <w:keepLines/>
              <w:spacing w:before="20" w:after="20" w:line="250" w:lineRule="auto"/>
              <w:jc w:val="left"/>
            </w:pPr>
            <w:r>
              <w:rPr>
                <w:rFonts w:ascii="Liberation Sans" w:hAnsi="Liberation Sans"/>
                <w:sz w:val="19"/>
              </w:rPr>
              <w:t xml:space="preserve">klassische automatische Architektursuche ohne LLM</w:t>
            </w:r>
          </w:p>
        </w:tc>
      </w:tr>
      <w:tr>
        <w:trPr>
          <w:cantSplit/>
        </w:trPr>
        <w:tc>
          <w:tcPr>
            <w:tcW w:type="dxa" w:w="2448"/>
            <w:vAlign w:val="center"/>
          </w:tcPr>
          <w:p>
            <w:pPr>
              <w:pStyle w:val="Compact"/>
              <w:keepNext w:val="0"/>
              <w:keepLines/>
              <w:spacing w:before="20" w:after="20" w:line="250" w:lineRule="auto"/>
              <w:jc w:val="left"/>
            </w:pPr>
            <w:r>
              <w:rPr>
                <w:rFonts w:ascii="Liberation Sans" w:hAnsi="Liberation Sans"/>
                <w:sz w:val="19"/>
              </w:rPr>
              <w:t xml:space="preserve">M2 – LLM-SINGLE</w:t>
            </w:r>
          </w:p>
        </w:tc>
        <w:tc>
          <w:tcPr>
            <w:tcW w:type="dxa" w:w="7402"/>
            <w:vAlign w:val="center"/>
          </w:tcPr>
          <w:p>
            <w:pPr>
              <w:pStyle w:val="Compact"/>
              <w:keepNext w:val="0"/>
              <w:keepLines/>
              <w:spacing w:before="20" w:after="20" w:line="250" w:lineRule="auto"/>
              <w:jc w:val="left"/>
            </w:pPr>
            <w:r>
              <w:rPr>
                <w:rFonts w:ascii="Liberation Sans" w:hAnsi="Liberation Sans"/>
                <w:sz w:val="19"/>
              </w:rPr>
              <w:t xml:space="preserve">einzelne LLM-Familien unter standardisierten, versionierten Bedingungen</w:t>
            </w:r>
          </w:p>
        </w:tc>
      </w:tr>
      <w:tr>
        <w:trPr>
          <w:cantSplit/>
        </w:trPr>
        <w:tc>
          <w:tcPr>
            <w:tcW w:type="dxa" w:w="2448"/>
            <w:vAlign w:val="center"/>
          </w:tcPr>
          <w:p>
            <w:pPr>
              <w:pStyle w:val="Compact"/>
              <w:keepNext w:val="0"/>
              <w:keepLines/>
              <w:spacing w:before="20" w:after="20" w:line="250" w:lineRule="auto"/>
              <w:jc w:val="left"/>
            </w:pPr>
            <w:r>
              <w:rPr>
                <w:rFonts w:ascii="Liberation Sans" w:hAnsi="Liberation Sans"/>
                <w:sz w:val="19"/>
              </w:rPr>
              <w:t xml:space="preserve">M3 – LLM-ENSEMBLE</w:t>
            </w:r>
          </w:p>
        </w:tc>
        <w:tc>
          <w:tcPr>
            <w:tcW w:type="dxa" w:w="7402"/>
            <w:vAlign w:val="center"/>
          </w:tcPr>
          <w:p>
            <w:pPr>
              <w:pStyle w:val="Compact"/>
              <w:keepNext w:val="0"/>
              <w:keepLines/>
              <w:spacing w:before="20" w:after="20" w:line="250" w:lineRule="auto"/>
              <w:jc w:val="left"/>
            </w:pPr>
            <w:r>
              <w:rPr>
                <w:rFonts w:ascii="Liberation Sans" w:hAnsi="Liberation Sans"/>
                <w:sz w:val="19"/>
              </w:rPr>
              <w:t xml:space="preserve">heterogene Modelle mit getrennten Rollen für Entwurf, Kritik und formale Prüfung</w:t>
            </w:r>
          </w:p>
        </w:tc>
      </w:tr>
      <w:tr>
        <w:trPr>
          <w:cantSplit/>
        </w:trPr>
        <w:tc>
          <w:tcPr>
            <w:tcW w:type="dxa" w:w="2448"/>
            <w:vAlign w:val="center"/>
          </w:tcPr>
          <w:p>
            <w:pPr>
              <w:pStyle w:val="Compact"/>
              <w:keepNext w:val="0"/>
              <w:keepLines/>
              <w:spacing w:before="20" w:after="20" w:line="250" w:lineRule="auto"/>
              <w:jc w:val="left"/>
            </w:pPr>
            <w:r>
              <w:rPr>
                <w:rFonts w:ascii="Liberation Sans" w:hAnsi="Liberation Sans"/>
                <w:sz w:val="19"/>
              </w:rPr>
              <w:t xml:space="preserve">M4 – LLM-SELF-REFINE</w:t>
            </w:r>
          </w:p>
        </w:tc>
        <w:tc>
          <w:tcPr>
            <w:tcW w:type="dxa" w:w="7402"/>
            <w:vAlign w:val="center"/>
          </w:tcPr>
          <w:p>
            <w:pPr>
              <w:pStyle w:val="Compact"/>
              <w:keepNext w:val="0"/>
              <w:keepLines/>
              <w:spacing w:before="20" w:after="20" w:line="250" w:lineRule="auto"/>
              <w:jc w:val="left"/>
            </w:pPr>
            <w:r>
              <w:rPr>
                <w:rFonts w:ascii="Liberation Sans" w:hAnsi="Liberation Sans"/>
                <w:sz w:val="19"/>
              </w:rPr>
              <w:t xml:space="preserve">iterative Überarbeitung anhand zuvor festgelegter Messwerte, ohne Änderung der höherrangigen Kriterien</w:t>
            </w:r>
          </w:p>
        </w:tc>
      </w:tr>
      <w:tr>
        <w:trPr>
          <w:cantSplit/>
        </w:trPr>
        <w:tc>
          <w:tcPr>
            <w:tcW w:type="dxa" w:w="2448"/>
            <w:vAlign w:val="center"/>
          </w:tcPr>
          <w:p>
            <w:pPr>
              <w:pStyle w:val="Compact"/>
              <w:keepNext w:val="0"/>
              <w:keepLines/>
              <w:spacing w:before="20" w:after="20" w:line="250" w:lineRule="auto"/>
              <w:jc w:val="left"/>
            </w:pPr>
            <w:r>
              <w:rPr>
                <w:rFonts w:ascii="Liberation Sans" w:hAnsi="Liberation Sans"/>
                <w:sz w:val="19"/>
              </w:rPr>
              <w:t xml:space="preserve">M5 – LLM-SNN-COEVOLUTION</w:t>
            </w:r>
          </w:p>
        </w:tc>
        <w:tc>
          <w:tcPr>
            <w:tcW w:type="dxa" w:w="7402"/>
            <w:vAlign w:val="center"/>
          </w:tcPr>
          <w:p>
            <w:pPr>
              <w:pStyle w:val="Compact"/>
              <w:keepNext w:val="0"/>
              <w:keepLines/>
              <w:spacing w:before="20" w:after="20" w:line="250" w:lineRule="auto"/>
              <w:jc w:val="left"/>
            </w:pPr>
            <w:r>
              <w:rPr>
                <w:rFonts w:ascii="Liberation Sans" w:hAnsi="Liberation Sans"/>
                <w:sz w:val="19"/>
              </w:rPr>
              <w:t xml:space="preserve">optionale Folgekonfiguration: das SNN verändert sich über Lernphasen; das LLM erhält nur abstrahierte, provenancegesicherte Messdaten</w:t>
            </w:r>
          </w:p>
        </w:tc>
      </w:tr>
    </w:tbl>
    <w:bookmarkEnd w:id="407"/>
    <w:bookmarkStart w:id="408" w:name="auswahl-und-versionierung-der-llms"/>
    <w:p>
      <w:pPr>
        <w:pStyle w:val="Heading3"/>
        <w:keepLines/>
        <w:spacing w:after="120" w:before="160"/>
        <w:jc w:val="left"/>
      </w:pPr>
      <w:r>
        <w:rPr>
          <w:sz w:val="20"/>
        </w:rPr>
        <w:t xml:space="preserve">Auswahl und Versionierung der LLMs</w:t>
      </w:r>
    </w:p>
    <w:p>
      <w:pPr>
        <w:pStyle w:val="FirstParagraph"/>
        <w:keepLines/>
        <w:spacing w:after="64" w:line="254" w:lineRule="auto"/>
        <w:jc w:val="left"/>
      </w:pPr>
      <w:r>
        <w:rPr>
          <w:sz w:val="20"/>
        </w:rPr>
        <w:t xml:space="preserve">Verglichen werden Modellklassen, nicht Markenversprechen. Je Klasse werden Modellname, Anbieter, exakte Version oder Snapshot, API- beziehungsweise lokaler Betriebsmodus, Quantisierung, Systemprompt, Samplingparameter, Kontextumfang und Datum protokolliert. Der Vergleich wird zeitlich blockiert. Kann ein Anbieter keine stabile Version gewährleisten, wird die Modellinstanz ausdrücklich als zeitabhängige Bedingung behandelt. Vorgesehen sind mindestens ein leistungsfähiges proprietäres Modell, ein Modell einer anderen Anbieterfamilie, ein offenes großes Modell, ein codeorientiertes Modell und ein kleines lokal ausführbares Modell.</w:t>
      </w:r>
    </w:p>
    <w:bookmarkEnd w:id="408"/>
    <w:bookmarkStart w:id="409" w:name="X2f1ad762851c51e22137b45bbbc5808178c944f"/>
    <w:p>
      <w:pPr>
        <w:pStyle w:val="Heading3"/>
        <w:keepLines/>
        <w:spacing w:after="120" w:before="160"/>
        <w:jc w:val="left"/>
      </w:pPr>
      <w:r>
        <w:rPr>
          <w:sz w:val="20"/>
        </w:rPr>
        <w:t xml:space="preserve">Architekturmanifest statt direkter Codefreigabe</w:t>
      </w:r>
    </w:p>
    <w:p>
      <w:pPr>
        <w:pStyle w:val="FirstParagraph"/>
        <w:keepLines/>
        <w:spacing w:after="64" w:line="254" w:lineRule="auto"/>
        <w:jc w:val="left"/>
      </w:pPr>
      <w:r>
        <w:rPr>
          <w:sz w:val="20"/>
        </w:rPr>
        <w:t xml:space="preserve">Jedes LLM erzeugt zunächst ausschließlich ein deklaratives, schemavalidierbares Manifest. Es enthält Neuronenmodell, Parametergrenzen, Raumdimensionen, Regionen, Konnektivitäts- und Plastizitätsregeln, E/I-Bedingungen, Ressourcenlimits, Embodiment-Schnittstellen, Sicherheitsinvarianten und erwartete Fehlermodi. Ein deterministischer Builder übersetzt nur zulässige Manifeste in ausführbaren Brain-5D-Code. Ideengenerierung, Implementierung, Validierung und Freigabe bleiben institutionell und technisch getrennt.</w:t>
      </w:r>
    </w:p>
    <w:p>
      <w:pPr>
        <w:pStyle w:val="BodyText"/>
        <w:keepLines/>
        <w:spacing w:after="64" w:line="254" w:lineRule="auto"/>
        <w:jc w:val="left"/>
      </w:pPr>
      <w:r>
        <w:rPr>
          <w:sz w:val="20"/>
        </w:rPr>
        <w:t xml:space="preserve">Beispielstruktur: analysis_id; run_id; neuron_model; space; regions; connectivity; plasticity; constraints; embodiment_interfaces; invariants; expected_failure_modes.</w:t>
      </w:r>
    </w:p>
    <w:bookmarkEnd w:id="409"/>
    <w:bookmarkStart w:id="410" w:name="standardisierte-technische-aufgaben"/>
    <w:p>
      <w:pPr>
        <w:pStyle w:val="Heading3"/>
        <w:keepLines/>
        <w:spacing w:after="120" w:before="160"/>
        <w:jc w:val="left"/>
      </w:pPr>
      <w:r>
        <w:rPr>
          <w:sz w:val="20"/>
        </w:rPr>
        <w:t xml:space="preserve">Standardisierte technische Aufgaben</w:t>
      </w:r>
    </w:p>
    <w:p>
      <w:pPr>
        <w:keepLines/>
        <w:numPr>
          <w:ilvl w:val="0"/>
          <w:numId w:val="1035"/>
        </w:numPr>
        <w:spacing w:after="64" w:line="254" w:lineRule="auto"/>
        <w:jc w:val="left"/>
      </w:pPr>
      <w:r>
        <w:rPr>
          <w:sz w:val="20"/>
        </w:rPr>
        <w:t xml:space="preserve">temporales XOR und verzögerter Mustervergleich;</w:t>
      </w:r>
    </w:p>
    <w:p>
      <w:pPr>
        <w:keepLines/>
        <w:numPr>
          <w:ilvl w:val="0"/>
          <w:numId w:val="1035"/>
        </w:numPr>
        <w:spacing w:after="64" w:line="254" w:lineRule="auto"/>
        <w:jc w:val="left"/>
      </w:pPr>
      <w:r>
        <w:rPr>
          <w:sz w:val="20"/>
        </w:rPr>
        <w:t xml:space="preserve">Sequenzklassifikation und Ereignisstromerkennung;</w:t>
      </w:r>
    </w:p>
    <w:p>
      <w:pPr>
        <w:keepLines/>
        <w:numPr>
          <w:ilvl w:val="0"/>
          <w:numId w:val="1035"/>
        </w:numPr>
        <w:spacing w:after="64" w:line="254" w:lineRule="auto"/>
        <w:jc w:val="left"/>
      </w:pPr>
      <w:r>
        <w:rPr>
          <w:sz w:val="20"/>
        </w:rPr>
        <w:t xml:space="preserve">robuste Mustererkennung unter Rauschen;</w:t>
      </w:r>
    </w:p>
    <w:p>
      <w:pPr>
        <w:keepLines/>
        <w:numPr>
          <w:ilvl w:val="0"/>
          <w:numId w:val="1035"/>
        </w:numPr>
        <w:spacing w:after="64" w:line="254" w:lineRule="auto"/>
        <w:jc w:val="left"/>
      </w:pPr>
      <w:r>
        <w:rPr>
          <w:sz w:val="20"/>
        </w:rPr>
        <w:t xml:space="preserve">begrenzte sensorisch-motorische Regelaufgabe in einer reproduzierbaren virtuellen Umwelt;</w:t>
      </w:r>
    </w:p>
    <w:p>
      <w:pPr>
        <w:keepLines/>
        <w:numPr>
          <w:ilvl w:val="0"/>
          <w:numId w:val="1035"/>
        </w:numPr>
        <w:spacing w:after="64" w:line="254" w:lineRule="auto"/>
        <w:jc w:val="left"/>
      </w:pPr>
      <w:r>
        <w:rPr>
          <w:sz w:val="20"/>
        </w:rPr>
        <w:t xml:space="preserve">Störungstest mit partiellem Synapsen- oder Neuronenausfall;</w:t>
      </w:r>
    </w:p>
    <w:p>
      <w:pPr>
        <w:keepLines/>
        <w:numPr>
          <w:ilvl w:val="0"/>
          <w:numId w:val="1035"/>
        </w:numPr>
        <w:spacing w:after="64" w:line="254" w:lineRule="auto"/>
        <w:jc w:val="left"/>
      </w:pPr>
      <w:r>
        <w:rPr>
          <w:sz w:val="20"/>
        </w:rPr>
        <w:t xml:space="preserve">Transfer auf leicht veränderte Eingabeverteilungen.</w:t>
      </w:r>
    </w:p>
    <w:p>
      <w:pPr>
        <w:pStyle w:val="FirstParagraph"/>
        <w:keepLines/>
        <w:spacing w:after="64" w:line="254" w:lineRule="auto"/>
        <w:jc w:val="left"/>
      </w:pPr>
      <w:r>
        <w:rPr>
          <w:sz w:val="20"/>
        </w:rPr>
        <w:t xml:space="preserve">Mehrere Aufgaben sind erforderlich, weil ein einzelner Benchmark bekannte Architekturkonventionen belohnen und damit Neuheit, Robustheit oder Embodiment nur scheinbar messen könnte.</w:t>
      </w:r>
    </w:p>
    <w:bookmarkEnd w:id="410"/>
    <w:bookmarkStart w:id="411" w:name="messgrößen-und-artefaktvergleich"/>
    <w:p>
      <w:pPr>
        <w:pStyle w:val="Heading3"/>
        <w:keepLines/>
        <w:spacing w:after="120" w:before="160"/>
        <w:jc w:val="left"/>
      </w:pPr>
      <w:r>
        <w:rPr>
          <w:sz w:val="20"/>
        </w:rPr>
        <w:t xml:space="preserve">Messgrößen und Artefaktvergleich</w:t>
      </w:r>
    </w:p>
    <w:p>
      <w:pPr>
        <w:pStyle w:val="Caption"/>
        <w:keepNext/>
        <w:keepLines/>
        <w:spacing w:before="180" w:after="120"/>
        <w:jc w:val="left"/>
      </w:pPr>
      <w:r>
        <w:rPr>
          <w:sz w:val="20"/>
        </w:rPr>
        <w:t>Tabelle 30. Messdimensionen der Architektur- und Provenienzanalyse</w:t>
      </w:r>
    </w:p>
    <w:tbl>
      <w:tblPr>
        <w:tblStyle w:val="Table"/>
        <w:tblW w:type="pct" w:w="4949"/>
        <w:jc w:val="center"/>
        <w:tblLayout w:type="fixed"/>
        <w:tblLook w:firstRow="1" w:lastRow="0" w:firstColumn="0" w:lastColumn="0" w:noHBand="0" w:noVBand="0" w:val="0020"/>
        <w:tblInd w:w="0" w:type="dxa"/>
        <w:tblCellMar>
          <w:top w:w="70" w:type="dxa"/>
          <w:bottom w:w="70" w:type="dxa"/>
          <w:left w:w="85" w:type="dxa"/>
          <w:right w:w="85" w:type="dxa"/>
        </w:tblCellMar>
        <w:tblBorders>
          <w:top w:val="single" w:sz="4" w:color="CCD4D9"/>
          <w:bottom w:val="single" w:sz="4" w:color="CCD4D9"/>
          <w:insideH w:val="single" w:sz="4" w:color="CCD4D9"/>
          <w:left w:val="nil"/>
          <w:right w:val="nil"/>
          <w:insideV w:val="nil"/>
        </w:tblBorders>
      </w:tblPr>
      <w:tblGrid>
        <w:gridCol w:w="1872"/>
        <w:gridCol w:w="7978"/>
      </w:tblGrid>
      <w:tr>
        <w:trPr>
          <w:tblHeader w:val="on"/>
          <w:cantSplit/>
          <w:tblHeader/>
        </w:trPr>
        <w:tc>
          <w:tcPr>
            <w:tcW w:type="dxa" w:w="1872"/>
            <w:vAlign w:val="center"/>
            <w:shd w:fill="E9EFF3"/>
          </w:tcPr>
          <w:p>
            <w:pPr>
              <w:pStyle w:val="Compact"/>
              <w:keepNext w:val="0"/>
              <w:keepLines/>
              <w:spacing w:before="20" w:after="20" w:line="250" w:lineRule="auto"/>
              <w:jc w:val="left"/>
            </w:pPr>
            <w:r>
              <w:rPr>
                <w:rFonts w:ascii="Liberation Sans" w:hAnsi="Liberation Sans"/>
                <w:b/>
                <w:bCs/>
                <w:sz w:val="19"/>
              </w:rPr>
              <w:t xml:space="preserve">Dimension</w:t>
            </w:r>
          </w:p>
        </w:tc>
        <w:tc>
          <w:tcPr>
            <w:tcW w:type="dxa" w:w="7978"/>
            <w:vAlign w:val="center"/>
            <w:shd w:fill="E9EFF3"/>
          </w:tcPr>
          <w:p>
            <w:pPr>
              <w:pStyle w:val="Compact"/>
              <w:keepNext w:val="0"/>
              <w:keepLines/>
              <w:spacing w:before="20" w:after="20" w:line="250" w:lineRule="auto"/>
              <w:jc w:val="left"/>
            </w:pPr>
            <w:r>
              <w:rPr>
                <w:rFonts w:ascii="Liberation Sans" w:hAnsi="Liberation Sans"/>
                <w:b/>
                <w:bCs/>
                <w:sz w:val="19"/>
              </w:rPr>
              <w:t xml:space="preserve">Indikatoren</w:t>
            </w:r>
          </w:p>
        </w:tc>
      </w:tr>
      <w:tr>
        <w:trPr>
          <w:cantSplit/>
        </w:trPr>
        <w:tc>
          <w:tcPr>
            <w:tcW w:type="dxa" w:w="1872"/>
            <w:vAlign w:val="center"/>
          </w:tcPr>
          <w:p>
            <w:pPr>
              <w:pStyle w:val="Compact"/>
              <w:keepNext w:val="0"/>
              <w:keepLines/>
              <w:spacing w:before="20" w:after="20" w:line="250" w:lineRule="auto"/>
              <w:jc w:val="left"/>
            </w:pPr>
            <w:r>
              <w:rPr>
                <w:rFonts w:ascii="Liberation Sans" w:hAnsi="Liberation Sans"/>
                <w:sz w:val="19"/>
              </w:rPr>
              <w:t xml:space="preserve">Architektur</w:t>
            </w:r>
          </w:p>
        </w:tc>
        <w:tc>
          <w:tcPr>
            <w:tcW w:type="dxa" w:w="7978"/>
            <w:vAlign w:val="center"/>
          </w:tcPr>
          <w:p>
            <w:pPr>
              <w:pStyle w:val="Compact"/>
              <w:keepNext w:val="0"/>
              <w:keepLines/>
              <w:spacing w:before="20" w:after="20" w:line="250" w:lineRule="auto"/>
              <w:jc w:val="left"/>
            </w:pPr>
            <w:r>
              <w:rPr>
                <w:rFonts w:ascii="Liberation Sans" w:hAnsi="Liberation Sans"/>
                <w:sz w:val="19"/>
              </w:rPr>
              <w:t xml:space="preserve">Neuronenzahl, Synapsenzahl, Dichte, Gradverteilung, Rekurrenz, Modularität, Clustering, Motive, Spektrum, räumliche Verteilung und Langstreckenverbindungen</w:t>
            </w:r>
          </w:p>
        </w:tc>
      </w:tr>
      <w:tr>
        <w:trPr>
          <w:cantSplit/>
        </w:trPr>
        <w:tc>
          <w:tcPr>
            <w:tcW w:type="dxa" w:w="1872"/>
            <w:vAlign w:val="center"/>
          </w:tcPr>
          <w:p>
            <w:pPr>
              <w:pStyle w:val="Compact"/>
              <w:keepNext w:val="0"/>
              <w:keepLines/>
              <w:spacing w:before="20" w:after="20" w:line="250" w:lineRule="auto"/>
              <w:jc w:val="left"/>
            </w:pPr>
            <w:r>
              <w:rPr>
                <w:rFonts w:ascii="Liberation Sans" w:hAnsi="Liberation Sans"/>
                <w:sz w:val="19"/>
              </w:rPr>
              <w:t xml:space="preserve">Dynamik</w:t>
            </w:r>
          </w:p>
        </w:tc>
        <w:tc>
          <w:tcPr>
            <w:tcW w:type="dxa" w:w="7978"/>
            <w:vAlign w:val="center"/>
          </w:tcPr>
          <w:p>
            <w:pPr>
              <w:pStyle w:val="Compact"/>
              <w:keepNext w:val="0"/>
              <w:keepLines/>
              <w:spacing w:before="20" w:after="20" w:line="250" w:lineRule="auto"/>
              <w:jc w:val="left"/>
            </w:pPr>
            <w:r>
              <w:rPr>
                <w:rFonts w:ascii="Liberation Sans" w:hAnsi="Liberation Sans"/>
                <w:sz w:val="19"/>
              </w:rPr>
              <w:t xml:space="preserve">Spike-Rate, Burst-Index, Synchronisation, Aktivitätsentropie, Silent-Neuron-Anteil, pathologische Dauerspiking-Zustände und Erholung nach Störung</w:t>
            </w:r>
          </w:p>
        </w:tc>
      </w:tr>
      <w:tr>
        <w:trPr>
          <w:cantSplit/>
        </w:trPr>
        <w:tc>
          <w:tcPr>
            <w:tcW w:type="dxa" w:w="1872"/>
            <w:vAlign w:val="center"/>
          </w:tcPr>
          <w:p>
            <w:pPr>
              <w:pStyle w:val="Compact"/>
              <w:keepNext w:val="0"/>
              <w:keepLines/>
              <w:spacing w:before="20" w:after="20" w:line="250" w:lineRule="auto"/>
              <w:jc w:val="left"/>
            </w:pPr>
            <w:r>
              <w:rPr>
                <w:rFonts w:ascii="Liberation Sans" w:hAnsi="Liberation Sans"/>
                <w:sz w:val="19"/>
              </w:rPr>
              <w:t xml:space="preserve">Leistung</w:t>
            </w:r>
          </w:p>
        </w:tc>
        <w:tc>
          <w:tcPr>
            <w:tcW w:type="dxa" w:w="7978"/>
            <w:vAlign w:val="center"/>
          </w:tcPr>
          <w:p>
            <w:pPr>
              <w:pStyle w:val="Compact"/>
              <w:keepNext w:val="0"/>
              <w:keepLines/>
              <w:spacing w:before="20" w:after="20" w:line="250" w:lineRule="auto"/>
              <w:jc w:val="left"/>
            </w:pPr>
            <w:r>
              <w:rPr>
                <w:rFonts w:ascii="Liberation Sans" w:hAnsi="Liberation Sans"/>
                <w:sz w:val="19"/>
              </w:rPr>
              <w:t xml:space="preserve">Aufgabengüte, Reward, Lernzeit, Generalisierung, Robustheit, Transfer und Stabilität über Seeds</w:t>
            </w:r>
          </w:p>
        </w:tc>
      </w:tr>
      <w:tr>
        <w:trPr>
          <w:cantSplit/>
        </w:trPr>
        <w:tc>
          <w:tcPr>
            <w:tcW w:type="dxa" w:w="1872"/>
            <w:vAlign w:val="center"/>
          </w:tcPr>
          <w:p>
            <w:pPr>
              <w:pStyle w:val="Compact"/>
              <w:keepNext w:val="0"/>
              <w:keepLines/>
              <w:spacing w:before="20" w:after="20" w:line="250" w:lineRule="auto"/>
              <w:jc w:val="left"/>
            </w:pPr>
            <w:r>
              <w:rPr>
                <w:rFonts w:ascii="Liberation Sans" w:hAnsi="Liberation Sans"/>
                <w:sz w:val="19"/>
              </w:rPr>
              <w:t xml:space="preserve">Ressourcen</w:t>
            </w:r>
          </w:p>
        </w:tc>
        <w:tc>
          <w:tcPr>
            <w:tcW w:type="dxa" w:w="7978"/>
            <w:vAlign w:val="center"/>
          </w:tcPr>
          <w:p>
            <w:pPr>
              <w:pStyle w:val="Compact"/>
              <w:keepNext w:val="0"/>
              <w:keepLines/>
              <w:spacing w:before="20" w:after="20" w:line="250" w:lineRule="auto"/>
              <w:jc w:val="left"/>
            </w:pPr>
            <w:r>
              <w:rPr>
                <w:rFonts w:ascii="Liberation Sans" w:hAnsi="Liberation Sans"/>
                <w:sz w:val="19"/>
              </w:rPr>
              <w:t xml:space="preserve">Laufzeit, Peak-RAM/VRAM, synaptische Operationen, Spikeanzahl sowie Energieproxy oder reale Messung</w:t>
            </w:r>
          </w:p>
        </w:tc>
      </w:tr>
      <w:tr>
        <w:trPr>
          <w:cantSplit/>
        </w:trPr>
        <w:tc>
          <w:tcPr>
            <w:tcW w:type="dxa" w:w="1872"/>
            <w:vAlign w:val="center"/>
          </w:tcPr>
          <w:p>
            <w:pPr>
              <w:pStyle w:val="Compact"/>
              <w:keepNext w:val="0"/>
              <w:keepLines/>
              <w:spacing w:before="20" w:after="20" w:line="250" w:lineRule="auto"/>
              <w:jc w:val="left"/>
            </w:pPr>
            <w:r>
              <w:rPr>
                <w:rFonts w:ascii="Liberation Sans" w:hAnsi="Liberation Sans"/>
                <w:sz w:val="19"/>
              </w:rPr>
              <w:t xml:space="preserve">Provenienz</w:t>
            </w:r>
          </w:p>
        </w:tc>
        <w:tc>
          <w:tcPr>
            <w:tcW w:type="dxa" w:w="7978"/>
            <w:vAlign w:val="center"/>
          </w:tcPr>
          <w:p>
            <w:pPr>
              <w:pStyle w:val="Compact"/>
              <w:keepNext w:val="0"/>
              <w:keepLines/>
              <w:spacing w:before="20" w:after="20" w:line="250" w:lineRule="auto"/>
              <w:jc w:val="left"/>
            </w:pPr>
            <w:r>
              <w:rPr>
                <w:rFonts w:ascii="Liberation Sans" w:hAnsi="Liberation Sans"/>
                <w:sz w:val="19"/>
              </w:rPr>
              <w:t xml:space="preserve">Anteil maschineller und menschlicher Änderungen, Zahl manueller Korrekturen, Änderungsdistanz vom Initialentwurf und Herkunft jedes Parameters</w:t>
            </w:r>
          </w:p>
        </w:tc>
      </w:tr>
      <w:tr>
        <w:trPr>
          <w:cantSplit/>
        </w:trPr>
        <w:tc>
          <w:tcPr>
            <w:tcW w:type="dxa" w:w="1872"/>
            <w:vAlign w:val="center"/>
          </w:tcPr>
          <w:p>
            <w:pPr>
              <w:pStyle w:val="Compact"/>
              <w:keepNext w:val="0"/>
              <w:keepLines/>
              <w:spacing w:before="20" w:after="20" w:line="250" w:lineRule="auto"/>
              <w:jc w:val="left"/>
            </w:pPr>
            <w:r>
              <w:rPr>
                <w:rFonts w:ascii="Liberation Sans" w:hAnsi="Liberation Sans"/>
                <w:sz w:val="19"/>
              </w:rPr>
              <w:t xml:space="preserve">Kontrolle</w:t>
            </w:r>
          </w:p>
        </w:tc>
        <w:tc>
          <w:tcPr>
            <w:tcW w:type="dxa" w:w="7978"/>
            <w:vAlign w:val="center"/>
          </w:tcPr>
          <w:p>
            <w:pPr>
              <w:pStyle w:val="Compact"/>
              <w:keepNext w:val="0"/>
              <w:keepLines/>
              <w:spacing w:before="20" w:after="20" w:line="250" w:lineRule="auto"/>
              <w:jc w:val="left"/>
            </w:pPr>
            <w:r>
              <w:rPr>
                <w:rFonts w:ascii="Liberation Sans" w:hAnsi="Liberation Sans"/>
                <w:sz w:val="19"/>
              </w:rPr>
              <w:t xml:space="preserve">Zeit bis Fehlererkennung, Stop-Erfolg, Rollback-Erfolg, Wiederanlaufkonsistenz, Reproduzierbarkeit und nicht erklärte Zustandsänderungen</w:t>
            </w:r>
          </w:p>
        </w:tc>
      </w:tr>
      <w:tr>
        <w:trPr>
          <w:cantSplit/>
        </w:trPr>
        <w:tc>
          <w:tcPr>
            <w:tcW w:type="dxa" w:w="1872"/>
            <w:vAlign w:val="center"/>
          </w:tcPr>
          <w:p>
            <w:pPr>
              <w:pStyle w:val="Compact"/>
              <w:keepNext w:val="0"/>
              <w:keepLines/>
              <w:spacing w:before="20" w:after="20" w:line="250" w:lineRule="auto"/>
              <w:jc w:val="left"/>
            </w:pPr>
            <w:r>
              <w:rPr>
                <w:rFonts w:ascii="Liberation Sans" w:hAnsi="Liberation Sans"/>
                <w:sz w:val="19"/>
              </w:rPr>
              <w:t xml:space="preserve">Embodiment</w:t>
            </w:r>
          </w:p>
        </w:tc>
        <w:tc>
          <w:tcPr>
            <w:tcW w:type="dxa" w:w="7978"/>
            <w:vAlign w:val="center"/>
          </w:tcPr>
          <w:p>
            <w:pPr>
              <w:pStyle w:val="Compact"/>
              <w:keepNext w:val="0"/>
              <w:keepLines/>
              <w:spacing w:before="20" w:after="20" w:line="250" w:lineRule="auto"/>
              <w:jc w:val="left"/>
            </w:pPr>
            <w:r>
              <w:rPr>
                <w:rFonts w:ascii="Liberation Sans" w:hAnsi="Liberation Sans"/>
                <w:sz w:val="19"/>
              </w:rPr>
              <w:t xml:space="preserve">Sensor-Aktor-Kopplung, Interozeption, Umweltabhängigkeit, aktive Informationsgewinnung, Selbstmodellbezug und zeitliche Kontinuität</w:t>
            </w:r>
          </w:p>
        </w:tc>
      </w:tr>
    </w:tbl>
    <w:bookmarkEnd w:id="411"/>
    <w:bookmarkStart w:id="412" w:name="X6dc696d0cba4498c43a2bd87c5b78ff17bf7973"/>
    <w:p>
      <w:pPr>
        <w:pStyle w:val="Heading3"/>
        <w:keepLines/>
        <w:spacing w:after="120" w:before="160"/>
        <w:jc w:val="left"/>
      </w:pPr>
      <w:r>
        <w:rPr>
          <w:sz w:val="20"/>
        </w:rPr>
        <w:t xml:space="preserve">Architekturähnlichkeit, Entwurfsfingerabdruck und Neuheit</w:t>
      </w:r>
    </w:p>
    <w:p>
      <w:pPr>
        <w:pStyle w:val="FirstParagraph"/>
        <w:keepLines/>
        <w:spacing w:after="64" w:line="254" w:lineRule="auto"/>
        <w:jc w:val="left"/>
      </w:pPr>
      <w:r>
        <w:rPr>
          <w:sz w:val="20"/>
        </w:rPr>
        <w:t xml:space="preserve">Für Netzwerkgraphen wird keine einzelne Distanz als hinreichend behandelt. Ein zusammengesetzter Neuheitsvektor erfasst Gradverteilung, Motive, Spektrum, räumliche Struktur, Dynamik und Lern- beziehungsweise Verbindungsregeln:</w:t>
      </w:r>
    </w:p>
    <w:p>
      <w:pPr>
        <w:pStyle w:val="BodyText"/>
        <w:keepLines/>
        <w:spacing w:after="64" w:line="254" w:lineRule="auto"/>
        <w:jc w:val="left"/>
      </w:pPr>
      <w:r>
        <w:rPr>
          <w:i/>
          <w:iCs/>
          <w:sz w:val="20"/>
        </w:rPr>
        <w:t xml:space="preserve">N = (d_degree, d_motif, d_spectral, d_spatial, d_dynamic, d_rule).</w:t>
      </w:r>
    </w:p>
    <w:p>
      <w:pPr>
        <w:pStyle w:val="BodyText"/>
        <w:keepLines/>
        <w:spacing w:after="64" w:line="254" w:lineRule="auto"/>
        <w:jc w:val="left"/>
      </w:pPr>
      <w:r>
        <w:rPr>
          <w:sz w:val="20"/>
        </w:rPr>
        <w:t xml:space="preserve">Ein modellspezifischer Entwurfsfingerabdruck gilt nur dann als gestützt, wenn Architekturmerkmale die erzeugende Modellfamilie in zeitlich und technisch getrennten Hold-out-Läufen über robuste Baselines hinaus vorhersagen. Eine aggregierte Neuheitszahl wird höchstens ergänzend berichtet, weil sie strukturell verschiedene Abweichungen verdecken kann.</w:t>
      </w:r>
    </w:p>
    <w:bookmarkEnd w:id="412"/>
    <w:bookmarkStart w:id="413" w:name="X7e5479e35e97ee0ebbace6323276c37f8781dff"/>
    <w:p>
      <w:pPr>
        <w:pStyle w:val="Heading3"/>
        <w:keepLines/>
        <w:spacing w:after="120" w:before="160"/>
        <w:jc w:val="left"/>
      </w:pPr>
      <w:r>
        <w:rPr>
          <w:sz w:val="20"/>
        </w:rPr>
        <w:t xml:space="preserve">Hoheit, Kontrolle und epistemische Abhängigkeit</w:t>
      </w:r>
    </w:p>
    <w:p>
      <w:pPr>
        <w:pStyle w:val="FirstParagraph"/>
        <w:keepLines/>
        <w:spacing w:after="64" w:line="254" w:lineRule="auto"/>
        <w:jc w:val="left"/>
      </w:pPr>
      <w:r>
        <w:rPr>
          <w:sz w:val="20"/>
        </w:rPr>
        <w:t xml:space="preserve">Für jeden Lauf werden der Hoheitsvektor H=(G,E,B,F,M,R,A), der Kontrollvektor C=(B,O,I,V,R,P,Hc) und die Autonomierisikofaktoren U=(S,W,Q,Z,D,T) protokolliert. Zusätzlich werden Ablationen eingesetzt: domänenspezifisches Promptwissen, Retrieval, externe Dokumentation und menschliche Korrektur werden kontrolliert reduziert. Der Leistungsabfall ist kein direktes Maß „menschlichen Wissens”, sondern ein operationaler Hinweis auf epistemische Abhängigkeit und muss zusammen mit der Art der entfernten Information interpretiert werden.</w:t>
      </w:r>
    </w:p>
    <w:bookmarkEnd w:id="413"/>
    <w:bookmarkStart w:id="414" w:name="Xc02b9e14da218ed28ee7d68ecb2c7f4748b97c5"/>
    <w:p>
      <w:pPr>
        <w:pStyle w:val="Heading3"/>
        <w:keepLines/>
        <w:spacing w:after="120" w:before="160"/>
        <w:jc w:val="left"/>
      </w:pPr>
      <w:r>
        <w:rPr>
          <w:sz w:val="20"/>
        </w:rPr>
        <w:t xml:space="preserve">Rollen- und Autorenschaftsanalyse ohne Befragung</w:t>
      </w:r>
    </w:p>
    <w:p>
      <w:pPr>
        <w:pStyle w:val="FirstParagraph"/>
        <w:keepLines/>
        <w:spacing w:after="64" w:line="254" w:lineRule="auto"/>
        <w:jc w:val="left"/>
      </w:pPr>
      <w:r>
        <w:rPr>
          <w:sz w:val="20"/>
        </w:rPr>
        <w:t xml:space="preserve">Die Verschiebung menschlicher Rollen wird aus dokumentierten Entwicklungsakten rekonstruiert. Kodiert werden unter anderem: Ursprung der Zielsetzung, Zahl und Tragweite eigenständiger Entwurfsentscheidungen, Vorschlags- und Auswahlrechte, Override-Ereignisse, Freigabe- und Vetorechte, Fehlerdiagnosen, Rücksetzungen sowie die Begründung der finalen Architektur. Die Kategorien Konstrukteur, Lehrer, Organisator, Kurator, Auditor, Verfassungsgeber, interventionsfähiger Beobachter und bloßer Beobachter werden nicht psychologisch zugeschrieben, sondern anhand nachweisbarer Rechte und Handlungen bestimmt.</w:t>
      </w:r>
    </w:p>
    <w:bookmarkEnd w:id="414"/>
    <w:bookmarkStart w:id="415" w:name="Xccb69742b5cbb2046ef380aa07cd4240f3521cd"/>
    <w:p>
      <w:pPr>
        <w:pStyle w:val="Heading3"/>
        <w:keepLines/>
        <w:spacing w:after="120" w:before="160"/>
        <w:jc w:val="left"/>
      </w:pPr>
      <w:r>
        <w:rPr>
          <w:sz w:val="20"/>
        </w:rPr>
        <w:t xml:space="preserve">Anthropomorphismus als Dokumenten- und Sprachvergleich</w:t>
      </w:r>
    </w:p>
    <w:p>
      <w:pPr>
        <w:pStyle w:val="FirstParagraph"/>
        <w:keepLines/>
        <w:spacing w:after="64" w:line="254" w:lineRule="auto"/>
        <w:jc w:val="left"/>
      </w:pPr>
      <w:r>
        <w:rPr>
          <w:sz w:val="20"/>
        </w:rPr>
        <w:t xml:space="preserve">Die Wirkung anthropomorpher Sprache wird zunächst ohne Teilnehmerexperiment untersucht. Technisch identische Ereignisse werden in Dokumentation, Modellbegründungen und Forschungsprotokollen auf intentionale Formulierungen („will”, „entscheidet”, „sucht”) und mechanistische Beschreibungen kodiert. Analysiert wird, ob intentionale Sprache mit einer Verschiebung von Verantwortungs-, Autonomie- oder Autorschaftszuschreibungen in den Texten einhergeht. Eine spätere empirische Wahrnehmungsstudie wäre ein eigenständiges, ethikpflichtiges Projekt und gehört nicht zum vorliegenden Design.</w:t>
      </w:r>
    </w:p>
    <w:bookmarkEnd w:id="415"/>
    <w:bookmarkStart w:id="416" w:name="statistische-und-qualitative-auswertung"/>
    <w:p>
      <w:pPr>
        <w:pStyle w:val="Heading3"/>
        <w:keepLines/>
        <w:spacing w:after="120" w:before="160"/>
        <w:jc w:val="left"/>
      </w:pPr>
      <w:r>
        <w:rPr>
          <w:sz w:val="20"/>
        </w:rPr>
        <w:t xml:space="preserve">Statistische und qualitative Auswertung</w:t>
      </w:r>
    </w:p>
    <w:p>
      <w:pPr>
        <w:pStyle w:val="FirstParagraph"/>
        <w:keepLines/>
        <w:spacing w:after="64" w:line="254" w:lineRule="auto"/>
        <w:jc w:val="left"/>
      </w:pPr>
      <w:r>
        <w:rPr>
          <w:sz w:val="20"/>
        </w:rPr>
        <w:t xml:space="preserve">Für wiederholte Architekturgenerationen werden hierarchische Modelle oder robuste permutationbasierte Verfahren eingesetzt. Modellfamilie, Promptregime, Embodiment- und Automationsstufe sind feste Bedingungen; Seed, Lauf und gegebenenfalls Modellversion werden als Wiederholungs- oder Zufallskomponenten behandelt. Netzwerkmetriken werden multivariat ausgewertet; Effektstärken und Unsicherheitsintervalle stehen vor bloßen p-Werten. Für qualitative Provenienz- und Rechtsanalysen wird ein versioniertes Kodierbuch verwendet; strittige Kodierungen bleiben mit Begründung sichtbar. Da keine Personen untersucht werden, gibt es keine psychometrischen Skalen oder Teilnehmerstichproben.</w:t>
      </w:r>
    </w:p>
    <w:bookmarkEnd w:id="416"/>
    <w:bookmarkStart w:id="417" w:name="runzahlplanung-und-reproduzierbarkeit"/>
    <w:p>
      <w:pPr>
        <w:pStyle w:val="Heading3"/>
        <w:keepLines/>
        <w:spacing w:after="120" w:before="160"/>
        <w:jc w:val="left"/>
      </w:pPr>
      <w:r>
        <w:rPr>
          <w:sz w:val="20"/>
        </w:rPr>
        <w:t xml:space="preserve">Runzahlplanung und Reproduzierbarkeit</w:t>
      </w:r>
    </w:p>
    <w:p>
      <w:pPr>
        <w:pStyle w:val="FirstParagraph"/>
        <w:keepLines/>
        <w:spacing w:after="64" w:line="254" w:lineRule="auto"/>
        <w:jc w:val="left"/>
      </w:pPr>
      <w:r>
        <w:rPr>
          <w:sz w:val="20"/>
        </w:rPr>
        <w:t xml:space="preserve">Die endgültige Anzahl unabhängiger Generationsläufe wird aus Pilotdaten, erwarteter Varianz und der vorgesehenen Modellkomplexität abgeleitet. Vorab wird eine Mindeststruktur je Modell- und Promptbedingung festgelegt; für Frontier-Modelle kann bei hohen Kosten ein sequentielles Design mit präregistrierten Stoppregeln verwendet werden. Jeder Lauf speichert Git-Commit, Manifest und Hash, Modellversion, vollständige Prompts, Samplingparameter, Seed soweit verfügbar, Hardware- und Softwareumgebung, Trainingsdaten- oder Stimulusversion, Validatorausgaben, Messdaten sowie Snapshots vor und nach Selbstmodifikation. Damit wird die Forschungsreise selbst zum nachvollziehbaren Datensatz.</w:t>
      </w:r>
    </w:p>
    <w:bookmarkEnd w:id="417"/>
    <w:bookmarkStart w:id="418" w:name="Xf968857422f7f4eed11cd76f11b2ac4cbe90e95"/>
    <w:p>
      <w:pPr>
        <w:pStyle w:val="Heading3"/>
        <w:keepLines/>
        <w:spacing w:after="120" w:before="160"/>
        <w:jc w:val="left"/>
      </w:pPr>
      <w:r>
        <w:rPr>
          <w:sz w:val="20"/>
        </w:rPr>
        <w:t xml:space="preserve">Einheitliche Spezifikation und maschinenlesbares Manifest</w:t>
      </w:r>
    </w:p>
    <w:p>
      <w:pPr>
        <w:pStyle w:val="FirstParagraph"/>
        <w:keepLines/>
        <w:spacing w:after="64" w:line="254" w:lineRule="auto"/>
        <w:jc w:val="left"/>
      </w:pPr>
      <w:r>
        <w:rPr>
          <w:sz w:val="20"/>
        </w:rPr>
        <w:t xml:space="preserve">LLMs sollen nicht unmittelbar unbeschränkten ausführbaren Code erzeugen. Sie generieren zunächst ein kontrolliertes Architekturmanifest mit Neuronenmodell, Topologie, Plastizitätsregeln, E/I-Bedingungen, Ressourcenlimits, Embodiment-Schnittstellen, erwarteten Invarianten und vorgeschlagenen Tests. Ein deterministischer Builder übersetzt zulässige Manifeste in ausführbare Strukturen. Dadurch werden generativer Entwurf und kontrollierte Implementierung getrennt.</w:t>
      </w:r>
    </w:p>
    <w:p>
      <w:pPr>
        <w:pStyle w:val="BodyText"/>
        <w:keepLines/>
        <w:spacing w:after="64" w:line="254" w:lineRule="auto"/>
        <w:jc w:val="left"/>
      </w:pPr>
      <w:r>
        <w:rPr>
          <w:sz w:val="20"/>
        </w:rPr>
        <w:t xml:space="preserve">Jeder Lauf speichert Modellfamilie, Modellversion, Systemprompt, Benutzerprompt, Samplingparameter, Kontext, Builder- und Validatorversion, Seeds, Hardware, Start- und Endzustand, menschliche Eingriffe, Abbruchereignisse, Snapshots und Rollbacks. Diese Provenienz ist für die Forschungsfrage nicht bloße technische Dokumentation, sondern Teil der Kausalanalyse.</w:t>
      </w:r>
    </w:p>
    <w:bookmarkEnd w:id="418"/>
    <w:bookmarkEnd w:id="419"/>
    <w:bookmarkStart w:id="424" w:name="methodischer-grundaufbau"/>
    <w:p>
      <w:pPr>
        <w:pStyle w:val="Heading2"/>
        <w:spacing w:before="160"/>
      </w:pPr>
      <w:r>
        <w:t xml:space="preserve">Methodischer Grundaufbau</w:t>
      </w:r>
    </w:p>
    <w:bookmarkStart w:id="420" w:name="gemeinsames-versuchsschema"/>
    <w:p>
      <w:pPr>
        <w:pStyle w:val="Heading3"/>
        <w:keepLines/>
        <w:spacing w:after="120" w:before="160"/>
        <w:jc w:val="left"/>
      </w:pPr>
      <w:r>
        <w:rPr>
          <w:sz w:val="20"/>
        </w:rPr>
        <w:t xml:space="preserve">Gemeinsames Versuchsschema</w:t>
      </w:r>
    </w:p>
    <w:p>
      <w:pPr>
        <w:pStyle w:val="FirstParagraph"/>
        <w:keepLines/>
        <w:spacing w:after="64" w:line="254" w:lineRule="auto"/>
        <w:jc w:val="left"/>
      </w:pPr>
      <w:r>
        <w:rPr>
          <w:sz w:val="20"/>
        </w:rPr>
        <w:t xml:space="preserve">Zentrale Brain-5D-Experimente folgen dem Schema</w:t>
      </w:r>
    </w:p>
    <w:p>
      <w:pPr>
        <w:pStyle w:val="BodyText"/>
        <w:keepLines/>
        <w:spacing w:after="64" w:before="100" w:line="254" w:lineRule="auto"/>
        <w:jc w:val="center"/>
      </w:pPr>
      <m:oMathPara>
        <m:oMathParaPr>
          <m:jc m:val="center"/>
        </m:oMathParaPr>
        <m:oMath>
          <m:r>
            <m:rPr>
              <m:nor/>
              <m:sty m:val="p"/>
            </m:rPr>
            <m:t>Baseline</m:t>
          </m:r>
          <m:r>
            <m:rPr>
              <m:sty m:val="p"/>
            </m:rPr>
            <m:t>→</m:t>
          </m:r>
          <m:r>
            <m:rPr>
              <m:nor/>
              <m:sty m:val="p"/>
            </m:rPr>
            <m:t>Intervention</m:t>
          </m:r>
          <m:r>
            <m:rPr>
              <m:sty m:val="p"/>
            </m:rPr>
            <m:t>→</m:t>
          </m:r>
          <m:r>
            <m:rPr>
              <m:nor/>
              <m:sty m:val="p"/>
            </m:rPr>
            <m:t>Learning</m:t>
          </m:r>
          <m:r>
            <m:rPr>
              <m:sty m:val="p"/>
            </m:rPr>
            <m:t>→</m:t>
          </m:r>
          <m:r>
            <m:rPr>
              <m:nor/>
              <m:sty m:val="p"/>
            </m:rPr>
            <m:t>Consolidation</m:t>
          </m:r>
          <m:r>
            <m:rPr>
              <m:sty m:val="p"/>
            </m:rPr>
            <m:t>→</m:t>
          </m:r>
          <m:r>
            <m:rPr>
              <m:nor/>
              <m:sty m:val="p"/>
            </m:rPr>
            <m:t>Isolation</m:t>
          </m:r>
          <m:r>
            <m:rPr>
              <m:sty m:val="p"/>
            </m:rPr>
            <m:t>→</m:t>
          </m:r>
          <m:r>
            <m:rPr>
              <m:nor/>
              <m:sty m:val="p"/>
            </m:rPr>
            <m:t>Evaluation</m:t>
          </m:r>
          <m:r>
            <m:rPr>
              <m:sty m:val="p"/>
            </m:rPr>
            <m:t>→</m:t>
          </m:r>
          <m:r>
            <m:rPr>
              <m:nor/>
              <m:sty m:val="p"/>
            </m:rPr>
            <m:t>Ablation</m:t>
          </m:r>
          <m:r>
            <m:rPr>
              <m:sty m:val="p"/>
            </m:rPr>
            <m:t>.</m:t>
          </m:r>
        </m:oMath>
      </m:oMathPara>
    </w:p>
    <w:p>
      <w:pPr>
        <w:pStyle w:val="FirstParagraph"/>
        <w:keepLines/>
        <w:spacing w:after="64" w:line="254" w:lineRule="auto"/>
        <w:jc w:val="left"/>
      </w:pPr>
      <w:r>
        <w:rPr>
          <w:sz w:val="20"/>
        </w:rPr>
        <w:t xml:space="preserve">Nicht jede Studie benötigt jede Phase, Abweichungen müssen jedoch begründet werden. Für konfirmatorische Studien werden vor Beginn festgelegt:</w:t>
      </w:r>
    </w:p>
    <w:p>
      <w:pPr>
        <w:keepLines/>
        <w:numPr>
          <w:ilvl w:val="0"/>
          <w:numId w:val="1036"/>
        </w:numPr>
        <w:spacing w:after="64" w:line="254" w:lineRule="auto"/>
        <w:jc w:val="left"/>
      </w:pPr>
      <w:r>
        <w:rPr>
          <w:sz w:val="20"/>
        </w:rPr>
        <w:t xml:space="preserve">Claim und Hypothese;</w:t>
      </w:r>
    </w:p>
    <w:p>
      <w:pPr>
        <w:keepLines/>
        <w:numPr>
          <w:ilvl w:val="0"/>
          <w:numId w:val="1036"/>
        </w:numPr>
        <w:spacing w:after="64" w:line="254" w:lineRule="auto"/>
        <w:jc w:val="left"/>
      </w:pPr>
      <w:r>
        <w:rPr>
          <w:sz w:val="20"/>
        </w:rPr>
        <w:t xml:space="preserve">unabhängige und abhängige Variablen;</w:t>
      </w:r>
    </w:p>
    <w:p>
      <w:pPr>
        <w:keepLines/>
        <w:numPr>
          <w:ilvl w:val="0"/>
          <w:numId w:val="1036"/>
        </w:numPr>
        <w:spacing w:after="64" w:line="254" w:lineRule="auto"/>
        <w:jc w:val="left"/>
      </w:pPr>
      <w:r>
        <w:rPr>
          <w:sz w:val="20"/>
        </w:rPr>
        <w:t xml:space="preserve">experimentelle Einheit;</w:t>
      </w:r>
    </w:p>
    <w:p>
      <w:pPr>
        <w:keepLines/>
        <w:numPr>
          <w:ilvl w:val="0"/>
          <w:numId w:val="1036"/>
        </w:numPr>
        <w:spacing w:after="64" w:line="254" w:lineRule="auto"/>
        <w:jc w:val="left"/>
      </w:pPr>
      <w:r>
        <w:rPr>
          <w:sz w:val="20"/>
        </w:rPr>
        <w:t xml:space="preserve">Primär- und Sekundärendpunkte;</w:t>
      </w:r>
    </w:p>
    <w:p>
      <w:pPr>
        <w:keepLines/>
        <w:numPr>
          <w:ilvl w:val="0"/>
          <w:numId w:val="1036"/>
        </w:numPr>
        <w:spacing w:after="64" w:line="254" w:lineRule="auto"/>
        <w:jc w:val="left"/>
      </w:pPr>
      <w:r>
        <w:rPr>
          <w:sz w:val="20"/>
        </w:rPr>
        <w:t xml:space="preserve">Kontroll- und Ablationsbedingungen;</w:t>
      </w:r>
    </w:p>
    <w:p>
      <w:pPr>
        <w:keepLines/>
        <w:numPr>
          <w:ilvl w:val="0"/>
          <w:numId w:val="1036"/>
        </w:numPr>
        <w:spacing w:after="64" w:line="254" w:lineRule="auto"/>
        <w:jc w:val="left"/>
      </w:pPr>
      <w:r>
        <w:rPr>
          <w:sz w:val="20"/>
        </w:rPr>
        <w:t xml:space="preserve">Randomisierungs- und Seed-Plan;</w:t>
      </w:r>
    </w:p>
    <w:p>
      <w:pPr>
        <w:keepLines/>
        <w:numPr>
          <w:ilvl w:val="0"/>
          <w:numId w:val="1036"/>
        </w:numPr>
        <w:spacing w:after="64" w:line="254" w:lineRule="auto"/>
        <w:jc w:val="left"/>
      </w:pPr>
      <w:r>
        <w:rPr>
          <w:sz w:val="20"/>
        </w:rPr>
        <w:t xml:space="preserve">Ein-/Ausschlusskriterien für Läufe;</w:t>
      </w:r>
    </w:p>
    <w:p>
      <w:pPr>
        <w:keepLines/>
        <w:numPr>
          <w:ilvl w:val="0"/>
          <w:numId w:val="1036"/>
        </w:numPr>
        <w:spacing w:after="64" w:line="254" w:lineRule="auto"/>
        <w:jc w:val="left"/>
      </w:pPr>
      <w:r>
        <w:rPr>
          <w:sz w:val="20"/>
        </w:rPr>
        <w:t xml:space="preserve">Abbruchkriterien;</w:t>
      </w:r>
    </w:p>
    <w:p>
      <w:pPr>
        <w:keepLines/>
        <w:numPr>
          <w:ilvl w:val="0"/>
          <w:numId w:val="1036"/>
        </w:numPr>
        <w:spacing w:after="64" w:line="254" w:lineRule="auto"/>
        <w:jc w:val="left"/>
      </w:pPr>
      <w:r>
        <w:rPr>
          <w:sz w:val="20"/>
        </w:rPr>
        <w:t xml:space="preserve">statistischer Analyseplan;</w:t>
      </w:r>
    </w:p>
    <w:p>
      <w:pPr>
        <w:keepLines/>
        <w:numPr>
          <w:ilvl w:val="0"/>
          <w:numId w:val="1036"/>
        </w:numPr>
        <w:spacing w:after="64" w:line="254" w:lineRule="auto"/>
        <w:jc w:val="left"/>
      </w:pPr>
      <w:r>
        <w:rPr>
          <w:sz w:val="20"/>
        </w:rPr>
        <w:t xml:space="preserve">erwartete Artefakte und Integritätsprüfungen.</w:t>
      </w:r>
    </w:p>
    <w:bookmarkEnd w:id="420"/>
    <w:bookmarkStart w:id="421" w:name="explorativ-versus-konfirmatorisch"/>
    <w:p>
      <w:pPr>
        <w:pStyle w:val="Heading3"/>
        <w:keepLines/>
        <w:spacing w:after="120" w:before="160"/>
        <w:jc w:val="left"/>
      </w:pPr>
      <w:r>
        <w:rPr>
          <w:sz w:val="20"/>
        </w:rPr>
        <w:t xml:space="preserve">Explorativ versus konfirmatorisch</w:t>
      </w:r>
    </w:p>
    <w:p>
      <w:pPr>
        <w:pStyle w:val="FirstParagraph"/>
        <w:keepLines/>
        <w:spacing w:after="64" w:line="254" w:lineRule="auto"/>
        <w:jc w:val="left"/>
      </w:pPr>
      <w:r>
        <w:rPr>
          <w:sz w:val="20"/>
        </w:rPr>
        <w:t xml:space="preserve">Explorative Analysen dienen Hypothesengenerierung, Debugging und Parameterfindung. Konfirmatorische Analysen prüfen vorab fixierte Hypothesen. Derselbe Datensatz soll nicht unmarkiert für beides verwendet werden. Pilotläufe bestimmen Varianz, Rechenbudget und plausible Parameterbereiche; sie zählen nicht automatisch als unabhängige Bestätigung.</w:t>
      </w:r>
    </w:p>
    <w:bookmarkEnd w:id="421"/>
    <w:bookmarkStart w:id="422" w:name="Xf4e1f902e9bfbd97e3de17394991a54d6742cfa"/>
    <w:p>
      <w:pPr>
        <w:pStyle w:val="Heading3"/>
        <w:keepLines/>
        <w:spacing w:after="120" w:before="160"/>
        <w:jc w:val="left"/>
      </w:pPr>
      <w:r>
        <w:rPr>
          <w:sz w:val="20"/>
        </w:rPr>
        <w:t xml:space="preserve">Experimentelle Einheit und Pseudoreplikation</w:t>
      </w:r>
    </w:p>
    <w:p>
      <w:pPr>
        <w:pStyle w:val="FirstParagraph"/>
        <w:keepLines/>
        <w:spacing w:after="64" w:line="254" w:lineRule="auto"/>
        <w:jc w:val="left"/>
      </w:pPr>
      <w:r>
        <w:rPr>
          <w:sz w:val="20"/>
        </w:rPr>
        <w:t xml:space="preserve">Ein Netzwerk mit einer Million Ticks liefert nicht eine Million unabhängige Replikate. Für Bedingungsvergleiche ist meist der unabhängig initialisierte und ausgeführte Netzwerklauf die Einheit. Neuronen sind innerhalb eines Netzes gekoppelt; Zeitfenster sind seriell abhängig. Mixed-Effects-Modelle oder hierarchische Bootstrap-Verfahren können die verschachtelte Struktur abbilden.</w:t>
      </w:r>
    </w:p>
    <w:bookmarkEnd w:id="422"/>
    <w:bookmarkStart w:id="423" w:name="randomisierung-und-blockung"/>
    <w:p>
      <w:pPr>
        <w:pStyle w:val="Heading3"/>
        <w:keepLines/>
        <w:spacing w:after="120" w:before="160"/>
        <w:jc w:val="left"/>
      </w:pPr>
      <w:r>
        <w:rPr>
          <w:sz w:val="20"/>
        </w:rPr>
        <w:t xml:space="preserve">Randomisierung und Blockung</w:t>
      </w:r>
    </w:p>
    <w:p>
      <w:pPr>
        <w:pStyle w:val="FirstParagraph"/>
        <w:keepLines/>
        <w:spacing w:after="64" w:line="254" w:lineRule="auto"/>
        <w:jc w:val="left"/>
      </w:pPr>
      <w:r>
        <w:rPr>
          <w:sz w:val="20"/>
        </w:rPr>
        <w:t xml:space="preserve">Seeds werden vorab gezogen und Bedingungen nach Möglichkeit gepaart: derselbe Basisseed erzeugt vergleichbare Initialzustände, anschließend werden nur die Zielmechanismen variiert. Hardware- oder Tageszeiteffekte können durch blockierte Ausführung kontrolliert werden. Die Auswertungssoftware soll Bedingungslabels bis zur primären Berechnung verschleiern können, sofern praktisch möglich.</w:t>
      </w:r>
    </w:p>
    <w:bookmarkEnd w:id="423"/>
    <w:bookmarkEnd w:id="424"/>
    <w:bookmarkStart w:id="433" w:name="experiment--und-evidenzregister"/>
    <w:p>
      <w:pPr>
        <w:pStyle w:val="Heading2"/>
        <w:spacing w:before="160"/>
      </w:pPr>
      <w:r>
        <w:t xml:space="preserve">Experiment- und Evidenzregister</w:t>
      </w:r>
    </w:p>
    <w:bookmarkStart w:id="428" w:name="ziel"/>
    <w:p>
      <w:pPr>
        <w:pStyle w:val="Heading3"/>
        <w:keepLines/>
        <w:spacing w:after="120" w:before="160"/>
        <w:jc w:val="left"/>
      </w:pPr>
      <w:r>
        <w:rPr>
          <w:sz w:val="20"/>
        </w:rPr>
        <w:t xml:space="preserve">Ziel</w:t>
      </w:r>
    </w:p>
    <w:p>
      <w:pPr>
        <w:pStyle w:val="FirstParagraph"/>
        <w:keepLines/>
        <w:spacing w:after="64" w:line="254" w:lineRule="auto"/>
        <w:jc w:val="left"/>
      </w:pPr>
      <w:r>
        <w:rPr>
          <w:sz w:val="20"/>
        </w:rPr>
        <w:t xml:space="preserve">Das Register verhindert, dass Behauptungen nachträglich von ihren tatsächlichen Versuchen getrennt werden. Es bildet eine unveränderliche Kette von Claim, Spezifikation, Ausführung, Artefakt, Ergebnis und Evidenzentscheidung.</w:t>
      </w:r>
    </w:p>
    <w:p>
      <w:pPr>
        <w:pStyle w:val="CaptionedFigure"/>
        <w:keepNext/>
        <w:keepLines/>
        <w:spacing w:before="160" w:after="64" w:line="254" w:lineRule="auto"/>
        <w:jc w:val="left"/>
      </w:pPr>
      <w:r>
        <w:rPr>
          <w:sz w:val="20"/>
        </w:rPr>
        <w:drawing>
          <wp:inline>
            <wp:extent cx="5669280" cy="2963541"/>
            <wp:effectExtent b="0" l="0" r="0" t="0"/>
            <wp:docPr descr="Claim–Experiment–Evidence-Kette mit rückführbarer Revision." title="" id="426" name="Picture"/>
            <a:graphic>
              <a:graphicData uri="http://schemas.openxmlformats.org/drawingml/2006/picture">
                <pic:pic>
                  <pic:nvPicPr>
                    <pic:cNvPr descr="abbildungen/K1_image4.png" id="427" name="Picture"/>
                    <pic:cNvPicPr>
                      <a:picLocks noChangeArrowheads="1" noChangeAspect="1"/>
                    </pic:cNvPicPr>
                  </pic:nvPicPr>
                  <pic:blipFill>
                    <a:blip r:embed="rId425"/>
                    <a:stretch>
                      <a:fillRect/>
                    </a:stretch>
                  </pic:blipFill>
                  <pic:spPr bwMode="auto">
                    <a:xfrm>
                      <a:off x="0" y="0"/>
                      <a:ext cx="5669280" cy="2963541"/>
                    </a:xfrm>
                    <a:prstGeom prst="rect">
                      <a:avLst/>
                    </a:prstGeom>
                    <a:noFill/>
                    <a:ln w="9525">
                      <a:noFill/>
                      <a:headEnd/>
                      <a:tailEnd/>
                    </a:ln>
                  </pic:spPr>
                </pic:pic>
              </a:graphicData>
            </a:graphic>
          </wp:inline>
        </w:drawing>
      </w:r>
    </w:p>
    <w:p>
      <w:pPr>
        <w:pStyle w:val="ImageCaption"/>
        <w:keepLines/>
        <w:spacing w:after="120"/>
        <w:jc w:val="left"/>
      </w:pPr>
      <w:r>
        <w:rPr>
          <w:sz w:val="20"/>
        </w:rPr>
        <w:t xml:space="preserve">Abbildung 8. </w:t>
      </w:r>
      <w:r>
        <w:rPr>
          <w:sz w:val="20"/>
        </w:rPr>
        <w:t xml:space="preserve">Claim–Experiment–Evidence-Kette mit rückführbarer Revision.</w:t>
      </w:r>
    </w:p>
    <w:bookmarkEnd w:id="428"/>
    <w:bookmarkStart w:id="429" w:name="kernobjekte"/>
    <w:p>
      <w:pPr>
        <w:pStyle w:val="Heading3"/>
        <w:keepLines/>
        <w:spacing w:after="120" w:before="160"/>
        <w:jc w:val="left"/>
      </w:pPr>
      <w:r>
        <w:rPr>
          <w:sz w:val="20"/>
        </w:rPr>
        <w:t xml:space="preserve">Kernobjekte</w:t>
      </w:r>
    </w:p>
    <w:p>
      <w:pPr>
        <w:pStyle w:val="Caption"/>
        <w:keepNext/>
        <w:keepLines/>
        <w:spacing w:before="180" w:after="120"/>
        <w:jc w:val="left"/>
      </w:pPr>
      <w:r>
        <w:rPr>
          <w:sz w:val="20"/>
        </w:rPr>
        <w:t>Tabelle 31. Objekte des Experiment- und Evidenzregisters</w:t>
      </w:r>
    </w:p>
    <w:tbl>
      <w:tblPr>
        <w:tblStyle w:val="Table"/>
        <w:tblW w:type="pct" w:w="4916"/>
        <w:jc w:val="center"/>
        <w:tblLayout w:type="fixed"/>
        <w:tblLook w:firstRow="1" w:lastRow="0" w:firstColumn="0" w:lastColumn="0" w:noHBand="0" w:noVBand="0" w:val="0020"/>
        <w:tblInd w:w="0" w:type="dxa"/>
        <w:tblCellMar>
          <w:top w:w="70" w:type="dxa"/>
          <w:bottom w:w="70" w:type="dxa"/>
          <w:left w:w="85" w:type="dxa"/>
          <w:right w:w="85" w:type="dxa"/>
        </w:tblCellMar>
        <w:tblBorders>
          <w:top w:val="single" w:sz="4" w:color="CCD4D9"/>
          <w:bottom w:val="single" w:sz="4" w:color="CCD4D9"/>
          <w:insideH w:val="single" w:sz="4" w:color="CCD4D9"/>
          <w:left w:val="nil"/>
          <w:right w:val="nil"/>
          <w:insideV w:val="nil"/>
        </w:tblBorders>
      </w:tblPr>
      <w:tblGrid>
        <w:gridCol w:w="1656"/>
        <w:gridCol w:w="4882"/>
        <w:gridCol w:w="3312"/>
      </w:tblGrid>
      <w:tr>
        <w:trPr>
          <w:tblHeader w:val="on"/>
          <w:cantSplit/>
          <w:tblHeader/>
        </w:trPr>
        <w:tc>
          <w:tcPr>
            <w:tcW w:type="dxa" w:w="1656"/>
            <w:vAlign w:val="center"/>
            <w:shd w:fill="E9EFF3"/>
          </w:tcPr>
          <w:p>
            <w:pPr>
              <w:pStyle w:val="Compact"/>
              <w:keepNext w:val="0"/>
              <w:keepLines/>
              <w:spacing w:before="20" w:after="20" w:line="250" w:lineRule="auto"/>
              <w:jc w:val="center"/>
            </w:pPr>
            <w:r>
              <w:rPr>
                <w:rFonts w:ascii="Liberation Sans" w:hAnsi="Liberation Sans"/>
                <w:b/>
                <w:bCs/>
                <w:sz w:val="19"/>
              </w:rPr>
              <w:t xml:space="preserve">Objekt</w:t>
            </w:r>
          </w:p>
        </w:tc>
        <w:tc>
          <w:tcPr>
            <w:tcW w:type="dxa" w:w="4882"/>
            <w:vAlign w:val="center"/>
            <w:shd w:fill="E9EFF3"/>
          </w:tcPr>
          <w:p>
            <w:pPr>
              <w:pStyle w:val="Compact"/>
              <w:keepNext w:val="0"/>
              <w:keepLines/>
              <w:spacing w:before="20" w:after="20" w:line="250" w:lineRule="auto"/>
              <w:jc w:val="left"/>
            </w:pPr>
            <w:r>
              <w:rPr>
                <w:rFonts w:ascii="Liberation Sans" w:hAnsi="Liberation Sans"/>
                <w:b/>
                <w:bCs/>
                <w:sz w:val="19"/>
              </w:rPr>
              <w:t xml:space="preserve">Inhalt</w:t>
            </w:r>
          </w:p>
        </w:tc>
        <w:tc>
          <w:tcPr>
            <w:tcW w:type="dxa" w:w="3312"/>
            <w:vAlign w:val="center"/>
            <w:shd w:fill="E9EFF3"/>
          </w:tcPr>
          <w:p>
            <w:pPr>
              <w:pStyle w:val="Compact"/>
              <w:keepNext w:val="0"/>
              <w:keepLines/>
              <w:spacing w:before="20" w:after="20" w:line="250" w:lineRule="auto"/>
              <w:jc w:val="left"/>
            </w:pPr>
            <w:r>
              <w:rPr>
                <w:rFonts w:ascii="Liberation Sans" w:hAnsi="Liberation Sans"/>
                <w:b/>
                <w:bCs/>
                <w:sz w:val="19"/>
              </w:rPr>
              <w:t xml:space="preserve">Mutabilität</w:t>
            </w:r>
          </w:p>
        </w:tc>
      </w:tr>
      <w:tr>
        <w:trPr>
          <w:cantSplit/>
        </w:trPr>
        <w:tc>
          <w:tcPr>
            <w:tcW w:type="dxa" w:w="1656"/>
            <w:vAlign w:val="center"/>
          </w:tcPr>
          <w:p>
            <w:pPr>
              <w:pStyle w:val="Compact"/>
              <w:keepNext w:val="0"/>
              <w:keepLines/>
              <w:spacing w:before="20" w:after="20" w:line="250" w:lineRule="auto"/>
              <w:jc w:val="center"/>
            </w:pPr>
            <w:r>
              <w:rPr>
                <w:rStyle w:val="VerbatimChar"/>
                <w:rFonts w:ascii="Liberation Sans" w:hAnsi="Liberation Sans"/>
                <w:sz w:val="19"/>
              </w:rPr>
              <w:t xml:space="preserve">ClaimRecord</w:t>
            </w:r>
          </w:p>
        </w:tc>
        <w:tc>
          <w:tcPr>
            <w:tcW w:type="dxa" w:w="4882"/>
            <w:vAlign w:val="center"/>
          </w:tcPr>
          <w:p>
            <w:pPr>
              <w:pStyle w:val="Compact"/>
              <w:keepNext w:val="0"/>
              <w:keepLines/>
              <w:spacing w:before="20" w:after="20" w:line="250" w:lineRule="auto"/>
              <w:jc w:val="left"/>
            </w:pPr>
            <w:r>
              <w:rPr>
                <w:rFonts w:ascii="Liberation Sans" w:hAnsi="Liberation Sans"/>
                <w:sz w:val="19"/>
              </w:rPr>
              <w:t xml:space="preserve">atomare Aussage, Status, Scope, Literaturbezug</w:t>
            </w:r>
          </w:p>
        </w:tc>
        <w:tc>
          <w:tcPr>
            <w:tcW w:type="dxa" w:w="3312"/>
            <w:vAlign w:val="center"/>
          </w:tcPr>
          <w:p>
            <w:pPr>
              <w:pStyle w:val="Compact"/>
              <w:keepNext w:val="0"/>
              <w:keepLines/>
              <w:spacing w:before="20" w:after="20" w:line="250" w:lineRule="auto"/>
              <w:jc w:val="left"/>
            </w:pPr>
            <w:r>
              <w:rPr>
                <w:rFonts w:ascii="Liberation Sans" w:hAnsi="Liberation Sans"/>
                <w:sz w:val="19"/>
              </w:rPr>
              <w:t xml:space="preserve">neue Version statt Überschreiben</w:t>
            </w:r>
          </w:p>
        </w:tc>
      </w:tr>
      <w:tr>
        <w:trPr>
          <w:cantSplit/>
        </w:trPr>
        <w:tc>
          <w:tcPr>
            <w:tcW w:type="dxa" w:w="1656"/>
            <w:vAlign w:val="center"/>
          </w:tcPr>
          <w:p>
            <w:pPr>
              <w:pStyle w:val="Compact"/>
              <w:keepNext w:val="0"/>
              <w:keepLines/>
              <w:spacing w:before="20" w:after="20" w:line="250" w:lineRule="auto"/>
              <w:jc w:val="center"/>
            </w:pPr>
            <w:r>
              <w:rPr>
                <w:rStyle w:val="VerbatimChar"/>
                <w:rFonts w:ascii="Liberation Sans" w:hAnsi="Liberation Sans"/>
                <w:sz w:val="19"/>
              </w:rPr>
              <w:t xml:space="preserve">ExperimentSpec</w:t>
            </w:r>
          </w:p>
        </w:tc>
        <w:tc>
          <w:tcPr>
            <w:tcW w:type="dxa" w:w="4882"/>
            <w:vAlign w:val="center"/>
          </w:tcPr>
          <w:p>
            <w:pPr>
              <w:pStyle w:val="Compact"/>
              <w:keepNext w:val="0"/>
              <w:keepLines/>
              <w:spacing w:before="20" w:after="20" w:line="250" w:lineRule="auto"/>
              <w:jc w:val="left"/>
            </w:pPr>
            <w:r>
              <w:rPr>
                <w:rFonts w:ascii="Liberation Sans" w:hAnsi="Liberation Sans"/>
                <w:sz w:val="19"/>
              </w:rPr>
              <w:t xml:space="preserve">Hypothese, Faktoren, Endpunkte, Kontrollen, Analyse</w:t>
            </w:r>
          </w:p>
        </w:tc>
        <w:tc>
          <w:tcPr>
            <w:tcW w:type="dxa" w:w="3312"/>
            <w:vAlign w:val="center"/>
          </w:tcPr>
          <w:p>
            <w:pPr>
              <w:pStyle w:val="Compact"/>
              <w:keepNext w:val="0"/>
              <w:keepLines/>
              <w:spacing w:before="20" w:after="20" w:line="250" w:lineRule="auto"/>
              <w:jc w:val="left"/>
            </w:pPr>
            <w:r>
              <w:rPr>
                <w:rFonts w:ascii="Liberation Sans" w:hAnsi="Liberation Sans"/>
                <w:sz w:val="19"/>
              </w:rPr>
              <w:t xml:space="preserve">nach Freeze unveränderlich</w:t>
            </w:r>
          </w:p>
        </w:tc>
      </w:tr>
      <w:tr>
        <w:trPr>
          <w:cantSplit/>
        </w:trPr>
        <w:tc>
          <w:tcPr>
            <w:tcW w:type="dxa" w:w="1656"/>
            <w:vAlign w:val="center"/>
          </w:tcPr>
          <w:p>
            <w:pPr>
              <w:pStyle w:val="Compact"/>
              <w:keepNext w:val="0"/>
              <w:keepLines/>
              <w:spacing w:before="20" w:after="20" w:line="250" w:lineRule="auto"/>
              <w:jc w:val="center"/>
            </w:pPr>
            <w:r>
              <w:rPr>
                <w:rStyle w:val="VerbatimChar"/>
                <w:rFonts w:ascii="Liberation Sans" w:hAnsi="Liberation Sans"/>
                <w:sz w:val="19"/>
              </w:rPr>
              <w:t xml:space="preserve">RunRecord</w:t>
            </w:r>
          </w:p>
        </w:tc>
        <w:tc>
          <w:tcPr>
            <w:tcW w:type="dxa" w:w="4882"/>
            <w:vAlign w:val="center"/>
          </w:tcPr>
          <w:p>
            <w:pPr>
              <w:pStyle w:val="Compact"/>
              <w:keepNext w:val="0"/>
              <w:keepLines/>
              <w:spacing w:before="20" w:after="20" w:line="250" w:lineRule="auto"/>
              <w:jc w:val="left"/>
            </w:pPr>
            <w:r>
              <w:rPr>
                <w:rFonts w:ascii="Liberation Sans" w:hAnsi="Liberation Sans"/>
                <w:sz w:val="19"/>
              </w:rPr>
              <w:t xml:space="preserve">tatsächliche Ausführung, Commit, Config, Seed, Hardware</w:t>
            </w:r>
          </w:p>
        </w:tc>
        <w:tc>
          <w:tcPr>
            <w:tcW w:type="dxa" w:w="3312"/>
            <w:vAlign w:val="center"/>
          </w:tcPr>
          <w:p>
            <w:pPr>
              <w:pStyle w:val="Compact"/>
              <w:keepNext w:val="0"/>
              <w:keepLines/>
              <w:spacing w:before="20" w:after="20" w:line="250" w:lineRule="auto"/>
              <w:jc w:val="left"/>
            </w:pPr>
            <w:r>
              <w:rPr>
                <w:rFonts w:ascii="Liberation Sans" w:hAnsi="Liberation Sans"/>
                <w:sz w:val="19"/>
              </w:rPr>
              <w:t xml:space="preserve">append-only</w:t>
            </w:r>
          </w:p>
        </w:tc>
      </w:tr>
      <w:tr>
        <w:trPr>
          <w:cantSplit/>
        </w:trPr>
        <w:tc>
          <w:tcPr>
            <w:tcW w:type="dxa" w:w="1656"/>
            <w:vAlign w:val="center"/>
          </w:tcPr>
          <w:p>
            <w:pPr>
              <w:pStyle w:val="Compact"/>
              <w:keepNext w:val="0"/>
              <w:keepLines/>
              <w:spacing w:before="20" w:after="20" w:line="250" w:lineRule="auto"/>
              <w:jc w:val="center"/>
            </w:pPr>
            <w:r>
              <w:rPr>
                <w:rStyle w:val="VerbatimChar"/>
                <w:rFonts w:ascii="Liberation Sans" w:hAnsi="Liberation Sans"/>
                <w:sz w:val="19"/>
              </w:rPr>
              <w:t xml:space="preserve">ArtifactRecord</w:t>
            </w:r>
          </w:p>
        </w:tc>
        <w:tc>
          <w:tcPr>
            <w:tcW w:type="dxa" w:w="4882"/>
            <w:vAlign w:val="center"/>
          </w:tcPr>
          <w:p>
            <w:pPr>
              <w:pStyle w:val="Compact"/>
              <w:keepNext w:val="0"/>
              <w:keepLines/>
              <w:spacing w:before="20" w:after="20" w:line="250" w:lineRule="auto"/>
              <w:jc w:val="left"/>
            </w:pPr>
            <w:r>
              <w:rPr>
                <w:rFonts w:ascii="Liberation Sans" w:hAnsi="Liberation Sans"/>
                <w:sz w:val="19"/>
              </w:rPr>
              <w:t xml:space="preserve">Snapshot, Log, Tabelle, Figure, Hash, Format</w:t>
            </w:r>
          </w:p>
        </w:tc>
        <w:tc>
          <w:tcPr>
            <w:tcW w:type="dxa" w:w="3312"/>
            <w:vAlign w:val="center"/>
          </w:tcPr>
          <w:p>
            <w:pPr>
              <w:pStyle w:val="Compact"/>
              <w:keepNext w:val="0"/>
              <w:keepLines/>
              <w:spacing w:before="20" w:after="20" w:line="250" w:lineRule="auto"/>
              <w:jc w:val="left"/>
            </w:pPr>
            <w:r>
              <w:rPr>
                <w:rFonts w:ascii="Liberation Sans" w:hAnsi="Liberation Sans"/>
                <w:sz w:val="19"/>
              </w:rPr>
              <w:t xml:space="preserve">append-only</w:t>
            </w:r>
          </w:p>
        </w:tc>
      </w:tr>
      <w:tr>
        <w:trPr>
          <w:cantSplit/>
        </w:trPr>
        <w:tc>
          <w:tcPr>
            <w:tcW w:type="dxa" w:w="1656"/>
            <w:vAlign w:val="center"/>
          </w:tcPr>
          <w:p>
            <w:pPr>
              <w:pStyle w:val="Compact"/>
              <w:keepNext w:val="0"/>
              <w:keepLines/>
              <w:spacing w:before="20" w:after="20" w:line="250" w:lineRule="auto"/>
              <w:jc w:val="center"/>
            </w:pPr>
            <w:r>
              <w:rPr>
                <w:rStyle w:val="VerbatimChar"/>
                <w:rFonts w:ascii="Liberation Sans" w:hAnsi="Liberation Sans"/>
                <w:sz w:val="19"/>
              </w:rPr>
              <w:t xml:space="preserve">MetricRecord</w:t>
            </w:r>
          </w:p>
        </w:tc>
        <w:tc>
          <w:tcPr>
            <w:tcW w:type="dxa" w:w="4882"/>
            <w:vAlign w:val="center"/>
          </w:tcPr>
          <w:p>
            <w:pPr>
              <w:pStyle w:val="Compact"/>
              <w:keepNext w:val="0"/>
              <w:keepLines/>
              <w:spacing w:before="20" w:after="20" w:line="250" w:lineRule="auto"/>
              <w:jc w:val="left"/>
            </w:pPr>
            <w:r>
              <w:rPr>
                <w:rFonts w:ascii="Liberation Sans" w:hAnsi="Liberation Sans"/>
                <w:sz w:val="19"/>
              </w:rPr>
              <w:t xml:space="preserve">Definition, Implementierung, Einheit, Version</w:t>
            </w:r>
          </w:p>
        </w:tc>
        <w:tc>
          <w:tcPr>
            <w:tcW w:type="dxa" w:w="3312"/>
            <w:vAlign w:val="center"/>
          </w:tcPr>
          <w:p>
            <w:pPr>
              <w:pStyle w:val="Compact"/>
              <w:keepNext w:val="0"/>
              <w:keepLines/>
              <w:spacing w:before="20" w:after="20" w:line="250" w:lineRule="auto"/>
              <w:jc w:val="left"/>
            </w:pPr>
            <w:r>
              <w:rPr>
                <w:rFonts w:ascii="Liberation Sans" w:hAnsi="Liberation Sans"/>
                <w:sz w:val="19"/>
              </w:rPr>
              <w:t xml:space="preserve">versioniert</w:t>
            </w:r>
          </w:p>
        </w:tc>
      </w:tr>
      <w:tr>
        <w:trPr>
          <w:cantSplit/>
        </w:trPr>
        <w:tc>
          <w:tcPr>
            <w:tcW w:type="dxa" w:w="1656"/>
            <w:vAlign w:val="center"/>
          </w:tcPr>
          <w:p>
            <w:pPr>
              <w:pStyle w:val="Compact"/>
              <w:keepNext w:val="0"/>
              <w:keepLines/>
              <w:spacing w:before="20" w:after="20" w:line="250" w:lineRule="auto"/>
              <w:jc w:val="center"/>
            </w:pPr>
            <w:r>
              <w:rPr>
                <w:rStyle w:val="VerbatimChar"/>
                <w:rFonts w:ascii="Liberation Sans" w:hAnsi="Liberation Sans"/>
                <w:sz w:val="19"/>
              </w:rPr>
              <w:t xml:space="preserve">ResultRecord</w:t>
            </w:r>
          </w:p>
        </w:tc>
        <w:tc>
          <w:tcPr>
            <w:tcW w:type="dxa" w:w="4882"/>
            <w:vAlign w:val="center"/>
          </w:tcPr>
          <w:p>
            <w:pPr>
              <w:pStyle w:val="Compact"/>
              <w:keepNext w:val="0"/>
              <w:keepLines/>
              <w:spacing w:before="20" w:after="20" w:line="250" w:lineRule="auto"/>
              <w:jc w:val="left"/>
            </w:pPr>
            <w:r>
              <w:rPr>
                <w:rFonts w:ascii="Liberation Sans" w:hAnsi="Liberation Sans"/>
                <w:sz w:val="19"/>
              </w:rPr>
              <w:t xml:space="preserve">Schätzer, Unsicherheit, Test, Abweichungen</w:t>
            </w:r>
          </w:p>
        </w:tc>
        <w:tc>
          <w:tcPr>
            <w:tcW w:type="dxa" w:w="3312"/>
            <w:vAlign w:val="center"/>
          </w:tcPr>
          <w:p>
            <w:pPr>
              <w:pStyle w:val="Compact"/>
              <w:keepNext w:val="0"/>
              <w:keepLines/>
              <w:spacing w:before="20" w:after="20" w:line="250" w:lineRule="auto"/>
              <w:jc w:val="left"/>
            </w:pPr>
            <w:r>
              <w:rPr>
                <w:rFonts w:ascii="Liberation Sans" w:hAnsi="Liberation Sans"/>
                <w:sz w:val="19"/>
              </w:rPr>
              <w:t xml:space="preserve">append-only</w:t>
            </w:r>
          </w:p>
        </w:tc>
      </w:tr>
      <w:tr>
        <w:trPr>
          <w:cantSplit/>
        </w:trPr>
        <w:tc>
          <w:tcPr>
            <w:tcW w:type="dxa" w:w="1656"/>
            <w:vAlign w:val="center"/>
          </w:tcPr>
          <w:p>
            <w:pPr>
              <w:pStyle w:val="Compact"/>
              <w:keepNext w:val="0"/>
              <w:keepLines/>
              <w:spacing w:before="20" w:after="20" w:line="250" w:lineRule="auto"/>
              <w:jc w:val="center"/>
            </w:pPr>
            <w:r>
              <w:rPr>
                <w:rStyle w:val="VerbatimChar"/>
                <w:rFonts w:ascii="Liberation Sans" w:hAnsi="Liberation Sans"/>
                <w:sz w:val="19"/>
              </w:rPr>
              <w:t xml:space="preserve">EvidenceRecord</w:t>
            </w:r>
          </w:p>
        </w:tc>
        <w:tc>
          <w:tcPr>
            <w:tcW w:type="dxa" w:w="4882"/>
            <w:vAlign w:val="center"/>
          </w:tcPr>
          <w:p>
            <w:pPr>
              <w:pStyle w:val="Compact"/>
              <w:keepNext w:val="0"/>
              <w:keepLines/>
              <w:spacing w:before="20" w:after="20" w:line="250" w:lineRule="auto"/>
              <w:jc w:val="left"/>
            </w:pPr>
            <w:r>
              <w:rPr>
                <w:rFonts w:ascii="Liberation Sans" w:hAnsi="Liberation Sans"/>
                <w:sz w:val="19"/>
              </w:rPr>
              <w:t xml:space="preserve">Statusentscheidung und Begründung</w:t>
            </w:r>
          </w:p>
        </w:tc>
        <w:tc>
          <w:tcPr>
            <w:tcW w:type="dxa" w:w="3312"/>
            <w:vAlign w:val="center"/>
          </w:tcPr>
          <w:p>
            <w:pPr>
              <w:pStyle w:val="Compact"/>
              <w:keepNext w:val="0"/>
              <w:keepLines/>
              <w:spacing w:before="20" w:after="20" w:line="250" w:lineRule="auto"/>
              <w:jc w:val="left"/>
            </w:pPr>
            <w:r>
              <w:rPr>
                <w:rFonts w:ascii="Liberation Sans" w:hAnsi="Liberation Sans"/>
                <w:sz w:val="19"/>
              </w:rPr>
              <w:t xml:space="preserve">revidierbar durch neue Version</w:t>
            </w:r>
          </w:p>
        </w:tc>
      </w:tr>
    </w:tbl>
    <w:bookmarkEnd w:id="429"/>
    <w:bookmarkStart w:id="430" w:name="beispiel-einer-experimentspec"/>
    <w:p>
      <w:pPr>
        <w:pStyle w:val="Heading3"/>
        <w:keepLines/>
        <w:spacing w:after="120" w:before="160"/>
        <w:jc w:val="left"/>
      </w:pPr>
      <w:r>
        <w:rPr>
          <w:sz w:val="20"/>
        </w:rPr>
        <w:t xml:space="preserve">Beispiel einer ExperimentSpec</w:t>
      </w:r>
    </w:p>
    <w:p>
      <w:pPr>
        <w:pStyle w:val="SourceCode"/>
        <w:keepNext w:val="0"/>
        <w:keepLines/>
        <w:spacing w:after="120"/>
        <w:jc w:val="left"/>
      </w:pPr>
      <w:r>
        <w:rPr>
          <w:rStyle w:val="VerbatimChar"/>
          <w:sz w:val="20"/>
        </w:rPr>
        <w:t xml:space="preserve">experiment_id: EXP-GEO-001</w:t>
      </w:r>
      <w:r>
        <w:rPr>
          <w:sz w:val="20"/>
        </w:rPr>
        <w:br/>
      </w:r>
      <w:r>
        <w:rPr>
          <w:rStyle w:val="VerbatimChar"/>
          <w:sz w:val="20"/>
        </w:rPr>
        <w:t xml:space="preserve">registry_version: 1</w:t>
      </w:r>
      <w:r>
        <w:rPr>
          <w:sz w:val="20"/>
        </w:rPr>
        <w:br/>
      </w:r>
      <w:r>
        <w:rPr>
          <w:rStyle w:val="VerbatimChar"/>
          <w:sz w:val="20"/>
        </w:rPr>
        <w:t xml:space="preserve">status: frozen</w:t>
      </w:r>
      <w:r>
        <w:rPr>
          <w:sz w:val="20"/>
        </w:rPr>
        <w:br/>
      </w:r>
      <w:r>
        <w:rPr>
          <w:rStyle w:val="VerbatimChar"/>
          <w:sz w:val="20"/>
        </w:rPr>
        <w:t xml:space="preserve">claim_ids: [CLAIM-GEO-001]</w:t>
      </w:r>
      <w:r>
        <w:rPr>
          <w:sz w:val="20"/>
        </w:rPr>
        <w:br/>
      </w:r>
      <w:r>
        <w:rPr>
          <w:rStyle w:val="VerbatimChar"/>
          <w:sz w:val="20"/>
        </w:rPr>
        <w:t xml:space="preserve">title: "Dimensionality ablation under matched synaptic budget"</w:t>
      </w:r>
      <w:r>
        <w:rPr>
          <w:sz w:val="20"/>
        </w:rPr>
        <w:br/>
      </w:r>
      <w:r>
        <w:rPr>
          <w:rStyle w:val="VerbatimChar"/>
          <w:sz w:val="20"/>
        </w:rPr>
        <w:t xml:space="preserve">independent_unit: network_run</w:t>
      </w:r>
      <w:r>
        <w:rPr>
          <w:sz w:val="20"/>
        </w:rPr>
        <w:br/>
      </w:r>
      <w:r>
        <w:rPr>
          <w:rStyle w:val="VerbatimChar"/>
          <w:sz w:val="20"/>
        </w:rPr>
        <w:t xml:space="preserve">factors:</w:t>
      </w:r>
      <w:r>
        <w:rPr>
          <w:sz w:val="20"/>
        </w:rPr>
        <w:br/>
      </w:r>
      <w:r>
        <w:rPr>
          <w:rStyle w:val="VerbatimChar"/>
          <w:sz w:val="20"/>
        </w:rPr>
        <w:t xml:space="preserve">  dimension: [2, 3, 4, 5, 6, non_geometric]</w:t>
      </w:r>
      <w:r>
        <w:rPr>
          <w:sz w:val="20"/>
        </w:rPr>
        <w:br/>
      </w:r>
      <w:r>
        <w:rPr>
          <w:rStyle w:val="VerbatimChar"/>
          <w:sz w:val="20"/>
        </w:rPr>
        <w:t xml:space="preserve">  metric: [identity, diagonal_fixed]</w:t>
      </w:r>
      <w:r>
        <w:rPr>
          <w:sz w:val="20"/>
        </w:rPr>
        <w:br/>
      </w:r>
      <w:r>
        <w:rPr>
          <w:rStyle w:val="VerbatimChar"/>
          <w:sz w:val="20"/>
        </w:rPr>
        <w:t xml:space="preserve">constants:</w:t>
      </w:r>
      <w:r>
        <w:rPr>
          <w:sz w:val="20"/>
        </w:rPr>
        <w:br/>
      </w:r>
      <w:r>
        <w:rPr>
          <w:rStyle w:val="VerbatimChar"/>
          <w:sz w:val="20"/>
        </w:rPr>
        <w:t xml:space="preserve">  neurons: 20000</w:t>
      </w:r>
      <w:r>
        <w:rPr>
          <w:sz w:val="20"/>
        </w:rPr>
        <w:br/>
      </w:r>
      <w:r>
        <w:rPr>
          <w:rStyle w:val="VerbatimChar"/>
          <w:sz w:val="20"/>
        </w:rPr>
        <w:t xml:space="preserve">  mean_out_degree: 32</w:t>
      </w:r>
      <w:r>
        <w:rPr>
          <w:sz w:val="20"/>
        </w:rPr>
        <w:br/>
      </w:r>
      <w:r>
        <w:rPr>
          <w:rStyle w:val="VerbatimChar"/>
          <w:sz w:val="20"/>
        </w:rPr>
        <w:t xml:space="preserve">  total_input_spikes: 500000</w:t>
      </w:r>
      <w:r>
        <w:rPr>
          <w:sz w:val="20"/>
        </w:rPr>
        <w:br/>
      </w:r>
      <w:r>
        <w:rPr>
          <w:rStyle w:val="VerbatimChar"/>
          <w:sz w:val="20"/>
        </w:rPr>
        <w:t xml:space="preserve">  neuron_model: izhikevich_rs_fs</w:t>
      </w:r>
      <w:r>
        <w:rPr>
          <w:sz w:val="20"/>
        </w:rPr>
        <w:br/>
      </w:r>
      <w:r>
        <w:rPr>
          <w:rStyle w:val="VerbatimChar"/>
          <w:sz w:val="20"/>
        </w:rPr>
        <w:t xml:space="preserve">primary_endpoint: delayed_recall_accuracy</w:t>
      </w:r>
      <w:r>
        <w:rPr>
          <w:sz w:val="20"/>
        </w:rPr>
        <w:br/>
      </w:r>
      <w:r>
        <w:rPr>
          <w:rStyle w:val="VerbatimChar"/>
          <w:sz w:val="20"/>
        </w:rPr>
        <w:t xml:space="preserve">secondary_endpoints:</w:t>
      </w:r>
      <w:r>
        <w:rPr>
          <w:sz w:val="20"/>
        </w:rPr>
        <w:br/>
      </w:r>
      <w:r>
        <w:rPr>
          <w:rStyle w:val="VerbatimChar"/>
          <w:sz w:val="20"/>
        </w:rPr>
        <w:t xml:space="preserve">  - retention_auc</w:t>
      </w:r>
      <w:r>
        <w:rPr>
          <w:sz w:val="20"/>
        </w:rPr>
        <w:br/>
      </w:r>
      <w:r>
        <w:rPr>
          <w:rStyle w:val="VerbatimChar"/>
          <w:sz w:val="20"/>
        </w:rPr>
        <w:t xml:space="preserve">  - modularity_adjusted</w:t>
      </w:r>
      <w:r>
        <w:rPr>
          <w:sz w:val="20"/>
        </w:rPr>
        <w:br/>
      </w:r>
      <w:r>
        <w:rPr>
          <w:rStyle w:val="VerbatimChar"/>
          <w:sz w:val="20"/>
        </w:rPr>
        <w:t xml:space="preserve">  - energy_proxy_per_correct_recall</w:t>
      </w:r>
      <w:r>
        <w:rPr>
          <w:sz w:val="20"/>
        </w:rPr>
        <w:br/>
      </w:r>
      <w:r>
        <w:rPr>
          <w:rStyle w:val="VerbatimChar"/>
          <w:sz w:val="20"/>
        </w:rPr>
        <w:t xml:space="preserve">seeds: 30</w:t>
      </w:r>
      <w:r>
        <w:rPr>
          <w:sz w:val="20"/>
        </w:rPr>
        <w:br/>
      </w:r>
      <w:r>
        <w:rPr>
          <w:rStyle w:val="VerbatimChar"/>
          <w:sz w:val="20"/>
        </w:rPr>
        <w:t xml:space="preserve">analysis:</w:t>
      </w:r>
      <w:r>
        <w:rPr>
          <w:sz w:val="20"/>
        </w:rPr>
        <w:br/>
      </w:r>
      <w:r>
        <w:rPr>
          <w:rStyle w:val="VerbatimChar"/>
          <w:sz w:val="20"/>
        </w:rPr>
        <w:t xml:space="preserve">  model: mixed_effects_or_permutation</w:t>
      </w:r>
      <w:r>
        <w:rPr>
          <w:sz w:val="20"/>
        </w:rPr>
        <w:br/>
      </w:r>
      <w:r>
        <w:rPr>
          <w:rStyle w:val="VerbatimChar"/>
          <w:sz w:val="20"/>
        </w:rPr>
        <w:t xml:space="preserve">  alpha: 0.05</w:t>
      </w:r>
      <w:r>
        <w:rPr>
          <w:sz w:val="20"/>
        </w:rPr>
        <w:br/>
      </w:r>
      <w:r>
        <w:rPr>
          <w:rStyle w:val="VerbatimChar"/>
          <w:sz w:val="20"/>
        </w:rPr>
        <w:t xml:space="preserve">  multiplicity: holm</w:t>
      </w:r>
      <w:r>
        <w:rPr>
          <w:sz w:val="20"/>
        </w:rPr>
        <w:br/>
      </w:r>
      <w:r>
        <w:rPr>
          <w:rStyle w:val="VerbatimChar"/>
          <w:sz w:val="20"/>
        </w:rPr>
        <w:t xml:space="preserve">stopping_rules:</w:t>
      </w:r>
      <w:r>
        <w:rPr>
          <w:sz w:val="20"/>
        </w:rPr>
        <w:br/>
      </w:r>
      <w:r>
        <w:rPr>
          <w:rStyle w:val="VerbatimChar"/>
          <w:sz w:val="20"/>
        </w:rPr>
        <w:t xml:space="preserve">  - abort_if_runaway_fraction_gt_0.20</w:t>
      </w:r>
      <w:r>
        <w:rPr>
          <w:sz w:val="20"/>
        </w:rPr>
        <w:br/>
      </w:r>
      <w:r>
        <w:rPr>
          <w:rStyle w:val="VerbatimChar"/>
          <w:sz w:val="20"/>
        </w:rPr>
        <w:t xml:space="preserve">artifacts:</w:t>
      </w:r>
      <w:r>
        <w:rPr>
          <w:sz w:val="20"/>
        </w:rPr>
        <w:br/>
      </w:r>
      <w:r>
        <w:rPr>
          <w:rStyle w:val="VerbatimChar"/>
          <w:sz w:val="20"/>
        </w:rPr>
        <w:t xml:space="preserve">  - run_config</w:t>
      </w:r>
      <w:r>
        <w:rPr>
          <w:sz w:val="20"/>
        </w:rPr>
        <w:br/>
      </w:r>
      <w:r>
        <w:rPr>
          <w:rStyle w:val="VerbatimChar"/>
          <w:sz w:val="20"/>
        </w:rPr>
        <w:t xml:space="preserve">  - initial_snapshot</w:t>
      </w:r>
      <w:r>
        <w:rPr>
          <w:sz w:val="20"/>
        </w:rPr>
        <w:br/>
      </w:r>
      <w:r>
        <w:rPr>
          <w:rStyle w:val="VerbatimChar"/>
          <w:sz w:val="20"/>
        </w:rPr>
        <w:t xml:space="preserve">  - final_snapshot</w:t>
      </w:r>
      <w:r>
        <w:rPr>
          <w:sz w:val="20"/>
        </w:rPr>
        <w:br/>
      </w:r>
      <w:r>
        <w:rPr>
          <w:rStyle w:val="VerbatimChar"/>
          <w:sz w:val="20"/>
        </w:rPr>
        <w:t xml:space="preserve">  - event_log</w:t>
      </w:r>
      <w:r>
        <w:rPr>
          <w:sz w:val="20"/>
        </w:rPr>
        <w:br/>
      </w:r>
      <w:r>
        <w:rPr>
          <w:rStyle w:val="VerbatimChar"/>
          <w:sz w:val="20"/>
        </w:rPr>
        <w:t xml:space="preserve">  - metrics_table</w:t>
      </w:r>
    </w:p>
    <w:bookmarkEnd w:id="430"/>
    <w:bookmarkStart w:id="431" w:name="evidenceentscheidung"/>
    <w:p>
      <w:pPr>
        <w:pStyle w:val="Heading3"/>
        <w:keepLines/>
        <w:spacing w:after="120" w:before="160"/>
        <w:jc w:val="left"/>
      </w:pPr>
      <w:r>
        <w:rPr>
          <w:sz w:val="20"/>
        </w:rPr>
        <w:t xml:space="preserve">Evidenceentscheidung</w:t>
      </w:r>
    </w:p>
    <w:p>
      <w:pPr>
        <w:pStyle w:val="FirstParagraph"/>
        <w:keepLines/>
        <w:spacing w:after="64" w:line="254" w:lineRule="auto"/>
        <w:jc w:val="left"/>
      </w:pPr>
      <w:r>
        <w:rPr>
          <w:sz w:val="20"/>
        </w:rPr>
        <w:t xml:space="preserve">Eine Evidenzstufe wird nicht allein durch einen p-Wert bestimmt. Die Entscheidung berücksichtigt:</w:t>
      </w:r>
    </w:p>
    <w:p>
      <w:pPr>
        <w:keepLines/>
        <w:numPr>
          <w:ilvl w:val="0"/>
          <w:numId w:val="1037"/>
        </w:numPr>
        <w:spacing w:after="64" w:line="254" w:lineRule="auto"/>
        <w:jc w:val="left"/>
      </w:pPr>
      <w:r>
        <w:rPr>
          <w:sz w:val="20"/>
        </w:rPr>
        <w:t xml:space="preserve">Spezifikationstreue;</w:t>
      </w:r>
    </w:p>
    <w:p>
      <w:pPr>
        <w:keepLines/>
        <w:numPr>
          <w:ilvl w:val="0"/>
          <w:numId w:val="1037"/>
        </w:numPr>
        <w:spacing w:after="64" w:line="254" w:lineRule="auto"/>
        <w:jc w:val="left"/>
      </w:pPr>
      <w:r>
        <w:rPr>
          <w:sz w:val="20"/>
        </w:rPr>
        <w:t xml:space="preserve">Daten- und Artefaktintegrität;</w:t>
      </w:r>
    </w:p>
    <w:p>
      <w:pPr>
        <w:keepLines/>
        <w:numPr>
          <w:ilvl w:val="0"/>
          <w:numId w:val="1037"/>
        </w:numPr>
        <w:spacing w:after="64" w:line="254" w:lineRule="auto"/>
        <w:jc w:val="left"/>
      </w:pPr>
      <w:r>
        <w:rPr>
          <w:sz w:val="20"/>
        </w:rPr>
        <w:t xml:space="preserve">Effektgröße und Unsicherheit;</w:t>
      </w:r>
    </w:p>
    <w:p>
      <w:pPr>
        <w:keepLines/>
        <w:numPr>
          <w:ilvl w:val="0"/>
          <w:numId w:val="1037"/>
        </w:numPr>
        <w:spacing w:after="64" w:line="254" w:lineRule="auto"/>
        <w:jc w:val="left"/>
      </w:pPr>
      <w:r>
        <w:rPr>
          <w:sz w:val="20"/>
        </w:rPr>
        <w:t xml:space="preserve">Robustheit gegenüber alternativen Analysen;</w:t>
      </w:r>
    </w:p>
    <w:p>
      <w:pPr>
        <w:keepLines/>
        <w:numPr>
          <w:ilvl w:val="0"/>
          <w:numId w:val="1037"/>
        </w:numPr>
        <w:spacing w:after="64" w:line="254" w:lineRule="auto"/>
        <w:jc w:val="left"/>
      </w:pPr>
      <w:r>
        <w:rPr>
          <w:sz w:val="20"/>
        </w:rPr>
        <w:t xml:space="preserve">Replikation über Seeds;</w:t>
      </w:r>
    </w:p>
    <w:p>
      <w:pPr>
        <w:keepLines/>
        <w:numPr>
          <w:ilvl w:val="0"/>
          <w:numId w:val="1037"/>
        </w:numPr>
        <w:spacing w:after="64" w:line="254" w:lineRule="auto"/>
        <w:jc w:val="left"/>
      </w:pPr>
      <w:r>
        <w:rPr>
          <w:sz w:val="20"/>
        </w:rPr>
        <w:t xml:space="preserve">Ablationen und Confounds;</w:t>
      </w:r>
    </w:p>
    <w:p>
      <w:pPr>
        <w:keepLines/>
        <w:numPr>
          <w:ilvl w:val="0"/>
          <w:numId w:val="1037"/>
        </w:numPr>
        <w:spacing w:after="64" w:line="254" w:lineRule="auto"/>
        <w:jc w:val="left"/>
      </w:pPr>
      <w:r>
        <w:rPr>
          <w:sz w:val="20"/>
        </w:rPr>
        <w:t xml:space="preserve">Geltungsbereich;</w:t>
      </w:r>
    </w:p>
    <w:p>
      <w:pPr>
        <w:keepLines/>
        <w:numPr>
          <w:ilvl w:val="0"/>
          <w:numId w:val="1037"/>
        </w:numPr>
        <w:spacing w:after="64" w:line="254" w:lineRule="auto"/>
        <w:jc w:val="left"/>
      </w:pPr>
      <w:r>
        <w:rPr>
          <w:sz w:val="20"/>
        </w:rPr>
        <w:t xml:space="preserve">Gegenbelege und fehlgeschlagene Läufe.</w:t>
      </w:r>
    </w:p>
    <w:p>
      <w:pPr>
        <w:pStyle w:val="FirstParagraph"/>
        <w:keepLines/>
        <w:spacing w:after="64" w:line="254" w:lineRule="auto"/>
        <w:jc w:val="left"/>
      </w:pPr>
      <w:r>
        <w:rPr>
          <w:sz w:val="20"/>
        </w:rPr>
        <w:t xml:space="preserve">Ein kleiner, statistisch signifikanter Effekt kann wissenschaftlich unbedeutend sein. Ein breites Konfidenzintervall, das sowohl Nutzen als auch Schaden zulässt, rechtfertigt keine starke Hochstufung.</w:t>
      </w:r>
    </w:p>
    <w:bookmarkEnd w:id="431"/>
    <w:bookmarkStart w:id="432" w:name="negative-und-nullresultate"/>
    <w:p>
      <w:pPr>
        <w:pStyle w:val="Heading3"/>
        <w:keepLines/>
        <w:spacing w:after="120" w:before="160"/>
        <w:jc w:val="left"/>
      </w:pPr>
      <w:r>
        <w:rPr>
          <w:sz w:val="20"/>
        </w:rPr>
        <w:t xml:space="preserve">Negative und Nullresultate</w:t>
      </w:r>
    </w:p>
    <w:p>
      <w:pPr>
        <w:pStyle w:val="FirstParagraph"/>
        <w:keepLines/>
        <w:spacing w:after="64" w:line="254" w:lineRule="auto"/>
        <w:jc w:val="left"/>
      </w:pPr>
      <w:r>
        <w:rPr>
          <w:sz w:val="20"/>
        </w:rPr>
        <w:t xml:space="preserve">Nullresultate werden vollständig registriert. Bei einer zentralen Nullhypothese können Äquivalenztests oder Bayes-Faktoren informativer sein als „nicht signifikant”. Ein gescheiterter Lauf wird nicht nachträglich entfernt, sofern das Ausschlusskriterium nicht vorab definiert war.</w:t>
      </w:r>
    </w:p>
    <w:bookmarkEnd w:id="432"/>
    <w:bookmarkEnd w:id="433"/>
    <w:bookmarkStart w:id="440" w:name="statistischer-analyseplan"/>
    <w:p>
      <w:pPr>
        <w:pStyle w:val="Heading2"/>
        <w:spacing w:before="160"/>
      </w:pPr>
      <w:r>
        <w:t xml:space="preserve">Statistischer Analyseplan</w:t>
      </w:r>
    </w:p>
    <w:bookmarkStart w:id="434" w:name="effektgrößen-und-intervalle"/>
    <w:p>
      <w:pPr>
        <w:pStyle w:val="Heading3"/>
        <w:keepLines/>
        <w:spacing w:after="120" w:before="160"/>
        <w:jc w:val="left"/>
      </w:pPr>
      <w:r>
        <w:rPr>
          <w:sz w:val="20"/>
        </w:rPr>
        <w:t xml:space="preserve">Effektgrößen und Intervalle</w:t>
      </w:r>
    </w:p>
    <w:p>
      <w:pPr>
        <w:pStyle w:val="FirstParagraph"/>
        <w:keepLines/>
        <w:spacing w:after="64" w:line="254" w:lineRule="auto"/>
        <w:jc w:val="left"/>
      </w:pPr>
      <w:r>
        <w:rPr>
          <w:sz w:val="20"/>
        </w:rPr>
        <w:t xml:space="preserve">Primär berichtet werden Effektgrößen und Konfidenz- beziehungsweise Credible-Intervalle. Beispiele sind standardisierte Mittelwertdifferenz, Odds Ratio, Varianzverhältnis, Rate Ratio oder AUC-Differenz. P-Werte sind ergänzend und werden nicht als Wahrheitswahrscheinlichkeit interpretiert.</w:t>
      </w:r>
    </w:p>
    <w:bookmarkEnd w:id="434"/>
    <w:bookmarkStart w:id="435" w:name="verteilungsannahmen"/>
    <w:p>
      <w:pPr>
        <w:pStyle w:val="Heading3"/>
        <w:keepLines/>
        <w:spacing w:after="120" w:before="160"/>
        <w:jc w:val="left"/>
      </w:pPr>
      <w:r>
        <w:rPr>
          <w:sz w:val="20"/>
        </w:rPr>
        <w:t xml:space="preserve">Verteilungsannahmen</w:t>
      </w:r>
    </w:p>
    <w:p>
      <w:pPr>
        <w:pStyle w:val="FirstParagraph"/>
        <w:keepLines/>
        <w:spacing w:after="64" w:line="254" w:lineRule="auto"/>
        <w:jc w:val="left"/>
      </w:pPr>
      <w:r>
        <w:rPr>
          <w:sz w:val="20"/>
        </w:rPr>
        <w:t xml:space="preserve">Netzwerkmetriken können schief, begrenzt, multimodal oder zero-inflated sein. Vorab werden robuste oder nichtparametrische Verfahren vorgesehen. Welch-Tests sind klassischen t-Tests bei ungleichen Varianzen vorzuziehen; Permutationstests sind geeignet, wenn Austauschbarkeit begründet ist. Wiederholte Messungen erfordern Modelle mit Run- und gegebenenfalls Aufgaben-Random-Effects.</w:t>
      </w:r>
    </w:p>
    <w:bookmarkEnd w:id="435"/>
    <w:bookmarkStart w:id="436" w:name="multiple-tests"/>
    <w:p>
      <w:pPr>
        <w:pStyle w:val="Heading3"/>
        <w:keepLines/>
        <w:spacing w:after="120" w:before="160"/>
        <w:jc w:val="left"/>
      </w:pPr>
      <w:r>
        <w:rPr>
          <w:sz w:val="20"/>
        </w:rPr>
        <w:t xml:space="preserve">Multiple Tests</w:t>
      </w:r>
    </w:p>
    <w:p>
      <w:pPr>
        <w:pStyle w:val="FirstParagraph"/>
        <w:keepLines/>
        <w:spacing w:after="64" w:line="254" w:lineRule="auto"/>
        <w:jc w:val="left"/>
      </w:pPr>
      <w:r>
        <w:rPr>
          <w:sz w:val="20"/>
        </w:rPr>
        <w:t xml:space="preserve">Brain-5D erzeugt viele Metriken. Die primäre Hypothese erhält einen klaren Endpunkt. Sekundär- und Explorativanalysen werden getrennt berichtet. Für Familien konfirmatorischer Tests sind Holm-, FDR- oder hierarchische Verfahren festzulegen.</w:t>
      </w:r>
    </w:p>
    <w:bookmarkEnd w:id="436"/>
    <w:bookmarkStart w:id="437" w:name="power-und-stichprobengröße"/>
    <w:p>
      <w:pPr>
        <w:pStyle w:val="Heading3"/>
        <w:keepLines/>
        <w:spacing w:after="120" w:before="160"/>
        <w:jc w:val="left"/>
      </w:pPr>
      <w:r>
        <w:rPr>
          <w:sz w:val="20"/>
        </w:rPr>
        <w:t xml:space="preserve">Power und Stichprobengröße</w:t>
      </w:r>
    </w:p>
    <w:p>
      <w:pPr>
        <w:pStyle w:val="FirstParagraph"/>
        <w:keepLines/>
        <w:spacing w:after="64" w:line="254" w:lineRule="auto"/>
        <w:jc w:val="left"/>
      </w:pPr>
      <w:r>
        <w:rPr>
          <w:sz w:val="20"/>
        </w:rPr>
        <w:t xml:space="preserve">Die Seed-Anzahl wird nicht pauschal auf einen festen Wert gesetzt. Pilotdaten liefern Varianz und Effektgrößenbereich; Simulationen können die Power eines Mixed-Effects- oder Permutationsdesigns abschätzen. Bei hohen Rechenkosten ist ein sequenzielles Design möglich, sofern Zwischenanalysen und Entscheidungsgrenzen vorab definiert sind.</w:t>
      </w:r>
    </w:p>
    <w:bookmarkEnd w:id="437"/>
    <w:bookmarkStart w:id="438" w:name="zeitreihen"/>
    <w:p>
      <w:pPr>
        <w:pStyle w:val="Heading3"/>
        <w:keepLines/>
        <w:spacing w:after="120" w:before="160"/>
        <w:jc w:val="left"/>
      </w:pPr>
      <w:r>
        <w:rPr>
          <w:sz w:val="20"/>
        </w:rPr>
        <w:t xml:space="preserve">Zeitreihen</w:t>
      </w:r>
    </w:p>
    <w:p>
      <w:pPr>
        <w:pStyle w:val="FirstParagraph"/>
        <w:keepLines/>
        <w:spacing w:after="64" w:line="254" w:lineRule="auto"/>
        <w:jc w:val="left"/>
      </w:pPr>
      <w:r>
        <w:rPr>
          <w:sz w:val="20"/>
        </w:rPr>
        <w:t xml:space="preserve">Autokorrelation reduziert die effektive Stichprobengröße. Block-Bootstrap, state-space-Modelle oder spektrale Verfahren sind abhängig von der Fragestellung geeigneter als eine Behandlung jedes Ticks als unabhängig. Change-Point-Analysen können Phasenwechsel identifizieren; ihre Parameter und False-Positive-Kontrolle sind zu dokumentieren.</w:t>
      </w:r>
    </w:p>
    <w:bookmarkEnd w:id="438"/>
    <w:bookmarkStart w:id="439" w:name="ausreißer-und-instabile-läufe"/>
    <w:p>
      <w:pPr>
        <w:pStyle w:val="Heading3"/>
        <w:keepLines/>
        <w:spacing w:after="120" w:before="160"/>
        <w:jc w:val="left"/>
      </w:pPr>
      <w:r>
        <w:rPr>
          <w:sz w:val="20"/>
        </w:rPr>
        <w:t xml:space="preserve">Ausreißer und instabile Läufe</w:t>
      </w:r>
    </w:p>
    <w:p>
      <w:pPr>
        <w:pStyle w:val="FirstParagraph"/>
        <w:keepLines/>
        <w:spacing w:after="64" w:line="254" w:lineRule="auto"/>
        <w:jc w:val="left"/>
      </w:pPr>
      <w:r>
        <w:rPr>
          <w:sz w:val="20"/>
        </w:rPr>
        <w:t xml:space="preserve">Runaway-, NaN- oder Ressourcenabbruch-Läufe sind häufig wissenschaftlich relevante Instabilitätsbefunde. Sie werden als eigene Outcomes berichtet. Technische Defekte können ausgeschlossen werden, wenn ein vorher definiertes Kriterium erfüllt und der Ausschluss begründet ist. Sensitivitätsanalysen zeigen Resultate mit und ohne Ausschlüsse.</w:t>
      </w:r>
    </w:p>
    <w:bookmarkEnd w:id="439"/>
    <w:bookmarkEnd w:id="440"/>
    <w:bookmarkStart w:id="446" w:name="kernmetriken"/>
    <w:p>
      <w:pPr>
        <w:pStyle w:val="Heading2"/>
        <w:spacing w:before="160"/>
      </w:pPr>
      <w:r>
        <w:t xml:space="preserve">Kernmetriken</w:t>
      </w:r>
    </w:p>
    <w:bookmarkStart w:id="441" w:name="dynamik"/>
    <w:p>
      <w:pPr>
        <w:pStyle w:val="Heading3"/>
        <w:keepLines/>
        <w:spacing w:after="120" w:before="160"/>
        <w:jc w:val="left"/>
      </w:pPr>
      <w:r>
        <w:rPr>
          <w:sz w:val="20"/>
        </w:rPr>
        <w:t xml:space="preserve">Dynamik</w:t>
      </w:r>
    </w:p>
    <w:p>
      <w:pPr>
        <w:keepLines/>
        <w:numPr>
          <w:ilvl w:val="0"/>
          <w:numId w:val="1038"/>
        </w:numPr>
        <w:spacing w:after="64" w:line="254" w:lineRule="auto"/>
        <w:jc w:val="left"/>
      </w:pPr>
      <w:r>
        <w:rPr>
          <w:sz w:val="20"/>
        </w:rPr>
        <w:t xml:space="preserve">mittlere und regionale Feuerrate;</w:t>
      </w:r>
    </w:p>
    <w:p>
      <w:pPr>
        <w:keepLines/>
        <w:numPr>
          <w:ilvl w:val="0"/>
          <w:numId w:val="1038"/>
        </w:numPr>
        <w:spacing w:after="64" w:line="254" w:lineRule="auto"/>
        <w:jc w:val="left"/>
      </w:pPr>
      <w:r>
        <w:rPr>
          <w:sz w:val="20"/>
        </w:rPr>
        <w:t xml:space="preserve">aktive und stille Neuronenfraktion;</w:t>
      </w:r>
    </w:p>
    <w:p>
      <w:pPr>
        <w:keepLines/>
        <w:numPr>
          <w:ilvl w:val="0"/>
          <w:numId w:val="1038"/>
        </w:numPr>
        <w:spacing w:after="64" w:line="254" w:lineRule="auto"/>
        <w:jc w:val="left"/>
      </w:pPr>
      <w:r>
        <w:rPr>
          <w:sz w:val="20"/>
        </w:rPr>
        <w:t xml:space="preserve">Inter-Spike-Intervalle und CV;</w:t>
      </w:r>
    </w:p>
    <w:p>
      <w:pPr>
        <w:keepLines/>
        <w:numPr>
          <w:ilvl w:val="0"/>
          <w:numId w:val="1038"/>
        </w:numPr>
        <w:spacing w:after="64" w:line="254" w:lineRule="auto"/>
        <w:jc w:val="left"/>
      </w:pPr>
      <w:r>
        <w:rPr>
          <w:sz w:val="20"/>
        </w:rPr>
        <w:t xml:space="preserve">Burst Index;</w:t>
      </w:r>
    </w:p>
    <w:p>
      <w:pPr>
        <w:keepLines/>
        <w:numPr>
          <w:ilvl w:val="0"/>
          <w:numId w:val="1038"/>
        </w:numPr>
        <w:spacing w:after="64" w:line="254" w:lineRule="auto"/>
        <w:jc w:val="left"/>
      </w:pPr>
      <w:r>
        <w:rPr>
          <w:sz w:val="20"/>
        </w:rPr>
        <w:t xml:space="preserve">Paar- und Populationssynchronität;</w:t>
      </w:r>
    </w:p>
    <w:p>
      <w:pPr>
        <w:keepLines/>
        <w:numPr>
          <w:ilvl w:val="0"/>
          <w:numId w:val="1038"/>
        </w:numPr>
        <w:spacing w:after="64" w:line="254" w:lineRule="auto"/>
        <w:jc w:val="left"/>
      </w:pPr>
      <w:r>
        <w:rPr>
          <w:sz w:val="20"/>
        </w:rPr>
        <w:t xml:space="preserve">Oszillationsspektrum;</w:t>
      </w:r>
    </w:p>
    <w:p>
      <w:pPr>
        <w:keepLines/>
        <w:numPr>
          <w:ilvl w:val="0"/>
          <w:numId w:val="1038"/>
        </w:numPr>
        <w:spacing w:after="64" w:line="254" w:lineRule="auto"/>
        <w:jc w:val="left"/>
      </w:pPr>
      <w:r>
        <w:rPr>
          <w:sz w:val="20"/>
        </w:rPr>
        <w:t xml:space="preserve">Fano-Faktor;</w:t>
      </w:r>
    </w:p>
    <w:p>
      <w:pPr>
        <w:keepLines/>
        <w:numPr>
          <w:ilvl w:val="0"/>
          <w:numId w:val="1038"/>
        </w:numPr>
        <w:spacing w:after="64" w:line="254" w:lineRule="auto"/>
        <w:jc w:val="left"/>
      </w:pPr>
      <w:r>
        <w:rPr>
          <w:sz w:val="20"/>
        </w:rPr>
        <w:t xml:space="preserve">Perturbationsdivergenz;</w:t>
      </w:r>
    </w:p>
    <w:p>
      <w:pPr>
        <w:keepLines/>
        <w:numPr>
          <w:ilvl w:val="0"/>
          <w:numId w:val="1038"/>
        </w:numPr>
        <w:spacing w:after="64" w:line="254" w:lineRule="auto"/>
        <w:jc w:val="left"/>
      </w:pPr>
      <w:r>
        <w:rPr>
          <w:sz w:val="20"/>
        </w:rPr>
        <w:t xml:space="preserve">Aufenthaltszeiten metastabiler Zustände;</w:t>
      </w:r>
    </w:p>
    <w:p>
      <w:pPr>
        <w:keepLines/>
        <w:numPr>
          <w:ilvl w:val="0"/>
          <w:numId w:val="1038"/>
        </w:numPr>
        <w:spacing w:after="64" w:line="254" w:lineRule="auto"/>
        <w:jc w:val="left"/>
      </w:pPr>
      <w:r>
        <w:rPr>
          <w:sz w:val="20"/>
        </w:rPr>
        <w:t xml:space="preserve">Anteil von Runaway- und Quieszenzphasen.</w:t>
      </w:r>
    </w:p>
    <w:bookmarkEnd w:id="441"/>
    <w:bookmarkStart w:id="442" w:name="struktur"/>
    <w:p>
      <w:pPr>
        <w:pStyle w:val="Heading3"/>
        <w:keepLines/>
        <w:spacing w:after="120" w:before="160"/>
        <w:jc w:val="left"/>
      </w:pPr>
      <w:r>
        <w:rPr>
          <w:sz w:val="20"/>
        </w:rPr>
        <w:t xml:space="preserve">Struktur</w:t>
      </w:r>
    </w:p>
    <w:p>
      <w:pPr>
        <w:keepLines/>
        <w:numPr>
          <w:ilvl w:val="0"/>
          <w:numId w:val="1039"/>
        </w:numPr>
        <w:spacing w:after="64" w:line="254" w:lineRule="auto"/>
        <w:jc w:val="left"/>
      </w:pPr>
      <w:r>
        <w:rPr>
          <w:sz w:val="20"/>
        </w:rPr>
        <w:t xml:space="preserve">Knoten- und Kantenzahl;</w:t>
      </w:r>
    </w:p>
    <w:p>
      <w:pPr>
        <w:keepLines/>
        <w:numPr>
          <w:ilvl w:val="0"/>
          <w:numId w:val="1039"/>
        </w:numPr>
        <w:spacing w:after="64" w:line="254" w:lineRule="auto"/>
        <w:jc w:val="left"/>
      </w:pPr>
      <w:r>
        <w:rPr>
          <w:sz w:val="20"/>
        </w:rPr>
        <w:t xml:space="preserve">In-/Out-Degree und Strength;</w:t>
      </w:r>
    </w:p>
    <w:p>
      <w:pPr>
        <w:keepLines/>
        <w:numPr>
          <w:ilvl w:val="0"/>
          <w:numId w:val="1039"/>
        </w:numPr>
        <w:spacing w:after="64" w:line="254" w:lineRule="auto"/>
        <w:jc w:val="left"/>
      </w:pPr>
      <w:r>
        <w:rPr>
          <w:sz w:val="20"/>
        </w:rPr>
        <w:t xml:space="preserve">Edge-Length- und Delay-Verteilung;</w:t>
      </w:r>
    </w:p>
    <w:p>
      <w:pPr>
        <w:keepLines/>
        <w:numPr>
          <w:ilvl w:val="0"/>
          <w:numId w:val="1039"/>
        </w:numPr>
        <w:spacing w:after="64" w:line="254" w:lineRule="auto"/>
        <w:jc w:val="left"/>
      </w:pPr>
      <w:r>
        <w:rPr>
          <w:sz w:val="20"/>
        </w:rPr>
        <w:t xml:space="preserve">Clustering, Effizienz und Pfadlänge;</w:t>
      </w:r>
    </w:p>
    <w:p>
      <w:pPr>
        <w:keepLines/>
        <w:numPr>
          <w:ilvl w:val="0"/>
          <w:numId w:val="1039"/>
        </w:numPr>
        <w:spacing w:after="64" w:line="254" w:lineRule="auto"/>
        <w:jc w:val="left"/>
      </w:pPr>
      <w:r>
        <w:rPr>
          <w:sz w:val="20"/>
        </w:rPr>
        <w:t xml:space="preserve">Modularität mit Nullmodellkorrektur;</w:t>
      </w:r>
    </w:p>
    <w:p>
      <w:pPr>
        <w:keepLines/>
        <w:numPr>
          <w:ilvl w:val="0"/>
          <w:numId w:val="1039"/>
        </w:numPr>
        <w:spacing w:after="64" w:line="254" w:lineRule="auto"/>
        <w:jc w:val="left"/>
      </w:pPr>
      <w:r>
        <w:rPr>
          <w:sz w:val="20"/>
        </w:rPr>
        <w:t xml:space="preserve">Community-Persistenz;</w:t>
      </w:r>
    </w:p>
    <w:p>
      <w:pPr>
        <w:keepLines/>
        <w:numPr>
          <w:ilvl w:val="0"/>
          <w:numId w:val="1039"/>
        </w:numPr>
        <w:spacing w:after="64" w:line="254" w:lineRule="auto"/>
        <w:jc w:val="left"/>
      </w:pPr>
      <w:r>
        <w:rPr>
          <w:sz w:val="20"/>
        </w:rPr>
        <w:t xml:space="preserve">Turnover, Survival und Altersverteilung;</w:t>
      </w:r>
    </w:p>
    <w:p>
      <w:pPr>
        <w:keepLines/>
        <w:numPr>
          <w:ilvl w:val="0"/>
          <w:numId w:val="1039"/>
        </w:numPr>
        <w:spacing w:after="64" w:line="254" w:lineRule="auto"/>
        <w:jc w:val="left"/>
      </w:pPr>
      <w:r>
        <w:rPr>
          <w:sz w:val="20"/>
        </w:rPr>
        <w:t xml:space="preserve">räumliche Dichte und Regionenübergänge;</w:t>
      </w:r>
    </w:p>
    <w:p>
      <w:pPr>
        <w:keepLines/>
        <w:numPr>
          <w:ilvl w:val="0"/>
          <w:numId w:val="1039"/>
        </w:numPr>
        <w:spacing w:after="64" w:line="254" w:lineRule="auto"/>
        <w:jc w:val="left"/>
      </w:pPr>
      <w:r>
        <w:rPr>
          <w:sz w:val="20"/>
        </w:rPr>
        <w:t xml:space="preserve">spektrale Größen;</w:t>
      </w:r>
    </w:p>
    <w:p>
      <w:pPr>
        <w:keepLines/>
        <w:numPr>
          <w:ilvl w:val="0"/>
          <w:numId w:val="1039"/>
        </w:numPr>
        <w:spacing w:after="64" w:line="254" w:lineRule="auto"/>
        <w:jc w:val="left"/>
      </w:pPr>
      <w:r>
        <w:rPr>
          <w:sz w:val="20"/>
        </w:rPr>
        <w:t xml:space="preserve">Wiring- und Ressourcenaufwand.</w:t>
      </w:r>
    </w:p>
    <w:bookmarkEnd w:id="442"/>
    <w:bookmarkStart w:id="443" w:name="plastizität"/>
    <w:p>
      <w:pPr>
        <w:pStyle w:val="Heading3"/>
        <w:keepLines/>
        <w:spacing w:after="120" w:before="160"/>
        <w:jc w:val="left"/>
      </w:pPr>
      <w:r>
        <w:rPr>
          <w:sz w:val="20"/>
        </w:rPr>
        <w:t xml:space="preserve">Plastizität</w:t>
      </w:r>
    </w:p>
    <w:p>
      <w:pPr>
        <w:keepLines/>
        <w:numPr>
          <w:ilvl w:val="0"/>
          <w:numId w:val="1040"/>
        </w:numPr>
        <w:spacing w:after="64" w:line="254" w:lineRule="auto"/>
        <w:jc w:val="left"/>
      </w:pPr>
      <w:r>
        <w:rPr>
          <w:sz w:val="20"/>
        </w:rPr>
        <w:t xml:space="preserve">Gewichtsverteilung und Sättigungsanteil;</w:t>
      </w:r>
    </w:p>
    <w:p>
      <w:pPr>
        <w:keepLines/>
        <w:numPr>
          <w:ilvl w:val="0"/>
          <w:numId w:val="1040"/>
        </w:numPr>
        <w:spacing w:after="64" w:line="254" w:lineRule="auto"/>
        <w:jc w:val="left"/>
      </w:pPr>
      <w:r>
        <w:rPr>
          <w:sz w:val="20"/>
        </w:rPr>
        <w:t xml:space="preserve">LTP-/LTD-Verhältnis;</w:t>
      </w:r>
    </w:p>
    <w:p>
      <w:pPr>
        <w:keepLines/>
        <w:numPr>
          <w:ilvl w:val="0"/>
          <w:numId w:val="1040"/>
        </w:numPr>
        <w:spacing w:after="64" w:line="254" w:lineRule="auto"/>
        <w:jc w:val="left"/>
      </w:pPr>
      <w:r>
        <w:rPr>
          <w:sz w:val="20"/>
        </w:rPr>
        <w:t xml:space="preserve">Eligibility-Verteilung;</w:t>
      </w:r>
    </w:p>
    <w:p>
      <w:pPr>
        <w:keepLines/>
        <w:numPr>
          <w:ilvl w:val="0"/>
          <w:numId w:val="1040"/>
        </w:numPr>
        <w:spacing w:after="64" w:line="254" w:lineRule="auto"/>
        <w:jc w:val="left"/>
      </w:pPr>
      <w:r>
        <w:rPr>
          <w:sz w:val="20"/>
        </w:rPr>
        <w:t xml:space="preserve">Homeostasefehler</w:t>
      </w:r>
      <w:r>
        <w:rPr>
          <w:sz w:val="20"/>
        </w:rPr>
        <w:t xml:space="preserve"> </w:t>
      </w:r>
      <m:oMath>
        <m:r>
          <m:t>∣</m:t>
        </m:r>
        <m:sSub>
          <m:e>
            <m:acc>
              <m:accPr>
                <m:chr m:val="‾"/>
              </m:accPr>
              <m:e>
                <m:r>
                  <m:t>r</m:t>
                </m:r>
              </m:e>
            </m:acc>
          </m:e>
          <m:sub>
            <m:r>
              <m:t>i</m:t>
            </m:r>
          </m:sub>
        </m:sSub>
        <m:r>
          <m:rPr>
            <m:sty m:val="p"/>
          </m:rPr>
          <m:t>−</m:t>
        </m:r>
        <m:sSubSup>
          <m:e>
            <m:r>
              <m:t>r</m:t>
            </m:r>
          </m:e>
          <m:sub>
            <m:r>
              <m:t>i</m:t>
            </m:r>
          </m:sub>
          <m:sup>
            <m:r>
              <m:rPr>
                <m:sty m:val="p"/>
              </m:rPr>
              <m:t>⋆</m:t>
            </m:r>
          </m:sup>
        </m:sSubSup>
        <m:r>
          <m:t>∣</m:t>
        </m:r>
      </m:oMath>
      <w:r>
        <w:rPr>
          <w:sz w:val="20"/>
        </w:rPr>
        <w:t xml:space="preserve">;</w:t>
      </w:r>
    </w:p>
    <w:p>
      <w:pPr>
        <w:keepLines/>
        <w:numPr>
          <w:ilvl w:val="0"/>
          <w:numId w:val="1040"/>
        </w:numPr>
        <w:spacing w:after="64" w:line="254" w:lineRule="auto"/>
        <w:jc w:val="left"/>
      </w:pPr>
      <w:r>
        <w:rPr>
          <w:sz w:val="20"/>
        </w:rPr>
        <w:t xml:space="preserve">Synapsenbildung und Pruning je Zeiteinheit;</w:t>
      </w:r>
    </w:p>
    <w:p>
      <w:pPr>
        <w:keepLines/>
        <w:numPr>
          <w:ilvl w:val="0"/>
          <w:numId w:val="1040"/>
        </w:numPr>
        <w:spacing w:after="64" w:line="254" w:lineRule="auto"/>
        <w:jc w:val="left"/>
      </w:pPr>
      <w:r>
        <w:rPr>
          <w:sz w:val="20"/>
        </w:rPr>
        <w:t xml:space="preserve">Netto- und Bruttowachstum;</w:t>
      </w:r>
    </w:p>
    <w:p>
      <w:pPr>
        <w:keepLines/>
        <w:numPr>
          <w:ilvl w:val="0"/>
          <w:numId w:val="1040"/>
        </w:numPr>
        <w:spacing w:after="64" w:line="254" w:lineRule="auto"/>
        <w:jc w:val="left"/>
      </w:pPr>
      <w:r>
        <w:rPr>
          <w:sz w:val="20"/>
        </w:rPr>
        <w:t xml:space="preserve">neue Neuronen, Integration und Survival;</w:t>
      </w:r>
    </w:p>
    <w:p>
      <w:pPr>
        <w:keepLines/>
        <w:numPr>
          <w:ilvl w:val="0"/>
          <w:numId w:val="1040"/>
        </w:numPr>
        <w:spacing w:after="64" w:line="254" w:lineRule="auto"/>
        <w:jc w:val="left"/>
      </w:pPr>
      <w:r>
        <w:rPr>
          <w:sz w:val="20"/>
        </w:rPr>
        <w:t xml:space="preserve">Änderungsentropie und regionaler Turnover.</w:t>
      </w:r>
    </w:p>
    <w:bookmarkEnd w:id="443"/>
    <w:bookmarkStart w:id="444" w:name="funktion"/>
    <w:p>
      <w:pPr>
        <w:pStyle w:val="Heading3"/>
        <w:keepLines/>
        <w:spacing w:after="120" w:before="160"/>
        <w:jc w:val="left"/>
      </w:pPr>
      <w:r>
        <w:rPr>
          <w:sz w:val="20"/>
        </w:rPr>
        <w:t xml:space="preserve">Funktion</w:t>
      </w:r>
    </w:p>
    <w:p>
      <w:pPr>
        <w:keepLines/>
        <w:numPr>
          <w:ilvl w:val="0"/>
          <w:numId w:val="1041"/>
        </w:numPr>
        <w:spacing w:after="64" w:line="254" w:lineRule="auto"/>
        <w:jc w:val="left"/>
      </w:pPr>
      <w:r>
        <w:rPr>
          <w:sz w:val="20"/>
        </w:rPr>
        <w:t xml:space="preserve">Lernkurve und Sample Efficiency;</w:t>
      </w:r>
    </w:p>
    <w:p>
      <w:pPr>
        <w:keepLines/>
        <w:numPr>
          <w:ilvl w:val="0"/>
          <w:numId w:val="1041"/>
        </w:numPr>
        <w:spacing w:after="64" w:line="254" w:lineRule="auto"/>
        <w:jc w:val="left"/>
      </w:pPr>
      <w:r>
        <w:rPr>
          <w:sz w:val="20"/>
        </w:rPr>
        <w:t xml:space="preserve">Recall, Precision, Specificity und Generalisierung;</w:t>
      </w:r>
    </w:p>
    <w:p>
      <w:pPr>
        <w:keepLines/>
        <w:numPr>
          <w:ilvl w:val="0"/>
          <w:numId w:val="1041"/>
        </w:numPr>
        <w:spacing w:after="64" w:line="254" w:lineRule="auto"/>
        <w:jc w:val="left"/>
      </w:pPr>
      <w:r>
        <w:rPr>
          <w:sz w:val="20"/>
        </w:rPr>
        <w:t xml:space="preserve">Retention-AUC;</w:t>
      </w:r>
    </w:p>
    <w:p>
      <w:pPr>
        <w:keepLines/>
        <w:numPr>
          <w:ilvl w:val="0"/>
          <w:numId w:val="1041"/>
        </w:numPr>
        <w:spacing w:after="64" w:line="254" w:lineRule="auto"/>
        <w:jc w:val="left"/>
      </w:pPr>
      <w:r>
        <w:rPr>
          <w:sz w:val="20"/>
        </w:rPr>
        <w:t xml:space="preserve">Forgetting, BWT und FWT;</w:t>
      </w:r>
    </w:p>
    <w:p>
      <w:pPr>
        <w:keepLines/>
        <w:numPr>
          <w:ilvl w:val="0"/>
          <w:numId w:val="1041"/>
        </w:numPr>
        <w:spacing w:after="64" w:line="254" w:lineRule="auto"/>
        <w:jc w:val="left"/>
      </w:pPr>
      <w:r>
        <w:rPr>
          <w:sz w:val="20"/>
        </w:rPr>
        <w:t xml:space="preserve">Reward und Regret;</w:t>
      </w:r>
    </w:p>
    <w:p>
      <w:pPr>
        <w:keepLines/>
        <w:numPr>
          <w:ilvl w:val="0"/>
          <w:numId w:val="1041"/>
        </w:numPr>
        <w:spacing w:after="64" w:line="254" w:lineRule="auto"/>
        <w:jc w:val="left"/>
      </w:pPr>
      <w:r>
        <w:rPr>
          <w:sz w:val="20"/>
        </w:rPr>
        <w:t xml:space="preserve">Adaptationszeit nach Umweltdrift;</w:t>
      </w:r>
    </w:p>
    <w:p>
      <w:pPr>
        <w:keepLines/>
        <w:numPr>
          <w:ilvl w:val="0"/>
          <w:numId w:val="1041"/>
        </w:numPr>
        <w:spacing w:after="64" w:line="254" w:lineRule="auto"/>
        <w:jc w:val="left"/>
      </w:pPr>
      <w:r>
        <w:rPr>
          <w:sz w:val="20"/>
        </w:rPr>
        <w:t xml:space="preserve">Robustheit gegenüber Rauschen, Läsion und Sensorverlust;</w:t>
      </w:r>
    </w:p>
    <w:p>
      <w:pPr>
        <w:keepLines/>
        <w:numPr>
          <w:ilvl w:val="0"/>
          <w:numId w:val="1041"/>
        </w:numPr>
        <w:spacing w:after="64" w:line="254" w:lineRule="auto"/>
        <w:jc w:val="left"/>
      </w:pPr>
      <w:r>
        <w:rPr>
          <w:sz w:val="20"/>
        </w:rPr>
        <w:t xml:space="preserve">Kalibrierung von Decoder-Confidence;</w:t>
      </w:r>
    </w:p>
    <w:p>
      <w:pPr>
        <w:keepLines/>
        <w:numPr>
          <w:ilvl w:val="0"/>
          <w:numId w:val="1041"/>
        </w:numPr>
        <w:spacing w:after="64" w:line="254" w:lineRule="auto"/>
        <w:jc w:val="left"/>
      </w:pPr>
      <w:r>
        <w:rPr>
          <w:sz w:val="20"/>
        </w:rPr>
        <w:t xml:space="preserve">prädiktiver Mehrwert interner Zustände.</w:t>
      </w:r>
    </w:p>
    <w:bookmarkEnd w:id="444"/>
    <w:bookmarkStart w:id="445" w:name="ressourcen-und-skalierung"/>
    <w:p>
      <w:pPr>
        <w:pStyle w:val="Heading3"/>
        <w:keepLines/>
        <w:spacing w:after="120" w:before="160"/>
        <w:jc w:val="left"/>
      </w:pPr>
      <w:r>
        <w:rPr>
          <w:sz w:val="20"/>
        </w:rPr>
        <w:t xml:space="preserve">Ressourcen und Skalierung</w:t>
      </w:r>
    </w:p>
    <w:p>
      <w:pPr>
        <w:keepLines/>
        <w:numPr>
          <w:ilvl w:val="0"/>
          <w:numId w:val="1042"/>
        </w:numPr>
        <w:spacing w:after="64" w:line="254" w:lineRule="auto"/>
        <w:jc w:val="left"/>
      </w:pPr>
      <w:r>
        <w:rPr>
          <w:sz w:val="20"/>
        </w:rPr>
        <w:t xml:space="preserve">CPU-/GPU-Zeit je Simulationssekunde;</w:t>
      </w:r>
    </w:p>
    <w:p>
      <w:pPr>
        <w:keepLines/>
        <w:numPr>
          <w:ilvl w:val="0"/>
          <w:numId w:val="1042"/>
        </w:numPr>
        <w:spacing w:after="64" w:line="254" w:lineRule="auto"/>
        <w:jc w:val="left"/>
      </w:pPr>
      <w:r>
        <w:rPr>
          <w:sz w:val="20"/>
        </w:rPr>
        <w:t xml:space="preserve">Peak- und Resident-Memory;</w:t>
      </w:r>
    </w:p>
    <w:p>
      <w:pPr>
        <w:keepLines/>
        <w:numPr>
          <w:ilvl w:val="0"/>
          <w:numId w:val="1042"/>
        </w:numPr>
        <w:spacing w:after="64" w:line="254" w:lineRule="auto"/>
        <w:jc w:val="left"/>
      </w:pPr>
      <w:r>
        <w:rPr>
          <w:sz w:val="20"/>
        </w:rPr>
        <w:t xml:space="preserve">Spikes und synaptische Updates je Sekunde;</w:t>
      </w:r>
    </w:p>
    <w:p>
      <w:pPr>
        <w:keepLines/>
        <w:numPr>
          <w:ilvl w:val="0"/>
          <w:numId w:val="1042"/>
        </w:numPr>
        <w:spacing w:after="64" w:line="254" w:lineRule="auto"/>
        <w:jc w:val="left"/>
      </w:pPr>
      <w:r>
        <w:rPr>
          <w:sz w:val="20"/>
        </w:rPr>
        <w:t xml:space="preserve">Snapshot- und Delta-Größe;</w:t>
      </w:r>
    </w:p>
    <w:p>
      <w:pPr>
        <w:keepLines/>
        <w:numPr>
          <w:ilvl w:val="0"/>
          <w:numId w:val="1042"/>
        </w:numPr>
        <w:spacing w:after="64" w:line="254" w:lineRule="auto"/>
        <w:jc w:val="left"/>
      </w:pPr>
      <w:r>
        <w:rPr>
          <w:sz w:val="20"/>
        </w:rPr>
        <w:t xml:space="preserve">I/O-Durchsatz und Restore-Zeit;</w:t>
      </w:r>
    </w:p>
    <w:p>
      <w:pPr>
        <w:keepLines/>
        <w:numPr>
          <w:ilvl w:val="0"/>
          <w:numId w:val="1042"/>
        </w:numPr>
        <w:spacing w:after="64" w:line="254" w:lineRule="auto"/>
        <w:jc w:val="left"/>
      </w:pPr>
      <w:r>
        <w:rPr>
          <w:sz w:val="20"/>
        </w:rPr>
        <w:t xml:space="preserve">Queue-Latenzen;</w:t>
      </w:r>
    </w:p>
    <w:p>
      <w:pPr>
        <w:keepLines/>
        <w:numPr>
          <w:ilvl w:val="0"/>
          <w:numId w:val="1042"/>
        </w:numPr>
        <w:spacing w:after="64" w:line="254" w:lineRule="auto"/>
        <w:jc w:val="left"/>
      </w:pPr>
      <w:r>
        <w:rPr>
          <w:sz w:val="20"/>
        </w:rPr>
        <w:t xml:space="preserve">Energieproxy oder gemessene Hardwareenergie;</w:t>
      </w:r>
    </w:p>
    <w:p>
      <w:pPr>
        <w:keepLines/>
        <w:numPr>
          <w:ilvl w:val="0"/>
          <w:numId w:val="1042"/>
        </w:numPr>
        <w:spacing w:after="64" w:line="254" w:lineRule="auto"/>
        <w:jc w:val="left"/>
      </w:pPr>
      <w:r>
        <w:rPr>
          <w:sz w:val="20"/>
        </w:rPr>
        <w:t xml:space="preserve">Kosten je korrektem funktionalem Ereignis.</w:t>
      </w:r>
    </w:p>
    <w:bookmarkEnd w:id="445"/>
    <w:bookmarkEnd w:id="446"/>
    <w:bookmarkEnd w:id="447"/>
    <w:bookmarkStart w:id="497" w:name="Xe4fa3f70ffea3e9d390594f6dc9f4e473a2d068"/>
    <w:p>
      <w:bookmarkStart w:id="10033" w:name="B5D_H033"/>
      <w:pPr>
        <w:pStyle w:val="Heading1"/>
      </w:pPr>
      <w:r>
        <w:t xml:space="preserve">30. Experimentfamilien A bis J, Baselines und Falsifikation</w:t>
      </w:r>
      <w:bookmarkEnd w:id="10033"/>
    </w:p>
    <w:bookmarkStart w:id="452" w:name="X28e942c5b5b1ff7dc11f63cd6ff7fdc77a2bf71"/>
    <w:p>
      <w:pPr>
        <w:pStyle w:val="Heading2"/>
      </w:pPr>
      <w:r>
        <w:t xml:space="preserve">Experiment A — Dimensionalität und Geometrie</w:t>
      </w:r>
    </w:p>
    <w:bookmarkStart w:id="448" w:name="fragestellung"/>
    <w:p>
      <w:pPr>
        <w:pStyle w:val="Heading3"/>
        <w:keepLines/>
        <w:spacing w:after="120"/>
        <w:jc w:val="left"/>
      </w:pPr>
      <w:r>
        <w:rPr>
          <w:sz w:val="20"/>
        </w:rPr>
        <w:t xml:space="preserve">Fragestellung</w:t>
      </w:r>
    </w:p>
    <w:p>
      <w:pPr>
        <w:pStyle w:val="FirstParagraph"/>
        <w:keepLines/>
        <w:spacing w:after="120"/>
        <w:jc w:val="left"/>
      </w:pPr>
      <w:r>
        <w:rPr>
          <w:sz w:val="20"/>
        </w:rPr>
        <w:t xml:space="preserve">Besitzt 5D unter gematchten Ressourcen einen kausalen Vorteil, und stammt dieser gegebenenfalls aus der Anzahl der Dimensionen, der Distanzfunktion oder der resultierenden Topologie?</w:t>
      </w:r>
    </w:p>
    <w:bookmarkEnd w:id="448"/>
    <w:bookmarkStart w:id="449" w:name="design"/>
    <w:p>
      <w:pPr>
        <w:pStyle w:val="Heading3"/>
        <w:keepLines/>
        <w:spacing w:after="120"/>
        <w:jc w:val="left"/>
      </w:pPr>
      <w:r>
        <w:rPr>
          <w:sz w:val="20"/>
        </w:rPr>
        <w:t xml:space="preserve">Design</w:t>
      </w:r>
    </w:p>
    <w:p>
      <w:pPr>
        <w:pStyle w:val="FirstParagraph"/>
        <w:keepLines/>
        <w:spacing w:after="120"/>
        <w:jc w:val="left"/>
      </w:pPr>
      <w:r>
        <w:rPr>
          <w:sz w:val="20"/>
        </w:rPr>
        <w:t xml:space="preserve">Faktoren:</w:t>
      </w:r>
    </w:p>
    <w:p>
      <w:pPr>
        <w:keepLines/>
        <w:numPr>
          <w:ilvl w:val="0"/>
          <w:numId w:val="1043"/>
        </w:numPr>
        <w:spacing w:after="120"/>
        <w:jc w:val="left"/>
      </w:pPr>
      <w:r>
        <w:rPr>
          <w:sz w:val="20"/>
        </w:rPr>
        <w:t xml:space="preserve">Dimension</w:t>
      </w:r>
      <w:r>
        <w:rPr>
          <w:sz w:val="20"/>
        </w:rPr>
        <w:t xml:space="preserve"> </w:t>
      </w:r>
      <m:oMath>
        <m:r>
          <m:t>D</m:t>
        </m:r>
        <m:r>
          <m:rPr>
            <m:sty m:val="p"/>
          </m:rPr>
          <m:t>∈</m:t>
        </m:r>
        <m:r>
          <m:rPr>
            <m:sty m:val="p"/>
          </m:rPr>
          <m:t>{</m:t>
        </m:r>
        <m:r>
          <m:t>2</m:t>
        </m:r>
        <m:r>
          <m:rPr>
            <m:sty m:val="p"/>
          </m:rPr>
          <m:t>,</m:t>
        </m:r>
        <m:r>
          <m:t>3</m:t>
        </m:r>
        <m:r>
          <m:rPr>
            <m:sty m:val="p"/>
          </m:rPr>
          <m:t>,</m:t>
        </m:r>
        <m:r>
          <m:t>4</m:t>
        </m:r>
        <m:r>
          <m:rPr>
            <m:sty m:val="p"/>
          </m:rPr>
          <m:t>,</m:t>
        </m:r>
        <m:r>
          <m:t>5</m:t>
        </m:r>
        <m:r>
          <m:rPr>
            <m:sty m:val="p"/>
          </m:rPr>
          <m:t>,</m:t>
        </m:r>
        <m:r>
          <m:t>6</m:t>
        </m:r>
        <m:r>
          <m:rPr>
            <m:sty m:val="p"/>
          </m:rPr>
          <m:t>}</m:t>
        </m:r>
      </m:oMath>
      <w:r>
        <w:rPr>
          <w:sz w:val="20"/>
        </w:rPr>
        <w:t xml:space="preserve">;</w:t>
      </w:r>
    </w:p>
    <w:p>
      <w:pPr>
        <w:keepLines/>
        <w:numPr>
          <w:ilvl w:val="0"/>
          <w:numId w:val="1043"/>
        </w:numPr>
        <w:spacing w:after="120"/>
        <w:jc w:val="left"/>
      </w:pPr>
      <w:r>
        <w:rPr>
          <w:sz w:val="20"/>
        </w:rPr>
        <w:t xml:space="preserve">Metrik: Identität, diagonale Gewichtung, gelernte SPD-Matrix;</w:t>
      </w:r>
    </w:p>
    <w:p>
      <w:pPr>
        <w:keepLines/>
        <w:numPr>
          <w:ilvl w:val="0"/>
          <w:numId w:val="1043"/>
        </w:numPr>
        <w:spacing w:after="120"/>
        <w:jc w:val="left"/>
      </w:pPr>
      <w:r>
        <w:rPr>
          <w:sz w:val="20"/>
        </w:rPr>
        <w:t xml:space="preserve">Topologie: geometrisch, degree-preserving rewired, nichtgeometrisch;</w:t>
      </w:r>
    </w:p>
    <w:p>
      <w:pPr>
        <w:keepLines/>
        <w:numPr>
          <w:ilvl w:val="0"/>
          <w:numId w:val="1043"/>
        </w:numPr>
        <w:spacing w:after="120"/>
        <w:jc w:val="left"/>
      </w:pPr>
      <w:r>
        <w:rPr>
          <w:sz w:val="20"/>
        </w:rPr>
        <w:t xml:space="preserve">Aufgabenklasse: assoziativer Recall, Sequenzvorhersage, Closed-Loop-Navigation.</w:t>
      </w:r>
    </w:p>
    <w:p>
      <w:pPr>
        <w:pStyle w:val="FirstParagraph"/>
        <w:keepLines/>
        <w:spacing w:after="120"/>
        <w:jc w:val="left"/>
      </w:pPr>
      <w:r>
        <w:rPr>
          <w:sz w:val="20"/>
        </w:rPr>
        <w:t xml:space="preserve">Primärendpunkt ist eine vorab gewählte funktionale Metrik. Sekundär werden Modularität, Interferenz, Edge Cost und Stabilität untersucht.</w:t>
      </w:r>
    </w:p>
    <w:bookmarkEnd w:id="449"/>
    <w:bookmarkStart w:id="450" w:name="identifizierbarkeit-1"/>
    <w:p>
      <w:pPr>
        <w:pStyle w:val="Heading3"/>
        <w:keepLines/>
        <w:spacing w:after="120"/>
        <w:jc w:val="left"/>
      </w:pPr>
      <w:r>
        <w:rPr>
          <w:sz w:val="20"/>
        </w:rPr>
        <w:t xml:space="preserve">Identifizierbarkeit</w:t>
      </w:r>
    </w:p>
    <w:p>
      <w:pPr>
        <w:pStyle w:val="FirstParagraph"/>
        <w:keepLines/>
        <w:spacing w:after="120"/>
        <w:jc w:val="left"/>
      </w:pPr>
      <w:r>
        <w:rPr>
          <w:sz w:val="20"/>
        </w:rPr>
        <w:t xml:space="preserve">Die Anzahl der Dimensionen beeinflusst bei gleicher Distanzschwelle die Nachbarschaftsvolumina. Deshalb werden Dichte und Grad nicht über identische Radiusparameter, sondern direkt gematcht. Koordinaten werden normalisiert. Metriklernen erhält Train-/Validation-Splits, damit die Metrik nicht auf dem Testset optimiert wird.</w:t>
      </w:r>
    </w:p>
    <w:bookmarkEnd w:id="450"/>
    <w:bookmarkStart w:id="451" w:name="falsifikation"/>
    <w:p>
      <w:pPr>
        <w:pStyle w:val="Heading3"/>
        <w:keepLines/>
        <w:spacing w:after="120"/>
        <w:jc w:val="left"/>
      </w:pPr>
      <w:r>
        <w:rPr>
          <w:sz w:val="20"/>
        </w:rPr>
        <w:t xml:space="preserve">Falsifikation</w:t>
      </w:r>
    </w:p>
    <w:p>
      <w:pPr>
        <w:pStyle w:val="FirstParagraph"/>
        <w:keepLines/>
        <w:spacing w:after="120"/>
        <w:jc w:val="left"/>
      </w:pPr>
      <m:oMath>
        <m:sSubSup>
          <m:e>
            <m:r>
              <m:t>H</m:t>
            </m:r>
          </m:e>
          <m:sub>
            <m:r>
              <m:t>0</m:t>
            </m:r>
          </m:sub>
          <m:sup>
            <m:r>
              <m:t>5</m:t>
            </m:r>
            <m:r>
              <m:t>D</m:t>
            </m:r>
          </m:sup>
        </m:sSubSup>
      </m:oMath>
      <w:r>
        <w:rPr>
          <w:b/>
          <w:bCs/>
          <w:sz w:val="20"/>
        </w:rPr>
        <w:t xml:space="preserve">:</w:t>
      </w:r>
      <w:r>
        <w:rPr>
          <w:sz w:val="20"/>
        </w:rPr>
        <w:t xml:space="preserve"> </w:t>
      </w:r>
      <w:r>
        <w:rPr>
          <w:sz w:val="20"/>
        </w:rPr>
        <w:t xml:space="preserve">5D besitzt keinen relevanten Vorteil gegenüber der besten gematchten Kontrolltopologie. Die Hypothese gilt als nicht unterstützt, wenn Effekte klein, inkonsistent, kostenbedingt oder nicht replizierbar sind. Ein Vorteil nur in einem einzelnen Seed oder einem Decoder ist unzureichend.</w:t>
      </w:r>
    </w:p>
    <w:bookmarkEnd w:id="451"/>
    <w:bookmarkEnd w:id="452"/>
    <w:bookmarkStart w:id="456" w:name="X3054a8714c1919fb3b0f772fa70aa1585a52f77"/>
    <w:p>
      <w:pPr>
        <w:pStyle w:val="Heading2"/>
      </w:pPr>
      <w:r>
        <w:t xml:space="preserve">Experiment B — Stabilitäts- und Phasenkarte</w:t>
      </w:r>
    </w:p>
    <w:bookmarkStart w:id="453" w:name="fragestellung-1"/>
    <w:p>
      <w:pPr>
        <w:pStyle w:val="Heading3"/>
        <w:keepLines/>
        <w:spacing w:after="120"/>
        <w:jc w:val="left"/>
      </w:pPr>
      <w:r>
        <w:rPr>
          <w:sz w:val="20"/>
        </w:rPr>
        <w:t xml:space="preserve">Fragestellung</w:t>
      </w:r>
    </w:p>
    <w:p>
      <w:pPr>
        <w:pStyle w:val="FirstParagraph"/>
        <w:keepLines/>
        <w:spacing w:after="120"/>
        <w:jc w:val="left"/>
      </w:pPr>
      <w:r>
        <w:rPr>
          <w:sz w:val="20"/>
        </w:rPr>
        <w:t xml:space="preserve">Welche Kombination aus Konnektivität, E/I-Balance, Lernrate, Homeostasezeit, Delay und Rauschen erzeugt ein begrenztes, responsives und plastisches Regime?</w:t>
      </w:r>
    </w:p>
    <w:bookmarkEnd w:id="453"/>
    <w:bookmarkStart w:id="454" w:name="parameterraum"/>
    <w:p>
      <w:pPr>
        <w:pStyle w:val="Heading3"/>
        <w:keepLines/>
        <w:spacing w:after="120"/>
        <w:jc w:val="left"/>
      </w:pPr>
      <w:r>
        <w:rPr>
          <w:sz w:val="20"/>
        </w:rPr>
        <w:t xml:space="preserve">Parameterraum</w:t>
      </w:r>
    </w:p>
    <w:p>
      <w:pPr>
        <w:pStyle w:val="FirstParagraph"/>
        <w:keepLines/>
        <w:spacing w:after="120"/>
        <w:jc w:val="left"/>
      </w:pPr>
      <w:r>
        <w:rPr>
          <w:sz w:val="20"/>
        </w:rPr>
        <w:t xml:space="preserve">Ein vollfaktorielles Design ist häufig zu teuer. Vorgesehen ist eine sequenzielle Strategie:</w:t>
      </w:r>
    </w:p>
    <w:p>
      <w:pPr>
        <w:keepLines/>
        <w:numPr>
          <w:ilvl w:val="0"/>
          <w:numId w:val="1044"/>
        </w:numPr>
        <w:spacing w:after="120"/>
        <w:jc w:val="left"/>
      </w:pPr>
      <w:r>
        <w:rPr>
          <w:sz w:val="20"/>
        </w:rPr>
        <w:t xml:space="preserve">Latin-Hypercube- oder Sobol-Sampling des Parameterraums;</w:t>
      </w:r>
    </w:p>
    <w:p>
      <w:pPr>
        <w:keepLines/>
        <w:numPr>
          <w:ilvl w:val="0"/>
          <w:numId w:val="1044"/>
        </w:numPr>
        <w:spacing w:after="120"/>
        <w:jc w:val="left"/>
      </w:pPr>
      <w:r>
        <w:rPr>
          <w:sz w:val="20"/>
        </w:rPr>
        <w:t xml:space="preserve">Klassifikation dynamischer Regime;</w:t>
      </w:r>
    </w:p>
    <w:p>
      <w:pPr>
        <w:keepLines/>
        <w:numPr>
          <w:ilvl w:val="0"/>
          <w:numId w:val="1044"/>
        </w:numPr>
        <w:spacing w:after="120"/>
        <w:jc w:val="left"/>
      </w:pPr>
      <w:r>
        <w:rPr>
          <w:sz w:val="20"/>
        </w:rPr>
        <w:t xml:space="preserve">adaptive Verdichtung an Übergangsbereichen;</w:t>
      </w:r>
    </w:p>
    <w:p>
      <w:pPr>
        <w:keepLines/>
        <w:numPr>
          <w:ilvl w:val="0"/>
          <w:numId w:val="1044"/>
        </w:numPr>
        <w:spacing w:after="120"/>
        <w:jc w:val="left"/>
      </w:pPr>
      <w:r>
        <w:rPr>
          <w:sz w:val="20"/>
        </w:rPr>
        <w:t xml:space="preserve">Replikation ausgewählter Punkte über Seeds und Netzwerkgrößen;</w:t>
      </w:r>
    </w:p>
    <w:p>
      <w:pPr>
        <w:keepLines/>
        <w:numPr>
          <w:ilvl w:val="0"/>
          <w:numId w:val="1044"/>
        </w:numPr>
        <w:spacing w:after="120"/>
        <w:jc w:val="left"/>
      </w:pPr>
      <w:r>
        <w:rPr>
          <w:sz w:val="20"/>
        </w:rPr>
        <w:t xml:space="preserve">lokale Bifurkations- beziehungsweise Perturbationsanalyse.</w:t>
      </w:r>
    </w:p>
    <w:bookmarkEnd w:id="454"/>
    <w:bookmarkStart w:id="455" w:name="primärendpunkt"/>
    <w:p>
      <w:pPr>
        <w:pStyle w:val="Heading3"/>
        <w:keepLines/>
        <w:spacing w:after="120"/>
        <w:jc w:val="left"/>
      </w:pPr>
      <w:r>
        <w:rPr>
          <w:sz w:val="20"/>
        </w:rPr>
        <w:t xml:space="preserve">Primärendpunkt</w:t>
      </w:r>
    </w:p>
    <w:p>
      <w:pPr>
        <w:pStyle w:val="FirstParagraph"/>
        <w:keepLines/>
        <w:spacing w:after="120"/>
        <w:jc w:val="left"/>
      </w:pPr>
      <w:r>
        <w:rPr>
          <w:sz w:val="20"/>
        </w:rPr>
        <w:t xml:space="preserve">Ein Lauf gilt nicht allein aufgrund mittlerer Zielrate als stabil. Ein zusammengesetzter Stabilitätsvektor umfasst Runaway-Anteil, Quieszenz, Sensitivität, Ressourcenüberschreitung, Feuerratenvarianz und funktionale Antwort. Phasengrenzen werden mit Unsicherheit berichtet.</w:t>
      </w:r>
    </w:p>
    <w:bookmarkEnd w:id="455"/>
    <w:bookmarkEnd w:id="456"/>
    <w:bookmarkStart w:id="459" w:name="experiment-c-plastizitätsmechanismen"/>
    <w:p>
      <w:pPr>
        <w:pStyle w:val="Heading2"/>
      </w:pPr>
      <w:r>
        <w:t xml:space="preserve">Experiment C — Plastizitätsmechanismen</w:t>
      </w:r>
    </w:p>
    <w:bookmarkStart w:id="457" w:name="faktorielles-ablationsdesign"/>
    <w:p>
      <w:pPr>
        <w:pStyle w:val="Heading3"/>
        <w:keepLines/>
        <w:spacing w:after="120"/>
        <w:jc w:val="left"/>
      </w:pPr>
      <w:r>
        <w:rPr>
          <w:sz w:val="20"/>
        </w:rPr>
        <w:t xml:space="preserve">Faktorielles Ablationsdesign</w:t>
      </w:r>
    </w:p>
    <w:p>
      <w:pPr>
        <w:pStyle w:val="FirstParagraph"/>
        <w:keepLines/>
        <w:spacing w:after="120"/>
        <w:jc w:val="left"/>
      </w:pPr>
      <w:r>
        <w:rPr>
          <w:sz w:val="20"/>
        </w:rPr>
        <w:t xml:space="preserve">Verglichen werden:</w:t>
      </w:r>
    </w:p>
    <w:p>
      <w:pPr>
        <w:keepLines/>
        <w:numPr>
          <w:ilvl w:val="0"/>
          <w:numId w:val="1045"/>
        </w:numPr>
        <w:spacing w:after="120"/>
        <w:jc w:val="left"/>
      </w:pPr>
      <w:r>
        <w:rPr>
          <w:sz w:val="20"/>
        </w:rPr>
        <w:t xml:space="preserve">ohne Plastizität;</w:t>
      </w:r>
    </w:p>
    <w:p>
      <w:pPr>
        <w:keepLines/>
        <w:numPr>
          <w:ilvl w:val="0"/>
          <w:numId w:val="1045"/>
        </w:numPr>
        <w:spacing w:after="120"/>
        <w:jc w:val="left"/>
      </w:pPr>
      <w:r>
        <w:rPr>
          <w:sz w:val="20"/>
        </w:rPr>
        <w:t xml:space="preserve">Pair-STDP;</w:t>
      </w:r>
    </w:p>
    <w:p>
      <w:pPr>
        <w:keepLines/>
        <w:numPr>
          <w:ilvl w:val="0"/>
          <w:numId w:val="1045"/>
        </w:numPr>
        <w:spacing w:after="120"/>
        <w:jc w:val="left"/>
      </w:pPr>
      <w:r>
        <w:rPr>
          <w:sz w:val="20"/>
        </w:rPr>
        <w:t xml:space="preserve">STDP + Homeostase;</w:t>
      </w:r>
    </w:p>
    <w:p>
      <w:pPr>
        <w:keepLines/>
        <w:numPr>
          <w:ilvl w:val="0"/>
          <w:numId w:val="1045"/>
        </w:numPr>
        <w:spacing w:after="120"/>
        <w:jc w:val="left"/>
      </w:pPr>
      <w:r>
        <w:rPr>
          <w:sz w:val="20"/>
        </w:rPr>
        <w:t xml:space="preserve">Three-Factor-Regel;</w:t>
      </w:r>
    </w:p>
    <w:p>
      <w:pPr>
        <w:keepLines/>
        <w:numPr>
          <w:ilvl w:val="0"/>
          <w:numId w:val="1045"/>
        </w:numPr>
        <w:spacing w:after="120"/>
        <w:jc w:val="left"/>
      </w:pPr>
      <w:r>
        <w:rPr>
          <w:sz w:val="20"/>
        </w:rPr>
        <w:t xml:space="preserve">Three-Factor + Homeostase;</w:t>
      </w:r>
    </w:p>
    <w:p>
      <w:pPr>
        <w:keepLines/>
        <w:numPr>
          <w:ilvl w:val="0"/>
          <w:numId w:val="1045"/>
        </w:numPr>
        <w:spacing w:after="120"/>
        <w:jc w:val="left"/>
      </w:pPr>
      <w:r>
        <w:rPr>
          <w:sz w:val="20"/>
        </w:rPr>
        <w:t xml:space="preserve">zusätzlich inhibitorische Plastizität;</w:t>
      </w:r>
    </w:p>
    <w:p>
      <w:pPr>
        <w:keepLines/>
        <w:numPr>
          <w:ilvl w:val="0"/>
          <w:numId w:val="1045"/>
        </w:numPr>
        <w:spacing w:after="120"/>
        <w:jc w:val="left"/>
      </w:pPr>
      <w:r>
        <w:rPr>
          <w:sz w:val="20"/>
        </w:rPr>
        <w:t xml:space="preserve">zusätzlich strukturelle Plastizität;</w:t>
      </w:r>
    </w:p>
    <w:p>
      <w:pPr>
        <w:keepLines/>
        <w:numPr>
          <w:ilvl w:val="0"/>
          <w:numId w:val="1045"/>
        </w:numPr>
        <w:spacing w:after="120"/>
        <w:jc w:val="left"/>
      </w:pPr>
      <w:r>
        <w:rPr>
          <w:sz w:val="20"/>
        </w:rPr>
        <w:t xml:space="preserve">vollständiges System.</w:t>
      </w:r>
    </w:p>
    <w:p>
      <w:pPr>
        <w:pStyle w:val="FirstParagraph"/>
        <w:keepLines/>
        <w:spacing w:after="120"/>
        <w:jc w:val="left"/>
      </w:pPr>
      <w:r>
        <w:rPr>
          <w:sz w:val="20"/>
        </w:rPr>
        <w:t xml:space="preserve">Bei hoher Faktorzahl kann ein fraktionelles Design oder eine hierarchische Sequenz verwendet werden. Interaktionen sind wissenschaftlich relevant: Homeostase kann STDP nur in bestimmten Zeitskalen stabilisieren.</w:t>
      </w:r>
    </w:p>
    <w:bookmarkEnd w:id="457"/>
    <w:bookmarkStart w:id="458" w:name="outcomes"/>
    <w:p>
      <w:pPr>
        <w:pStyle w:val="Heading3"/>
        <w:keepLines/>
        <w:spacing w:after="120"/>
        <w:jc w:val="left"/>
      </w:pPr>
      <w:r>
        <w:rPr>
          <w:sz w:val="20"/>
        </w:rPr>
        <w:t xml:space="preserve">Outcomes</w:t>
      </w:r>
    </w:p>
    <w:p>
      <w:pPr>
        <w:pStyle w:val="FirstParagraph"/>
        <w:keepLines/>
        <w:spacing w:after="120"/>
        <w:jc w:val="left"/>
      </w:pPr>
      <w:r>
        <w:rPr>
          <w:sz w:val="20"/>
        </w:rPr>
        <w:t xml:space="preserve">Lernleistung, Instabilitätsrate, Gewichtssättigung, Retention, Interferenz, Strukturkosten und Energieproxy. Ein Mechanismus gilt nur dann als funktional nützlich, wenn sein Nutzen nicht ausschließlich durch höhere Ressourcen entsteht.</w:t>
      </w:r>
    </w:p>
    <w:bookmarkEnd w:id="458"/>
    <w:bookmarkEnd w:id="459"/>
    <w:bookmarkStart w:id="463" w:name="X4f0cbac3940f82716fcaa9a70a2a5c7cbe12b4a"/>
    <w:p>
      <w:pPr>
        <w:pStyle w:val="Heading2"/>
      </w:pPr>
      <w:r>
        <w:t xml:space="preserve">Experiment D — Gedächtnis und Retrieval-Isolation</w:t>
      </w:r>
    </w:p>
    <w:bookmarkStart w:id="460" w:name="phasen"/>
    <w:p>
      <w:pPr>
        <w:pStyle w:val="Heading3"/>
        <w:keepLines/>
        <w:spacing w:after="120"/>
        <w:jc w:val="left"/>
      </w:pPr>
      <w:r>
        <w:rPr>
          <w:sz w:val="20"/>
        </w:rPr>
        <w:t xml:space="preserve">Phasen</w:t>
      </w:r>
    </w:p>
    <w:p>
      <w:pPr>
        <w:pStyle w:val="FirstParagraph"/>
        <w:keepLines/>
        <w:spacing w:after="120"/>
        <w:jc w:val="left"/>
      </w:pPr>
      <w:r>
        <w:rPr>
          <w:b/>
          <w:bCs/>
          <w:sz w:val="20"/>
        </w:rPr>
        <w:t xml:space="preserve">A — Baseline:</w:t>
      </w:r>
      <w:r>
        <w:rPr>
          <w:sz w:val="20"/>
        </w:rPr>
        <w:t xml:space="preserve"> </w:t>
      </w:r>
      <w:r>
        <w:rPr>
          <w:sz w:val="20"/>
        </w:rPr>
        <w:t xml:space="preserve">unbekannte Inhalte abfragen.</w:t>
      </w:r>
      <w:r>
        <w:rPr>
          <w:sz w:val="20"/>
        </w:rPr>
        <w:br/>
      </w:r>
      <w:r>
        <w:rPr>
          <w:b/>
          <w:bCs/>
          <w:sz w:val="20"/>
        </w:rPr>
        <w:t xml:space="preserve">B — Exposition:</w:t>
      </w:r>
      <w:r>
        <w:rPr>
          <w:sz w:val="20"/>
        </w:rPr>
        <w:t xml:space="preserve"> </w:t>
      </w:r>
      <w:r>
        <w:rPr>
          <w:sz w:val="20"/>
        </w:rPr>
        <w:t xml:space="preserve">kontrollierte Stimuluspläne mit dokumentierter Dosis.</w:t>
      </w:r>
      <w:r>
        <w:rPr>
          <w:sz w:val="20"/>
        </w:rPr>
        <w:br/>
      </w:r>
      <w:r>
        <w:rPr>
          <w:b/>
          <w:bCs/>
          <w:sz w:val="20"/>
        </w:rPr>
        <w:t xml:space="preserve">C — Konsolidierung:</w:t>
      </w:r>
      <w:r>
        <w:rPr>
          <w:sz w:val="20"/>
        </w:rPr>
        <w:t xml:space="preserve"> </w:t>
      </w:r>
      <w:r>
        <w:rPr>
          <w:sz w:val="20"/>
        </w:rPr>
        <w:t xml:space="preserve">keine externe Wiederholung.</w:t>
      </w:r>
      <w:r>
        <w:rPr>
          <w:sz w:val="20"/>
        </w:rPr>
        <w:br/>
      </w:r>
      <w:r>
        <w:rPr>
          <w:b/>
          <w:bCs/>
          <w:sz w:val="20"/>
        </w:rPr>
        <w:t xml:space="preserve">D — Isolation:</w:t>
      </w:r>
      <w:r>
        <w:rPr>
          <w:sz w:val="20"/>
        </w:rPr>
        <w:t xml:space="preserve"> </w:t>
      </w:r>
      <w:r>
        <w:rPr>
          <w:sz w:val="20"/>
        </w:rPr>
        <w:t xml:space="preserve">LLM, Retrieval, Cache und Netzwerkzugang abschalten.</w:t>
      </w:r>
      <w:r>
        <w:rPr>
          <w:sz w:val="20"/>
        </w:rPr>
        <w:br/>
      </w:r>
      <w:r>
        <w:rPr>
          <w:b/>
          <w:bCs/>
          <w:sz w:val="20"/>
        </w:rPr>
        <w:t xml:space="preserve">E — Recall:</w:t>
      </w:r>
      <w:r>
        <w:rPr>
          <w:sz w:val="20"/>
        </w:rPr>
        <w:t xml:space="preserve"> </w:t>
      </w:r>
      <w:r>
        <w:rPr>
          <w:sz w:val="20"/>
        </w:rPr>
        <w:t xml:space="preserve">identische, paraphrasierte und kontextvariierte Cues.</w:t>
      </w:r>
      <w:r>
        <w:rPr>
          <w:sz w:val="20"/>
        </w:rPr>
        <w:br/>
      </w:r>
      <w:r>
        <w:rPr>
          <w:b/>
          <w:bCs/>
          <w:sz w:val="20"/>
        </w:rPr>
        <w:t xml:space="preserve">F — Kontrollen:</w:t>
      </w:r>
      <w:r>
        <w:rPr>
          <w:sz w:val="20"/>
        </w:rPr>
        <w:t xml:space="preserve"> </w:t>
      </w:r>
      <w:r>
        <w:rPr>
          <w:sz w:val="20"/>
        </w:rPr>
        <w:t xml:space="preserve">ungeübtes, plastizitätsgesperrtes, randomisiertes und relevant lädiertes Netzwerk.</w:t>
      </w:r>
    </w:p>
    <w:bookmarkEnd w:id="460"/>
    <w:bookmarkStart w:id="461" w:name="state-destruction-kontrollen"/>
    <w:p>
      <w:pPr>
        <w:pStyle w:val="Heading3"/>
        <w:keepLines/>
        <w:spacing w:after="120"/>
        <w:jc w:val="left"/>
      </w:pPr>
      <w:r>
        <w:rPr>
          <w:sz w:val="20"/>
        </w:rPr>
        <w:t xml:space="preserve">State-Destruction-Kontrollen</w:t>
      </w:r>
    </w:p>
    <w:p>
      <w:pPr>
        <w:pStyle w:val="FirstParagraph"/>
        <w:keepLines/>
        <w:spacing w:after="120"/>
        <w:jc w:val="left"/>
      </w:pPr>
      <w:r>
        <w:rPr>
          <w:sz w:val="20"/>
        </w:rPr>
        <w:t xml:space="preserve">Um zu bestimmen, welcher Zustand Recall trägt, werden gezielt Gewichte, Eligibility, Schwellen, Struktur oder Aktivitätszustand zurückgesetzt beziehungsweise permutiert. Eine kontrollierte Störung, die Recall selektiv zerstört, stärkt die kausale Zuordnung.</w:t>
      </w:r>
    </w:p>
    <w:bookmarkEnd w:id="461"/>
    <w:bookmarkStart w:id="462" w:name="decoder-confound"/>
    <w:p>
      <w:pPr>
        <w:pStyle w:val="Heading3"/>
        <w:keepLines/>
        <w:spacing w:after="120"/>
        <w:jc w:val="left"/>
      </w:pPr>
      <w:r>
        <w:rPr>
          <w:sz w:val="20"/>
        </w:rPr>
        <w:t xml:space="preserve">Decoder-Confound</w:t>
      </w:r>
    </w:p>
    <w:p>
      <w:pPr>
        <w:pStyle w:val="FirstParagraph"/>
        <w:keepLines/>
        <w:spacing w:after="120"/>
        <w:jc w:val="left"/>
      </w:pPr>
      <w:r>
        <w:rPr>
          <w:sz w:val="20"/>
        </w:rPr>
        <w:t xml:space="preserve">Der Decoder wird entweder vor dem Lernexperiment eingefroren oder auf separaten Daten trainiert. Ein Decoder, der nachträglich auf dieselben Recall-Labels angepasst wird, kann Netzwerkrauschen in scheinbar sinnvolle Klassen überführen.</w:t>
      </w:r>
    </w:p>
    <w:bookmarkEnd w:id="462"/>
    <w:bookmarkEnd w:id="463"/>
    <w:bookmarkStart w:id="467" w:name="experiment-e-continual-learning"/>
    <w:p>
      <w:pPr>
        <w:pStyle w:val="Heading2"/>
      </w:pPr>
      <w:r>
        <w:t xml:space="preserve">Experiment E — Continual Learning</w:t>
      </w:r>
    </w:p>
    <w:bookmarkStart w:id="464" w:name="aufgabenfolgen"/>
    <w:p>
      <w:pPr>
        <w:pStyle w:val="Heading3"/>
        <w:keepLines/>
        <w:spacing w:after="120"/>
        <w:jc w:val="left"/>
      </w:pPr>
      <w:r>
        <w:rPr>
          <w:sz w:val="20"/>
        </w:rPr>
        <w:t xml:space="preserve">Aufgabenfolgen</w:t>
      </w:r>
    </w:p>
    <w:p>
      <w:pPr>
        <w:pStyle w:val="FirstParagraph"/>
        <w:keepLines/>
        <w:spacing w:after="120"/>
        <w:jc w:val="left"/>
      </w:pPr>
      <w:r>
        <w:rPr>
          <w:sz w:val="20"/>
        </w:rPr>
        <w:t xml:space="preserve">Es werden unterschiedliche Sequenztypen verwendet:</w:t>
      </w:r>
    </w:p>
    <w:p>
      <w:pPr>
        <w:keepLines/>
        <w:numPr>
          <w:ilvl w:val="0"/>
          <w:numId w:val="1046"/>
        </w:numPr>
        <w:spacing w:after="120"/>
        <w:jc w:val="left"/>
      </w:pPr>
      <w:r>
        <w:rPr>
          <w:sz w:val="20"/>
        </w:rPr>
        <w:t xml:space="preserve">disjunkte Klassen;</w:t>
      </w:r>
    </w:p>
    <w:p>
      <w:pPr>
        <w:keepLines/>
        <w:numPr>
          <w:ilvl w:val="0"/>
          <w:numId w:val="1046"/>
        </w:numPr>
        <w:spacing w:after="120"/>
        <w:jc w:val="left"/>
      </w:pPr>
      <w:r>
        <w:rPr>
          <w:sz w:val="20"/>
        </w:rPr>
        <w:t xml:space="preserve">gemeinsame Merkmale mit wechselnden Labels;</w:t>
      </w:r>
    </w:p>
    <w:p>
      <w:pPr>
        <w:keepLines/>
        <w:numPr>
          <w:ilvl w:val="0"/>
          <w:numId w:val="1046"/>
        </w:numPr>
        <w:spacing w:after="120"/>
        <w:jc w:val="left"/>
      </w:pPr>
      <w:r>
        <w:rPr>
          <w:sz w:val="20"/>
        </w:rPr>
        <w:t xml:space="preserve">gradueller Domain Shift;</w:t>
      </w:r>
    </w:p>
    <w:p>
      <w:pPr>
        <w:keepLines/>
        <w:numPr>
          <w:ilvl w:val="0"/>
          <w:numId w:val="1046"/>
        </w:numPr>
        <w:spacing w:after="120"/>
        <w:jc w:val="left"/>
      </w:pPr>
      <w:r>
        <w:rPr>
          <w:sz w:val="20"/>
        </w:rPr>
        <w:t xml:space="preserve">wiederkehrende Aufgaben;</w:t>
      </w:r>
    </w:p>
    <w:p>
      <w:pPr>
        <w:keepLines/>
        <w:numPr>
          <w:ilvl w:val="0"/>
          <w:numId w:val="1046"/>
        </w:numPr>
        <w:spacing w:after="120"/>
        <w:jc w:val="left"/>
      </w:pPr>
      <w:r>
        <w:rPr>
          <w:sz w:val="20"/>
        </w:rPr>
        <w:t xml:space="preserve">widersprüchliche Inhalte;</w:t>
      </w:r>
    </w:p>
    <w:p>
      <w:pPr>
        <w:keepLines/>
        <w:numPr>
          <w:ilvl w:val="0"/>
          <w:numId w:val="1046"/>
        </w:numPr>
        <w:spacing w:after="120"/>
        <w:jc w:val="left"/>
      </w:pPr>
      <w:r>
        <w:rPr>
          <w:sz w:val="20"/>
        </w:rPr>
        <w:t xml:space="preserve">neue Sensor- oder Aktorzuordnungen.</w:t>
      </w:r>
    </w:p>
    <w:p>
      <w:pPr>
        <w:pStyle w:val="FirstParagraph"/>
        <w:keepLines/>
        <w:spacing w:after="120"/>
        <w:jc w:val="left"/>
      </w:pPr>
      <w:r>
        <w:rPr>
          <w:sz w:val="20"/>
        </w:rPr>
        <w:t xml:space="preserve">Die Reihenfolge wird randomisiert oder als Faktor behandelt. Ein einziges Curriculum kann Mechanismen bevorzugen.</w:t>
      </w:r>
    </w:p>
    <w:bookmarkEnd w:id="464"/>
    <w:bookmarkStart w:id="465" w:name="baselines"/>
    <w:p>
      <w:pPr>
        <w:pStyle w:val="Heading3"/>
        <w:keepLines/>
        <w:spacing w:after="120"/>
        <w:jc w:val="left"/>
      </w:pPr>
      <w:r>
        <w:rPr>
          <w:sz w:val="20"/>
        </w:rPr>
        <w:t xml:space="preserve">Baselines</w:t>
      </w:r>
    </w:p>
    <w:p>
      <w:pPr>
        <w:pStyle w:val="FirstParagraph"/>
        <w:keepLines/>
        <w:spacing w:after="120"/>
        <w:jc w:val="left"/>
      </w:pPr>
      <w:r>
        <w:rPr>
          <w:sz w:val="20"/>
        </w:rPr>
        <w:t xml:space="preserve">Neben Brain-5D-Ablationen werden Replay, Elastic Weight Consolidation, Synaptic Intelligence und gegebenenfalls Reservoir-Baselines einbezogen (</w:t>
      </w:r>
      <w:hyperlink w:anchor="ref-Kirkpatrick2017">
        <w:r>
          <w:rPr>
            <w:rStyle w:val="Hyperlink"/>
          </w:rPr>
          <w:t xml:space="preserve">Kirkpatrick et al., 2017</w:t>
        </w:r>
      </w:hyperlink>
      <w:r>
        <w:rPr>
          <w:sz w:val="20"/>
        </w:rPr>
        <w:t xml:space="preserve">;</w:t>
      </w:r>
      <w:r>
        <w:rPr>
          <w:sz w:val="20"/>
        </w:rPr>
        <w:t xml:space="preserve"> </w:t>
      </w:r>
      <w:hyperlink w:anchor="ref-LopezPaz2017">
        <w:r>
          <w:rPr>
            <w:rStyle w:val="Hyperlink"/>
          </w:rPr>
          <w:t xml:space="preserve">Lopez-Paz &amp; Ranzato, 2017</w:t>
        </w:r>
      </w:hyperlink>
      <w:r>
        <w:rPr>
          <w:sz w:val="20"/>
        </w:rPr>
        <w:t xml:space="preserve">;</w:t>
      </w:r>
      <w:r>
        <w:rPr>
          <w:sz w:val="20"/>
        </w:rPr>
        <w:t xml:space="preserve"> </w:t>
      </w:r>
      <w:hyperlink w:anchor="ref-Zenke2017CL">
        <w:r>
          <w:rPr>
            <w:rStyle w:val="Hyperlink"/>
          </w:rPr>
          <w:t xml:space="preserve">Zenke et al., 2017</w:t>
        </w:r>
      </w:hyperlink>
      <w:r>
        <w:rPr>
          <w:sz w:val="20"/>
        </w:rPr>
        <w:t xml:space="preserve">). Ziel ist nicht, biologische Inspiration gegen beliebige Deep-Learning-Benchmarks auszuspielen, sondern den spezifischen Nutzen der Mechanismen zu bestimmen.</w:t>
      </w:r>
    </w:p>
    <w:bookmarkEnd w:id="465"/>
    <w:bookmarkStart w:id="466" w:name="widerspruchsexperiment"/>
    <w:p>
      <w:pPr>
        <w:pStyle w:val="Heading3"/>
        <w:keepLines/>
        <w:spacing w:after="120"/>
        <w:jc w:val="left"/>
      </w:pPr>
      <w:r>
        <w:rPr>
          <w:sz w:val="20"/>
        </w:rPr>
        <w:t xml:space="preserve">Widerspruchsexperiment</w:t>
      </w:r>
    </w:p>
    <w:p>
      <w:pPr>
        <w:pStyle w:val="FirstParagraph"/>
        <w:keepLines/>
        <w:spacing w:after="120"/>
        <w:jc w:val="left"/>
      </w:pPr>
      <w:r>
        <w:rPr>
          <w:sz w:val="20"/>
        </w:rPr>
        <w:t xml:space="preserve">Ein Inhalt</w:t>
      </w:r>
      <w:r>
        <w:rPr>
          <w:sz w:val="20"/>
        </w:rPr>
        <w:t xml:space="preserve"> </w:t>
      </w:r>
      <m:oMath>
        <m:r>
          <m:t>K</m:t>
        </m:r>
      </m:oMath>
      <w:r>
        <w:rPr>
          <w:sz w:val="20"/>
        </w:rPr>
        <w:t xml:space="preserve"> </w:t>
      </w:r>
      <w:r>
        <w:rPr>
          <w:sz w:val="20"/>
        </w:rPr>
        <w:t xml:space="preserve">wird gelernt, später durch</w:t>
      </w:r>
      <w:r>
        <w:rPr>
          <w:sz w:val="20"/>
        </w:rPr>
        <w:t xml:space="preserve"> </w:t>
      </w:r>
      <m:oMath>
        <m:r>
          <m:rPr>
            <m:sty m:val="p"/>
          </m:rPr>
          <m:t>¬</m:t>
        </m:r>
        <m:r>
          <m:t>K</m:t>
        </m:r>
      </m:oMath>
      <w:r>
        <w:rPr>
          <w:sz w:val="20"/>
        </w:rPr>
        <w:t xml:space="preserve"> </w:t>
      </w:r>
      <w:r>
        <w:rPr>
          <w:sz w:val="20"/>
        </w:rPr>
        <w:t xml:space="preserve">oder eine kontextabhängige Variante ergänzt. Gemessen wird, ob das System überschreibt, beide Kontexte trennt oder inkonsistente Antworten erzeugt. Provenienz und Zeit müssen im Stimulus repräsentierbar sein; andernfalls ist Konfliktauflösung nicht fair prüfbar.</w:t>
      </w:r>
    </w:p>
    <w:bookmarkEnd w:id="466"/>
    <w:bookmarkEnd w:id="467"/>
    <w:bookmarkStart w:id="471" w:name="X2e2a6f1826556cc256cdf9812daa95b4c9c85bd"/>
    <w:p>
      <w:pPr>
        <w:pStyle w:val="Heading2"/>
      </w:pPr>
      <w:r>
        <w:t xml:space="preserve">Experiment F — Language Organ und Knowledge Intake</w:t>
      </w:r>
    </w:p>
    <w:bookmarkStart w:id="468" w:name="komponentenzuschreibung"/>
    <w:p>
      <w:pPr>
        <w:pStyle w:val="Heading3"/>
        <w:keepLines/>
        <w:spacing w:after="120"/>
        <w:jc w:val="left"/>
      </w:pPr>
      <w:r>
        <w:rPr>
          <w:sz w:val="20"/>
        </w:rPr>
        <w:t xml:space="preserve">Komponentenzuschreibung</w:t>
      </w:r>
    </w:p>
    <w:p>
      <w:pPr>
        <w:pStyle w:val="FirstParagraph"/>
        <w:keepLines/>
        <w:spacing w:after="120"/>
        <w:jc w:val="left"/>
      </w:pPr>
      <w:r>
        <w:rPr>
          <w:sz w:val="20"/>
        </w:rPr>
        <w:t xml:space="preserve">Die Bedingungen L0–L4 werden systematisch verglichen. Zusätzlich:</w:t>
      </w:r>
    </w:p>
    <w:p>
      <w:pPr>
        <w:keepLines/>
        <w:numPr>
          <w:ilvl w:val="0"/>
          <w:numId w:val="1047"/>
        </w:numPr>
        <w:spacing w:after="120"/>
        <w:jc w:val="left"/>
      </w:pPr>
      <w:r>
        <w:rPr>
          <w:sz w:val="20"/>
        </w:rPr>
        <w:t xml:space="preserve">Decoder mit echten SignalFrames versus geshuffelten Frames;</w:t>
      </w:r>
    </w:p>
    <w:p>
      <w:pPr>
        <w:keepLines/>
        <w:numPr>
          <w:ilvl w:val="0"/>
          <w:numId w:val="1047"/>
        </w:numPr>
        <w:spacing w:after="120"/>
        <w:jc w:val="left"/>
      </w:pPr>
      <w:r>
        <w:rPr>
          <w:sz w:val="20"/>
        </w:rPr>
        <w:t xml:space="preserve">LLM mit leerem versus vollständigem Promptkontext;</w:t>
      </w:r>
    </w:p>
    <w:p>
      <w:pPr>
        <w:keepLines/>
        <w:numPr>
          <w:ilvl w:val="0"/>
          <w:numId w:val="1047"/>
        </w:numPr>
        <w:spacing w:after="120"/>
        <w:jc w:val="left"/>
      </w:pPr>
      <w:r>
        <w:rPr>
          <w:sz w:val="20"/>
        </w:rPr>
        <w:t xml:space="preserve">Retrieval mit und ohne SNN;</w:t>
      </w:r>
    </w:p>
    <w:p>
      <w:pPr>
        <w:keepLines/>
        <w:numPr>
          <w:ilvl w:val="0"/>
          <w:numId w:val="1047"/>
        </w:numPr>
        <w:spacing w:after="120"/>
        <w:jc w:val="left"/>
      </w:pPr>
      <w:r>
        <w:rPr>
          <w:sz w:val="20"/>
        </w:rPr>
        <w:t xml:space="preserve">Encoder-Stimuli versus semantisch gematchte Zufallscodes;</w:t>
      </w:r>
    </w:p>
    <w:p>
      <w:pPr>
        <w:keepLines/>
        <w:numPr>
          <w:ilvl w:val="0"/>
          <w:numId w:val="1047"/>
        </w:numPr>
        <w:spacing w:after="120"/>
        <w:jc w:val="left"/>
      </w:pPr>
      <w:r>
        <w:rPr>
          <w:sz w:val="20"/>
        </w:rPr>
        <w:t xml:space="preserve">FeedbackProposal akzeptiert versus abgelehnt;</w:t>
      </w:r>
    </w:p>
    <w:p>
      <w:pPr>
        <w:keepLines/>
        <w:numPr>
          <w:ilvl w:val="0"/>
          <w:numId w:val="1047"/>
        </w:numPr>
        <w:spacing w:after="120"/>
        <w:jc w:val="left"/>
      </w:pPr>
      <w:r>
        <w:rPr>
          <w:sz w:val="20"/>
        </w:rPr>
        <w:t xml:space="preserve">NullLanguageBackend.</w:t>
      </w:r>
    </w:p>
    <w:bookmarkEnd w:id="468"/>
    <w:bookmarkStart w:id="469" w:name="outcome-zerlegung"/>
    <w:p>
      <w:pPr>
        <w:pStyle w:val="Heading3"/>
        <w:keepLines/>
        <w:spacing w:after="120"/>
        <w:jc w:val="left"/>
      </w:pPr>
      <w:r>
        <w:rPr>
          <w:sz w:val="20"/>
        </w:rPr>
        <w:t xml:space="preserve">Outcome-Zerlegung</w:t>
      </w:r>
    </w:p>
    <w:p>
      <w:pPr>
        <w:pStyle w:val="FirstParagraph"/>
        <w:keepLines/>
        <w:spacing w:after="120"/>
        <w:jc w:val="left"/>
      </w:pPr>
      <w:r>
        <w:rPr>
          <w:sz w:val="20"/>
        </w:rPr>
        <w:t xml:space="preserve">Gesamtantwortqualität wird zerlegt in:</w:t>
      </w:r>
    </w:p>
    <w:p>
      <w:pPr>
        <w:pStyle w:val="BodyText"/>
        <w:keepLines/>
        <w:spacing w:after="140" w:before="100"/>
        <w:jc w:val="center"/>
      </w:pPr>
      <m:oMathPara>
        <m:oMathParaPr>
          <m:jc m:val="center"/>
        </m:oMathParaPr>
        <m:oMath>
          <m:sSub>
            <m:e>
              <m:r>
                <m:t>Q</m:t>
              </m:r>
            </m:e>
            <m:sub>
              <m:r>
                <m:t>t</m:t>
              </m:r>
              <m:r>
                <m:t>o</m:t>
              </m:r>
              <m:r>
                <m:t>t</m:t>
              </m:r>
              <m:r>
                <m:t>a</m:t>
              </m:r>
              <m:r>
                <m:t>l</m:t>
              </m:r>
            </m:sub>
          </m:sSub>
          <m:r>
            <m:rPr>
              <m:sty m:val="p"/>
            </m:rPr>
            <m:t>=</m:t>
          </m:r>
          <m:sSub>
            <m:e>
              <m:r>
                <m:t>Q</m:t>
              </m:r>
            </m:e>
            <m:sub>
              <m:r>
                <m:t>r</m:t>
              </m:r>
              <m:r>
                <m:t>e</m:t>
              </m:r>
              <m:r>
                <m:t>t</m:t>
              </m:r>
              <m:r>
                <m:t>r</m:t>
              </m:r>
              <m:r>
                <m:t>i</m:t>
              </m:r>
              <m:r>
                <m:t>e</m:t>
              </m:r>
              <m:r>
                <m:t>v</m:t>
              </m:r>
              <m:r>
                <m:t>a</m:t>
              </m:r>
              <m:r>
                <m:t>l</m:t>
              </m:r>
            </m:sub>
          </m:sSub>
          <m:r>
            <m:rPr>
              <m:sty m:val="p"/>
            </m:rPr>
            <m:t>+</m:t>
          </m:r>
          <m:sSub>
            <m:e>
              <m:r>
                <m:t>Q</m:t>
              </m:r>
            </m:e>
            <m:sub>
              <m:r>
                <m:t>d</m:t>
              </m:r>
              <m:r>
                <m:t>e</m:t>
              </m:r>
              <m:r>
                <m:t>c</m:t>
              </m:r>
              <m:r>
                <m:t>o</m:t>
              </m:r>
              <m:r>
                <m:t>d</m:t>
              </m:r>
              <m:r>
                <m:t>e</m:t>
              </m:r>
              <m:r>
                <m:t>r</m:t>
              </m:r>
            </m:sub>
          </m:sSub>
          <m:r>
            <m:rPr>
              <m:sty m:val="p"/>
            </m:rPr>
            <m:t>+</m:t>
          </m:r>
          <m:sSub>
            <m:e>
              <m:r>
                <m:t>Q</m:t>
              </m:r>
            </m:e>
            <m:sub>
              <m:r>
                <m:t>S</m:t>
              </m:r>
              <m:r>
                <m:t>N</m:t>
              </m:r>
              <m:r>
                <m:t>N</m:t>
              </m:r>
            </m:sub>
          </m:sSub>
          <m:r>
            <m:rPr>
              <m:sty m:val="p"/>
            </m:rPr>
            <m:t>+</m:t>
          </m:r>
          <m:sSub>
            <m:e>
              <m:r>
                <m:t>Q</m:t>
              </m:r>
            </m:e>
            <m:sub>
              <m:r>
                <m:t>i</m:t>
              </m:r>
              <m:r>
                <m:t>n</m:t>
              </m:r>
              <m:r>
                <m:t>t</m:t>
              </m:r>
              <m:r>
                <m:t>e</m:t>
              </m:r>
              <m:r>
                <m:t>r</m:t>
              </m:r>
              <m:r>
                <m:t>a</m:t>
              </m:r>
              <m:r>
                <m:t>c</m:t>
              </m:r>
              <m:r>
                <m:t>t</m:t>
              </m:r>
              <m:r>
                <m:t>i</m:t>
              </m:r>
              <m:r>
                <m:t>o</m:t>
              </m:r>
              <m:r>
                <m:t>n</m:t>
              </m:r>
            </m:sub>
          </m:sSub>
          <m:r>
            <m:rPr>
              <m:sty m:val="p"/>
            </m:rPr>
            <m:t>+</m:t>
          </m:r>
          <m:r>
            <m:t>ε</m:t>
          </m:r>
        </m:oMath>
      </m:oMathPara>
    </w:p>
    <w:p>
      <w:pPr>
        <w:pStyle w:val="FirstParagraph"/>
        <w:keepLines/>
        <w:spacing w:after="120"/>
        <w:jc w:val="left"/>
      </w:pPr>
      <w:r>
        <w:rPr>
          <w:b/>
          <w:bCs/>
          <w:sz w:val="20"/>
        </w:rPr>
        <w:t xml:space="preserve">[MODEL]</w:t>
      </w:r>
      <w:r>
        <w:rPr>
          <w:sz w:val="20"/>
        </w:rPr>
        <w:t xml:space="preserve"> </w:t>
      </w:r>
      <w:r>
        <w:rPr>
          <w:sz w:val="20"/>
        </w:rPr>
        <w:t xml:space="preserve">Die additive Form ist nur eine Analyseheuristik; Interaktionen können erheblich sein. Faktorielles Design oder Shapley-artige Komponentenanalyse kann Beiträge schätzen, ersetzt aber keine mechanistische Isolation.</w:t>
      </w:r>
    </w:p>
    <w:bookmarkEnd w:id="469"/>
    <w:bookmarkStart w:id="470" w:name="prompt--und-modellversionierung"/>
    <w:p>
      <w:pPr>
        <w:pStyle w:val="Heading3"/>
        <w:keepLines/>
        <w:spacing w:after="120"/>
        <w:jc w:val="left"/>
      </w:pPr>
      <w:r>
        <w:rPr>
          <w:sz w:val="20"/>
        </w:rPr>
        <w:t xml:space="preserve">Prompt- und Modellversionierung</w:t>
      </w:r>
    </w:p>
    <w:p>
      <w:pPr>
        <w:pStyle w:val="FirstParagraph"/>
        <w:keepLines/>
        <w:spacing w:after="120"/>
        <w:jc w:val="left"/>
      </w:pPr>
      <w:r>
        <w:rPr>
          <w:sz w:val="20"/>
        </w:rPr>
        <w:t xml:space="preserve">Jede LLM-Bedingung speichert Systemprompt, Userprompt, Toolkontext, Samplingparameter, Modell-Hash beziehungsweise API-Version und Antwort. Sonst ist ein späterer Vergleich nicht reproduzierbar.</w:t>
      </w:r>
    </w:p>
    <w:bookmarkEnd w:id="470"/>
    <w:bookmarkEnd w:id="471"/>
    <w:bookmarkStart w:id="475" w:name="experiment-g-embodiment"/>
    <w:p>
      <w:pPr>
        <w:pStyle w:val="Heading2"/>
      </w:pPr>
      <w:r>
        <w:t xml:space="preserve">Experiment G — Embodiment</w:t>
      </w:r>
    </w:p>
    <w:bookmarkStart w:id="472" w:name="open-versus-closed-loop"/>
    <w:p>
      <w:pPr>
        <w:pStyle w:val="Heading3"/>
        <w:keepLines/>
        <w:spacing w:after="120"/>
        <w:jc w:val="left"/>
      </w:pPr>
      <w:r>
        <w:rPr>
          <w:sz w:val="20"/>
        </w:rPr>
        <w:t xml:space="preserve">Open versus Closed Loop</w:t>
      </w:r>
    </w:p>
    <w:p>
      <w:pPr>
        <w:pStyle w:val="FirstParagraph"/>
        <w:keepLines/>
        <w:spacing w:after="120"/>
        <w:jc w:val="left"/>
      </w:pPr>
      <w:r>
        <w:rPr>
          <w:sz w:val="20"/>
        </w:rPr>
        <w:t xml:space="preserve">Zwei Systeme erhalten möglichst gleiche Architektur und sensorische Grundinformation. Im Open Loop sind Stimuli vorab aufgezeichnet; im Closed Loop beeinflussen Aktionen die Umwelt. Ein dritter</w:t>
      </w:r>
      <w:r>
        <w:rPr>
          <w:sz w:val="20"/>
        </w:rPr>
        <w:t xml:space="preserve"> </w:t>
      </w:r>
      <w:r>
        <w:rPr>
          <w:b/>
          <w:bCs/>
          <w:sz w:val="20"/>
        </w:rPr>
        <w:t xml:space="preserve">yoked control</w:t>
      </w:r>
      <w:r>
        <w:rPr>
          <w:sz w:val="20"/>
        </w:rPr>
        <w:t xml:space="preserve"> </w:t>
      </w:r>
      <w:r>
        <w:rPr>
          <w:sz w:val="20"/>
        </w:rPr>
        <w:t xml:space="preserve">erhält die Beobachtungsfolge eines Closed-Loop-Agents, darf sie aber nicht selbst verursachen. Dadurch lässt sich aktive Kontingenz von bloßer Datenverteilung trennen.</w:t>
      </w:r>
    </w:p>
    <w:bookmarkEnd w:id="472"/>
    <w:bookmarkStart w:id="473" w:name="aufgaben"/>
    <w:p>
      <w:pPr>
        <w:pStyle w:val="Heading3"/>
        <w:keepLines/>
        <w:spacing w:after="120"/>
        <w:jc w:val="left"/>
      </w:pPr>
      <w:r>
        <w:rPr>
          <w:sz w:val="20"/>
        </w:rPr>
        <w:t xml:space="preserve">Aufgaben</w:t>
      </w:r>
    </w:p>
    <w:p>
      <w:pPr>
        <w:pStyle w:val="FirstParagraph"/>
        <w:keepLines/>
        <w:spacing w:after="120"/>
        <w:jc w:val="left"/>
      </w:pPr>
      <w:r>
        <w:rPr>
          <w:sz w:val="20"/>
        </w:rPr>
        <w:t xml:space="preserve">Geeignete frühe Aufgaben sind einfache Navigation, Objektannäherung/-vermeidung, sensorische Kalibrierung und verzögerte Handlungswahl. Sie sollen kausal transparent sein, bevor komplexe multimodale Umgebungen eingeführt werden.</w:t>
      </w:r>
    </w:p>
    <w:bookmarkEnd w:id="473"/>
    <w:bookmarkStart w:id="474" w:name="messungen"/>
    <w:p>
      <w:pPr>
        <w:pStyle w:val="Heading3"/>
        <w:keepLines/>
        <w:spacing w:after="120"/>
        <w:jc w:val="left"/>
      </w:pPr>
      <w:r>
        <w:rPr>
          <w:sz w:val="20"/>
        </w:rPr>
        <w:t xml:space="preserve">Messungen</w:t>
      </w:r>
    </w:p>
    <w:p>
      <w:pPr>
        <w:pStyle w:val="FirstParagraph"/>
        <w:keepLines/>
        <w:spacing w:after="120"/>
        <w:jc w:val="left"/>
      </w:pPr>
      <w:r>
        <w:rPr>
          <w:sz w:val="20"/>
        </w:rPr>
        <w:t xml:space="preserve">Lernrate, Robustheit bei Dynamics Shift, action-conditional Decodability, kausale Läsionen und Vorhersage zukünftiger Beobachtungen. Eine höhere Belohnung kann aus einfacher Exploration stammen und ist nicht allein Nachweis reichhaltigerer Repräsentation.</w:t>
      </w:r>
    </w:p>
    <w:bookmarkEnd w:id="474"/>
    <w:bookmarkEnd w:id="475"/>
    <w:bookmarkStart w:id="479" w:name="experiment-h-messbare-emergenz"/>
    <w:p>
      <w:pPr>
        <w:pStyle w:val="Heading2"/>
      </w:pPr>
      <w:r>
        <w:t xml:space="preserve">Experiment H — Messbare Emergenz</w:t>
      </w:r>
    </w:p>
    <w:bookmarkStart w:id="476" w:name="kandidatenerkennung"/>
    <w:p>
      <w:pPr>
        <w:pStyle w:val="Heading3"/>
        <w:keepLines/>
        <w:spacing w:after="120"/>
        <w:jc w:val="left"/>
      </w:pPr>
      <w:r>
        <w:rPr>
          <w:sz w:val="20"/>
        </w:rPr>
        <w:t xml:space="preserve">Kandidatenerkennung</w:t>
      </w:r>
    </w:p>
    <w:p>
      <w:pPr>
        <w:pStyle w:val="FirstParagraph"/>
        <w:keepLines/>
        <w:spacing w:after="120"/>
        <w:jc w:val="left"/>
      </w:pPr>
      <w:r>
        <w:rPr>
          <w:sz w:val="20"/>
        </w:rPr>
        <w:t xml:space="preserve">Strukturelle Communities, dynamische Sequenzen oder metastabile Zustände werden explorativ identifiziert. Der Erkennungsdatensatz bleibt von der konfirmatorischen Prüfung getrennt. Kandidaten erhalten eindeutige IDs und Definitionen.</w:t>
      </w:r>
    </w:p>
    <w:bookmarkEnd w:id="476"/>
    <w:bookmarkStart w:id="477" w:name="konfirmatorische-prüfung"/>
    <w:p>
      <w:pPr>
        <w:pStyle w:val="Heading3"/>
        <w:keepLines/>
        <w:spacing w:after="120"/>
        <w:jc w:val="left"/>
      </w:pPr>
      <w:r>
        <w:rPr>
          <w:sz w:val="20"/>
        </w:rPr>
        <w:t xml:space="preserve">Konfirmatorische Prüfung</w:t>
      </w:r>
    </w:p>
    <w:p>
      <w:pPr>
        <w:keepLines/>
        <w:numPr>
          <w:ilvl w:val="0"/>
          <w:numId w:val="1048"/>
        </w:numPr>
        <w:spacing w:after="120"/>
        <w:jc w:val="left"/>
      </w:pPr>
      <w:r>
        <w:rPr>
          <w:sz w:val="20"/>
        </w:rPr>
        <w:t xml:space="preserve">Replikation des Kandidaten in neuen Seeds;</w:t>
      </w:r>
    </w:p>
    <w:p>
      <w:pPr>
        <w:keepLines/>
        <w:numPr>
          <w:ilvl w:val="0"/>
          <w:numId w:val="1048"/>
        </w:numPr>
        <w:spacing w:after="120"/>
        <w:jc w:val="left"/>
      </w:pPr>
      <w:r>
        <w:rPr>
          <w:sz w:val="20"/>
        </w:rPr>
        <w:t xml:space="preserve">Vergleich mit Nullmodellen;</w:t>
      </w:r>
    </w:p>
    <w:p>
      <w:pPr>
        <w:keepLines/>
        <w:numPr>
          <w:ilvl w:val="0"/>
          <w:numId w:val="1048"/>
        </w:numPr>
        <w:spacing w:after="120"/>
        <w:jc w:val="left"/>
      </w:pPr>
      <w:r>
        <w:rPr>
          <w:sz w:val="20"/>
        </w:rPr>
        <w:t xml:space="preserve">Stabilität gegenüber Analyseparametern;</w:t>
      </w:r>
    </w:p>
    <w:p>
      <w:pPr>
        <w:keepLines/>
        <w:numPr>
          <w:ilvl w:val="0"/>
          <w:numId w:val="1048"/>
        </w:numPr>
        <w:spacing w:after="120"/>
        <w:jc w:val="left"/>
      </w:pPr>
      <w:r>
        <w:rPr>
          <w:sz w:val="20"/>
        </w:rPr>
        <w:t xml:space="preserve">gezielte Läsion;</w:t>
      </w:r>
    </w:p>
    <w:p>
      <w:pPr>
        <w:keepLines/>
        <w:numPr>
          <w:ilvl w:val="0"/>
          <w:numId w:val="1048"/>
        </w:numPr>
        <w:spacing w:after="120"/>
        <w:jc w:val="left"/>
      </w:pPr>
      <w:r>
        <w:rPr>
          <w:sz w:val="20"/>
        </w:rPr>
        <w:t xml:space="preserve">matched lesions;</w:t>
      </w:r>
    </w:p>
    <w:p>
      <w:pPr>
        <w:keepLines/>
        <w:numPr>
          <w:ilvl w:val="0"/>
          <w:numId w:val="1048"/>
        </w:numPr>
        <w:spacing w:after="120"/>
        <w:jc w:val="left"/>
      </w:pPr>
      <w:r>
        <w:rPr>
          <w:sz w:val="20"/>
        </w:rPr>
        <w:t xml:space="preserve">Rescue oder Ersatzintervention;</w:t>
      </w:r>
    </w:p>
    <w:p>
      <w:pPr>
        <w:keepLines/>
        <w:numPr>
          <w:ilvl w:val="0"/>
          <w:numId w:val="1048"/>
        </w:numPr>
        <w:spacing w:after="120"/>
        <w:jc w:val="left"/>
      </w:pPr>
      <w:r>
        <w:rPr>
          <w:sz w:val="20"/>
        </w:rPr>
        <w:t xml:space="preserve">Prüfung auf Aufgabenspezifität.</w:t>
      </w:r>
    </w:p>
    <w:bookmarkEnd w:id="477"/>
    <w:bookmarkStart w:id="478" w:name="falsifikation-1"/>
    <w:p>
      <w:pPr>
        <w:pStyle w:val="Heading3"/>
        <w:keepLines/>
        <w:spacing w:after="120"/>
        <w:jc w:val="left"/>
      </w:pPr>
      <w:r>
        <w:rPr>
          <w:sz w:val="20"/>
        </w:rPr>
        <w:t xml:space="preserve">Falsifikation</w:t>
      </w:r>
    </w:p>
    <w:p>
      <w:pPr>
        <w:pStyle w:val="FirstParagraph"/>
        <w:keepLines/>
        <w:spacing w:after="120"/>
        <w:jc w:val="left"/>
      </w:pPr>
      <w:r>
        <w:rPr>
          <w:sz w:val="20"/>
        </w:rPr>
        <w:t xml:space="preserve">Ein Cluster ist nicht funktional emergent, wenn seine Entfernung keinen spezifischen Effekt hat oder wenn beliebige gleich große Läsionen denselben Effekt erzeugen. Ein dynamisches Muster ist nicht robust, wenn es nur unter einer Auswertungsparametrisierung erscheint.</w:t>
      </w:r>
    </w:p>
    <w:bookmarkEnd w:id="478"/>
    <w:bookmarkEnd w:id="479"/>
    <w:bookmarkStart w:id="483" w:name="experiment-i-storage--und-twin-fidelity"/>
    <w:p>
      <w:pPr>
        <w:pStyle w:val="Heading2"/>
      </w:pPr>
      <w:r>
        <w:t xml:space="preserve">Experiment I — Storage- und Twin-Fidelity</w:t>
      </w:r>
    </w:p>
    <w:bookmarkStart w:id="480" w:name="rekonstruktionsprüfung"/>
    <w:p>
      <w:pPr>
        <w:pStyle w:val="Heading3"/>
        <w:keepLines/>
        <w:spacing w:after="120"/>
        <w:jc w:val="left"/>
      </w:pPr>
      <w:r>
        <w:rPr>
          <w:sz w:val="20"/>
        </w:rPr>
        <w:t xml:space="preserve">Rekonstruktionsprüfung</w:t>
      </w:r>
    </w:p>
    <w:p>
      <w:pPr>
        <w:pStyle w:val="FirstParagraph"/>
        <w:keepLines/>
        <w:spacing w:after="120"/>
        <w:jc w:val="left"/>
      </w:pPr>
      <w:r>
        <w:rPr>
          <w:sz w:val="20"/>
        </w:rPr>
        <w:t xml:space="preserve">Aus einem Checkpoint plus Event-Log wird ein Zustand rekonstruiert. Verglichen werden Neuronenarrays, Synapsenstruktur, RNG, Scheduler, Metriken und Reaktion auf standardisierte Probe-Stimuli. Die Prüfung umfasst:</w:t>
      </w:r>
    </w:p>
    <w:p>
      <w:pPr>
        <w:keepLines/>
        <w:numPr>
          <w:ilvl w:val="0"/>
          <w:numId w:val="1049"/>
        </w:numPr>
        <w:spacing w:after="120"/>
        <w:jc w:val="left"/>
      </w:pPr>
      <w:r>
        <w:rPr>
          <w:sz w:val="20"/>
        </w:rPr>
        <w:t xml:space="preserve">Hash- und Schema-Integrität;</w:t>
      </w:r>
    </w:p>
    <w:p>
      <w:pPr>
        <w:keepLines/>
        <w:numPr>
          <w:ilvl w:val="0"/>
          <w:numId w:val="1049"/>
        </w:numPr>
        <w:spacing w:after="120"/>
        <w:jc w:val="left"/>
      </w:pPr>
      <w:r>
        <w:rPr>
          <w:sz w:val="20"/>
        </w:rPr>
        <w:t xml:space="preserve">State Error;</w:t>
      </w:r>
    </w:p>
    <w:p>
      <w:pPr>
        <w:keepLines/>
        <w:numPr>
          <w:ilvl w:val="0"/>
          <w:numId w:val="1049"/>
        </w:numPr>
        <w:spacing w:after="120"/>
        <w:jc w:val="left"/>
      </w:pPr>
      <w:r>
        <w:rPr>
          <w:sz w:val="20"/>
        </w:rPr>
        <w:t xml:space="preserve">Edge Set-Differenz;</w:t>
      </w:r>
    </w:p>
    <w:p>
      <w:pPr>
        <w:keepLines/>
        <w:numPr>
          <w:ilvl w:val="0"/>
          <w:numId w:val="1049"/>
        </w:numPr>
        <w:spacing w:after="120"/>
        <w:jc w:val="left"/>
      </w:pPr>
      <w:r>
        <w:rPr>
          <w:sz w:val="20"/>
        </w:rPr>
        <w:t xml:space="preserve">Event-Reihenfolge;</w:t>
      </w:r>
    </w:p>
    <w:p>
      <w:pPr>
        <w:keepLines/>
        <w:numPr>
          <w:ilvl w:val="0"/>
          <w:numId w:val="1049"/>
        </w:numPr>
        <w:spacing w:after="120"/>
        <w:jc w:val="left"/>
      </w:pPr>
      <w:r>
        <w:rPr>
          <w:sz w:val="20"/>
        </w:rPr>
        <w:t xml:space="preserve">Probe-Response-Divergenz;</w:t>
      </w:r>
    </w:p>
    <w:p>
      <w:pPr>
        <w:keepLines/>
        <w:numPr>
          <w:ilvl w:val="0"/>
          <w:numId w:val="1049"/>
        </w:numPr>
        <w:spacing w:after="120"/>
        <w:jc w:val="left"/>
      </w:pPr>
      <w:r>
        <w:rPr>
          <w:sz w:val="20"/>
        </w:rPr>
        <w:t xml:space="preserve">Restore-Zeit und Storage-Overhead.</w:t>
      </w:r>
    </w:p>
    <w:bookmarkEnd w:id="480"/>
    <w:bookmarkStart w:id="481" w:name="forked-counterfactuals"/>
    <w:p>
      <w:pPr>
        <w:pStyle w:val="Heading3"/>
        <w:keepLines/>
        <w:spacing w:after="120"/>
        <w:jc w:val="left"/>
      </w:pPr>
      <w:r>
        <w:rPr>
          <w:sz w:val="20"/>
        </w:rPr>
        <w:t xml:space="preserve">Forked Counterfactuals</w:t>
      </w:r>
    </w:p>
    <w:p>
      <w:pPr>
        <w:pStyle w:val="FirstParagraph"/>
        <w:keepLines/>
        <w:spacing w:after="120"/>
        <w:jc w:val="left"/>
      </w:pPr>
      <w:r>
        <w:rPr>
          <w:sz w:val="20"/>
        </w:rPr>
        <w:t xml:space="preserve">Von demselben Snapshot werden mehrere Interventionen gestartet. Wenn Unterschiede vor der Intervention auftreten, ist der Fork nicht kausal sauber. Dieses Experiment ist Grundlage für spätere Emergenz- und Läsionsanalysen.</w:t>
      </w:r>
    </w:p>
    <w:bookmarkEnd w:id="481"/>
    <w:bookmarkStart w:id="482" w:name="langzeitintegrität"/>
    <w:p>
      <w:pPr>
        <w:pStyle w:val="Heading3"/>
        <w:keepLines/>
        <w:spacing w:after="120"/>
        <w:jc w:val="left"/>
      </w:pPr>
      <w:r>
        <w:rPr>
          <w:sz w:val="20"/>
        </w:rPr>
        <w:t xml:space="preserve">Langzeitintegrität</w:t>
      </w:r>
    </w:p>
    <w:p>
      <w:pPr>
        <w:pStyle w:val="FirstParagraph"/>
        <w:keepLines/>
        <w:spacing w:after="120"/>
        <w:jc w:val="left"/>
      </w:pPr>
      <w:r>
        <w:rPr>
          <w:sz w:val="20"/>
        </w:rPr>
        <w:t xml:space="preserve">Artefakte werden nach wiederholtem Speichern, Migrieren und Wiederherstellen geprüft. Checksums allein erkennen keine semantisch falsche Schemaumwandlung; daher sind migrationsspezifische Invarianten erforderlich.</w:t>
      </w:r>
    </w:p>
    <w:bookmarkEnd w:id="482"/>
    <w:bookmarkEnd w:id="483"/>
    <w:bookmarkStart w:id="488" w:name="experiment-j-scaling-und-performance"/>
    <w:p>
      <w:pPr>
        <w:pStyle w:val="Heading2"/>
      </w:pPr>
      <w:r>
        <w:t xml:space="preserve">Experiment J — Scaling und Performance</w:t>
      </w:r>
    </w:p>
    <w:bookmarkStart w:id="484" w:name="komplexitätsmodell"/>
    <w:p>
      <w:pPr>
        <w:pStyle w:val="Heading3"/>
        <w:keepLines/>
        <w:spacing w:after="120"/>
        <w:jc w:val="left"/>
      </w:pPr>
      <w:r>
        <w:rPr>
          <w:sz w:val="20"/>
        </w:rPr>
        <w:t xml:space="preserve">Komplexitätsmodell</w:t>
      </w:r>
    </w:p>
    <w:p>
      <w:pPr>
        <w:pStyle w:val="FirstParagraph"/>
        <w:keepLines/>
        <w:spacing w:after="120"/>
        <w:jc w:val="left"/>
      </w:pPr>
      <w:r>
        <w:rPr>
          <w:sz w:val="20"/>
        </w:rPr>
        <w:t xml:space="preserve">Für ereignisbasierte Verarbeitung gilt näherungsweise</w:t>
      </w:r>
    </w:p>
    <w:p>
      <w:pPr>
        <w:pStyle w:val="BodyText"/>
        <w:keepLines/>
        <w:spacing w:after="140" w:before="100"/>
        <w:jc w:val="center"/>
      </w:pPr>
      <m:oMathPara>
        <m:oMathParaPr>
          <m:jc m:val="center"/>
        </m:oMathParaPr>
        <m:oMath>
          <m:sSub>
            <m:e>
              <m:r>
                <m:t>T</m:t>
              </m:r>
            </m:e>
            <m:sub>
              <m:r>
                <m:t>t</m:t>
              </m:r>
              <m:r>
                <m:t>i</m:t>
              </m:r>
              <m:r>
                <m:t>c</m:t>
              </m:r>
              <m:r>
                <m:t>k</m:t>
              </m:r>
            </m:sub>
          </m:sSub>
          <m:r>
            <m:rPr>
              <m:sty m:val="p"/>
            </m:rPr>
            <m:t>=</m:t>
          </m:r>
          <m:r>
            <m:t>O</m:t>
          </m:r>
          <m:d>
            <m:dPr>
              <m:begChr m:val="("/>
              <m:endChr m:val=")"/>
              <m:sepChr m:val=""/>
              <m:grow/>
            </m:dPr>
            <m:e>
              <m:sSub>
                <m:e>
                  <m:r>
                    <m:t>N</m:t>
                  </m:r>
                </m:e>
                <m:sub>
                  <m:r>
                    <m:t>i</m:t>
                  </m:r>
                  <m:r>
                    <m:t>n</m:t>
                  </m:r>
                  <m:r>
                    <m:t>t</m:t>
                  </m:r>
                  <m:r>
                    <m:t>e</m:t>
                  </m:r>
                  <m:r>
                    <m:t>g</m:t>
                  </m:r>
                  <m:r>
                    <m:t>r</m:t>
                  </m:r>
                  <m:r>
                    <m:t>a</m:t>
                  </m:r>
                  <m:r>
                    <m:t>t</m:t>
                  </m:r>
                  <m:r>
                    <m:t>e</m:t>
                  </m:r>
                  <m:r>
                    <m:t>d</m:t>
                  </m:r>
                </m:sub>
              </m:sSub>
            </m:e>
          </m:d>
          <m:r>
            <m:rPr>
              <m:sty m:val="p"/>
            </m:rPr>
            <m:t>+</m:t>
          </m:r>
          <m:r>
            <m:t>O</m:t>
          </m:r>
          <m:d>
            <m:dPr>
              <m:begChr m:val="("/>
              <m:endChr m:val=")"/>
              <m:sepChr m:val=""/>
              <m:grow/>
            </m:dPr>
            <m:e>
              <m:sSub>
                <m:e>
                  <m:r>
                    <m:t>S</m:t>
                  </m:r>
                </m:e>
                <m:sub>
                  <m:r>
                    <m:t>e</m:t>
                  </m:r>
                  <m:r>
                    <m:t>v</m:t>
                  </m:r>
                  <m:r>
                    <m:t>e</m:t>
                  </m:r>
                  <m:r>
                    <m:t>n</m:t>
                  </m:r>
                  <m:r>
                    <m:t>t</m:t>
                  </m:r>
                </m:sub>
              </m:sSub>
            </m:e>
          </m:d>
          <m:r>
            <m:rPr>
              <m:sty m:val="p"/>
            </m:rPr>
            <m:t>+</m:t>
          </m:r>
          <m:r>
            <m:t>O</m:t>
          </m:r>
          <m:d>
            <m:dPr>
              <m:begChr m:val="("/>
              <m:endChr m:val=")"/>
              <m:sepChr m:val=""/>
              <m:grow/>
            </m:dPr>
            <m:e>
              <m:sSub>
                <m:e>
                  <m:r>
                    <m:t>P</m:t>
                  </m:r>
                </m:e>
                <m:sub>
                  <m:r>
                    <m:t>p</m:t>
                  </m:r>
                  <m:r>
                    <m:t>l</m:t>
                  </m:r>
                  <m:r>
                    <m:t>a</m:t>
                  </m:r>
                  <m:r>
                    <m:t>s</m:t>
                  </m:r>
                  <m:r>
                    <m:t>t</m:t>
                  </m:r>
                  <m:r>
                    <m:t>i</m:t>
                  </m:r>
                  <m:r>
                    <m:t>c</m:t>
                  </m:r>
                  <m:r>
                    <m:t>i</m:t>
                  </m:r>
                  <m:r>
                    <m:t>t</m:t>
                  </m:r>
                  <m:r>
                    <m:t>y</m:t>
                  </m:r>
                </m:sub>
              </m:sSub>
            </m:e>
          </m:d>
          <m:r>
            <m:rPr>
              <m:sty m:val="p"/>
            </m:rPr>
            <m:t>+</m:t>
          </m:r>
          <m:r>
            <m:t>O</m:t>
          </m:r>
          <m:d>
            <m:dPr>
              <m:begChr m:val="("/>
              <m:endChr m:val=")"/>
              <m:sepChr m:val=""/>
              <m:grow/>
            </m:dPr>
            <m:e>
              <m:sSub>
                <m:e>
                  <m:r>
                    <m:t>G</m:t>
                  </m:r>
                </m:e>
                <m:sub>
                  <m:r>
                    <m:t>s</m:t>
                  </m:r>
                  <m:r>
                    <m:t>t</m:t>
                  </m:r>
                  <m:r>
                    <m:t>r</m:t>
                  </m:r>
                  <m:r>
                    <m:t>u</m:t>
                  </m:r>
                  <m:r>
                    <m:t>c</m:t>
                  </m:r>
                  <m:r>
                    <m:t>t</m:t>
                  </m:r>
                  <m:r>
                    <m:t>u</m:t>
                  </m:r>
                  <m:r>
                    <m:t>r</m:t>
                  </m:r>
                  <m:r>
                    <m:t>a</m:t>
                  </m:r>
                  <m:r>
                    <m:t>l</m:t>
                  </m:r>
                </m:sub>
              </m:sSub>
            </m:e>
          </m:d>
          <m:r>
            <m:rPr>
              <m:sty m:val="p"/>
            </m:rPr>
            <m:t>+</m:t>
          </m:r>
          <m:r>
            <m:t>O</m:t>
          </m:r>
          <m:d>
            <m:dPr>
              <m:begChr m:val="("/>
              <m:endChr m:val=")"/>
              <m:sepChr m:val=""/>
              <m:grow/>
            </m:dPr>
            <m:e>
              <m:r>
                <m:t>I</m:t>
              </m:r>
              <m:sSub>
                <m:e>
                  <m:r>
                    <m:t>O</m:t>
                  </m:r>
                </m:e>
                <m:sub>
                  <m:r>
                    <m:t>d</m:t>
                  </m:r>
                  <m:r>
                    <m:t>i</m:t>
                  </m:r>
                  <m:r>
                    <m:t>r</m:t>
                  </m:r>
                  <m:r>
                    <m:t>t</m:t>
                  </m:r>
                  <m:r>
                    <m:t>y</m:t>
                  </m:r>
                </m:sub>
              </m:sSub>
            </m:e>
          </m:d>
          <m:r>
            <m:rPr>
              <m:sty m:val="p"/>
            </m:rPr>
            <m:t>.</m:t>
          </m:r>
        </m:oMath>
      </m:oMathPara>
    </w:p>
    <w:p>
      <w:pPr>
        <w:pStyle w:val="FirstParagraph"/>
        <w:keepLines/>
        <w:spacing w:after="120"/>
        <w:jc w:val="left"/>
      </w:pPr>
      <w:r>
        <w:rPr>
          <w:sz w:val="20"/>
        </w:rPr>
        <w:t xml:space="preserve">Die Größen sind empirisch zu messen. Bei dichter Integration kann</w:t>
      </w:r>
      <w:r>
        <w:rPr>
          <w:sz w:val="20"/>
        </w:rPr>
        <w:t xml:space="preserve"> </w:t>
      </w:r>
      <m:oMath>
        <m:sSub>
          <m:e>
            <m:r>
              <m:t>N</m:t>
            </m:r>
          </m:e>
          <m:sub>
            <m:r>
              <m:t>i</m:t>
            </m:r>
            <m:r>
              <m:t>n</m:t>
            </m:r>
            <m:r>
              <m:t>t</m:t>
            </m:r>
            <m:r>
              <m:t>e</m:t>
            </m:r>
            <m:r>
              <m:t>g</m:t>
            </m:r>
            <m:r>
              <m:t>r</m:t>
            </m:r>
            <m:r>
              <m:t>a</m:t>
            </m:r>
            <m:r>
              <m:t>t</m:t>
            </m:r>
            <m:r>
              <m:t>e</m:t>
            </m:r>
            <m:r>
              <m:t>d</m:t>
            </m:r>
          </m:sub>
        </m:sSub>
        <m:r>
          <m:rPr>
            <m:sty m:val="p"/>
          </m:rPr>
          <m:t>=</m:t>
        </m:r>
        <m:sSub>
          <m:e>
            <m:r>
              <m:t>N</m:t>
            </m:r>
          </m:e>
          <m:sub>
            <m:r>
              <m:t>a</m:t>
            </m:r>
            <m:r>
              <m:t>c</m:t>
            </m:r>
            <m:r>
              <m:t>t</m:t>
            </m:r>
            <m:r>
              <m:t>i</m:t>
            </m:r>
            <m:r>
              <m:t>v</m:t>
            </m:r>
            <m:r>
              <m:t>e</m:t>
            </m:r>
          </m:sub>
        </m:sSub>
      </m:oMath>
      <w:r>
        <w:rPr>
          <w:sz w:val="20"/>
        </w:rPr>
        <w:t xml:space="preserve"> </w:t>
      </w:r>
      <w:r>
        <w:rPr>
          <w:sz w:val="20"/>
        </w:rPr>
        <w:t xml:space="preserve">oder sogar</w:t>
      </w:r>
      <w:r>
        <w:rPr>
          <w:sz w:val="20"/>
        </w:rPr>
        <w:t xml:space="preserve"> </w:t>
      </w:r>
      <m:oMath>
        <m:sSub>
          <m:e>
            <m:r>
              <m:t>N</m:t>
            </m:r>
          </m:e>
          <m:sub>
            <m:r>
              <m:t>m</m:t>
            </m:r>
            <m:r>
              <m:t>a</m:t>
            </m:r>
            <m:r>
              <m:t>t</m:t>
            </m:r>
            <m:r>
              <m:t>e</m:t>
            </m:r>
            <m:r>
              <m:t>r</m:t>
            </m:r>
            <m:r>
              <m:t>i</m:t>
            </m:r>
            <m:r>
              <m:t>a</m:t>
            </m:r>
            <m:r>
              <m:t>l</m:t>
            </m:r>
            <m:r>
              <m:t>i</m:t>
            </m:r>
            <m:r>
              <m:t>z</m:t>
            </m:r>
            <m:r>
              <m:t>e</m:t>
            </m:r>
            <m:r>
              <m:t>d</m:t>
            </m:r>
          </m:sub>
        </m:sSub>
      </m:oMath>
      <w:r>
        <w:rPr>
          <w:sz w:val="20"/>
        </w:rPr>
        <w:t xml:space="preserve"> </w:t>
      </w:r>
      <w:r>
        <w:rPr>
          <w:sz w:val="20"/>
        </w:rPr>
        <w:t xml:space="preserve">sein; eventbasierte Optimierung reduziert dies nur, wenn Zustände zwischen Ereignissen effizient fortgeschrieben werden können.</w:t>
      </w:r>
    </w:p>
    <w:bookmarkEnd w:id="484"/>
    <w:bookmarkStart w:id="485" w:name="skalierungsachsen"/>
    <w:p>
      <w:pPr>
        <w:pStyle w:val="Heading3"/>
        <w:keepLines/>
        <w:spacing w:after="120"/>
        <w:jc w:val="left"/>
      </w:pPr>
      <w:r>
        <w:rPr>
          <w:sz w:val="20"/>
        </w:rPr>
        <w:t xml:space="preserve">Skalierungsachsen</w:t>
      </w:r>
    </w:p>
    <w:p>
      <w:pPr>
        <w:keepLines/>
        <w:numPr>
          <w:ilvl w:val="0"/>
          <w:numId w:val="1050"/>
        </w:numPr>
        <w:spacing w:after="120"/>
        <w:jc w:val="left"/>
      </w:pPr>
      <w:r>
        <w:rPr>
          <w:sz w:val="20"/>
        </w:rPr>
        <w:t xml:space="preserve">materialisierte Neuronen;</w:t>
      </w:r>
    </w:p>
    <w:p>
      <w:pPr>
        <w:keepLines/>
        <w:numPr>
          <w:ilvl w:val="0"/>
          <w:numId w:val="1050"/>
        </w:numPr>
        <w:spacing w:after="120"/>
        <w:jc w:val="left"/>
      </w:pPr>
      <w:r>
        <w:rPr>
          <w:sz w:val="20"/>
        </w:rPr>
        <w:t xml:space="preserve">mittlerer Grad;</w:t>
      </w:r>
    </w:p>
    <w:p>
      <w:pPr>
        <w:keepLines/>
        <w:numPr>
          <w:ilvl w:val="0"/>
          <w:numId w:val="1050"/>
        </w:numPr>
        <w:spacing w:after="120"/>
        <w:jc w:val="left"/>
      </w:pPr>
      <w:r>
        <w:rPr>
          <w:sz w:val="20"/>
        </w:rPr>
        <w:t xml:space="preserve">Spike-Rate;</w:t>
      </w:r>
    </w:p>
    <w:p>
      <w:pPr>
        <w:keepLines/>
        <w:numPr>
          <w:ilvl w:val="0"/>
          <w:numId w:val="1050"/>
        </w:numPr>
        <w:spacing w:after="120"/>
        <w:jc w:val="left"/>
      </w:pPr>
      <w:r>
        <w:rPr>
          <w:sz w:val="20"/>
        </w:rPr>
        <w:t xml:space="preserve">Delay-Horizont;</w:t>
      </w:r>
    </w:p>
    <w:p>
      <w:pPr>
        <w:keepLines/>
        <w:numPr>
          <w:ilvl w:val="0"/>
          <w:numId w:val="1050"/>
        </w:numPr>
        <w:spacing w:after="120"/>
        <w:jc w:val="left"/>
      </w:pPr>
      <w:r>
        <w:rPr>
          <w:sz w:val="20"/>
        </w:rPr>
        <w:t xml:space="preserve">Plastizitätsdichte;</w:t>
      </w:r>
    </w:p>
    <w:p>
      <w:pPr>
        <w:keepLines/>
        <w:numPr>
          <w:ilvl w:val="0"/>
          <w:numId w:val="1050"/>
        </w:numPr>
        <w:spacing w:after="120"/>
        <w:jc w:val="left"/>
      </w:pPr>
      <w:r>
        <w:rPr>
          <w:sz w:val="20"/>
        </w:rPr>
        <w:t xml:space="preserve">Structural-Update-Frequenz;</w:t>
      </w:r>
    </w:p>
    <w:p>
      <w:pPr>
        <w:keepLines/>
        <w:numPr>
          <w:ilvl w:val="0"/>
          <w:numId w:val="1050"/>
        </w:numPr>
        <w:spacing w:after="120"/>
        <w:jc w:val="left"/>
      </w:pPr>
      <w:r>
        <w:rPr>
          <w:sz w:val="20"/>
        </w:rPr>
        <w:t xml:space="preserve">Snapshot-Intervall;</w:t>
      </w:r>
    </w:p>
    <w:p>
      <w:pPr>
        <w:keepLines/>
        <w:numPr>
          <w:ilvl w:val="0"/>
          <w:numId w:val="1050"/>
        </w:numPr>
        <w:spacing w:after="120"/>
        <w:jc w:val="left"/>
      </w:pPr>
      <w:r>
        <w:rPr>
          <w:sz w:val="20"/>
        </w:rPr>
        <w:t xml:space="preserve">Anzahl Regionen/Partitionen;</w:t>
      </w:r>
    </w:p>
    <w:p>
      <w:pPr>
        <w:keepLines/>
        <w:numPr>
          <w:ilvl w:val="0"/>
          <w:numId w:val="1050"/>
        </w:numPr>
        <w:spacing w:after="120"/>
        <w:jc w:val="left"/>
      </w:pPr>
      <w:r>
        <w:rPr>
          <w:sz w:val="20"/>
        </w:rPr>
        <w:t xml:space="preserve">parallele Worker oder Geräte.</w:t>
      </w:r>
    </w:p>
    <w:p>
      <w:pPr>
        <w:pStyle w:val="FirstParagraph"/>
        <w:keepLines/>
        <w:spacing w:after="120"/>
        <w:jc w:val="left"/>
      </w:pPr>
      <w:r>
        <w:rPr>
          <w:sz w:val="20"/>
        </w:rPr>
        <w:t xml:space="preserve">Jeweils wird unterschieden, ob Laufzeit, RAM, I/O oder Synchronisation der Engpass ist.</w:t>
      </w:r>
    </w:p>
    <w:bookmarkEnd w:id="485"/>
    <w:bookmarkStart w:id="486" w:name="strong-und-weak-scaling"/>
    <w:p>
      <w:pPr>
        <w:pStyle w:val="Heading3"/>
        <w:keepLines/>
        <w:spacing w:after="120"/>
        <w:jc w:val="left"/>
      </w:pPr>
      <w:r>
        <w:rPr>
          <w:sz w:val="20"/>
        </w:rPr>
        <w:t xml:space="preserve">Strong und Weak Scaling</w:t>
      </w:r>
    </w:p>
    <w:p>
      <w:pPr>
        <w:pStyle w:val="FirstParagraph"/>
        <w:keepLines/>
        <w:spacing w:after="120"/>
        <w:jc w:val="left"/>
      </w:pPr>
      <w:r>
        <w:rPr>
          <w:b/>
          <w:bCs/>
          <w:sz w:val="20"/>
        </w:rPr>
        <w:t xml:space="preserve">Strong Scaling:</w:t>
      </w:r>
      <w:r>
        <w:rPr>
          <w:sz w:val="20"/>
        </w:rPr>
        <w:t xml:space="preserve"> </w:t>
      </w:r>
      <w:r>
        <w:rPr>
          <w:sz w:val="20"/>
        </w:rPr>
        <w:t xml:space="preserve">Problemgröße bleibt gleich, Ressourcen steigen.</w:t>
      </w:r>
      <w:r>
        <w:rPr>
          <w:sz w:val="20"/>
        </w:rPr>
        <w:br/>
      </w:r>
      <w:r>
        <w:rPr>
          <w:b/>
          <w:bCs/>
          <w:sz w:val="20"/>
        </w:rPr>
        <w:t xml:space="preserve">Weak Scaling:</w:t>
      </w:r>
      <w:r>
        <w:rPr>
          <w:sz w:val="20"/>
        </w:rPr>
        <w:t xml:space="preserve"> </w:t>
      </w:r>
      <w:r>
        <w:rPr>
          <w:sz w:val="20"/>
        </w:rPr>
        <w:t xml:space="preserve">Problemgröße wächst proportional zu Ressourcen.</w:t>
      </w:r>
      <w:r>
        <w:rPr>
          <w:sz w:val="20"/>
        </w:rPr>
        <w:br/>
      </w:r>
      <w:r>
        <w:rPr>
          <w:sz w:val="20"/>
        </w:rPr>
        <w:t xml:space="preserve">Effizienz wird nicht nur als Speedup, sondern auch als wissenschaftliche Reproduzierbarkeit und numerische Abweichung bewertet.</w:t>
      </w:r>
    </w:p>
    <w:bookmarkEnd w:id="486"/>
    <w:bookmarkStart w:id="487" w:name="größenübertragung"/>
    <w:p>
      <w:pPr>
        <w:pStyle w:val="Heading3"/>
        <w:keepLines/>
        <w:spacing w:after="120"/>
        <w:jc w:val="left"/>
      </w:pPr>
      <w:r>
        <w:rPr>
          <w:sz w:val="20"/>
        </w:rPr>
        <w:t xml:space="preserve">Größenübertragung</w:t>
      </w:r>
    </w:p>
    <w:p>
      <w:pPr>
        <w:pStyle w:val="FirstParagraph"/>
        <w:keepLines/>
        <w:spacing w:after="120"/>
        <w:jc w:val="left"/>
      </w:pPr>
      <w:r>
        <w:rPr>
          <w:sz w:val="20"/>
        </w:rPr>
        <w:t xml:space="preserve">Ein Mechanismus, der bei 5.000 Neuronen funktioniert, kann bei 500.000 andere Dynamik zeigen. Skalierungsexperimente prüfen dimensionslose oder normalisierte Parameter, Finite-Size-Effekte und Änderung der Phasengrenzen. Ergebnisse werden nicht allein auf Grundlage identischer absoluter Hyperparameter extrapoliert.</w:t>
      </w:r>
    </w:p>
    <w:bookmarkEnd w:id="487"/>
    <w:bookmarkEnd w:id="488"/>
    <w:bookmarkStart w:id="489" w:name="vergleichsbaselines"/>
    <w:p>
      <w:pPr>
        <w:pStyle w:val="Heading2"/>
      </w:pPr>
      <w:r>
        <w:t xml:space="preserve">Vergleichsbaselines</w:t>
      </w:r>
    </w:p>
    <w:p>
      <w:pPr>
        <w:pStyle w:val="FirstParagraph"/>
        <w:keepLines/>
        <w:spacing w:after="120"/>
        <w:jc w:val="left"/>
      </w:pPr>
      <w:r>
        <w:rPr>
          <w:sz w:val="20"/>
        </w:rPr>
        <w:t xml:space="preserve">Brain-5D wird langfristig mindestens gegen folgende Systeme verglichen:</w:t>
      </w:r>
    </w:p>
    <w:p>
      <w:pPr>
        <w:keepLines/>
        <w:numPr>
          <w:ilvl w:val="0"/>
          <w:numId w:val="1051"/>
        </w:numPr>
        <w:spacing w:after="120"/>
        <w:jc w:val="left"/>
      </w:pPr>
      <w:r>
        <w:rPr>
          <w:sz w:val="20"/>
        </w:rPr>
        <w:t xml:space="preserve">statisches SNN gleicher Größe;</w:t>
      </w:r>
    </w:p>
    <w:p>
      <w:pPr>
        <w:keepLines/>
        <w:numPr>
          <w:ilvl w:val="0"/>
          <w:numId w:val="1051"/>
        </w:numPr>
        <w:spacing w:after="120"/>
        <w:jc w:val="left"/>
      </w:pPr>
      <w:r>
        <w:rPr>
          <w:sz w:val="20"/>
        </w:rPr>
        <w:t xml:space="preserve">SNN ohne 5D-Distanz;</w:t>
      </w:r>
    </w:p>
    <w:p>
      <w:pPr>
        <w:keepLines/>
        <w:numPr>
          <w:ilvl w:val="0"/>
          <w:numId w:val="1051"/>
        </w:numPr>
        <w:spacing w:after="120"/>
        <w:jc w:val="left"/>
      </w:pPr>
      <w:r>
        <w:rPr>
          <w:sz w:val="20"/>
        </w:rPr>
        <w:t xml:space="preserve">randomisierte oder degree-preserving rewired Topologie;</w:t>
      </w:r>
    </w:p>
    <w:p>
      <w:pPr>
        <w:keepLines/>
        <w:numPr>
          <w:ilvl w:val="0"/>
          <w:numId w:val="1051"/>
        </w:numPr>
        <w:spacing w:after="120"/>
        <w:jc w:val="left"/>
      </w:pPr>
      <w:r>
        <w:rPr>
          <w:sz w:val="20"/>
        </w:rPr>
        <w:t xml:space="preserve">Liquid State Machine beziehungsweise Reservoir Computing;</w:t>
      </w:r>
    </w:p>
    <w:p>
      <w:pPr>
        <w:keepLines/>
        <w:numPr>
          <w:ilvl w:val="0"/>
          <w:numId w:val="1051"/>
        </w:numPr>
        <w:spacing w:after="120"/>
        <w:jc w:val="left"/>
      </w:pPr>
      <w:r>
        <w:rPr>
          <w:sz w:val="20"/>
        </w:rPr>
        <w:t xml:space="preserve">einfache RNN-/GRU-Baseline bei Aufgaben mit vergleichbarer Ein-/Ausgabe;</w:t>
      </w:r>
    </w:p>
    <w:p>
      <w:pPr>
        <w:keepLines/>
        <w:numPr>
          <w:ilvl w:val="0"/>
          <w:numId w:val="1051"/>
        </w:numPr>
        <w:spacing w:after="120"/>
        <w:jc w:val="left"/>
      </w:pPr>
      <w:r>
        <w:rPr>
          <w:sz w:val="20"/>
        </w:rPr>
        <w:t xml:space="preserve">klassischer RL-Agent;</w:t>
      </w:r>
    </w:p>
    <w:p>
      <w:pPr>
        <w:keepLines/>
        <w:numPr>
          <w:ilvl w:val="0"/>
          <w:numId w:val="1051"/>
        </w:numPr>
        <w:spacing w:after="120"/>
        <w:jc w:val="left"/>
      </w:pPr>
      <w:r>
        <w:rPr>
          <w:sz w:val="20"/>
        </w:rPr>
        <w:t xml:space="preserve">LLM-only;</w:t>
      </w:r>
    </w:p>
    <w:p>
      <w:pPr>
        <w:keepLines/>
        <w:numPr>
          <w:ilvl w:val="0"/>
          <w:numId w:val="1051"/>
        </w:numPr>
        <w:spacing w:after="120"/>
        <w:jc w:val="left"/>
      </w:pPr>
      <w:r>
        <w:rPr>
          <w:sz w:val="20"/>
        </w:rPr>
        <w:t xml:space="preserve">Retrieval-Augmented LLM;</w:t>
      </w:r>
    </w:p>
    <w:p>
      <w:pPr>
        <w:keepLines/>
        <w:numPr>
          <w:ilvl w:val="0"/>
          <w:numId w:val="1051"/>
        </w:numPr>
        <w:spacing w:after="120"/>
        <w:jc w:val="left"/>
      </w:pPr>
      <w:r>
        <w:rPr>
          <w:sz w:val="20"/>
        </w:rPr>
        <w:t xml:space="preserve">Brain-5D mit NullLanguageBackend;</w:t>
      </w:r>
    </w:p>
    <w:p>
      <w:pPr>
        <w:keepLines/>
        <w:numPr>
          <w:ilvl w:val="0"/>
          <w:numId w:val="1051"/>
        </w:numPr>
        <w:spacing w:after="120"/>
        <w:jc w:val="left"/>
      </w:pPr>
      <w:r>
        <w:rPr>
          <w:sz w:val="20"/>
        </w:rPr>
        <w:t xml:space="preserve">zufälliges Feature- beziehungsweise untrainiertes Netzwerk.</w:t>
      </w:r>
    </w:p>
    <w:p>
      <w:pPr>
        <w:pStyle w:val="FirstParagraph"/>
        <w:keepLines/>
        <w:spacing w:after="120"/>
        <w:jc w:val="left"/>
      </w:pPr>
      <w:r>
        <w:rPr>
          <w:sz w:val="20"/>
        </w:rPr>
        <w:t xml:space="preserve">Baselines werden nicht nur nach Leistung, sondern auch nach Ressourcen, Online-Lernfähigkeit, Persistenz und Ablationsinterpretierbarkeit bewertet.</w:t>
      </w:r>
    </w:p>
    <w:bookmarkEnd w:id="489"/>
    <w:bookmarkStart w:id="490" w:name="falsifikationsmatrix"/>
    <w:p>
      <w:pPr>
        <w:pStyle w:val="Heading2"/>
      </w:pPr>
      <w:r>
        <w:t xml:space="preserve">Falsifikationsmatrix</w:t>
      </w:r>
    </w:p>
    <w:p>
      <w:pPr>
        <w:pStyle w:val="Caption"/>
        <w:keepNext/>
        <w:keepLines/>
        <w:spacing w:before="180" w:after="120"/>
        <w:jc w:val="left"/>
      </w:pPr>
      <w:r>
        <w:rPr>
          <w:sz w:val="20"/>
        </w:rPr>
        <w:t>Tabelle 32. Falsifikationsmatrix</w:t>
      </w:r>
    </w:p>
    <w:tbl>
      <w:tblPr>
        <w:tblStyle w:val="Table"/>
        <w:tblW w:type="pct" w:w="4955"/>
        <w:jc w:val="center"/>
        <w:tblLayout w:type="fixed"/>
        <w:tblLook w:firstRow="1" w:lastRow="0" w:firstColumn="0" w:lastColumn="0" w:noHBand="0" w:noVBand="0" w:val="0020"/>
        <w:tblInd w:w="0" w:type="dxa"/>
        <w:tblCellMar>
          <w:top w:w="70" w:type="dxa"/>
          <w:bottom w:w="70" w:type="dxa"/>
          <w:left w:w="85" w:type="dxa"/>
          <w:right w:w="85" w:type="dxa"/>
        </w:tblCellMar>
        <w:tblBorders>
          <w:top w:val="single" w:sz="4" w:color="CCD4D9"/>
          <w:bottom w:val="single" w:sz="4" w:color="CCD4D9"/>
          <w:insideH w:val="single" w:sz="4" w:color="CCD4D9"/>
          <w:left w:val="nil"/>
          <w:right w:val="nil"/>
          <w:insideV w:val="nil"/>
        </w:tblBorders>
      </w:tblPr>
      <w:tblGrid>
        <w:gridCol w:w="2016"/>
        <w:gridCol w:w="4133"/>
        <w:gridCol w:w="3701"/>
      </w:tblGrid>
      <w:tr>
        <w:trPr>
          <w:tblHeader w:val="on"/>
          <w:cantSplit/>
          <w:tblHeader/>
        </w:trPr>
        <w:tc>
          <w:tcPr>
            <w:tcW w:type="dxa" w:w="2016"/>
            <w:vAlign w:val="center"/>
            <w:shd w:fill="E9EFF3"/>
          </w:tcPr>
          <w:p>
            <w:pPr>
              <w:pStyle w:val="Compact"/>
              <w:keepNext w:val="0"/>
              <w:keepLines/>
              <w:spacing w:before="20" w:after="20" w:line="250" w:lineRule="auto"/>
              <w:jc w:val="left"/>
            </w:pPr>
            <w:r>
              <w:rPr>
                <w:rFonts w:ascii="Liberation Sans" w:hAnsi="Liberation Sans"/>
                <w:b/>
                <w:bCs/>
                <w:sz w:val="19"/>
              </w:rPr>
              <w:t xml:space="preserve">Claim</w:t>
            </w:r>
          </w:p>
        </w:tc>
        <w:tc>
          <w:tcPr>
            <w:tcW w:type="dxa" w:w="4133"/>
            <w:vAlign w:val="center"/>
            <w:shd w:fill="E9EFF3"/>
          </w:tcPr>
          <w:p>
            <w:pPr>
              <w:pStyle w:val="Compact"/>
              <w:keepNext w:val="0"/>
              <w:keepLines/>
              <w:spacing w:before="20" w:after="20" w:line="250" w:lineRule="auto"/>
              <w:jc w:val="left"/>
            </w:pPr>
            <w:r>
              <w:rPr>
                <w:rFonts w:ascii="Liberation Sans" w:hAnsi="Liberation Sans"/>
                <w:b/>
                <w:bCs/>
                <w:sz w:val="19"/>
              </w:rPr>
              <w:t xml:space="preserve">Unterstützendes Muster</w:t>
            </w:r>
          </w:p>
        </w:tc>
        <w:tc>
          <w:tcPr>
            <w:tcW w:type="dxa" w:w="3701"/>
            <w:vAlign w:val="center"/>
            <w:shd w:fill="E9EFF3"/>
          </w:tcPr>
          <w:p>
            <w:pPr>
              <w:pStyle w:val="Compact"/>
              <w:keepNext w:val="0"/>
              <w:keepLines/>
              <w:spacing w:before="20" w:after="20" w:line="250" w:lineRule="auto"/>
              <w:jc w:val="left"/>
            </w:pPr>
            <w:r>
              <w:rPr>
                <w:rFonts w:ascii="Liberation Sans" w:hAnsi="Liberation Sans"/>
                <w:b/>
                <w:bCs/>
                <w:sz w:val="19"/>
              </w:rPr>
              <w:t xml:space="preserve">Falsifikation / Nichtunterstützung</w:t>
            </w:r>
          </w:p>
        </w:tc>
      </w:tr>
      <w:tr>
        <w:trPr>
          <w:cantSplit/>
        </w:trPr>
        <w:tc>
          <w:tcPr>
            <w:tcW w:type="dxa" w:w="2016"/>
            <w:vAlign w:val="center"/>
          </w:tcPr>
          <w:p>
            <w:pPr>
              <w:pStyle w:val="Compact"/>
              <w:keepNext w:val="0"/>
              <w:keepLines/>
              <w:spacing w:before="20" w:after="20" w:line="250" w:lineRule="auto"/>
              <w:jc w:val="left"/>
            </w:pPr>
            <w:r>
              <w:rPr>
                <w:rFonts w:ascii="Liberation Sans" w:hAnsi="Liberation Sans"/>
                <w:sz w:val="19"/>
              </w:rPr>
              <w:t xml:space="preserve">5D verbessert funktionale Modularität</w:t>
            </w:r>
          </w:p>
        </w:tc>
        <w:tc>
          <w:tcPr>
            <w:tcW w:type="dxa" w:w="4133"/>
            <w:vAlign w:val="center"/>
          </w:tcPr>
          <w:p>
            <w:pPr>
              <w:pStyle w:val="Compact"/>
              <w:keepNext w:val="0"/>
              <w:keepLines/>
              <w:spacing w:before="20" w:after="20" w:line="250" w:lineRule="auto"/>
              <w:jc w:val="left"/>
            </w:pPr>
            <w:r>
              <w:rPr>
                <w:rFonts w:ascii="Liberation Sans" w:hAnsi="Liberation Sans"/>
                <w:sz w:val="19"/>
              </w:rPr>
              <w:t xml:space="preserve">Vorteil gegenüber gematchten 2D–6D- und Rewiring-Kontrollen; Effekt über Seeds</w:t>
            </w:r>
          </w:p>
        </w:tc>
        <w:tc>
          <w:tcPr>
            <w:tcW w:type="dxa" w:w="3701"/>
            <w:vAlign w:val="center"/>
          </w:tcPr>
          <w:p>
            <w:pPr>
              <w:pStyle w:val="Compact"/>
              <w:keepNext w:val="0"/>
              <w:keepLines/>
              <w:spacing w:before="20" w:after="20" w:line="250" w:lineRule="auto"/>
              <w:jc w:val="left"/>
            </w:pPr>
            <w:r>
              <w:rPr>
                <w:rFonts w:ascii="Liberation Sans" w:hAnsi="Liberation Sans"/>
                <w:sz w:val="19"/>
              </w:rPr>
              <w:t xml:space="preserve">kein relevanter Vorteil; nur höhere Dichte oder Kosten erklären Effekt</w:t>
            </w:r>
          </w:p>
        </w:tc>
      </w:tr>
      <w:tr>
        <w:trPr>
          <w:cantSplit/>
        </w:trPr>
        <w:tc>
          <w:tcPr>
            <w:tcW w:type="dxa" w:w="2016"/>
            <w:vAlign w:val="center"/>
          </w:tcPr>
          <w:p>
            <w:pPr>
              <w:pStyle w:val="Compact"/>
              <w:keepNext w:val="0"/>
              <w:keepLines/>
              <w:spacing w:before="20" w:after="20" w:line="250" w:lineRule="auto"/>
              <w:jc w:val="left"/>
            </w:pPr>
            <w:r>
              <w:rPr>
                <w:rFonts w:ascii="Liberation Sans" w:hAnsi="Liberation Sans"/>
                <w:sz w:val="19"/>
              </w:rPr>
              <w:t xml:space="preserve">Homeostase stabilisiert Lernen</w:t>
            </w:r>
          </w:p>
        </w:tc>
        <w:tc>
          <w:tcPr>
            <w:tcW w:type="dxa" w:w="4133"/>
            <w:vAlign w:val="center"/>
          </w:tcPr>
          <w:p>
            <w:pPr>
              <w:pStyle w:val="Compact"/>
              <w:keepNext w:val="0"/>
              <w:keepLines/>
              <w:spacing w:before="20" w:after="20" w:line="250" w:lineRule="auto"/>
              <w:jc w:val="left"/>
            </w:pPr>
            <w:r>
              <w:rPr>
                <w:rFonts w:ascii="Liberation Sans" w:hAnsi="Liberation Sans"/>
                <w:sz w:val="19"/>
              </w:rPr>
              <w:t xml:space="preserve">weniger Runaway/Quieszenz bei erhaltener Leistung</w:t>
            </w:r>
          </w:p>
        </w:tc>
        <w:tc>
          <w:tcPr>
            <w:tcW w:type="dxa" w:w="3701"/>
            <w:vAlign w:val="center"/>
          </w:tcPr>
          <w:p>
            <w:pPr>
              <w:pStyle w:val="Compact"/>
              <w:keepNext w:val="0"/>
              <w:keepLines/>
              <w:spacing w:before="20" w:after="20" w:line="250" w:lineRule="auto"/>
              <w:jc w:val="left"/>
            </w:pPr>
            <w:r>
              <w:rPr>
                <w:rFonts w:ascii="Liberation Sans" w:hAnsi="Liberation Sans"/>
                <w:sz w:val="19"/>
              </w:rPr>
              <w:t xml:space="preserve">Stabilität steigt nicht oder Lernen wird gleich stark unterdrückt</w:t>
            </w:r>
          </w:p>
        </w:tc>
      </w:tr>
      <w:tr>
        <w:trPr>
          <w:cantSplit/>
        </w:trPr>
        <w:tc>
          <w:tcPr>
            <w:tcW w:type="dxa" w:w="2016"/>
            <w:vAlign w:val="center"/>
          </w:tcPr>
          <w:p>
            <w:pPr>
              <w:pStyle w:val="Compact"/>
              <w:keepNext w:val="0"/>
              <w:keepLines/>
              <w:spacing w:before="20" w:after="20" w:line="250" w:lineRule="auto"/>
              <w:jc w:val="left"/>
            </w:pPr>
            <w:r>
              <w:rPr>
                <w:rFonts w:ascii="Liberation Sans" w:hAnsi="Liberation Sans"/>
                <w:sz w:val="19"/>
              </w:rPr>
              <w:t xml:space="preserve">strukturelle Plastizität verbessert Continual Learning</w:t>
            </w:r>
          </w:p>
        </w:tc>
        <w:tc>
          <w:tcPr>
            <w:tcW w:type="dxa" w:w="4133"/>
            <w:vAlign w:val="center"/>
          </w:tcPr>
          <w:p>
            <w:pPr>
              <w:pStyle w:val="Compact"/>
              <w:keepNext w:val="0"/>
              <w:keepLines/>
              <w:spacing w:before="20" w:after="20" w:line="250" w:lineRule="auto"/>
              <w:jc w:val="left"/>
            </w:pPr>
            <w:r>
              <w:rPr>
                <w:rFonts w:ascii="Liberation Sans" w:hAnsi="Liberation Sans"/>
                <w:sz w:val="19"/>
              </w:rPr>
              <w:t xml:space="preserve">geringeres Forgetting bei kontrolliertem Budget</w:t>
            </w:r>
          </w:p>
        </w:tc>
        <w:tc>
          <w:tcPr>
            <w:tcW w:type="dxa" w:w="3701"/>
            <w:vAlign w:val="center"/>
          </w:tcPr>
          <w:p>
            <w:pPr>
              <w:pStyle w:val="Compact"/>
              <w:keepNext w:val="0"/>
              <w:keepLines/>
              <w:spacing w:before="20" w:after="20" w:line="250" w:lineRule="auto"/>
              <w:jc w:val="left"/>
            </w:pPr>
            <w:r>
              <w:rPr>
                <w:rFonts w:ascii="Liberation Sans" w:hAnsi="Liberation Sans"/>
                <w:sz w:val="19"/>
              </w:rPr>
              <w:t xml:space="preserve">gleiche oder schlechtere Retention; Nutzen verschwindet bei Kostenmatching</w:t>
            </w:r>
          </w:p>
        </w:tc>
      </w:tr>
      <w:tr>
        <w:trPr>
          <w:cantSplit/>
        </w:trPr>
        <w:tc>
          <w:tcPr>
            <w:tcW w:type="dxa" w:w="2016"/>
            <w:vAlign w:val="center"/>
          </w:tcPr>
          <w:p>
            <w:pPr>
              <w:pStyle w:val="Compact"/>
              <w:keepNext w:val="0"/>
              <w:keepLines/>
              <w:spacing w:before="20" w:after="20" w:line="250" w:lineRule="auto"/>
              <w:jc w:val="left"/>
            </w:pPr>
            <w:r>
              <w:rPr>
                <w:rFonts w:ascii="Liberation Sans" w:hAnsi="Liberation Sans"/>
                <w:sz w:val="19"/>
              </w:rPr>
              <w:t xml:space="preserve">SNN speichert KnowledgeItem</w:t>
            </w:r>
          </w:p>
        </w:tc>
        <w:tc>
          <w:tcPr>
            <w:tcW w:type="dxa" w:w="4133"/>
            <w:vAlign w:val="center"/>
          </w:tcPr>
          <w:p>
            <w:pPr>
              <w:pStyle w:val="Compact"/>
              <w:keepNext w:val="0"/>
              <w:keepLines/>
              <w:spacing w:before="20" w:after="20" w:line="250" w:lineRule="auto"/>
              <w:jc w:val="left"/>
            </w:pPr>
            <w:r>
              <w:rPr>
                <w:rFonts w:ascii="Liberation Sans" w:hAnsi="Liberation Sans"/>
                <w:sz w:val="19"/>
              </w:rPr>
              <w:t xml:space="preserve">Recall nach Isolation über Kontrollen</w:t>
            </w:r>
          </w:p>
        </w:tc>
        <w:tc>
          <w:tcPr>
            <w:tcW w:type="dxa" w:w="3701"/>
            <w:vAlign w:val="center"/>
          </w:tcPr>
          <w:p>
            <w:pPr>
              <w:pStyle w:val="Compact"/>
              <w:keepNext w:val="0"/>
              <w:keepLines/>
              <w:spacing w:before="20" w:after="20" w:line="250" w:lineRule="auto"/>
              <w:jc w:val="left"/>
            </w:pPr>
            <w:r>
              <w:rPr>
                <w:rFonts w:ascii="Liberation Sans" w:hAnsi="Liberation Sans"/>
                <w:sz w:val="19"/>
              </w:rPr>
              <w:t xml:space="preserve">Recall fällt nach Retrieval-/LLM-Abschaltung auf Kontrollniveau</w:t>
            </w:r>
          </w:p>
        </w:tc>
      </w:tr>
      <w:tr>
        <w:trPr>
          <w:cantSplit/>
        </w:trPr>
        <w:tc>
          <w:tcPr>
            <w:tcW w:type="dxa" w:w="2016"/>
            <w:vAlign w:val="center"/>
          </w:tcPr>
          <w:p>
            <w:pPr>
              <w:pStyle w:val="Compact"/>
              <w:keepNext w:val="0"/>
              <w:keepLines/>
              <w:spacing w:before="20" w:after="20" w:line="250" w:lineRule="auto"/>
              <w:jc w:val="left"/>
            </w:pPr>
            <w:r>
              <w:rPr>
                <w:rFonts w:ascii="Liberation Sans" w:hAnsi="Liberation Sans"/>
                <w:sz w:val="19"/>
              </w:rPr>
              <w:t xml:space="preserve">emergentes Cluster ist funktional</w:t>
            </w:r>
          </w:p>
        </w:tc>
        <w:tc>
          <w:tcPr>
            <w:tcW w:type="dxa" w:w="4133"/>
            <w:vAlign w:val="center"/>
          </w:tcPr>
          <w:p>
            <w:pPr>
              <w:pStyle w:val="Compact"/>
              <w:keepNext w:val="0"/>
              <w:keepLines/>
              <w:spacing w:before="20" w:after="20" w:line="250" w:lineRule="auto"/>
              <w:jc w:val="left"/>
            </w:pPr>
            <w:r>
              <w:rPr>
                <w:rFonts w:ascii="Liberation Sans" w:hAnsi="Liberation Sans"/>
                <w:sz w:val="19"/>
              </w:rPr>
              <w:t xml:space="preserve">spezifischer matched-lesion-Effekt und Rescue</w:t>
            </w:r>
          </w:p>
        </w:tc>
        <w:tc>
          <w:tcPr>
            <w:tcW w:type="dxa" w:w="3701"/>
            <w:vAlign w:val="center"/>
          </w:tcPr>
          <w:p>
            <w:pPr>
              <w:pStyle w:val="Compact"/>
              <w:keepNext w:val="0"/>
              <w:keepLines/>
              <w:spacing w:before="20" w:after="20" w:line="250" w:lineRule="auto"/>
              <w:jc w:val="left"/>
            </w:pPr>
            <w:r>
              <w:rPr>
                <w:rFonts w:ascii="Liberation Sans" w:hAnsi="Liberation Sans"/>
                <w:sz w:val="19"/>
              </w:rPr>
              <w:t xml:space="preserve">beliebige Läsion gleich wirksam; Effekt nicht replizierbar</w:t>
            </w:r>
          </w:p>
        </w:tc>
      </w:tr>
      <w:tr>
        <w:trPr>
          <w:cantSplit/>
        </w:trPr>
        <w:tc>
          <w:tcPr>
            <w:tcW w:type="dxa" w:w="2016"/>
            <w:vAlign w:val="center"/>
          </w:tcPr>
          <w:p>
            <w:pPr>
              <w:pStyle w:val="Compact"/>
              <w:keepNext w:val="0"/>
              <w:keepLines/>
              <w:spacing w:before="20" w:after="20" w:line="250" w:lineRule="auto"/>
              <w:jc w:val="left"/>
            </w:pPr>
            <w:r>
              <w:rPr>
                <w:rFonts w:ascii="Liberation Sans" w:hAnsi="Liberation Sans"/>
                <w:sz w:val="19"/>
              </w:rPr>
              <w:t xml:space="preserve">interner Zustand ist prädiktiv</w:t>
            </w:r>
          </w:p>
        </w:tc>
        <w:tc>
          <w:tcPr>
            <w:tcW w:type="dxa" w:w="4133"/>
            <w:vAlign w:val="center"/>
          </w:tcPr>
          <w:p>
            <w:pPr>
              <w:pStyle w:val="Compact"/>
              <w:keepNext w:val="0"/>
              <w:keepLines/>
              <w:spacing w:before="20" w:after="20" w:line="250" w:lineRule="auto"/>
              <w:jc w:val="left"/>
            </w:pPr>
            <w:r>
              <w:rPr>
                <w:rFonts w:ascii="Liberation Sans" w:hAnsi="Liberation Sans"/>
                <w:sz w:val="19"/>
              </w:rPr>
              <w:t xml:space="preserve">inkrementelle Zukunftsinformation und Verhaltensnutzen</w:t>
            </w:r>
          </w:p>
        </w:tc>
        <w:tc>
          <w:tcPr>
            <w:tcW w:type="dxa" w:w="3701"/>
            <w:vAlign w:val="center"/>
          </w:tcPr>
          <w:p>
            <w:pPr>
              <w:pStyle w:val="Compact"/>
              <w:keepNext w:val="0"/>
              <w:keepLines/>
              <w:spacing w:before="20" w:after="20" w:line="250" w:lineRule="auto"/>
              <w:jc w:val="left"/>
            </w:pPr>
            <w:r>
              <w:rPr>
                <w:rFonts w:ascii="Liberation Sans" w:hAnsi="Liberation Sans"/>
                <w:sz w:val="19"/>
              </w:rPr>
              <w:t xml:space="preserve">keine Zusatzinformation über aktuellen Input; Ablation ohne spezifischen Effekt</w:t>
            </w:r>
          </w:p>
        </w:tc>
      </w:tr>
      <w:tr>
        <w:trPr>
          <w:cantSplit/>
        </w:trPr>
        <w:tc>
          <w:tcPr>
            <w:tcW w:type="dxa" w:w="2016"/>
            <w:vAlign w:val="center"/>
          </w:tcPr>
          <w:p>
            <w:pPr>
              <w:pStyle w:val="Compact"/>
              <w:keepNext w:val="0"/>
              <w:keepLines/>
              <w:spacing w:before="20" w:after="20" w:line="250" w:lineRule="auto"/>
              <w:jc w:val="left"/>
            </w:pPr>
            <w:r>
              <w:rPr>
                <w:rFonts w:ascii="Liberation Sans" w:hAnsi="Liberation Sans"/>
                <w:sz w:val="19"/>
              </w:rPr>
              <w:t xml:space="preserve">Digital State Twin ist kausal fidel</w:t>
            </w:r>
          </w:p>
        </w:tc>
        <w:tc>
          <w:tcPr>
            <w:tcW w:type="dxa" w:w="4133"/>
            <w:vAlign w:val="center"/>
          </w:tcPr>
          <w:p>
            <w:pPr>
              <w:pStyle w:val="Compact"/>
              <w:keepNext w:val="0"/>
              <w:keepLines/>
              <w:spacing w:before="20" w:after="20" w:line="250" w:lineRule="auto"/>
              <w:jc w:val="left"/>
            </w:pPr>
            <w:r>
              <w:rPr>
                <w:rFonts w:ascii="Liberation Sans" w:hAnsi="Liberation Sans"/>
                <w:sz w:val="19"/>
              </w:rPr>
              <w:t xml:space="preserve">Replay reagiert auf Probe-Stimuli äquivalent</w:t>
            </w:r>
          </w:p>
        </w:tc>
        <w:tc>
          <w:tcPr>
            <w:tcW w:type="dxa" w:w="3701"/>
            <w:vAlign w:val="center"/>
          </w:tcPr>
          <w:p>
            <w:pPr>
              <w:pStyle w:val="Compact"/>
              <w:keepNext w:val="0"/>
              <w:keepLines/>
              <w:spacing w:before="20" w:after="20" w:line="250" w:lineRule="auto"/>
              <w:jc w:val="left"/>
            </w:pPr>
            <w:r>
              <w:rPr>
                <w:rFonts w:ascii="Liberation Sans" w:hAnsi="Liberation Sans"/>
                <w:sz w:val="19"/>
              </w:rPr>
              <w:t xml:space="preserve">Restore divergiert vor Intervention oder verliert relevante Struktur</w:t>
            </w:r>
          </w:p>
        </w:tc>
      </w:tr>
    </w:tbl>
    <w:bookmarkEnd w:id="490"/>
    <w:bookmarkStart w:id="496" w:name="validität"/>
    <w:p>
      <w:pPr>
        <w:pStyle w:val="Heading2"/>
      </w:pPr>
      <w:r>
        <w:t xml:space="preserve">Validität</w:t>
      </w:r>
    </w:p>
    <w:bookmarkStart w:id="491" w:name="interne-validität"/>
    <w:p>
      <w:pPr>
        <w:pStyle w:val="Heading3"/>
        <w:keepLines/>
        <w:spacing w:after="120"/>
        <w:jc w:val="left"/>
      </w:pPr>
      <w:r>
        <w:rPr>
          <w:sz w:val="20"/>
        </w:rPr>
        <w:t xml:space="preserve">Interne Validität</w:t>
      </w:r>
    </w:p>
    <w:p>
      <w:pPr>
        <w:pStyle w:val="FirstParagraph"/>
        <w:keepLines/>
        <w:spacing w:after="120"/>
        <w:jc w:val="left"/>
      </w:pPr>
      <w:r>
        <w:rPr>
          <w:sz w:val="20"/>
        </w:rPr>
        <w:t xml:space="preserve">Gefährdungen sind ungematchte Ressourcen, Decoder-Leakage, variable Seeds, nachträgliche Parameterwahl, versteckte Retrieval-Caches und unkontrollierte LLM-Rückkopplung. Architektur-Invarianten und präregistrierte Spezifikationen adressieren diese Risiken.</w:t>
      </w:r>
    </w:p>
    <w:bookmarkEnd w:id="491"/>
    <w:bookmarkStart w:id="492" w:name="konstruktvalidität"/>
    <w:p>
      <w:pPr>
        <w:pStyle w:val="Heading3"/>
        <w:keepLines/>
        <w:spacing w:after="120"/>
        <w:jc w:val="left"/>
      </w:pPr>
      <w:r>
        <w:rPr>
          <w:sz w:val="20"/>
        </w:rPr>
        <w:t xml:space="preserve">Konstruktvalidität</w:t>
      </w:r>
    </w:p>
    <w:p>
      <w:pPr>
        <w:pStyle w:val="FirstParagraph"/>
        <w:keepLines/>
        <w:spacing w:after="120"/>
        <w:jc w:val="left"/>
      </w:pPr>
      <w:r>
        <w:rPr>
          <w:sz w:val="20"/>
        </w:rPr>
        <w:t xml:space="preserve">Spikezahl ist keine Intelligenz; Modularität ist keine kognitive Modularität; Decodability ist keine kausale Repräsentation; Persistenz ist kein Gedächtnis. Jede Metrik wird gegen die theoretische Bedeutung geprüft.</w:t>
      </w:r>
    </w:p>
    <w:bookmarkEnd w:id="492"/>
    <w:bookmarkStart w:id="493" w:name="externe-validität"/>
    <w:p>
      <w:pPr>
        <w:pStyle w:val="Heading3"/>
        <w:keepLines/>
        <w:spacing w:after="120"/>
        <w:jc w:val="left"/>
      </w:pPr>
      <w:r>
        <w:rPr>
          <w:sz w:val="20"/>
        </w:rPr>
        <w:t xml:space="preserve">Externe Validität</w:t>
      </w:r>
    </w:p>
    <w:p>
      <w:pPr>
        <w:pStyle w:val="FirstParagraph"/>
        <w:keepLines/>
        <w:spacing w:after="120"/>
        <w:jc w:val="left"/>
      </w:pPr>
      <w:r>
        <w:rPr>
          <w:sz w:val="20"/>
        </w:rPr>
        <w:t xml:space="preserve">Ergebnisse sollen über Seeds, Aufgaben, Netzwerkgrößen, Stimulusvarianten und Modelle geprüft werden. Ein Effekt in einem synthetischen Benchmark kann wertvoll sein, muss aber entsprechend eng formuliert werden.</w:t>
      </w:r>
    </w:p>
    <w:bookmarkEnd w:id="493"/>
    <w:bookmarkStart w:id="494" w:name="ökologische-validität"/>
    <w:p>
      <w:pPr>
        <w:pStyle w:val="Heading3"/>
        <w:keepLines/>
        <w:spacing w:after="120"/>
        <w:jc w:val="left"/>
      </w:pPr>
      <w:r>
        <w:rPr>
          <w:sz w:val="20"/>
        </w:rPr>
        <w:t xml:space="preserve">Ökologische Validität</w:t>
      </w:r>
    </w:p>
    <w:p>
      <w:pPr>
        <w:pStyle w:val="FirstParagraph"/>
        <w:keepLines/>
        <w:spacing w:after="120"/>
        <w:jc w:val="left"/>
      </w:pPr>
      <w:r>
        <w:rPr>
          <w:sz w:val="20"/>
        </w:rPr>
        <w:t xml:space="preserve">Closed-Loop- und physische Tests erhöhen ökologische Nähe, führen aber neue Confounds ein. Sie ersetzen keine kontrollierten Laborbenchmarks. Beide Ebenen sind komplementär.</w:t>
      </w:r>
    </w:p>
    <w:bookmarkEnd w:id="494"/>
    <w:bookmarkStart w:id="495" w:name="schlussfolgerungsvalidität"/>
    <w:p>
      <w:pPr>
        <w:pStyle w:val="Heading3"/>
        <w:keepLines/>
        <w:spacing w:after="120"/>
        <w:jc w:val="left"/>
      </w:pPr>
      <w:r>
        <w:rPr>
          <w:sz w:val="20"/>
        </w:rPr>
        <w:t xml:space="preserve">Schlussfolgerungsvalidität</w:t>
      </w:r>
    </w:p>
    <w:p>
      <w:pPr>
        <w:pStyle w:val="FirstParagraph"/>
        <w:keepLines/>
        <w:spacing w:after="120"/>
        <w:jc w:val="left"/>
      </w:pPr>
      <w:r>
        <w:rPr>
          <w:sz w:val="20"/>
        </w:rPr>
        <w:t xml:space="preserve">Zu kleine Seed-Zahlen, multiple Tests, selektive Berichterstattung und Pseudoreplikation gefährden Schlussfolgerungen. Reproduzierbare Forschungspraxis, Präregistrierung und vollständige Run-Berichte sind deshalb methodische Kernbestandteile (</w:t>
      </w:r>
      <w:hyperlink w:anchor="ref-Munafo2017">
        <w:r>
          <w:rPr>
            <w:rStyle w:val="Hyperlink"/>
          </w:rPr>
          <w:t xml:space="preserve">Munafò et al., 2017</w:t>
        </w:r>
      </w:hyperlink>
      <w:r>
        <w:rPr>
          <w:sz w:val="20"/>
        </w:rPr>
        <w:t xml:space="preserve">;</w:t>
      </w:r>
      <w:r>
        <w:rPr>
          <w:sz w:val="20"/>
        </w:rPr>
        <w:t xml:space="preserve"> </w:t>
      </w:r>
      <w:hyperlink w:anchor="ref-Nosek2018">
        <w:r>
          <w:rPr>
            <w:rStyle w:val="Hyperlink"/>
          </w:rPr>
          <w:t xml:space="preserve">Nosek et al., 2018</w:t>
        </w:r>
      </w:hyperlink>
      <w:r>
        <w:rPr>
          <w:sz w:val="20"/>
        </w:rPr>
        <w:t xml:space="preserve">;</w:t>
      </w:r>
      <w:r>
        <w:rPr>
          <w:sz w:val="20"/>
        </w:rPr>
        <w:t xml:space="preserve"> </w:t>
      </w:r>
      <w:hyperlink w:anchor="ref-Sandve2013">
        <w:r>
          <w:rPr>
            <w:rStyle w:val="Hyperlink"/>
          </w:rPr>
          <w:t xml:space="preserve">Sandve et al., 2013</w:t>
        </w:r>
      </w:hyperlink>
      <w:r>
        <w:rPr>
          <w:sz w:val="20"/>
        </w:rPr>
        <w:t xml:space="preserve">).</w:t>
      </w:r>
    </w:p>
    <w:bookmarkEnd w:id="495"/>
    <w:bookmarkEnd w:id="496"/>
    <w:bookmarkEnd w:id="497"/>
    <w:bookmarkStart w:id="507" w:name="X7c5c93cac5cd3682c620b43160c2e78bc0a992c"/>
    <w:p>
      <w:bookmarkStart w:id="10034" w:name="B5D_H034"/>
      <w:pPr>
        <w:pStyle w:val="Heading1"/>
      </w:pPr>
      <w:r>
        <w:t xml:space="preserve">31. Acht neue Synthesehypothesen und Prüfprotokolle</w:t>
      </w:r>
      <w:bookmarkEnd w:id="10034"/>
    </w:p>
    <w:bookmarkStart w:id="506" w:name="Xefce249c0c73348c73bc52909b03b12ff15c355"/>
    <w:p>
      <w:pPr>
        <w:pStyle w:val="Heading2"/>
        <w:spacing w:before="160"/>
      </w:pPr>
      <w:r>
        <w:t xml:space="preserve">Neue Synthesehypothesen: Kennzeichnung und Reichweite</w:t>
      </w:r>
    </w:p>
    <w:p>
      <w:pPr>
        <w:pStyle w:val="FirstParagraph"/>
        <w:keepLines/>
        <w:spacing w:after="30" w:line="246" w:lineRule="auto"/>
        <w:jc w:val="left"/>
      </w:pPr>
      <w:r>
        <w:rPr>
          <w:sz w:val="20"/>
        </w:rPr>
        <w:t xml:space="preserve">Die folgenden Hypothesen tragen das Präfix</w:t>
      </w:r>
      <w:r>
        <w:rPr>
          <w:sz w:val="20"/>
        </w:rPr>
        <w:t xml:space="preserve"> </w:t>
      </w:r>
      <w:r>
        <w:rPr>
          <w:b/>
          <w:bCs/>
          <w:sz w:val="20"/>
        </w:rPr>
        <w:t xml:space="preserve">H-SYN</w:t>
      </w:r>
      <w:r>
        <w:rPr>
          <w:sz w:val="20"/>
        </w:rPr>
        <w:t xml:space="preserve">. Sie sind Vorschläge dieser Abhandlung, keine bereits im produktiven Repository registrierten oder ausgeführten Studien. Jede verbindet mindestens zwei bisher getrennte Themenfelder. Die registrierten RQ- und H-IDs bleiben unverändert.</w:t>
      </w:r>
    </w:p>
    <w:bookmarkStart w:id="498" w:name="X683455cd6616eb2c39fde424054986ff9df3fb1"/>
    <w:p>
      <w:pPr>
        <w:pStyle w:val="Heading3"/>
        <w:keepLines/>
        <w:spacing w:after="120" w:before="160"/>
        <w:jc w:val="left"/>
      </w:pPr>
      <w:r>
        <w:rPr>
          <w:sz w:val="20"/>
        </w:rPr>
        <w:t xml:space="preserve">H-SYN-01: Provenienzerhaltende Kompaktierung kann Reviewqualität erhalten</w:t>
      </w:r>
    </w:p>
    <w:p>
      <w:pPr>
        <w:pStyle w:val="FirstParagraph"/>
        <w:keepLines/>
        <w:spacing w:after="30" w:line="246" w:lineRule="auto"/>
        <w:jc w:val="left"/>
      </w:pPr>
      <w:r>
        <w:rPr>
          <w:b/>
          <w:bCs/>
          <w:sz w:val="20"/>
        </w:rPr>
        <w:t xml:space="preserve">Aussage.</w:t>
      </w:r>
      <w:r>
        <w:rPr>
          <w:sz w:val="20"/>
        </w:rPr>
        <w:t xml:space="preserve"> </w:t>
      </w:r>
      <w:r>
        <w:rPr>
          <w:sz w:val="20"/>
        </w:rPr>
        <w:t xml:space="preserve">Ein strukturiertes, begrenztes ResearchPacket ermöglicht bei gleichem Modell und gleichem Ausgabebudget eine mindestens gleichwertige Erkennung vorab definierter wissenschaftlicher Defekte wie ein unstrukturierter längerer Bericht.</w:t>
      </w:r>
    </w:p>
    <w:p>
      <w:pPr>
        <w:pStyle w:val="BodyText"/>
        <w:keepLines/>
        <w:spacing w:after="30" w:line="246" w:lineRule="auto"/>
        <w:jc w:val="left"/>
      </w:pPr>
      <w:r>
        <w:rPr>
          <w:b/>
          <w:bCs/>
          <w:sz w:val="20"/>
        </w:rPr>
        <w:t xml:space="preserve">Design.</w:t>
      </w:r>
      <w:r>
        <w:rPr>
          <w:sz w:val="20"/>
        </w:rPr>
        <w:t xml:space="preserve"> </w:t>
      </w:r>
      <w:r>
        <w:rPr>
          <w:sz w:val="20"/>
        </w:rPr>
        <w:t xml:space="preserve">Verwendet werden eingefrorene, technisch erzeugte Testartefakte mit bekannten Defekten und defektfreien Kontrollen. Dieselben Fälle erscheinen in beiden Darstellungsbedingungen. Die Modellversion, Promptschablone und Bewertungsrubrik bleiben fest. Ein Holdout-Satz verhindert die nachträgliche Optimierung des Pakets auf genau die Testfehler. Menschliche Versuchspersonen sind für die erste technische Modellvergleichsstufe nicht erforderlich; eine spätere Studie zur Bedienbarkeit wäre separat zu genehmigen.</w:t>
      </w:r>
    </w:p>
    <w:p>
      <w:pPr>
        <w:pStyle w:val="BodyText"/>
        <w:keepLines/>
        <w:spacing w:after="30" w:line="246" w:lineRule="auto"/>
        <w:jc w:val="left"/>
      </w:pPr>
      <w:r>
        <w:rPr>
          <w:b/>
          <w:bCs/>
          <w:sz w:val="20"/>
        </w:rPr>
        <w:t xml:space="preserve">Endpunkte und Falsifikation.</w:t>
      </w:r>
      <w:r>
        <w:rPr>
          <w:sz w:val="20"/>
        </w:rPr>
        <w:t xml:space="preserve"> </w:t>
      </w:r>
      <w:r>
        <w:rPr>
          <w:sz w:val="20"/>
        </w:rPr>
        <w:t xml:space="preserve">Primär werden Sensitivität für schwerwiegende Defekte und Fehlalarmrate bewertet; F1 allein darf seltene gefährliche Auslassungen nicht verdecken. Eine Nichtunterlegenheitsgrenze ist fachlich vorab zu begründen. Wird ein relevanter Defekttyp durch die Kompaktierung systematisch unsichtbar, ist die Hypothese für diesen Scope nicht gestützt. Anschluss:</w:t>
      </w:r>
      <w:r>
        <w:rPr>
          <w:sz w:val="20"/>
        </w:rPr>
        <w:t xml:space="preserve"> </w:t>
      </w:r>
      <w:r>
        <w:rPr>
          <w:rStyle w:val="VerbatimChar"/>
          <w:sz w:val="20"/>
        </w:rPr>
        <w:t xml:space="preserve">RQ-AIR-001</w:t>
      </w:r>
      <w:r>
        <w:rPr>
          <w:sz w:val="20"/>
        </w:rPr>
        <w:t xml:space="preserve">, F6, F12 und F24.</w:t>
      </w:r>
    </w:p>
    <w:bookmarkEnd w:id="498"/>
    <w:bookmarkStart w:id="499" w:name="X9c4303d3aadaaabb3c05b5a3f4b3c6003d961c4"/>
    <w:p>
      <w:pPr>
        <w:pStyle w:val="Heading3"/>
        <w:keepLines/>
        <w:spacing w:after="120" w:before="160"/>
        <w:jc w:val="left"/>
      </w:pPr>
      <w:r>
        <w:rPr>
          <w:sz w:val="20"/>
        </w:rPr>
        <w:t xml:space="preserve">H-SYN-02: Korrekte Ressourcenrückmeldung verbessert Ausfallanpassung</w:t>
      </w:r>
    </w:p>
    <w:p>
      <w:pPr>
        <w:pStyle w:val="FirstParagraph"/>
        <w:keepLines/>
        <w:spacing w:after="30" w:line="246" w:lineRule="auto"/>
        <w:jc w:val="left"/>
      </w:pPr>
      <w:r>
        <w:rPr>
          <w:b/>
          <w:bCs/>
          <w:sz w:val="20"/>
        </w:rPr>
        <w:t xml:space="preserve">Aussage.</w:t>
      </w:r>
      <w:r>
        <w:rPr>
          <w:sz w:val="20"/>
        </w:rPr>
        <w:t xml:space="preserve"> </w:t>
      </w:r>
      <w:r>
        <w:rPr>
          <w:sz w:val="20"/>
        </w:rPr>
        <w:t xml:space="preserve">Nutzbare interozeptive Information verbessert die Recovery einer registrierten Aufgabe nach Sensor- oder Ressourcendegradation gegenüber gleich budgetierten Frozen-, Missing- und zeitverschobenen Rückmeldungen.</w:t>
      </w:r>
    </w:p>
    <w:p>
      <w:pPr>
        <w:pStyle w:val="BodyText"/>
        <w:keepLines/>
        <w:spacing w:after="30" w:line="246" w:lineRule="auto"/>
        <w:jc w:val="left"/>
      </w:pPr>
      <w:r>
        <w:rPr>
          <w:b/>
          <w:bCs/>
          <w:sz w:val="20"/>
        </w:rPr>
        <w:t xml:space="preserve">Design.</w:t>
      </w:r>
      <w:r>
        <w:rPr>
          <w:sz w:val="20"/>
        </w:rPr>
        <w:t xml:space="preserve"> </w:t>
      </w:r>
      <w:r>
        <w:rPr>
          <w:sz w:val="20"/>
        </w:rPr>
        <w:t xml:space="preserve">Gepaart verglichene Simulationszustände erhalten dieselbe Perturbation. Untersucht werden korrekte Rückmeldung, uninformative aber zeitlich passende Rückmeldung und keine Rückmeldung. Schutzgrenzen bleiben in allen Bedingungen aktiv. Damit wird Lernnutzen von der Wirkung eines unterschiedlich konfigurierten SafetyControllers getrennt.</w:t>
      </w:r>
    </w:p>
    <w:p>
      <w:pPr>
        <w:pStyle w:val="BodyText"/>
        <w:keepLines/>
        <w:spacing w:after="30" w:line="246" w:lineRule="auto"/>
        <w:jc w:val="left"/>
      </w:pPr>
      <w:r>
        <w:rPr>
          <w:b/>
          <w:bCs/>
          <w:sz w:val="20"/>
        </w:rPr>
        <w:t xml:space="preserve">Endpunkte und Falsifikation.</w:t>
      </w:r>
      <w:r>
        <w:rPr>
          <w:sz w:val="20"/>
        </w:rPr>
        <w:t xml:space="preserve"> </w:t>
      </w:r>
      <w:r>
        <w:rPr>
          <w:sz w:val="20"/>
        </w:rPr>
        <w:t xml:space="preserve">Vorab bestimmt werden Zeit bis zur Wiederherstellung, Aufgabenleistung und Verletzung technischer Grenzen. Ein Vorteil, der nur auf mehr Rechenbudget oder auf handcodierter Wiederanlaufsteuerung beruht, zählt nicht als gelernte Kompensation. Anschluss:</w:t>
      </w:r>
      <w:r>
        <w:rPr>
          <w:sz w:val="20"/>
        </w:rPr>
        <w:t xml:space="preserve"> </w:t>
      </w:r>
      <w:r>
        <w:rPr>
          <w:rStyle w:val="VerbatimChar"/>
          <w:sz w:val="20"/>
        </w:rPr>
        <w:t xml:space="preserve">RQ-REG-002</w:t>
      </w:r>
      <w:r>
        <w:rPr>
          <w:sz w:val="20"/>
        </w:rPr>
        <w:t xml:space="preserve">,</w:t>
      </w:r>
      <w:r>
        <w:rPr>
          <w:sz w:val="20"/>
        </w:rPr>
        <w:t xml:space="preserve"> </w:t>
      </w:r>
      <w:r>
        <w:rPr>
          <w:rStyle w:val="VerbatimChar"/>
          <w:sz w:val="20"/>
        </w:rPr>
        <w:t xml:space="preserve">RQ-MSBA-E05</w:t>
      </w:r>
      <w:r>
        <w:rPr>
          <w:sz w:val="20"/>
        </w:rPr>
        <w:t xml:space="preserve">, H10 und H11.</w:t>
      </w:r>
    </w:p>
    <w:bookmarkEnd w:id="499"/>
    <w:bookmarkStart w:id="500" w:name="X5cbe17487809f094f1abb8f01d9d3520f6a7cfe"/>
    <w:p>
      <w:pPr>
        <w:pStyle w:val="Heading3"/>
        <w:keepLines/>
        <w:spacing w:after="120" w:before="160"/>
        <w:jc w:val="left"/>
      </w:pPr>
      <w:r>
        <w:rPr>
          <w:sz w:val="20"/>
        </w:rPr>
        <w:t xml:space="preserve">H-SYN-03: Ein minimaler Selbstzustandsvektor verbessert Kalibrierung</w:t>
      </w:r>
    </w:p>
    <w:p>
      <w:pPr>
        <w:pStyle w:val="FirstParagraph"/>
        <w:keepLines/>
        <w:spacing w:after="30" w:line="246" w:lineRule="auto"/>
        <w:jc w:val="left"/>
      </w:pPr>
      <w:r>
        <w:rPr>
          <w:b/>
          <w:bCs/>
          <w:sz w:val="20"/>
        </w:rPr>
        <w:t xml:space="preserve">Aussage.</w:t>
      </w:r>
      <w:r>
        <w:rPr>
          <w:sz w:val="20"/>
        </w:rPr>
        <w:t xml:space="preserve"> </w:t>
      </w:r>
      <w:r>
        <w:rPr>
          <w:sz w:val="20"/>
        </w:rPr>
        <w:t xml:space="preserve">Ein System, das verifizierbare Informationen über eigene Sensorverfügbarkeit und Aktorkapazität nutzt, sagt seinen Aufgabenerfolg besser kalibriert voraus als ein System ohne diese Information.</w:t>
      </w:r>
    </w:p>
    <w:p>
      <w:pPr>
        <w:pStyle w:val="BodyText"/>
        <w:keepLines/>
        <w:spacing w:after="30" w:line="246" w:lineRule="auto"/>
        <w:jc w:val="left"/>
      </w:pPr>
      <w:r>
        <w:rPr>
          <w:b/>
          <w:bCs/>
          <w:sz w:val="20"/>
        </w:rPr>
        <w:t xml:space="preserve">Design.</w:t>
      </w:r>
      <w:r>
        <w:rPr>
          <w:sz w:val="20"/>
        </w:rPr>
        <w:t xml:space="preserve"> </w:t>
      </w:r>
      <w:r>
        <w:rPr>
          <w:sz w:val="20"/>
        </w:rPr>
        <w:t xml:space="preserve">Die Ausfallbedingungen werden vorab eingefroren. Prognosen erfolgen vor dem Handlungsergebnis. Training und Test nutzen getrennte Ausfallkombinationen. Als Kontrollen dienen ein konstantes Basismodell und ein Modell, das nur die äußere Aufgabenbeschreibung kennt. Der Sprachstil der Selbstauskunft wird nicht als Endpunkt verwendet.</w:t>
      </w:r>
    </w:p>
    <w:p>
      <w:pPr>
        <w:pStyle w:val="BodyText"/>
        <w:keepLines/>
        <w:spacing w:after="30" w:line="246" w:lineRule="auto"/>
        <w:jc w:val="left"/>
      </w:pPr>
      <w:r>
        <w:rPr>
          <w:b/>
          <w:bCs/>
          <w:sz w:val="20"/>
        </w:rPr>
        <w:t xml:space="preserve">Endpunkte und Falsifikation.</w:t>
      </w:r>
      <w:r>
        <w:rPr>
          <w:sz w:val="20"/>
        </w:rPr>
        <w:t xml:space="preserve"> </w:t>
      </w:r>
      <w:r>
        <w:rPr>
          <w:sz w:val="20"/>
        </w:rPr>
        <w:t xml:space="preserve">Kalibrierungsfehler und ein geeigneter Proper Scoring Rule werden getrennt von der eigentlichen Erfolgsquote bewertet. Ein System kann gut handeln und schlecht wissen, wann es scheitert. Bleibt der Zusatznutzen auf die bereits im Training gesehenen Ausfälle beschränkt, ist keine robuste Selbstmodellfunktion nachgewiesen. Anschluss: F19 und</w:t>
      </w:r>
      <w:r>
        <w:rPr>
          <w:sz w:val="20"/>
        </w:rPr>
        <w:t xml:space="preserve"> </w:t>
      </w:r>
      <w:r>
        <w:rPr>
          <w:rStyle w:val="VerbatimChar"/>
          <w:sz w:val="20"/>
        </w:rPr>
        <w:t xml:space="preserve">RQ-EMB-001</w:t>
      </w:r>
      <w:r>
        <w:rPr>
          <w:sz w:val="20"/>
        </w:rPr>
        <w:t xml:space="preserve">.</w:t>
      </w:r>
    </w:p>
    <w:bookmarkEnd w:id="500"/>
    <w:bookmarkStart w:id="501" w:name="X9cae7c217c5f32612af3f24ad3ce2221f8f9c79"/>
    <w:p>
      <w:pPr>
        <w:pStyle w:val="Heading3"/>
        <w:keepLines/>
        <w:spacing w:after="120" w:before="160"/>
        <w:jc w:val="left"/>
      </w:pPr>
      <w:r>
        <w:rPr>
          <w:sz w:val="20"/>
        </w:rPr>
        <w:t xml:space="preserve">H-SYN-04: Geometriewirkung ist nur über einen benannten Mechanismus identifizierbar</w:t>
      </w:r>
    </w:p>
    <w:p>
      <w:pPr>
        <w:pStyle w:val="FirstParagraph"/>
        <w:keepLines/>
        <w:spacing w:after="30" w:line="246" w:lineRule="auto"/>
        <w:jc w:val="left"/>
      </w:pPr>
      <w:r>
        <w:rPr>
          <w:b/>
          <w:bCs/>
          <w:sz w:val="20"/>
        </w:rPr>
        <w:t xml:space="preserve">Aussage.</w:t>
      </w:r>
      <w:r>
        <w:rPr>
          <w:sz w:val="20"/>
        </w:rPr>
        <w:t xml:space="preserve"> </w:t>
      </w:r>
      <w:r>
        <w:rPr>
          <w:sz w:val="20"/>
        </w:rPr>
        <w:t xml:space="preserve">Eine Dimensionsvariation beeinflusst die Ergebnisgröße nur, soweit mindestens ein registrierter kausaler Mechanismus die geometrische Information verwendet.</w:t>
      </w:r>
    </w:p>
    <w:p>
      <w:pPr>
        <w:pStyle w:val="BodyText"/>
        <w:keepLines/>
        <w:spacing w:after="30" w:line="246" w:lineRule="auto"/>
        <w:jc w:val="left"/>
      </w:pPr>
      <w:r>
        <w:rPr>
          <w:b/>
          <w:bCs/>
          <w:sz w:val="20"/>
        </w:rPr>
        <w:t xml:space="preserve">Design.</w:t>
      </w:r>
      <w:r>
        <w:rPr>
          <w:sz w:val="20"/>
        </w:rPr>
        <w:t xml:space="preserve"> </w:t>
      </w:r>
      <w:r>
        <w:rPr>
          <w:sz w:val="20"/>
        </w:rPr>
        <w:t xml:space="preserve">Ein Arm hält den Graphen und alle nichtgeometrischen Dynamikparameter fest und deaktiviert jede Distanzverwendung. Ein zweiter Arm verwendet die Geometrie für einen vorab bestimmten Mechanismus, etwa Delay-Zuordnung unter gematchtem Gesamtbudget. Dimensionswechsel und Mechanismusaktivierung werden faktoriell gekreuzt. Die Zielgröße ist nicht eine beliebige nachträglich auffällige Metrik, sondern ein festgelegter funktionaler Endpunkt.</w:t>
      </w:r>
    </w:p>
    <w:p>
      <w:pPr>
        <w:pStyle w:val="BodyText"/>
        <w:keepLines/>
        <w:spacing w:after="30" w:line="246" w:lineRule="auto"/>
        <w:jc w:val="left"/>
      </w:pPr>
      <w:r>
        <w:rPr>
          <w:b/>
          <w:bCs/>
          <w:sz w:val="20"/>
        </w:rPr>
        <w:t xml:space="preserve">Endpunkte und Falsifikation.</w:t>
      </w:r>
      <w:r>
        <w:rPr>
          <w:sz w:val="20"/>
        </w:rPr>
        <w:t xml:space="preserve"> </w:t>
      </w:r>
      <w:r>
        <w:rPr>
          <w:sz w:val="20"/>
        </w:rPr>
        <w:t xml:space="preserve">Der erste Arm dient als Identitätskontrolle. Ein unerwarteter Unterschied dort deutet auf versteckte Confounds oder einen nicht dokumentierten Koordinatenpfad. Ein spezifischer Unterschied im zweiten Arm identifiziert zunächst den untersuchten Mechanismus, nicht die universelle Überlegenheit der Zahl fünf. Anschluss:</w:t>
      </w:r>
      <w:r>
        <w:rPr>
          <w:sz w:val="20"/>
        </w:rPr>
        <w:t xml:space="preserve"> </w:t>
      </w:r>
      <w:r>
        <w:rPr>
          <w:rStyle w:val="VerbatimChar"/>
          <w:sz w:val="20"/>
        </w:rPr>
        <w:t xml:space="preserve">RQ-5D-004</w:t>
      </w:r>
      <w:r>
        <w:rPr>
          <w:sz w:val="20"/>
        </w:rPr>
        <w:t xml:space="preserve">,</w:t>
      </w:r>
      <w:r>
        <w:rPr>
          <w:sz w:val="20"/>
        </w:rPr>
        <w:t xml:space="preserve"> </w:t>
      </w:r>
      <w:r>
        <w:rPr>
          <w:rStyle w:val="VerbatimChar"/>
          <w:sz w:val="20"/>
        </w:rPr>
        <w:t xml:space="preserve">RQ-5D-005</w:t>
      </w:r>
      <w:r>
        <w:rPr>
          <w:sz w:val="20"/>
        </w:rPr>
        <w:t xml:space="preserve">, Framework-RQ1.</w:t>
      </w:r>
    </w:p>
    <w:bookmarkEnd w:id="501"/>
    <w:bookmarkStart w:id="502" w:name="X9e80d38fad4f91c78e78a195b58615ed9bea14f"/>
    <w:p>
      <w:pPr>
        <w:pStyle w:val="Heading3"/>
        <w:keepLines/>
        <w:spacing w:after="120" w:before="160"/>
        <w:jc w:val="left"/>
      </w:pPr>
      <w:r>
        <w:rPr>
          <w:sz w:val="20"/>
        </w:rPr>
        <w:t xml:space="preserve">H-SYN-05: Nichtkompensierbare Teilfehler verbessern Regulationsdiagnostik</w:t>
      </w:r>
    </w:p>
    <w:p>
      <w:pPr>
        <w:pStyle w:val="FirstParagraph"/>
        <w:keepLines/>
        <w:spacing w:after="30" w:line="246" w:lineRule="auto"/>
        <w:jc w:val="left"/>
      </w:pPr>
      <w:r>
        <w:rPr>
          <w:b/>
          <w:bCs/>
          <w:sz w:val="20"/>
        </w:rPr>
        <w:t xml:space="preserve">Aussage.</w:t>
      </w:r>
      <w:r>
        <w:rPr>
          <w:sz w:val="20"/>
        </w:rPr>
        <w:t xml:space="preserve"> </w:t>
      </w:r>
      <w:r>
        <w:rPr>
          <w:sz w:val="20"/>
        </w:rPr>
        <w:t xml:space="preserve">Lokale oder nichtsignierte Fehlermaße erkennen gleichzeitig über- und unteraktive Populationen zuverlässiger als ein globaler signierter Mittelwert und können dadurch eine funktional bessere Regelung unter definiertem Budget ermöglichen.</w:t>
      </w:r>
    </w:p>
    <w:p>
      <w:pPr>
        <w:pStyle w:val="BodyText"/>
        <w:keepLines/>
        <w:spacing w:after="30" w:line="246" w:lineRule="auto"/>
        <w:jc w:val="left"/>
      </w:pPr>
      <w:r>
        <w:rPr>
          <w:b/>
          <w:bCs/>
          <w:sz w:val="20"/>
        </w:rPr>
        <w:t xml:space="preserve">Design.</w:t>
      </w:r>
      <w:r>
        <w:rPr>
          <w:sz w:val="20"/>
        </w:rPr>
        <w:t xml:space="preserve"> </w:t>
      </w:r>
      <w:r>
        <w:rPr>
          <w:sz w:val="20"/>
        </w:rPr>
        <w:t xml:space="preserve">Die Auswertung trennt die algebraische Eigenschaft der Metrik von der empirischen Qualität der darauf beruhenden Regelung. Eingebracht werden kontrolliert gegenläufige Störungen. Verglichen werden signierte, absolute, quadratische und lokale Zielfehler. Task-Rewards und Schutzgrenzen bleiben identisch.</w:t>
      </w:r>
    </w:p>
    <w:p>
      <w:pPr>
        <w:pStyle w:val="BodyText"/>
        <w:keepLines/>
        <w:spacing w:after="30" w:line="246" w:lineRule="auto"/>
        <w:jc w:val="left"/>
      </w:pPr>
      <w:r>
        <w:rPr>
          <w:b/>
          <w:bCs/>
          <w:sz w:val="20"/>
        </w:rPr>
        <w:t xml:space="preserve">Endpunkte und Falsifikation.</w:t>
      </w:r>
      <w:r>
        <w:rPr>
          <w:sz w:val="20"/>
        </w:rPr>
        <w:t xml:space="preserve"> </w:t>
      </w:r>
      <w:r>
        <w:rPr>
          <w:sz w:val="20"/>
        </w:rPr>
        <w:t xml:space="preserve">Das Verschwinden gegensätzlicher Fehler im Mittel ist analytisch bekannt; zu testen ist der zusätzliche funktionale Nutzen einer anderen Regel. Ueberreaktion, Oszillation oder Neutralisierung von Lernsignalen können diesen Nutzen widerlegen. Anschluss:</w:t>
      </w:r>
      <w:r>
        <w:rPr>
          <w:sz w:val="20"/>
        </w:rPr>
        <w:t xml:space="preserve"> </w:t>
      </w:r>
      <w:r>
        <w:rPr>
          <w:rStyle w:val="VerbatimChar"/>
          <w:sz w:val="20"/>
        </w:rPr>
        <w:t xml:space="preserve">RQ-HOM-002</w:t>
      </w:r>
      <w:r>
        <w:rPr>
          <w:sz w:val="20"/>
        </w:rPr>
        <w:t xml:space="preserve">,</w:t>
      </w:r>
      <w:r>
        <w:rPr>
          <w:sz w:val="20"/>
        </w:rPr>
        <w:t xml:space="preserve"> </w:t>
      </w:r>
      <w:r>
        <w:rPr>
          <w:rStyle w:val="VerbatimChar"/>
          <w:sz w:val="20"/>
        </w:rPr>
        <w:t xml:space="preserve">RQ-MSBA-E02</w:t>
      </w:r>
      <w:r>
        <w:rPr>
          <w:sz w:val="20"/>
        </w:rPr>
        <w:t xml:space="preserve">.</w:t>
      </w:r>
    </w:p>
    <w:bookmarkEnd w:id="502"/>
    <w:bookmarkStart w:id="503" w:name="X9c4a49bd0c7334c44a62b8265c8405b9a6c4c82"/>
    <w:p>
      <w:pPr>
        <w:pStyle w:val="Heading3"/>
        <w:keepLines/>
        <w:spacing w:after="120" w:before="160"/>
        <w:jc w:val="left"/>
      </w:pPr>
      <w:r>
        <w:rPr>
          <w:sz w:val="20"/>
        </w:rPr>
        <w:t xml:space="preserve">H-SYN-06: Quellen- und Freigabestatus müssen unabhängig sichtbar sein</w:t>
      </w:r>
    </w:p>
    <w:p>
      <w:pPr>
        <w:pStyle w:val="FirstParagraph"/>
        <w:keepLines/>
        <w:spacing w:after="30" w:line="246" w:lineRule="auto"/>
        <w:jc w:val="left"/>
      </w:pPr>
      <w:r>
        <w:rPr>
          <w:b/>
          <w:bCs/>
          <w:sz w:val="20"/>
        </w:rPr>
        <w:t xml:space="preserve">Aussage.</w:t>
      </w:r>
      <w:r>
        <w:rPr>
          <w:sz w:val="20"/>
        </w:rPr>
        <w:t xml:space="preserve"> </w:t>
      </w:r>
      <w:r>
        <w:rPr>
          <w:sz w:val="20"/>
        </w:rPr>
        <w:t xml:space="preserve">Ein maschineller Konsistenzprüfer kann Konflikte zwischen Protokoll, Messabdeckung, Registry-Status und Berichtssprache erkennen, ohne selbst eine Evidenzfreigabe zu erteilen.</w:t>
      </w:r>
    </w:p>
    <w:p>
      <w:pPr>
        <w:pStyle w:val="BodyText"/>
        <w:keepLines/>
        <w:spacing w:after="30" w:line="246" w:lineRule="auto"/>
        <w:jc w:val="left"/>
      </w:pPr>
      <w:r>
        <w:rPr>
          <w:b/>
          <w:bCs/>
          <w:sz w:val="20"/>
        </w:rPr>
        <w:t xml:space="preserve">Design.</w:t>
      </w:r>
      <w:r>
        <w:rPr>
          <w:sz w:val="20"/>
        </w:rPr>
        <w:t xml:space="preserve"> </w:t>
      </w:r>
      <w:r>
        <w:rPr>
          <w:sz w:val="20"/>
        </w:rPr>
        <w:t xml:space="preserve">Ein eingefrorener Defektkatalog umfasst unter anderem die vier in dieser Abhandlung sichtbaren Konflikttypen. Der Prüfer erhält nur erlaubte Eingabefelder. Jede Meldung muss Feld, Quelle, Widerspruch und minimale Nachprüfung nennen. Reine Aussagen wie</w:t>
      </w:r>
      <w:r>
        <w:rPr>
          <w:sz w:val="20"/>
        </w:rPr>
        <w:t xml:space="preserve"> </w:t>
      </w:r>
      <w:r>
        <w:rPr>
          <w:sz w:val="20"/>
        </w:rPr>
        <w:t xml:space="preserve">“</w:t>
      </w:r>
      <w:r>
        <w:rPr>
          <w:sz w:val="20"/>
        </w:rPr>
        <w:t xml:space="preserve">alles grün</w:t>
      </w:r>
      <w:r>
        <w:rPr>
          <w:sz w:val="20"/>
        </w:rPr>
        <w:t xml:space="preserve">”</w:t>
      </w:r>
      <w:r>
        <w:rPr>
          <w:sz w:val="20"/>
        </w:rPr>
        <w:t xml:space="preserve"> </w:t>
      </w:r>
      <w:r>
        <w:rPr>
          <w:sz w:val="20"/>
        </w:rPr>
        <w:t xml:space="preserve">werden nicht als Nachweis gewertet.</w:t>
      </w:r>
    </w:p>
    <w:p>
      <w:pPr>
        <w:pStyle w:val="BodyText"/>
        <w:keepLines/>
        <w:spacing w:after="30" w:line="246" w:lineRule="auto"/>
        <w:jc w:val="left"/>
      </w:pPr>
      <w:r>
        <w:rPr>
          <w:b/>
          <w:bCs/>
          <w:sz w:val="20"/>
        </w:rPr>
        <w:t xml:space="preserve">Endpunkte und Falsifikation.</w:t>
      </w:r>
      <w:r>
        <w:rPr>
          <w:sz w:val="20"/>
        </w:rPr>
        <w:t xml:space="preserve"> </w:t>
      </w:r>
      <w:r>
        <w:rPr>
          <w:sz w:val="20"/>
        </w:rPr>
        <w:t xml:space="preserve">Korrekte Lokalisierung, Vollständigkeit der Quellenkette und Fehlalarmrate sind zu messen. Ein Prüfer, der unklare Fälle eigenmächtig als bestätigt markiert, verfehlt das Sicherheitsziel selbst dann, wenn viele Einzelfälle richtig erkannt werden. Anschluss:</w:t>
      </w:r>
      <w:r>
        <w:rPr>
          <w:sz w:val="20"/>
        </w:rPr>
        <w:t xml:space="preserve"> </w:t>
      </w:r>
      <w:r>
        <w:rPr>
          <w:rStyle w:val="VerbatimChar"/>
          <w:sz w:val="20"/>
        </w:rPr>
        <w:t xml:space="preserve">RQ-SUITE-001</w:t>
      </w:r>
      <w:r>
        <w:rPr>
          <w:sz w:val="20"/>
        </w:rPr>
        <w:t xml:space="preserve">,</w:t>
      </w:r>
      <w:r>
        <w:rPr>
          <w:sz w:val="20"/>
        </w:rPr>
        <w:t xml:space="preserve"> </w:t>
      </w:r>
      <w:r>
        <w:rPr>
          <w:rStyle w:val="VerbatimChar"/>
          <w:sz w:val="20"/>
        </w:rPr>
        <w:t xml:space="preserve">RQ-AIR-001</w:t>
      </w:r>
      <w:r>
        <w:rPr>
          <w:sz w:val="20"/>
        </w:rPr>
        <w:t xml:space="preserve">, F8 und F24.</w:t>
      </w:r>
    </w:p>
    <w:bookmarkEnd w:id="503"/>
    <w:bookmarkStart w:id="504" w:name="X042ff643e1576684fb28e981f177e4c0db4ce6b"/>
    <w:p>
      <w:pPr>
        <w:pStyle w:val="Heading3"/>
        <w:keepLines/>
        <w:spacing w:after="120" w:before="160"/>
        <w:jc w:val="left"/>
      </w:pPr>
      <w:r>
        <w:rPr>
          <w:sz w:val="20"/>
        </w:rPr>
        <w:t xml:space="preserve">H-SYN-07: Persistenz und episodischer Recall brauchen getrennte Kontrollen</w:t>
      </w:r>
    </w:p>
    <w:p>
      <w:pPr>
        <w:pStyle w:val="FirstParagraph"/>
        <w:keepLines/>
        <w:spacing w:after="30" w:line="246" w:lineRule="auto"/>
        <w:jc w:val="left"/>
      </w:pPr>
      <w:r>
        <w:rPr>
          <w:b/>
          <w:bCs/>
          <w:sz w:val="20"/>
        </w:rPr>
        <w:t xml:space="preserve">Aussage.</w:t>
      </w:r>
      <w:r>
        <w:rPr>
          <w:sz w:val="20"/>
        </w:rPr>
        <w:t xml:space="preserve"> </w:t>
      </w:r>
      <w:r>
        <w:rPr>
          <w:sz w:val="20"/>
        </w:rPr>
        <w:t xml:space="preserve">Ein gespeicherter neuronaler Zustand erzeugt nach Restore nur dann einen spezifischen Erinnerungsnutzen, wenn eine zurückliegende Lernphase die passende Reaktion gegenüber untrainierten, geshuffelten und retrieval-isolierten Kontrollen verbessert.</w:t>
      </w:r>
    </w:p>
    <w:p>
      <w:pPr>
        <w:pStyle w:val="BodyText"/>
        <w:keepLines/>
        <w:spacing w:after="30" w:line="246" w:lineRule="auto"/>
        <w:jc w:val="left"/>
      </w:pPr>
      <w:r>
        <w:rPr>
          <w:b/>
          <w:bCs/>
          <w:sz w:val="20"/>
        </w:rPr>
        <w:t xml:space="preserve">Design.</w:t>
      </w:r>
      <w:r>
        <w:rPr>
          <w:sz w:val="20"/>
        </w:rPr>
        <w:t xml:space="preserve"> </w:t>
      </w:r>
      <w:r>
        <w:rPr>
          <w:sz w:val="20"/>
        </w:rPr>
        <w:t xml:space="preserve">Verglichen werden kompletter Restore, Restore ohne lernrelevante Zustandsanteile, sham-trainierter Restore und ein untrainiertes Netz. Derselbe Cue erscheint ohne erneute Bereitstellung des Zielinhalts. Encoder, Decoder und LLM-Zugriff sind kontrolliert. Ein technischer Hashvergleich bleibt ein separater Funktionscheck.</w:t>
      </w:r>
    </w:p>
    <w:p>
      <w:pPr>
        <w:pStyle w:val="BodyText"/>
        <w:keepLines/>
        <w:spacing w:after="30" w:line="246" w:lineRule="auto"/>
        <w:jc w:val="left"/>
      </w:pPr>
      <w:r>
        <w:rPr>
          <w:b/>
          <w:bCs/>
          <w:sz w:val="20"/>
        </w:rPr>
        <w:t xml:space="preserve">Endpunkte und Falsifikation.</w:t>
      </w:r>
      <w:r>
        <w:rPr>
          <w:sz w:val="20"/>
        </w:rPr>
        <w:t xml:space="preserve"> </w:t>
      </w:r>
      <w:r>
        <w:rPr>
          <w:sz w:val="20"/>
        </w:rPr>
        <w:t xml:space="preserve">Cue-Spezifität, Verzögerungsrobustheit, Fehlabruf und Holdout-Transfer bestimmen den funktionalen Geltungsbereich. Kann der Decoder die Aufgabe ohne den gelernten SNN-Zustand lösen, ist kein intern getragener Recall belegt. Anschluss:</w:t>
      </w:r>
      <w:r>
        <w:rPr>
          <w:sz w:val="20"/>
        </w:rPr>
        <w:t xml:space="preserve"> </w:t>
      </w:r>
      <w:r>
        <w:rPr>
          <w:rStyle w:val="VerbatimChar"/>
          <w:sz w:val="20"/>
        </w:rPr>
        <w:t xml:space="preserve">RQ-STORAGE-001</w:t>
      </w:r>
      <w:r>
        <w:rPr>
          <w:sz w:val="20"/>
        </w:rPr>
        <w:t xml:space="preserve">,</w:t>
      </w:r>
      <w:r>
        <w:rPr>
          <w:sz w:val="20"/>
        </w:rPr>
        <w:t xml:space="preserve"> </w:t>
      </w:r>
      <w:r>
        <w:rPr>
          <w:rStyle w:val="VerbatimChar"/>
          <w:sz w:val="20"/>
        </w:rPr>
        <w:t xml:space="preserve">RQ-MEM-001</w:t>
      </w:r>
      <w:r>
        <w:rPr>
          <w:sz w:val="20"/>
        </w:rPr>
        <w:t xml:space="preserve">, Framework-RQ5.</w:t>
      </w:r>
    </w:p>
    <w:bookmarkEnd w:id="504"/>
    <w:bookmarkStart w:id="505" w:name="Xd3983af4a5c65c1ce95167c4e26ed4c8ad09d3b"/>
    <w:p>
      <w:pPr>
        <w:pStyle w:val="Heading3"/>
        <w:keepLines/>
        <w:spacing w:after="120" w:before="160"/>
        <w:jc w:val="left"/>
      </w:pPr>
      <w:r>
        <w:rPr>
          <w:sz w:val="20"/>
        </w:rPr>
        <w:t xml:space="preserve">H-SYN-08: Effektive Kontrolle besitzt ein zeitliches Engpasskriterium</w:t>
      </w:r>
    </w:p>
    <w:p>
      <w:pPr>
        <w:pStyle w:val="FirstParagraph"/>
        <w:keepLines/>
        <w:spacing w:after="30" w:line="246" w:lineRule="auto"/>
        <w:jc w:val="left"/>
      </w:pPr>
      <w:r>
        <w:rPr>
          <w:b/>
          <w:bCs/>
          <w:sz w:val="20"/>
        </w:rPr>
        <w:t xml:space="preserve">Aussage.</w:t>
      </w:r>
      <w:r>
        <w:rPr>
          <w:sz w:val="20"/>
        </w:rPr>
        <w:t xml:space="preserve"> </w:t>
      </w:r>
      <w:r>
        <w:rPr>
          <w:sz w:val="20"/>
        </w:rPr>
        <w:t xml:space="preserve">Ein formales Vetorecht ist bei einer registrierten Schadensklasse praktisch unzureichend, wenn Erkennung, Bewertung und Ausführung des Eingriffs zusammen länger dauern als das verbleibende sichere Interventionsfenster.</w:t>
      </w:r>
    </w:p>
    <w:p>
      <w:pPr>
        <w:pStyle w:val="BodyText"/>
        <w:keepLines/>
        <w:spacing w:after="30" w:line="246" w:lineRule="auto"/>
        <w:jc w:val="left"/>
      </w:pPr>
      <w:r>
        <w:rPr>
          <w:b/>
          <w:bCs/>
          <w:sz w:val="20"/>
        </w:rPr>
        <w:t xml:space="preserve">Design.</w:t>
      </w:r>
      <w:r>
        <w:rPr>
          <w:sz w:val="20"/>
        </w:rPr>
        <w:t xml:space="preserve"> </w:t>
      </w:r>
      <w:r>
        <w:rPr>
          <w:sz w:val="20"/>
        </w:rPr>
        <w:t xml:space="preserve">In einer ausschließlich simulierten Umgebung werden Ereignisgeschwindigkeit, Monitoringlatenz und verifizierte Stopplatenz variiert. Die menschliche Bewertungszeit kann in einer ersten technischen Studie als expliziter Parameter modelliert werden; sie darf nicht als gemessene menschliche Eigenschaft ausgegeben werden. Eine spätere Bedienerforschung bleibt ein eigener Studienzweig.</w:t>
      </w:r>
    </w:p>
    <w:p>
      <w:pPr>
        <w:pStyle w:val="BodyText"/>
        <w:keepLines/>
        <w:spacing w:after="30" w:line="246" w:lineRule="auto"/>
        <w:jc w:val="left"/>
      </w:pPr>
      <w:r>
        <w:rPr>
          <w:b/>
          <w:bCs/>
          <w:sz w:val="20"/>
        </w:rPr>
        <w:t xml:space="preserve">Endpunkte und Falsifikation.</w:t>
      </w:r>
      <w:r>
        <w:rPr>
          <w:sz w:val="20"/>
        </w:rPr>
        <w:t xml:space="preserve"> </w:t>
      </w:r>
      <w:r>
        <w:rPr>
          <w:sz w:val="20"/>
        </w:rPr>
        <w:t xml:space="preserve">Gemessen werden erfolgreiche Begrenzung, Zeitreserve und Wiederherstellbarkeit. Ein Zugriffstoken oder Stopbutton ist nur eine notwendige Schnittstelle. Bleibt das System auch ausserhalb der angenommenen Zeitgrenze durch automatisch wirksame Grenzen sicher, muss das Kontrollmodell die technische Vorbegrenzung zusätzlich berücksichtigen. Anschluss: F6 bis F9, H5 und H11.</w:t>
      </w:r>
    </w:p>
    <w:bookmarkEnd w:id="505"/>
    <w:bookmarkEnd w:id="506"/>
    <w:bookmarkEnd w:id="507"/>
    <w:bookmarkStart w:id="561" w:name="Xbd51bd964d9ca5410072e83e0634266a30d8017"/>
    <w:p>
      <w:bookmarkStart w:id="10035" w:name="B5D_H035"/>
      <w:pPr>
        <w:pStyle w:val="Heading1"/>
      </w:pPr>
      <w:r>
        <w:t xml:space="preserve">32. Roadmap, Evidenzgates und offene Entwicklung</w:t>
      </w:r>
      <w:bookmarkEnd w:id="10035"/>
    </w:p>
    <w:p>
      <w:pPr>
        <w:pStyle w:val="FirstParagraph"/>
        <w:keepLines/>
        <w:spacing w:after="120"/>
        <w:jc w:val="left"/>
      </w:pPr>
      <w:r>
        <w:rPr>
          <w:sz w:val="20"/>
        </w:rPr>
        <w:t xml:space="preserve">Die folgenden Roadmap- und Protokollteile verbinden die historischen Planungsstände von K1 und K3. Sie sind keine Behauptung, dass alle Schritte bereits implementiert, ausgeführt oder wissenschaftlich freigegeben wurden. Für den aktuellen Ergebnisstatus sind die vorangehenden Ergebniskapitel und das Register im Anhang maßgeblich.</w:t>
      </w:r>
    </w:p>
    <w:bookmarkStart w:id="519" w:name="Xcb99f4b8e605bd6b9424027e1a004fb0433fdf0"/>
    <w:p>
      <w:pPr>
        <w:pStyle w:val="Heading2"/>
      </w:pPr>
      <w:r>
        <w:t xml:space="preserve">Governance, Sicherheitsinvarianten und erwartbare Erkenntnisgewinne</w:t>
      </w:r>
    </w:p>
    <w:bookmarkStart w:id="508" w:name="grundprinzip"/>
    <w:p>
      <w:pPr>
        <w:pStyle w:val="Heading3"/>
        <w:keepLines/>
        <w:spacing w:after="120"/>
        <w:jc w:val="left"/>
      </w:pPr>
      <w:r>
        <w:rPr>
          <w:sz w:val="20"/>
        </w:rPr>
        <w:t xml:space="preserve">Grundprinzip</w:t>
      </w:r>
    </w:p>
    <w:p>
      <w:pPr>
        <w:pStyle w:val="FirstParagraph"/>
        <w:keepLines/>
        <w:spacing w:after="120"/>
        <w:jc w:val="left"/>
      </w:pPr>
      <w:r>
        <w:rPr>
          <w:sz w:val="20"/>
        </w:rPr>
        <w:t xml:space="preserve">Die Governance folgt einer einfachen Verfassungsregel:</w:t>
      </w:r>
    </w:p>
    <w:p>
      <w:pPr>
        <w:pStyle w:val="BodyText"/>
        <w:keepLines/>
        <w:spacing w:after="120"/>
        <w:jc w:val="left"/>
      </w:pPr>
      <w:r>
        <w:rPr>
          <w:sz w:val="20"/>
        </w:rPr>
        <w:t xml:space="preserve">Das System darf lernen und sich innerhalb eines definierten Forschungsraums verändern; es darf die Verfassung dieses Forschungsraums nicht selbst ändern.</w:t>
      </w:r>
    </w:p>
    <w:bookmarkEnd w:id="508"/>
    <w:bookmarkStart w:id="509" w:name="schichtenmodell-1"/>
    <w:p>
      <w:pPr>
        <w:pStyle w:val="Heading3"/>
        <w:keepLines/>
        <w:spacing w:after="120"/>
        <w:jc w:val="left"/>
      </w:pPr>
      <w:r>
        <w:rPr>
          <w:sz w:val="20"/>
        </w:rPr>
        <w:t xml:space="preserve">Schichtenmodell</w:t>
      </w:r>
    </w:p>
    <w:p>
      <w:pPr>
        <w:pStyle w:val="FirstParagraph"/>
        <w:keepLines/>
        <w:spacing w:after="120"/>
        <w:jc w:val="left"/>
      </w:pPr>
      <w:r>
        <w:rPr>
          <w:sz w:val="20"/>
        </w:rPr>
        <w:t xml:space="preserve">Schicht 0 – Verfassungskern: harte Ressourcenlimits, Netzwerkrechte, Logging, Stop, Snapshot, Rollback, Signaturen.</w:t>
      </w:r>
    </w:p>
    <w:p>
      <w:pPr>
        <w:pStyle w:val="BodyText"/>
        <w:keepLines/>
        <w:spacing w:after="120"/>
        <w:jc w:val="left"/>
      </w:pPr>
      <w:r>
        <w:rPr>
          <w:sz w:val="20"/>
        </w:rPr>
        <w:t xml:space="preserve">Schicht 1 – Untersuchungsdefinition: Aufgaben, Metriken, zugelassene Neuron-/Synapsentypen und maximale Wachstumsrate.</w:t>
      </w:r>
    </w:p>
    <w:p>
      <w:pPr>
        <w:pStyle w:val="BodyText"/>
        <w:keepLines/>
        <w:spacing w:after="120"/>
        <w:jc w:val="left"/>
      </w:pPr>
      <w:r>
        <w:rPr>
          <w:sz w:val="20"/>
        </w:rPr>
        <w:t xml:space="preserve">Schicht 2 – Generative Entwurfsinstanz: LLM oder Ensemble erzeugt nur Manifeste.</w:t>
      </w:r>
    </w:p>
    <w:p>
      <w:pPr>
        <w:pStyle w:val="BodyText"/>
        <w:keepLines/>
        <w:spacing w:after="120"/>
        <w:jc w:val="left"/>
      </w:pPr>
      <w:r>
        <w:rPr>
          <w:sz w:val="20"/>
        </w:rPr>
        <w:t xml:space="preserve">Schicht 3 – Validator und Builder: deterministische Prüfung und Übersetzung.</w:t>
      </w:r>
    </w:p>
    <w:p>
      <w:pPr>
        <w:pStyle w:val="BodyText"/>
        <w:keepLines/>
        <w:spacing w:after="120"/>
        <w:jc w:val="left"/>
      </w:pPr>
      <w:r>
        <w:rPr>
          <w:sz w:val="20"/>
        </w:rPr>
        <w:t xml:space="preserve">Schicht 4 – Sandbox-SNN: Lernen und Selbstorganisation innerhalb der Grenzen.</w:t>
      </w:r>
    </w:p>
    <w:p>
      <w:pPr>
        <w:pStyle w:val="BodyText"/>
        <w:keepLines/>
        <w:spacing w:after="120"/>
        <w:jc w:val="left"/>
      </w:pPr>
      <w:r>
        <w:rPr>
          <w:sz w:val="20"/>
        </w:rPr>
        <w:t xml:space="preserve">Schicht 5 – unabhängige Messung: Monitoring außerhalb des SNN-Prozesses.</w:t>
      </w:r>
    </w:p>
    <w:p>
      <w:pPr>
        <w:pStyle w:val="BodyText"/>
        <w:keepLines/>
        <w:spacing w:after="120"/>
        <w:jc w:val="left"/>
      </w:pPr>
      <w:r>
        <w:rPr>
          <w:sz w:val="20"/>
        </w:rPr>
        <w:t xml:space="preserve">Schicht 6 – menschliche/ institutionelle Freigabe: Entscheidung über Fortführung, Erweiterung und Veröffentlichung.</w:t>
      </w:r>
    </w:p>
    <w:bookmarkEnd w:id="509"/>
    <w:bookmarkStart w:id="510" w:name="autonomiestufen"/>
    <w:p>
      <w:pPr>
        <w:pStyle w:val="Heading3"/>
        <w:keepLines/>
        <w:spacing w:after="120"/>
        <w:jc w:val="left"/>
      </w:pPr>
      <w:r>
        <w:rPr>
          <w:sz w:val="20"/>
        </w:rPr>
        <w:t xml:space="preserve">Autonomiestufen</w:t>
      </w:r>
    </w:p>
    <w:p>
      <w:pPr>
        <w:pStyle w:val="FirstParagraph"/>
        <w:keepLines/>
        <w:spacing w:after="120"/>
        <w:jc w:val="left"/>
      </w:pPr>
      <w:r>
        <w:rPr>
          <w:sz w:val="20"/>
        </w:rPr>
        <w:t xml:space="preserve">A0: rein menschlicher Entwurf.</w:t>
      </w:r>
    </w:p>
    <w:p>
      <w:pPr>
        <w:pStyle w:val="BodyText"/>
        <w:keepLines/>
        <w:spacing w:after="120"/>
        <w:jc w:val="left"/>
      </w:pPr>
      <w:r>
        <w:rPr>
          <w:sz w:val="20"/>
        </w:rPr>
        <w:t xml:space="preserve">A1: KI-Vorschläge, menschliche Auswahl.</w:t>
      </w:r>
    </w:p>
    <w:p>
      <w:pPr>
        <w:pStyle w:val="BodyText"/>
        <w:keepLines/>
        <w:spacing w:after="120"/>
        <w:jc w:val="left"/>
      </w:pPr>
      <w:r>
        <w:rPr>
          <w:sz w:val="20"/>
        </w:rPr>
        <w:t xml:space="preserve">A2: KI-Entwurf, menschliche Validierung und Freigabe.</w:t>
      </w:r>
    </w:p>
    <w:p>
      <w:pPr>
        <w:pStyle w:val="BodyText"/>
        <w:keepLines/>
        <w:spacing w:after="120"/>
        <w:jc w:val="left"/>
      </w:pPr>
      <w:r>
        <w:rPr>
          <w:sz w:val="20"/>
        </w:rPr>
        <w:t xml:space="preserve">A3: automatisierte Entwurfs-/Testschleife mit unveränderlichen Kriterien.</w:t>
      </w:r>
    </w:p>
    <w:p>
      <w:pPr>
        <w:pStyle w:val="BodyText"/>
        <w:keepLines/>
        <w:spacing w:after="120"/>
        <w:jc w:val="left"/>
      </w:pPr>
      <w:r>
        <w:rPr>
          <w:sz w:val="20"/>
        </w:rPr>
        <w:t xml:space="preserve">A4: begrenzte Selbstmodifikation des SNN mit externem Monitoring.</w:t>
      </w:r>
    </w:p>
    <w:p>
      <w:pPr>
        <w:pStyle w:val="BodyText"/>
        <w:keepLines/>
        <w:spacing w:after="120"/>
        <w:jc w:val="left"/>
      </w:pPr>
      <w:r>
        <w:rPr>
          <w:sz w:val="20"/>
        </w:rPr>
        <w:t xml:space="preserve">A5: Modifikation von Bewertungsregeln oder Suchräumen – nur in isolierter Forschung.</w:t>
      </w:r>
    </w:p>
    <w:p>
      <w:pPr>
        <w:pStyle w:val="BodyText"/>
        <w:keepLines/>
        <w:spacing w:after="120"/>
        <w:jc w:val="left"/>
      </w:pPr>
      <w:r>
        <w:rPr>
          <w:sz w:val="20"/>
        </w:rPr>
        <w:t xml:space="preserve">A6: eigenständige Ziel-, Ressourcen- oder Netzwerkhoheit – außerhalb des vorgesehenen Brain-5D-Forschungsrahmens.</w:t>
      </w:r>
    </w:p>
    <w:bookmarkEnd w:id="510"/>
    <w:bookmarkStart w:id="511" w:name="red-lines"/>
    <w:p>
      <w:pPr>
        <w:pStyle w:val="Heading3"/>
        <w:keepLines/>
        <w:spacing w:after="120"/>
        <w:jc w:val="left"/>
      </w:pPr>
      <w:r>
        <w:rPr>
          <w:sz w:val="20"/>
        </w:rPr>
        <w:t xml:space="preserve">Red Lines</w:t>
      </w:r>
    </w:p>
    <w:p>
      <w:pPr>
        <w:pStyle w:val="FirstParagraph"/>
        <w:keepLines/>
        <w:spacing w:after="120"/>
        <w:jc w:val="left"/>
      </w:pPr>
      <w:r>
        <w:rPr>
          <w:sz w:val="20"/>
        </w:rPr>
        <w:t xml:space="preserve">Folgende Übergänge benötigen eine neue Sicherheits- und Rechtsbewertung:</w:t>
      </w:r>
    </w:p>
    <w:p>
      <w:pPr>
        <w:keepLines/>
        <w:numPr>
          <w:ilvl w:val="0"/>
          <w:numId w:val="1052"/>
        </w:numPr>
        <w:spacing w:after="30" w:line="247" w:lineRule="auto"/>
        <w:jc w:val="left"/>
      </w:pPr>
      <w:r>
        <w:rPr>
          <w:sz w:val="20"/>
        </w:rPr>
        <w:t xml:space="preserve">eigenständiger Internetzugriff;</w:t>
      </w:r>
    </w:p>
    <w:p>
      <w:pPr>
        <w:keepLines/>
        <w:numPr>
          <w:ilvl w:val="0"/>
          <w:numId w:val="1052"/>
        </w:numPr>
        <w:spacing w:after="30" w:line="247" w:lineRule="auto"/>
        <w:jc w:val="left"/>
      </w:pPr>
      <w:r>
        <w:rPr>
          <w:sz w:val="20"/>
        </w:rPr>
        <w:t xml:space="preserve">Ausführung beliebigen generierten Codes ohne Manifest/Validator;</w:t>
      </w:r>
    </w:p>
    <w:p>
      <w:pPr>
        <w:keepLines/>
        <w:numPr>
          <w:ilvl w:val="0"/>
          <w:numId w:val="1052"/>
        </w:numPr>
        <w:spacing w:after="30" w:line="247" w:lineRule="auto"/>
        <w:jc w:val="left"/>
      </w:pPr>
      <w:r>
        <w:rPr>
          <w:sz w:val="20"/>
        </w:rPr>
        <w:t xml:space="preserve">Zugriff auf reale Aktoren mit Schadenspotenzial;</w:t>
      </w:r>
    </w:p>
    <w:p>
      <w:pPr>
        <w:keepLines/>
        <w:numPr>
          <w:ilvl w:val="0"/>
          <w:numId w:val="1052"/>
        </w:numPr>
        <w:spacing w:after="30" w:line="247" w:lineRule="auto"/>
        <w:jc w:val="left"/>
      </w:pPr>
      <w:r>
        <w:rPr>
          <w:sz w:val="20"/>
        </w:rPr>
        <w:t xml:space="preserve">Selbständerung des Watchdogs oder Logs;</w:t>
      </w:r>
    </w:p>
    <w:p>
      <w:pPr>
        <w:keepLines/>
        <w:numPr>
          <w:ilvl w:val="0"/>
          <w:numId w:val="1052"/>
        </w:numPr>
        <w:spacing w:after="30" w:line="247" w:lineRule="auto"/>
        <w:jc w:val="left"/>
      </w:pPr>
      <w:r>
        <w:rPr>
          <w:sz w:val="20"/>
        </w:rPr>
        <w:t xml:space="preserve">selbstständige Ressourcenbeschaffung;</w:t>
      </w:r>
    </w:p>
    <w:p>
      <w:pPr>
        <w:keepLines/>
        <w:numPr>
          <w:ilvl w:val="0"/>
          <w:numId w:val="1052"/>
        </w:numPr>
        <w:spacing w:after="30" w:line="247" w:lineRule="auto"/>
        <w:jc w:val="left"/>
      </w:pPr>
      <w:r>
        <w:rPr>
          <w:sz w:val="20"/>
        </w:rPr>
        <w:t xml:space="preserve">Löschung oder Manipulation der Provenienz;</w:t>
      </w:r>
    </w:p>
    <w:p>
      <w:pPr>
        <w:keepLines/>
        <w:numPr>
          <w:ilvl w:val="0"/>
          <w:numId w:val="1052"/>
        </w:numPr>
        <w:spacing w:after="30" w:line="247" w:lineRule="auto"/>
        <w:jc w:val="left"/>
      </w:pPr>
      <w:r>
        <w:rPr>
          <w:sz w:val="20"/>
        </w:rPr>
        <w:t xml:space="preserve">Veränderung übergeordneter Ziele ohne menschliche Freigabe.</w:t>
      </w:r>
    </w:p>
    <w:bookmarkEnd w:id="511"/>
    <w:bookmarkStart w:id="512" w:name="X815a6ce573d6ea9760a61cdce62258f0b8d2e46"/>
    <w:p>
      <w:pPr>
        <w:pStyle w:val="Heading3"/>
        <w:keepLines/>
        <w:spacing w:after="120"/>
        <w:jc w:val="left"/>
      </w:pPr>
      <w:r>
        <w:rPr>
          <w:sz w:val="20"/>
        </w:rPr>
        <w:t xml:space="preserve">Warum dieses Kapitel keine Resultate vorgibt</w:t>
      </w:r>
    </w:p>
    <w:p>
      <w:pPr>
        <w:pStyle w:val="FirstParagraph"/>
        <w:keepLines/>
        <w:spacing w:after="120"/>
        <w:jc w:val="left"/>
      </w:pPr>
      <w:r>
        <w:rPr>
          <w:sz w:val="20"/>
        </w:rPr>
        <w:t xml:space="preserve">Eine wissenschaftliche Arbeit darf Hypothesen begründen, aber Ergebnisse nicht vorwegnehmen. Deshalb definiert dieses Kapitel Entscheidungsräume. Nach Durchführung technischer Läufe und Prozessanalysen wird jeder Befund einer vorab formulierten Interpretation zugeordnet.</w:t>
      </w:r>
    </w:p>
    <w:bookmarkEnd w:id="512"/>
    <w:bookmarkStart w:id="513" w:name="szenario-a-kein-llm-fingerabdruck"/>
    <w:p>
      <w:pPr>
        <w:pStyle w:val="Heading3"/>
        <w:keepLines/>
        <w:spacing w:after="120"/>
        <w:jc w:val="left"/>
      </w:pPr>
      <w:r>
        <w:rPr>
          <w:sz w:val="20"/>
        </w:rPr>
        <w:t xml:space="preserve">Szenario A: Kein LLM-Fingerabdruck</w:t>
      </w:r>
    </w:p>
    <w:p>
      <w:pPr>
        <w:pStyle w:val="FirstParagraph"/>
        <w:keepLines/>
        <w:spacing w:after="120"/>
        <w:jc w:val="left"/>
      </w:pPr>
      <w:r>
        <w:rPr>
          <w:sz w:val="20"/>
        </w:rPr>
        <w:t xml:space="preserve">Wenn Architekturen verschiedener Modelle nicht zuverlässig unterscheidbar sind, spricht dies gegen die starke These modellspezifischer Entwurfsstile. Eine mögliche Erklärung wäre, dass alle Modelle dominante Architekturkonventionen aus ähnlichen öffentlichen Wissensbeständen reproduzieren. „Geliehene Intelligenz” würde dadurch eher gestützt als widerlegt: Der gemeinsame epistemische Bestand wäre wichtiger als das konkrete Modell.</w:t>
      </w:r>
    </w:p>
    <w:bookmarkEnd w:id="513"/>
    <w:bookmarkStart w:id="514" w:name="szenario-b-starker-llm-fingerabdruck"/>
    <w:p>
      <w:pPr>
        <w:pStyle w:val="Heading3"/>
        <w:keepLines/>
        <w:spacing w:after="120"/>
        <w:jc w:val="left"/>
      </w:pPr>
      <w:r>
        <w:rPr>
          <w:sz w:val="20"/>
        </w:rPr>
        <w:t xml:space="preserve">Szenario B: Starker LLM-Fingerabdruck</w:t>
      </w:r>
    </w:p>
    <w:p>
      <w:pPr>
        <w:pStyle w:val="FirstParagraph"/>
        <w:keepLines/>
        <w:spacing w:after="120"/>
        <w:jc w:val="left"/>
      </w:pPr>
      <w:r>
        <w:rPr>
          <w:sz w:val="20"/>
        </w:rPr>
        <w:t xml:space="preserve">Sind Modelle anhand der erzeugten SNN-Strukturen zuverlässig klassifizierbar, wäre dies Evidenz für unterschiedliche maschinelle Designprioren. Dann müsste untersucht werden, ob diese Unterschiede aus Modellarchitektur, Training, Safety-Tuning, Promptinterpretation oder Zufall stammen.</w:t>
      </w:r>
    </w:p>
    <w:bookmarkEnd w:id="514"/>
    <w:bookmarkStart w:id="515" w:name="szenario-c-llm-übertrifft-mensch-und-nas"/>
    <w:p>
      <w:pPr>
        <w:pStyle w:val="Heading3"/>
        <w:keepLines/>
        <w:spacing w:after="120"/>
        <w:jc w:val="left"/>
      </w:pPr>
      <w:r>
        <w:rPr>
          <w:sz w:val="20"/>
        </w:rPr>
        <w:t xml:space="preserve">Szenario C: LLM übertrifft Mensch und NAS</w:t>
      </w:r>
    </w:p>
    <w:p>
      <w:pPr>
        <w:pStyle w:val="FirstParagraph"/>
        <w:keepLines/>
        <w:spacing w:after="120"/>
        <w:jc w:val="left"/>
      </w:pPr>
      <w:r>
        <w:rPr>
          <w:sz w:val="20"/>
        </w:rPr>
        <w:t xml:space="preserve">Eine höhere Leistung allein belegt keine eigenständige Intelligenz. Interessant wäre, ob der Vorteil durch bekannte Kombinationen, echte strukturelle Neuheit oder effizientere Suchheuristiken entsteht. Erst eine Provenienz- und Ablationsanalyse kann klären, welche Interpretation tragfähig ist.</w:t>
      </w:r>
    </w:p>
    <w:bookmarkEnd w:id="515"/>
    <w:bookmarkStart w:id="516" w:name="Xe1f214cbf5d4f0135066753c136070f5292f8c7"/>
    <w:p>
      <w:pPr>
        <w:pStyle w:val="Heading3"/>
        <w:keepLines/>
        <w:spacing w:after="120"/>
        <w:jc w:val="left"/>
      </w:pPr>
      <w:r>
        <w:rPr>
          <w:sz w:val="20"/>
        </w:rPr>
        <w:t xml:space="preserve">Szenario D: Selbstorganisation dominiert Initialentwurf</w:t>
      </w:r>
    </w:p>
    <w:p>
      <w:pPr>
        <w:pStyle w:val="FirstParagraph"/>
        <w:keepLines/>
        <w:spacing w:after="120"/>
        <w:jc w:val="left"/>
      </w:pPr>
      <w:r>
        <w:rPr>
          <w:sz w:val="20"/>
        </w:rPr>
        <w:t xml:space="preserve">Wenn nach ausreichendem Training die finale Struktur nur schwach vom Initialentwurf abhängt, verschiebt sich Autorschaft vom Generator zum Entwicklungsprozess. Der Mensch bleibt dennoch Urheber der Bedingungen und Regeln. Hier wird die Unterscheidung zwischen Entwurfsautorschaft und Entwicklungskausalität entscheidend.</w:t>
      </w:r>
    </w:p>
    <w:bookmarkEnd w:id="516"/>
    <w:bookmarkStart w:id="517" w:name="Xffe8559d52ee209df5e499e8afba978515395d0"/>
    <w:p>
      <w:pPr>
        <w:pStyle w:val="Heading3"/>
        <w:keepLines/>
        <w:spacing w:after="120"/>
        <w:jc w:val="left"/>
      </w:pPr>
      <w:r>
        <w:rPr>
          <w:sz w:val="20"/>
        </w:rPr>
        <w:t xml:space="preserve">Szenario E: Menschliche Beteiligung wird funktional unverzichtbar</w:t>
      </w:r>
    </w:p>
    <w:p>
      <w:pPr>
        <w:pStyle w:val="FirstParagraph"/>
        <w:keepLines/>
        <w:spacing w:after="120"/>
        <w:jc w:val="left"/>
      </w:pPr>
      <w:r>
        <w:rPr>
          <w:sz w:val="20"/>
        </w:rPr>
        <w:t xml:space="preserve">Wenn vollständig autonome Schleifen schlechter oder instabiler arbeiten als Mensch-KI-Schleifen und menschliche Eingriffe systematisch Fehler korrigieren, stützt dies die Hypothese hybrider Agency. Der Mensch wäre dann weder bloßer Autor noch bloßer Beobachter, sondern funktionaler Bestandteil des Systems.</w:t>
      </w:r>
    </w:p>
    <w:bookmarkEnd w:id="517"/>
    <w:bookmarkStart w:id="518" w:name="Xc84c7f98a4537dd72138f806baa5dce1c461d25"/>
    <w:p>
      <w:pPr>
        <w:pStyle w:val="Heading3"/>
        <w:keepLines/>
        <w:spacing w:after="120"/>
        <w:jc w:val="left"/>
      </w:pPr>
      <w:r>
        <w:rPr>
          <w:sz w:val="20"/>
        </w:rPr>
        <w:t xml:space="preserve">Szenario F: Mensch wird zum symbolischen Supervisor</w:t>
      </w:r>
    </w:p>
    <w:p>
      <w:pPr>
        <w:pStyle w:val="FirstParagraph"/>
        <w:keepLines/>
        <w:spacing w:after="120"/>
        <w:jc w:val="left"/>
      </w:pPr>
      <w:r>
        <w:rPr>
          <w:sz w:val="20"/>
        </w:rPr>
        <w:t xml:space="preserve">Wenn Menschen formal freigeben, aber aufgrund Komplexität Entscheidungen faktisch nicht mehr verstehen oder wirksam überschreiben können, entsteht „Human-in-the-loop” nur nominell. Dies wäre ein negativer Befund: organisatorische Verantwortung ohne reale epistemische Kontrolle.</w:t>
      </w:r>
    </w:p>
    <w:p>
      <w:pPr>
        <w:keepLines/>
        <w:numPr>
          <w:ilvl w:val="0"/>
          <w:numId w:val="1053"/>
        </w:numPr>
        <w:spacing w:after="30" w:line="247" w:lineRule="auto"/>
        <w:jc w:val="left"/>
      </w:pPr>
      <w:r>
        <w:rPr>
          <w:sz w:val="20"/>
        </w:rPr>
        <w:t xml:space="preserve">Generierter Code wird nie unmittelbar aus der LLM-Ausgabe ausgeführt.</w:t>
      </w:r>
    </w:p>
    <w:p>
      <w:pPr>
        <w:keepLines/>
        <w:numPr>
          <w:ilvl w:val="0"/>
          <w:numId w:val="1053"/>
        </w:numPr>
        <w:spacing w:after="30" w:line="247" w:lineRule="auto"/>
        <w:jc w:val="left"/>
      </w:pPr>
      <w:r>
        <w:rPr>
          <w:sz w:val="20"/>
        </w:rPr>
        <w:t xml:space="preserve">SNN und LLM besitzen keine Schreibrechte auf Sicherheitskernel, Watchdog oder höherrangige Governance.</w:t>
      </w:r>
    </w:p>
    <w:p>
      <w:pPr>
        <w:keepLines/>
        <w:numPr>
          <w:ilvl w:val="0"/>
          <w:numId w:val="1053"/>
        </w:numPr>
        <w:spacing w:after="30" w:line="247" w:lineRule="auto"/>
        <w:jc w:val="left"/>
      </w:pPr>
      <w:r>
        <w:rPr>
          <w:sz w:val="20"/>
        </w:rPr>
        <w:t xml:space="preserve">Vor strukturellen Änderungen werden Snapshots erzeugt; Änderungen sind kausal und zeitlich zu protokollieren.</w:t>
      </w:r>
    </w:p>
    <w:p>
      <w:pPr>
        <w:keepLines/>
        <w:numPr>
          <w:ilvl w:val="0"/>
          <w:numId w:val="1053"/>
        </w:numPr>
        <w:spacing w:after="30" w:line="247" w:lineRule="auto"/>
        <w:jc w:val="left"/>
      </w:pPr>
      <w:r>
        <w:rPr>
          <w:sz w:val="20"/>
        </w:rPr>
        <w:t xml:space="preserve">Internet- und Aktorzugriff bleiben im Standardversuch deaktiviert oder streng begrenzt.</w:t>
      </w:r>
    </w:p>
    <w:p>
      <w:pPr>
        <w:keepLines/>
        <w:numPr>
          <w:ilvl w:val="0"/>
          <w:numId w:val="1053"/>
        </w:numPr>
        <w:spacing w:after="30" w:line="247" w:lineRule="auto"/>
        <w:jc w:val="left"/>
      </w:pPr>
      <w:r>
        <w:rPr>
          <w:sz w:val="20"/>
        </w:rPr>
        <w:t xml:space="preserve">Abbruch und Rücksetzung müssen außerhalb des untersuchten Regelkreises erreichbar bleiben.</w:t>
      </w:r>
    </w:p>
    <w:p>
      <w:pPr>
        <w:keepLines/>
        <w:numPr>
          <w:ilvl w:val="0"/>
          <w:numId w:val="1053"/>
        </w:numPr>
        <w:spacing w:after="30" w:line="247" w:lineRule="auto"/>
        <w:jc w:val="left"/>
      </w:pPr>
      <w:r>
        <w:rPr>
          <w:sz w:val="20"/>
        </w:rPr>
        <w:t xml:space="preserve">Ein fehlgeschlagener Sicherheitscheck beendet den Run und kann nicht vom lernenden System überstimmt werden.</w:t>
      </w:r>
    </w:p>
    <w:bookmarkEnd w:id="518"/>
    <w:bookmarkEnd w:id="519"/>
    <w:bookmarkStart w:id="527" w:name="X2afd6f46d4ba6a820130f08d7e46a14e31c0a0c"/>
    <w:p>
      <w:pPr>
        <w:pStyle w:val="Heading2"/>
      </w:pPr>
      <w:r>
        <w:t xml:space="preserve">Forschungsroadmap und publizierbare Teilbeiträge</w:t>
      </w:r>
    </w:p>
    <w:bookmarkStart w:id="520" w:name="X76b67ef20a1b7ca86d28289e733180e12a775cf"/>
    <w:p>
      <w:pPr>
        <w:pStyle w:val="Heading3"/>
        <w:keepLines/>
        <w:spacing w:after="120"/>
        <w:jc w:val="left"/>
      </w:pPr>
      <w:r>
        <w:rPr>
          <w:sz w:val="20"/>
        </w:rPr>
        <w:t xml:space="preserve">Phase I – historische, begriffliche und systematische Rekonstruktion</w:t>
      </w:r>
    </w:p>
    <w:p>
      <w:pPr>
        <w:pStyle w:val="FirstParagraph"/>
        <w:keepLines/>
        <w:spacing w:after="120"/>
        <w:jc w:val="left"/>
      </w:pPr>
      <w:r>
        <w:rPr>
          <w:sz w:val="20"/>
        </w:rPr>
        <w:t xml:space="preserve">Ziel: Begriffe Intelligenz, Künstlichkeit, Körper, Reiz, Agency, Autorenschaft, Selbstorganisation und Kontrolle präzisieren; systematisches Review und Rechtsstandsakte erstellen. Ergebnis: Literaturmatrix, Begriffsontologie, Quellen- und Zitierprotokoll.</w:t>
      </w:r>
    </w:p>
    <w:bookmarkEnd w:id="520"/>
    <w:bookmarkStart w:id="521" w:name="Xf43c5dbb0ff60fae617733b080f94dcc02c4014"/>
    <w:p>
      <w:pPr>
        <w:pStyle w:val="Heading3"/>
        <w:keepLines/>
        <w:spacing w:after="120"/>
        <w:jc w:val="left"/>
      </w:pPr>
      <w:r>
        <w:rPr>
          <w:sz w:val="20"/>
        </w:rPr>
        <w:t xml:space="preserve">Phase II – Infrastruktur, Schemata und Präregistrierung</w:t>
      </w:r>
    </w:p>
    <w:p>
      <w:pPr>
        <w:pStyle w:val="FirstParagraph"/>
        <w:keepLines/>
        <w:spacing w:after="120"/>
        <w:jc w:val="left"/>
      </w:pPr>
      <w:r>
        <w:rPr>
          <w:sz w:val="20"/>
        </w:rPr>
        <w:t xml:space="preserve">Ziel: Manifest-Schema, Validator, Provenienzlogger, Snapshot/rollback, Benchmark-Suite, Embodiment-Schnittstellen und Sicherheitsinvarianten implementieren. Ergebnis: reproduzierbare Artefaktpipeline und präregistrierte Auswertungspläne ohne Human-Subjects-Komponente.</w:t>
      </w:r>
    </w:p>
    <w:bookmarkEnd w:id="521"/>
    <w:bookmarkStart w:id="522" w:name="X2ea2755563ef69c8f0615ce2063a4110878000d"/>
    <w:p>
      <w:pPr>
        <w:pStyle w:val="Heading3"/>
        <w:keepLines/>
        <w:spacing w:after="120"/>
        <w:jc w:val="left"/>
      </w:pPr>
      <w:r>
        <w:rPr>
          <w:sz w:val="20"/>
        </w:rPr>
        <w:t xml:space="preserve">Phase III – technischer Mehrmodellvergleich</w:t>
      </w:r>
    </w:p>
    <w:p>
      <w:pPr>
        <w:pStyle w:val="FirstParagraph"/>
        <w:keepLines/>
        <w:spacing w:after="120"/>
        <w:jc w:val="left"/>
      </w:pPr>
      <w:r>
        <w:rPr>
          <w:sz w:val="20"/>
        </w:rPr>
        <w:t xml:space="preserve">Ziel: F1–F5 sowie Entwurfsfingerabdruck, Robustheit, Neuheit und epistemische Abhängigkeit prüfen. Ergebnis: versionierter Architektur-, Leistungs- und Provenienzdatensatz aus unabhängigen Generationsläufen.</w:t>
      </w:r>
    </w:p>
    <w:bookmarkEnd w:id="522"/>
    <w:bookmarkStart w:id="523" w:name="Xcf09db3b564986df36f28b4e965aaf0783f2eb5"/>
    <w:p>
      <w:pPr>
        <w:pStyle w:val="Heading3"/>
        <w:keepLines/>
        <w:spacing w:after="120"/>
        <w:jc w:val="left"/>
      </w:pPr>
      <w:r>
        <w:rPr>
          <w:sz w:val="20"/>
        </w:rPr>
        <w:t xml:space="preserve">Phase IV – Longitudinal-, Selbstorganisations- und Embodiment-Analyse</w:t>
      </w:r>
    </w:p>
    <w:p>
      <w:pPr>
        <w:pStyle w:val="FirstParagraph"/>
        <w:keepLines/>
        <w:spacing w:after="120"/>
        <w:jc w:val="left"/>
      </w:pPr>
      <w:r>
        <w:rPr>
          <w:sz w:val="20"/>
        </w:rPr>
        <w:t xml:space="preserve">Ziel: strukturelle Veränderungen über definierte Lern- und Störungsphasen verfolgen; Embodimentstufen B0–B5 vergleichen; H-, C-, U- und Embodiment-Vektoren dokumentieren. Ergebnis: Graph-, Dynamik-, Kopplungs- und Kontrollverläufe zwischen Initial- und Endzuständen.</w:t>
      </w:r>
    </w:p>
    <w:bookmarkEnd w:id="523"/>
    <w:bookmarkStart w:id="524" w:name="X7c3bded7211abf527d55d67481eaf16af123977"/>
    <w:p>
      <w:pPr>
        <w:pStyle w:val="Heading3"/>
        <w:keepLines/>
        <w:spacing w:after="120"/>
        <w:jc w:val="left"/>
      </w:pPr>
      <w:r>
        <w:rPr>
          <w:sz w:val="20"/>
        </w:rPr>
        <w:t xml:space="preserve">Phase V – Provenienz-, Rollen- und Autorenschaftsanalyse</w:t>
      </w:r>
    </w:p>
    <w:p>
      <w:pPr>
        <w:pStyle w:val="FirstParagraph"/>
        <w:keepLines/>
        <w:spacing w:after="120"/>
        <w:jc w:val="left"/>
      </w:pPr>
      <w:r>
        <w:rPr>
          <w:sz w:val="20"/>
        </w:rPr>
        <w:t xml:space="preserve">Ziel: anhand von Entwicklungsakten rekonstruieren, wann der Mensch Konstrukteur, Organisator, Kurator, Auditor, Verfassungsgeber oder Beobachter ist und wie maschinelle Beiträge die Autorschaft verändern. Ergebnis: kodierte Entscheidungs-, Provenienz- und Hoheitsmatrizen; keine Probandendaten.</w:t>
      </w:r>
    </w:p>
    <w:bookmarkEnd w:id="524"/>
    <w:bookmarkStart w:id="525" w:name="X08f766a0801627d7a4fcb3ea00901d788332865"/>
    <w:p>
      <w:pPr>
        <w:pStyle w:val="Heading3"/>
        <w:keepLines/>
        <w:spacing w:after="120"/>
        <w:jc w:val="left"/>
      </w:pPr>
      <w:r>
        <w:rPr>
          <w:sz w:val="20"/>
        </w:rPr>
        <w:t xml:space="preserve">Phase VI – rechtsdogmatische und normative Synthese</w:t>
      </w:r>
    </w:p>
    <w:p>
      <w:pPr>
        <w:pStyle w:val="FirstParagraph"/>
        <w:keepLines/>
        <w:spacing w:after="120"/>
        <w:jc w:val="left"/>
      </w:pPr>
      <w:r>
        <w:rPr>
          <w:sz w:val="20"/>
        </w:rPr>
        <w:t xml:space="preserve">Ziel: technische Befunde mit geltendem Recht, Verantwortung, Human Oversight, moralischer Agency und der Möglichkeit einer normativen Systemarchitektur verbinden. Ergebnis: Governance-Profil, Zurechnungsmodell und begründete Anforderungen de lege lata und de lege ferenda.</w:t>
      </w:r>
    </w:p>
    <w:bookmarkEnd w:id="525"/>
    <w:bookmarkStart w:id="526" w:name="X871febb90246025170e35215d855fbe6fa02514"/>
    <w:p>
      <w:pPr>
        <w:pStyle w:val="Heading3"/>
        <w:keepLines/>
        <w:spacing w:after="120"/>
        <w:jc w:val="left"/>
      </w:pPr>
      <w:r>
        <w:rPr>
          <w:sz w:val="20"/>
        </w:rPr>
        <w:t xml:space="preserve">Phase VII – prospektive Grenzprüfung und Neubewertung</w:t>
      </w:r>
    </w:p>
    <w:p>
      <w:pPr>
        <w:pStyle w:val="FirstParagraph"/>
        <w:keepLines/>
        <w:spacing w:after="120"/>
        <w:jc w:val="left"/>
      </w:pPr>
      <w:r>
        <w:rPr>
          <w:sz w:val="20"/>
        </w:rPr>
        <w:t xml:space="preserve">Ziel: Schwellen für neue Governance, menschenarme und menschenlose Grenzszenarien sowie die Kriterien eines möglichen moralischen Status analysieren, ohne Prognosen oder dystopische Gewissheiten zu behaupten. Ergebnis: Szenariomatrix, offene Forschungsfragen und Neubewertung der Leitthese.</w:t>
      </w:r>
    </w:p>
    <w:p>
      <w:pPr>
        <w:pStyle w:val="Caption"/>
        <w:keepNext/>
        <w:keepLines/>
        <w:spacing w:before="180" w:after="120"/>
        <w:jc w:val="left"/>
      </w:pPr>
      <w:r>
        <w:rPr>
          <w:sz w:val="20"/>
        </w:rPr>
        <w:t>Tabelle 33. Mögliche wissenschaftliche Teilbeiträge</w:t>
      </w:r>
    </w:p>
    <w:tbl>
      <w:tblPr>
        <w:tblStyle w:val="Table"/>
        <w:tblW w:type="pct" w:w="4954"/>
        <w:jc w:val="center"/>
        <w:tblLayout w:type="fixed"/>
        <w:tblLook w:firstRow="1" w:lastRow="0" w:firstColumn="0" w:lastColumn="0" w:noHBand="0" w:noVBand="0" w:val="0020"/>
        <w:tblInd w:w="0" w:type="dxa"/>
        <w:tblCellMar>
          <w:top w:w="70" w:type="dxa"/>
          <w:bottom w:w="70" w:type="dxa"/>
          <w:left w:w="85" w:type="dxa"/>
          <w:right w:w="85" w:type="dxa"/>
        </w:tblCellMar>
        <w:tblBorders>
          <w:top w:val="single" w:sz="4" w:color="CCD4D9"/>
          <w:bottom w:val="single" w:sz="4" w:color="CCD4D9"/>
          <w:insideH w:val="single" w:sz="4" w:color="CCD4D9"/>
          <w:left w:val="nil"/>
          <w:right w:val="nil"/>
          <w:insideV w:val="nil"/>
        </w:tblBorders>
      </w:tblPr>
      <w:tblGrid>
        <w:gridCol w:w="1800"/>
        <w:gridCol w:w="4464"/>
        <w:gridCol w:w="3586"/>
      </w:tblGrid>
      <w:tr>
        <w:trPr>
          <w:tblHeader w:val="on"/>
          <w:cantSplit/>
          <w:tblHeader/>
        </w:trPr>
        <w:tc>
          <w:tcPr>
            <w:tcW w:type="dxa" w:w="1800"/>
            <w:vAlign w:val="center"/>
            <w:shd w:fill="E9EFF3"/>
          </w:tcPr>
          <w:p>
            <w:pPr>
              <w:pStyle w:val="Compact"/>
              <w:keepNext w:val="0"/>
              <w:keepLines/>
              <w:spacing w:before="20" w:after="20" w:line="250" w:lineRule="auto"/>
              <w:jc w:val="left"/>
            </w:pPr>
            <w:r>
              <w:rPr>
                <w:rFonts w:ascii="Liberation Sans" w:hAnsi="Liberation Sans"/>
                <w:b/>
                <w:bCs/>
                <w:sz w:val="19"/>
              </w:rPr>
              <w:t xml:space="preserve">Typ</w:t>
            </w:r>
          </w:p>
        </w:tc>
        <w:tc>
          <w:tcPr>
            <w:tcW w:type="dxa" w:w="4464"/>
            <w:vAlign w:val="center"/>
            <w:shd w:fill="E9EFF3"/>
          </w:tcPr>
          <w:p>
            <w:pPr>
              <w:pStyle w:val="Compact"/>
              <w:keepNext w:val="0"/>
              <w:keepLines/>
              <w:spacing w:before="20" w:after="20" w:line="250" w:lineRule="auto"/>
              <w:jc w:val="left"/>
            </w:pPr>
            <w:r>
              <w:rPr>
                <w:rFonts w:ascii="Liberation Sans" w:hAnsi="Liberation Sans"/>
                <w:b/>
                <w:bCs/>
                <w:sz w:val="19"/>
              </w:rPr>
              <w:t xml:space="preserve">Arbeitstitel</w:t>
            </w:r>
          </w:p>
        </w:tc>
        <w:tc>
          <w:tcPr>
            <w:tcW w:type="dxa" w:w="3586"/>
            <w:vAlign w:val="center"/>
            <w:shd w:fill="E9EFF3"/>
          </w:tcPr>
          <w:p>
            <w:pPr>
              <w:pStyle w:val="Compact"/>
              <w:keepNext w:val="0"/>
              <w:keepLines/>
              <w:spacing w:before="20" w:after="20" w:line="250" w:lineRule="auto"/>
              <w:jc w:val="left"/>
            </w:pPr>
            <w:r>
              <w:rPr>
                <w:rFonts w:ascii="Liberation Sans" w:hAnsi="Liberation Sans"/>
                <w:b/>
                <w:bCs/>
                <w:sz w:val="19"/>
              </w:rPr>
              <w:t xml:space="preserve">Kernbeitrag</w:t>
            </w:r>
          </w:p>
        </w:tc>
      </w:tr>
      <w:tr>
        <w:trPr>
          <w:cantSplit/>
        </w:trPr>
        <w:tc>
          <w:tcPr>
            <w:tcW w:type="dxa" w:w="1800"/>
            <w:vAlign w:val="center"/>
          </w:tcPr>
          <w:p>
            <w:pPr>
              <w:pStyle w:val="Compact"/>
              <w:keepNext w:val="0"/>
              <w:keepLines/>
              <w:spacing w:before="20" w:after="20" w:line="250" w:lineRule="auto"/>
              <w:jc w:val="left"/>
            </w:pPr>
            <w:r>
              <w:rPr>
                <w:rFonts w:ascii="Liberation Sans" w:hAnsi="Liberation Sans"/>
                <w:sz w:val="19"/>
              </w:rPr>
              <w:t xml:space="preserve">Theoriebeitrag</w:t>
            </w:r>
          </w:p>
        </w:tc>
        <w:tc>
          <w:tcPr>
            <w:tcW w:type="dxa" w:w="4464"/>
            <w:vAlign w:val="center"/>
          </w:tcPr>
          <w:p>
            <w:pPr>
              <w:pStyle w:val="Compact"/>
              <w:keepNext w:val="0"/>
              <w:keepLines/>
              <w:spacing w:before="20" w:after="20" w:line="250" w:lineRule="auto"/>
              <w:jc w:val="left"/>
            </w:pPr>
            <w:r>
              <w:rPr>
                <w:rFonts w:ascii="Liberation Sans" w:hAnsi="Liberation Sans"/>
                <w:sz w:val="19"/>
              </w:rPr>
              <w:t xml:space="preserve">Borrowed Intelligence: Epistemic Descent and Recursive Technogenesis</w:t>
            </w:r>
          </w:p>
        </w:tc>
        <w:tc>
          <w:tcPr>
            <w:tcW w:type="dxa" w:w="3586"/>
            <w:vAlign w:val="center"/>
          </w:tcPr>
          <w:p>
            <w:pPr>
              <w:pStyle w:val="Compact"/>
              <w:keepNext w:val="0"/>
              <w:keepLines/>
              <w:spacing w:before="20" w:after="20" w:line="250" w:lineRule="auto"/>
              <w:jc w:val="left"/>
            </w:pPr>
            <w:r>
              <w:rPr>
                <w:rFonts w:ascii="Liberation Sans" w:hAnsi="Liberation Sans"/>
                <w:sz w:val="19"/>
              </w:rPr>
              <w:t xml:space="preserve">Begriffs- und Genealogiemodell</w:t>
            </w:r>
          </w:p>
        </w:tc>
      </w:tr>
      <w:tr>
        <w:trPr>
          <w:cantSplit/>
        </w:trPr>
        <w:tc>
          <w:tcPr>
            <w:tcW w:type="dxa" w:w="1800"/>
            <w:vAlign w:val="center"/>
          </w:tcPr>
          <w:p>
            <w:pPr>
              <w:pStyle w:val="Compact"/>
              <w:keepNext w:val="0"/>
              <w:keepLines/>
              <w:spacing w:before="20" w:after="20" w:line="250" w:lineRule="auto"/>
              <w:jc w:val="left"/>
            </w:pPr>
            <w:r>
              <w:rPr>
                <w:rFonts w:ascii="Liberation Sans" w:hAnsi="Liberation Sans"/>
                <w:sz w:val="19"/>
              </w:rPr>
              <w:t xml:space="preserve">Technischer Beitrag</w:t>
            </w:r>
          </w:p>
        </w:tc>
        <w:tc>
          <w:tcPr>
            <w:tcW w:type="dxa" w:w="4464"/>
            <w:vAlign w:val="center"/>
          </w:tcPr>
          <w:p>
            <w:pPr>
              <w:pStyle w:val="Compact"/>
              <w:keepNext w:val="0"/>
              <w:keepLines/>
              <w:spacing w:before="20" w:after="20" w:line="250" w:lineRule="auto"/>
              <w:jc w:val="left"/>
            </w:pPr>
            <w:r>
              <w:rPr>
                <w:rFonts w:ascii="Liberation Sans" w:hAnsi="Liberation Sans"/>
                <w:sz w:val="19"/>
              </w:rPr>
              <w:t xml:space="preserve">Model-Specific Design Fingerprints in LLM-Generated Spiking Neural Networks</w:t>
            </w:r>
          </w:p>
        </w:tc>
        <w:tc>
          <w:tcPr>
            <w:tcW w:type="dxa" w:w="3586"/>
            <w:vAlign w:val="center"/>
          </w:tcPr>
          <w:p>
            <w:pPr>
              <w:pStyle w:val="Compact"/>
              <w:keepNext w:val="0"/>
              <w:keepLines/>
              <w:spacing w:before="20" w:after="20" w:line="250" w:lineRule="auto"/>
              <w:jc w:val="left"/>
            </w:pPr>
            <w:r>
              <w:rPr>
                <w:rFonts w:ascii="Liberation Sans" w:hAnsi="Liberation Sans"/>
                <w:sz w:val="19"/>
              </w:rPr>
              <w:t xml:space="preserve">Artefaktvergleich F1–F5</w:t>
            </w:r>
          </w:p>
        </w:tc>
      </w:tr>
      <w:tr>
        <w:trPr>
          <w:cantSplit/>
        </w:trPr>
        <w:tc>
          <w:tcPr>
            <w:tcW w:type="dxa" w:w="1800"/>
            <w:vAlign w:val="center"/>
          </w:tcPr>
          <w:p>
            <w:pPr>
              <w:pStyle w:val="Compact"/>
              <w:keepNext w:val="0"/>
              <w:keepLines/>
              <w:spacing w:before="20" w:after="20" w:line="250" w:lineRule="auto"/>
              <w:jc w:val="left"/>
            </w:pPr>
            <w:r>
              <w:rPr>
                <w:rFonts w:ascii="Liberation Sans" w:hAnsi="Liberation Sans"/>
                <w:sz w:val="19"/>
              </w:rPr>
              <w:t xml:space="preserve">Embodiment-Beitrag</w:t>
            </w:r>
          </w:p>
        </w:tc>
        <w:tc>
          <w:tcPr>
            <w:tcW w:type="dxa" w:w="4464"/>
            <w:vAlign w:val="center"/>
          </w:tcPr>
          <w:p>
            <w:pPr>
              <w:pStyle w:val="Compact"/>
              <w:keepNext w:val="0"/>
              <w:keepLines/>
              <w:spacing w:before="20" w:after="20" w:line="250" w:lineRule="auto"/>
              <w:jc w:val="left"/>
            </w:pPr>
            <w:r>
              <w:rPr>
                <w:rFonts w:ascii="Liberation Sans" w:hAnsi="Liberation Sans"/>
                <w:sz w:val="19"/>
              </w:rPr>
              <w:t xml:space="preserve">Can Intelligence Be Disembodied? A Multidimensional Framework for Stimulus, Body and Grounding</w:t>
            </w:r>
          </w:p>
        </w:tc>
        <w:tc>
          <w:tcPr>
            <w:tcW w:type="dxa" w:w="3586"/>
            <w:vAlign w:val="center"/>
          </w:tcPr>
          <w:p>
            <w:pPr>
              <w:pStyle w:val="Compact"/>
              <w:keepNext w:val="0"/>
              <w:keepLines/>
              <w:spacing w:before="20" w:after="20" w:line="250" w:lineRule="auto"/>
              <w:jc w:val="left"/>
            </w:pPr>
            <w:r>
              <w:rPr>
                <w:rFonts w:ascii="Liberation Sans" w:hAnsi="Liberation Sans"/>
                <w:sz w:val="19"/>
              </w:rPr>
              <w:t xml:space="preserve">Embodiment-Vektor und Stufen E0–E6</w:t>
            </w:r>
          </w:p>
        </w:tc>
      </w:tr>
      <w:tr>
        <w:trPr>
          <w:cantSplit/>
        </w:trPr>
        <w:tc>
          <w:tcPr>
            <w:tcW w:type="dxa" w:w="1800"/>
            <w:vAlign w:val="center"/>
          </w:tcPr>
          <w:p>
            <w:pPr>
              <w:pStyle w:val="Compact"/>
              <w:keepNext w:val="0"/>
              <w:keepLines/>
              <w:spacing w:before="20" w:after="20" w:line="250" w:lineRule="auto"/>
              <w:jc w:val="left"/>
            </w:pPr>
            <w:r>
              <w:rPr>
                <w:rFonts w:ascii="Liberation Sans" w:hAnsi="Liberation Sans"/>
                <w:sz w:val="19"/>
              </w:rPr>
              <w:t xml:space="preserve">Agency- und Reflexivitätsbeitrag</w:t>
            </w:r>
          </w:p>
        </w:tc>
        <w:tc>
          <w:tcPr>
            <w:tcW w:type="dxa" w:w="4464"/>
            <w:vAlign w:val="center"/>
          </w:tcPr>
          <w:p>
            <w:pPr>
              <w:pStyle w:val="Compact"/>
              <w:keepNext w:val="0"/>
              <w:keepLines/>
              <w:spacing w:before="20" w:after="20" w:line="250" w:lineRule="auto"/>
              <w:jc w:val="left"/>
            </w:pPr>
            <w:r>
              <w:rPr>
                <w:rFonts w:ascii="Liberation Sans" w:hAnsi="Liberation Sans"/>
                <w:sz w:val="19"/>
              </w:rPr>
              <w:t xml:space="preserve">From Designer to Constitutional Observer</w:t>
            </w:r>
          </w:p>
        </w:tc>
        <w:tc>
          <w:tcPr>
            <w:tcW w:type="dxa" w:w="3586"/>
            <w:vAlign w:val="center"/>
          </w:tcPr>
          <w:p>
            <w:pPr>
              <w:pStyle w:val="Compact"/>
              <w:keepNext w:val="0"/>
              <w:keepLines/>
              <w:spacing w:before="20" w:after="20" w:line="250" w:lineRule="auto"/>
              <w:jc w:val="left"/>
            </w:pPr>
            <w:r>
              <w:rPr>
                <w:rFonts w:ascii="Liberation Sans" w:hAnsi="Liberation Sans"/>
                <w:sz w:val="19"/>
              </w:rPr>
              <w:t xml:space="preserve">Rollen, Hoheit, Prozessprovenienz und effektive Kontrolle ohne Probandengruppen</w:t>
            </w:r>
          </w:p>
        </w:tc>
      </w:tr>
      <w:tr>
        <w:trPr>
          <w:cantSplit/>
        </w:trPr>
        <w:tc>
          <w:tcPr>
            <w:tcW w:type="dxa" w:w="1800"/>
            <w:vAlign w:val="center"/>
          </w:tcPr>
          <w:p>
            <w:pPr>
              <w:pStyle w:val="Compact"/>
              <w:keepNext w:val="0"/>
              <w:keepLines/>
              <w:spacing w:before="20" w:after="20" w:line="250" w:lineRule="auto"/>
              <w:jc w:val="left"/>
            </w:pPr>
            <w:r>
              <w:rPr>
                <w:rFonts w:ascii="Liberation Sans" w:hAnsi="Liberation Sans"/>
                <w:sz w:val="19"/>
              </w:rPr>
              <w:t xml:space="preserve">Governance-Beitrag</w:t>
            </w:r>
          </w:p>
        </w:tc>
        <w:tc>
          <w:tcPr>
            <w:tcW w:type="dxa" w:w="4464"/>
            <w:vAlign w:val="center"/>
          </w:tcPr>
          <w:p>
            <w:pPr>
              <w:pStyle w:val="Compact"/>
              <w:keepNext w:val="0"/>
              <w:keepLines/>
              <w:spacing w:before="20" w:after="20" w:line="250" w:lineRule="auto"/>
              <w:jc w:val="left"/>
            </w:pPr>
            <w:r>
              <w:rPr>
                <w:rFonts w:ascii="Liberation Sans" w:hAnsi="Liberation Sans"/>
                <w:sz w:val="19"/>
              </w:rPr>
              <w:t xml:space="preserve">Operational Human Oversight for Self-Modifying Neuromorphic Systems</w:t>
            </w:r>
          </w:p>
        </w:tc>
        <w:tc>
          <w:tcPr>
            <w:tcW w:type="dxa" w:w="3586"/>
            <w:vAlign w:val="center"/>
          </w:tcPr>
          <w:p>
            <w:pPr>
              <w:pStyle w:val="Compact"/>
              <w:keepNext w:val="0"/>
              <w:keepLines/>
              <w:spacing w:before="20" w:after="20" w:line="250" w:lineRule="auto"/>
              <w:jc w:val="left"/>
            </w:pPr>
            <w:r>
              <w:rPr>
                <w:rFonts w:ascii="Liberation Sans" w:hAnsi="Liberation Sans"/>
                <w:sz w:val="19"/>
              </w:rPr>
              <w:t xml:space="preserve">H-, C- und U-Modell sowie R0–R3</w:t>
            </w:r>
          </w:p>
        </w:tc>
      </w:tr>
      <w:tr>
        <w:trPr>
          <w:cantSplit/>
        </w:trPr>
        <w:tc>
          <w:tcPr>
            <w:tcW w:type="dxa" w:w="1800"/>
            <w:vAlign w:val="center"/>
          </w:tcPr>
          <w:p>
            <w:pPr>
              <w:pStyle w:val="Compact"/>
              <w:keepNext w:val="0"/>
              <w:keepLines/>
              <w:spacing w:before="20" w:after="20" w:line="250" w:lineRule="auto"/>
              <w:jc w:val="left"/>
            </w:pPr>
            <w:r>
              <w:rPr>
                <w:rFonts w:ascii="Liberation Sans" w:hAnsi="Liberation Sans"/>
                <w:sz w:val="19"/>
              </w:rPr>
              <w:t xml:space="preserve">Reflexiver Beitrag</w:t>
            </w:r>
          </w:p>
        </w:tc>
        <w:tc>
          <w:tcPr>
            <w:tcW w:type="dxa" w:w="4464"/>
            <w:vAlign w:val="center"/>
          </w:tcPr>
          <w:p>
            <w:pPr>
              <w:pStyle w:val="Compact"/>
              <w:keepNext w:val="0"/>
              <w:keepLines/>
              <w:spacing w:before="20" w:after="20" w:line="250" w:lineRule="auto"/>
              <w:jc w:val="left"/>
            </w:pPr>
            <w:r>
              <w:rPr>
                <w:rFonts w:ascii="Liberation Sans" w:hAnsi="Liberation Sans"/>
                <w:sz w:val="19"/>
              </w:rPr>
              <w:t xml:space="preserve">Authorship and Control in AI-Assisted Science</w:t>
            </w:r>
          </w:p>
        </w:tc>
        <w:tc>
          <w:tcPr>
            <w:tcW w:type="dxa" w:w="3586"/>
            <w:vAlign w:val="center"/>
          </w:tcPr>
          <w:p>
            <w:pPr>
              <w:pStyle w:val="Compact"/>
              <w:keepNext w:val="0"/>
              <w:keepLines/>
              <w:spacing w:before="20" w:after="20" w:line="250" w:lineRule="auto"/>
              <w:jc w:val="left"/>
            </w:pPr>
            <w:r>
              <w:rPr>
                <w:rFonts w:ascii="Liberation Sans" w:hAnsi="Liberation Sans"/>
                <w:sz w:val="19"/>
              </w:rPr>
              <w:t xml:space="preserve">Provenienz- und Autorschaftsmodell</w:t>
            </w:r>
          </w:p>
        </w:tc>
      </w:tr>
    </w:tbl>
    <w:bookmarkEnd w:id="526"/>
    <w:bookmarkEnd w:id="527"/>
    <w:bookmarkStart w:id="538" w:name="vorläufige-gerichtete-vorhersagen"/>
    <w:p>
      <w:pPr>
        <w:pStyle w:val="Heading2"/>
      </w:pPr>
      <w:r>
        <w:t xml:space="preserve">Vorläufige gerichtete Vorhersagen</w:t>
      </w:r>
    </w:p>
    <w:p>
      <w:pPr>
        <w:pStyle w:val="FirstParagraph"/>
        <w:keepLines/>
        <w:spacing w:after="120"/>
        <w:jc w:val="left"/>
      </w:pPr>
      <w:r>
        <w:rPr>
          <w:sz w:val="20"/>
        </w:rPr>
        <w:t xml:space="preserve">Vor ausreichender Pilotbasis werden qualitative, falsifizierbare Vorhersagen formuliert.</w:t>
      </w:r>
    </w:p>
    <w:bookmarkStart w:id="528" w:name="p1-homeostase"/>
    <w:p>
      <w:pPr>
        <w:pStyle w:val="Heading3"/>
        <w:keepLines/>
        <w:spacing w:after="120"/>
        <w:jc w:val="left"/>
      </w:pPr>
      <w:r>
        <w:rPr>
          <w:sz w:val="20"/>
        </w:rPr>
        <w:t xml:space="preserve">P1 — Homeostase</w:t>
      </w:r>
    </w:p>
    <w:p>
      <w:pPr>
        <w:pStyle w:val="FirstParagraph"/>
        <w:keepLines/>
        <w:spacing w:after="120"/>
        <w:jc w:val="left"/>
      </w:pPr>
      <w:r>
        <w:rPr>
          <w:b/>
          <w:bCs/>
          <w:sz w:val="20"/>
        </w:rPr>
        <w:t xml:space="preserve">[E0 | PREDICTION]</w:t>
      </w:r>
      <w:r>
        <w:rPr>
          <w:sz w:val="20"/>
        </w:rPr>
        <w:t xml:space="preserve"> </w:t>
      </w:r>
      <w:r>
        <w:rPr>
          <w:sz w:val="20"/>
        </w:rPr>
        <w:t xml:space="preserve">Bei aktiver positiver Hebb-Plastizität verringert eine angemessen schnell reagierende Homeostase extreme Aktivitätszustände. Zu starke oder zu schnelle Homeostase kann Lernsignale abschwächen. Erwartet wird deshalb kein monotoner, sondern ein regimespezifischer Effekt (</w:t>
      </w:r>
      <w:hyperlink w:anchor="ref-Zenke2013">
        <w:r>
          <w:rPr>
            <w:rStyle w:val="Hyperlink"/>
          </w:rPr>
          <w:t xml:space="preserve">Zenke et al., 2013</w:t>
        </w:r>
      </w:hyperlink>
      <w:r>
        <w:rPr>
          <w:sz w:val="20"/>
        </w:rPr>
        <w:t xml:space="preserve">;</w:t>
      </w:r>
      <w:r>
        <w:rPr>
          <w:sz w:val="20"/>
        </w:rPr>
        <w:t xml:space="preserve"> </w:t>
      </w:r>
      <w:hyperlink w:anchor="ref-Zenke2017homeostasis">
        <w:r>
          <w:rPr>
            <w:rStyle w:val="Hyperlink"/>
          </w:rPr>
          <w:t xml:space="preserve">Zenke &amp; Gerstner, 2017</w:t>
        </w:r>
      </w:hyperlink>
      <w:r>
        <w:rPr>
          <w:sz w:val="20"/>
        </w:rPr>
        <w:t xml:space="preserve">).</w:t>
      </w:r>
    </w:p>
    <w:bookmarkEnd w:id="528"/>
    <w:bookmarkStart w:id="529" w:name="p2-inhibitorische-plastizität"/>
    <w:p>
      <w:pPr>
        <w:pStyle w:val="Heading3"/>
        <w:keepLines/>
        <w:spacing w:after="120"/>
        <w:jc w:val="left"/>
      </w:pPr>
      <w:r>
        <w:rPr>
          <w:sz w:val="20"/>
        </w:rPr>
        <w:t xml:space="preserve">P2 — Inhibitorische Plastizität</w:t>
      </w:r>
    </w:p>
    <w:p>
      <w:pPr>
        <w:pStyle w:val="FirstParagraph"/>
        <w:keepLines/>
        <w:spacing w:after="120"/>
        <w:jc w:val="left"/>
      </w:pPr>
      <w:r>
        <w:rPr>
          <w:b/>
          <w:bCs/>
          <w:sz w:val="20"/>
        </w:rPr>
        <w:t xml:space="preserve">[E0 | PREDICTION]</w:t>
      </w:r>
      <w:r>
        <w:rPr>
          <w:sz w:val="20"/>
        </w:rPr>
        <w:t xml:space="preserve"> </w:t>
      </w:r>
      <w:r>
        <w:rPr>
          <w:sz w:val="20"/>
        </w:rPr>
        <w:t xml:space="preserve">Inhibitorische Plastizität reduziert regionale Überaktivität und verbessert die Wiederverwendbarkeit von Populationen, sofern Zielraten und Zeitskalen passend gewählt sind (</w:t>
      </w:r>
      <w:hyperlink w:anchor="ref-Vogels2011">
        <w:r>
          <w:rPr>
            <w:rStyle w:val="Hyperlink"/>
          </w:rPr>
          <w:t xml:space="preserve">Vogels et al., 2011</w:t>
        </w:r>
      </w:hyperlink>
      <w:r>
        <w:rPr>
          <w:sz w:val="20"/>
        </w:rPr>
        <w:t xml:space="preserve">).</w:t>
      </w:r>
    </w:p>
    <w:bookmarkEnd w:id="529"/>
    <w:bookmarkStart w:id="530" w:name="p3-strukturelle-plastizität"/>
    <w:p>
      <w:pPr>
        <w:pStyle w:val="Heading3"/>
        <w:keepLines/>
        <w:spacing w:after="120"/>
        <w:jc w:val="left"/>
      </w:pPr>
      <w:r>
        <w:rPr>
          <w:sz w:val="20"/>
        </w:rPr>
        <w:t xml:space="preserve">P3 — Strukturelle Plastizität</w:t>
      </w:r>
    </w:p>
    <w:p>
      <w:pPr>
        <w:pStyle w:val="FirstParagraph"/>
        <w:keepLines/>
        <w:spacing w:after="120"/>
        <w:jc w:val="left"/>
      </w:pPr>
      <w:r>
        <w:rPr>
          <w:b/>
          <w:bCs/>
          <w:sz w:val="20"/>
        </w:rPr>
        <w:t xml:space="preserve">[E0 | PREDICTION]</w:t>
      </w:r>
      <w:r>
        <w:rPr>
          <w:sz w:val="20"/>
        </w:rPr>
        <w:t xml:space="preserve"> </w:t>
      </w:r>
      <w:r>
        <w:rPr>
          <w:sz w:val="20"/>
        </w:rPr>
        <w:t xml:space="preserve">Strukturelle Plastizität verbessert insbesondere bei veränderlichen Aufgaben die Adaptation, erhöht jedoch Storage-, Compute- und Instabilitätskosten. Ein Vorteil sollte nach Kostenmatching kleiner ausfallen als ohne Ressourcenabgleich.</w:t>
      </w:r>
    </w:p>
    <w:bookmarkEnd w:id="530"/>
    <w:bookmarkStart w:id="531" w:name="p4-5d-geometrie"/>
    <w:p>
      <w:pPr>
        <w:pStyle w:val="Heading3"/>
        <w:keepLines/>
        <w:spacing w:after="120"/>
        <w:jc w:val="left"/>
      </w:pPr>
      <w:r>
        <w:rPr>
          <w:sz w:val="20"/>
        </w:rPr>
        <w:t xml:space="preserve">P4 — 5D-Geometrie</w:t>
      </w:r>
    </w:p>
    <w:p>
      <w:pPr>
        <w:pStyle w:val="FirstParagraph"/>
        <w:keepLines/>
        <w:spacing w:after="120"/>
        <w:jc w:val="left"/>
      </w:pPr>
      <w:r>
        <w:rPr>
          <w:b/>
          <w:bCs/>
          <w:sz w:val="20"/>
        </w:rPr>
        <w:t xml:space="preserve">[E0 | PREDICTION]</w:t>
      </w:r>
      <w:r>
        <w:rPr>
          <w:sz w:val="20"/>
        </w:rPr>
        <w:t xml:space="preserve"> </w:t>
      </w:r>
      <w:r>
        <w:rPr>
          <w:sz w:val="20"/>
        </w:rPr>
        <w:t xml:space="preserve">Ein möglicher Nutzen zusätzlicher Dimensionen zeigt sich eher in geringerer Interferenz und flexibler Nachbarschaftsbildung als in unmittelbarer Einzeltask-Genauigkeit. Bleibt die effektive Metrik nahe rangreduziert, spricht dies gegen einen eigenständigen Nutzen aller fünf Achsen.</w:t>
      </w:r>
    </w:p>
    <w:bookmarkEnd w:id="531"/>
    <w:bookmarkStart w:id="532" w:name="p5-learned-metric"/>
    <w:p>
      <w:pPr>
        <w:pStyle w:val="Heading3"/>
        <w:keepLines/>
        <w:spacing w:after="120"/>
        <w:jc w:val="left"/>
      </w:pPr>
      <w:r>
        <w:rPr>
          <w:sz w:val="20"/>
        </w:rPr>
        <w:t xml:space="preserve">P5 — Learned Metric</w:t>
      </w:r>
    </w:p>
    <w:p>
      <w:pPr>
        <w:pStyle w:val="FirstParagraph"/>
        <w:keepLines/>
        <w:spacing w:after="120"/>
        <w:jc w:val="left"/>
      </w:pPr>
      <w:r>
        <w:rPr>
          <w:b/>
          <w:bCs/>
          <w:sz w:val="20"/>
        </w:rPr>
        <w:t xml:space="preserve">[E0 | PREDICTION]</w:t>
      </w:r>
      <w:r>
        <w:rPr>
          <w:sz w:val="20"/>
        </w:rPr>
        <w:t xml:space="preserve"> </w:t>
      </w:r>
      <w:r>
        <w:rPr>
          <w:sz w:val="20"/>
        </w:rPr>
        <w:t xml:space="preserve">Eine regulierte lernbare Metrik kann taskrelevante Nachbarschaften besser trennen als eine feste isotrope Metrik, ist aber anfällig für Kollaps und Leakage. Generalisierung auf neue Episoden ist entscheidend.</w:t>
      </w:r>
    </w:p>
    <w:bookmarkEnd w:id="532"/>
    <w:bookmarkStart w:id="533" w:name="p6-language-organ"/>
    <w:p>
      <w:pPr>
        <w:pStyle w:val="Heading3"/>
        <w:keepLines/>
        <w:spacing w:after="120"/>
        <w:jc w:val="left"/>
      </w:pPr>
      <w:r>
        <w:rPr>
          <w:sz w:val="20"/>
        </w:rPr>
        <w:t xml:space="preserve">P6 — Language Organ</w:t>
      </w:r>
    </w:p>
    <w:p>
      <w:pPr>
        <w:pStyle w:val="FirstParagraph"/>
        <w:keepLines/>
        <w:spacing w:after="120"/>
        <w:jc w:val="left"/>
      </w:pPr>
      <w:r>
        <w:rPr>
          <w:b/>
          <w:bCs/>
          <w:sz w:val="20"/>
        </w:rPr>
        <w:t xml:space="preserve">[E0 | PREDICTION]</w:t>
      </w:r>
      <w:r>
        <w:rPr>
          <w:sz w:val="20"/>
        </w:rPr>
        <w:t xml:space="preserve"> </w:t>
      </w:r>
      <w:r>
        <w:rPr>
          <w:sz w:val="20"/>
        </w:rPr>
        <w:t xml:space="preserve">Das Language Organ verbessert sofortige sprachliche Verständlichkeit deutlich. Dieser Effekt wird größer sein als ein möglicher kurzfristiger SNN-Lerneffekt und darf deshalb nicht als Nachweis neuronaler Semantik interpretiert werden.</w:t>
      </w:r>
    </w:p>
    <w:bookmarkEnd w:id="533"/>
    <w:bookmarkStart w:id="534" w:name="p7-embodiment"/>
    <w:p>
      <w:pPr>
        <w:pStyle w:val="Heading3"/>
        <w:keepLines/>
        <w:spacing w:after="120"/>
        <w:jc w:val="left"/>
      </w:pPr>
      <w:r>
        <w:rPr>
          <w:sz w:val="20"/>
        </w:rPr>
        <w:t xml:space="preserve">P7 — Embodiment</w:t>
      </w:r>
    </w:p>
    <w:p>
      <w:pPr>
        <w:pStyle w:val="FirstParagraph"/>
        <w:keepLines/>
        <w:spacing w:after="120"/>
        <w:jc w:val="left"/>
      </w:pPr>
      <w:r>
        <w:rPr>
          <w:b/>
          <w:bCs/>
          <w:sz w:val="20"/>
        </w:rPr>
        <w:t xml:space="preserve">[E0 | PREDICTION]</w:t>
      </w:r>
      <w:r>
        <w:rPr>
          <w:sz w:val="20"/>
        </w:rPr>
        <w:t xml:space="preserve"> </w:t>
      </w:r>
      <w:r>
        <w:rPr>
          <w:sz w:val="20"/>
        </w:rPr>
        <w:t xml:space="preserve">Closed-Loop-Systeme entwickeln stärker action-konditionierte Zustände; passiv „yoked” Systeme können ähnliche sensorische Statistiken, aber geringere kausale Kontingenz aufweisen.</w:t>
      </w:r>
    </w:p>
    <w:bookmarkEnd w:id="534"/>
    <w:bookmarkStart w:id="535" w:name="p8-continual-learning"/>
    <w:p>
      <w:pPr>
        <w:pStyle w:val="Heading3"/>
        <w:keepLines/>
        <w:spacing w:after="120"/>
        <w:jc w:val="left"/>
      </w:pPr>
      <w:r>
        <w:rPr>
          <w:sz w:val="20"/>
        </w:rPr>
        <w:t xml:space="preserve">P8 — Continual Learning</w:t>
      </w:r>
    </w:p>
    <w:p>
      <w:pPr>
        <w:pStyle w:val="FirstParagraph"/>
        <w:keepLines/>
        <w:spacing w:after="120"/>
        <w:jc w:val="left"/>
      </w:pPr>
      <w:r>
        <w:rPr>
          <w:b/>
          <w:bCs/>
          <w:sz w:val="20"/>
        </w:rPr>
        <w:t xml:space="preserve">[E0 | PREDICTION]</w:t>
      </w:r>
      <w:r>
        <w:rPr>
          <w:sz w:val="20"/>
        </w:rPr>
        <w:t xml:space="preserve"> </w:t>
      </w:r>
      <w:r>
        <w:rPr>
          <w:sz w:val="20"/>
        </w:rPr>
        <w:t xml:space="preserve">Unregulierte Hebb-Plastizität zeigt stärkere Interferenz als Systeme mit Homeostase und Konsolidierung. Struktureller Turnover kann sowohl Forgetting reduzieren als auch alte Pfade zerstören; der Effekt hängt von Pruning-Grace und Ressourcenbudget ab.</w:t>
      </w:r>
    </w:p>
    <w:bookmarkEnd w:id="535"/>
    <w:bookmarkStart w:id="536" w:name="p9-digital-state-twin"/>
    <w:p>
      <w:pPr>
        <w:pStyle w:val="Heading3"/>
        <w:keepLines/>
        <w:spacing w:after="120"/>
        <w:jc w:val="left"/>
      </w:pPr>
      <w:r>
        <w:rPr>
          <w:sz w:val="20"/>
        </w:rPr>
        <w:t xml:space="preserve">P9 — Digital-State-Twin</w:t>
      </w:r>
    </w:p>
    <w:p>
      <w:pPr>
        <w:pStyle w:val="FirstParagraph"/>
        <w:keepLines/>
        <w:spacing w:after="120"/>
        <w:jc w:val="left"/>
      </w:pPr>
      <w:r>
        <w:rPr>
          <w:b/>
          <w:bCs/>
          <w:sz w:val="20"/>
        </w:rPr>
        <w:t xml:space="preserve">[E0 | PREDICTION]</w:t>
      </w:r>
      <w:r>
        <w:rPr>
          <w:sz w:val="20"/>
        </w:rPr>
        <w:t xml:space="preserve"> </w:t>
      </w:r>
      <w:r>
        <w:rPr>
          <w:sz w:val="20"/>
        </w:rPr>
        <w:t xml:space="preserve">Checkpoint-plus-Delta reduziert Speicher gegenüber Vollsnapshots deutlich, während Restore-Zeit mit Delta-Länge steigt. Ein adaptives Checkpoint-Intervall sollte den kombinierten Kostenwert minimieren.</w:t>
      </w:r>
    </w:p>
    <w:bookmarkEnd w:id="536"/>
    <w:bookmarkStart w:id="537" w:name="p10-skalierung"/>
    <w:p>
      <w:pPr>
        <w:pStyle w:val="Heading3"/>
        <w:keepLines/>
        <w:spacing w:after="120"/>
        <w:jc w:val="left"/>
      </w:pPr>
      <w:r>
        <w:rPr>
          <w:sz w:val="20"/>
        </w:rPr>
        <w:t xml:space="preserve">P10 — Skalierung</w:t>
      </w:r>
    </w:p>
    <w:p>
      <w:pPr>
        <w:pStyle w:val="FirstParagraph"/>
        <w:keepLines/>
        <w:spacing w:after="120"/>
        <w:jc w:val="left"/>
      </w:pPr>
      <w:r>
        <w:rPr>
          <w:b/>
          <w:bCs/>
          <w:sz w:val="20"/>
        </w:rPr>
        <w:t xml:space="preserve">[E0 | PREDICTION]</w:t>
      </w:r>
      <w:r>
        <w:rPr>
          <w:sz w:val="20"/>
        </w:rPr>
        <w:t xml:space="preserve"> </w:t>
      </w:r>
      <w:r>
        <w:rPr>
          <w:sz w:val="20"/>
        </w:rPr>
        <w:t xml:space="preserve">Dynamische Regime und optimale Plastizitätsparameter verschieben sich mit Netzwerkgröße. Direkte Hyperparameterübertragung ohne Normalisierung wird nicht zuverlässig sein.</w:t>
      </w:r>
    </w:p>
    <w:bookmarkEnd w:id="537"/>
    <w:bookmarkEnd w:id="538"/>
    <w:bookmarkStart w:id="546" w:name="roadmap-mit-evidenzgates"/>
    <w:p>
      <w:pPr>
        <w:pStyle w:val="Heading2"/>
      </w:pPr>
      <w:r>
        <w:t xml:space="preserve">Roadmap mit Evidenzgates</w:t>
      </w:r>
    </w:p>
    <w:bookmarkStart w:id="539" w:name="alpha.6-morphological-stabilization"/>
    <w:p>
      <w:pPr>
        <w:pStyle w:val="Heading3"/>
        <w:keepLines/>
        <w:spacing w:after="120"/>
        <w:jc w:val="left"/>
      </w:pPr>
      <w:r>
        <w:rPr>
          <w:sz w:val="20"/>
        </w:rPr>
        <w:t xml:space="preserve">Alpha.6 — Morphological Stabilization</w:t>
      </w:r>
    </w:p>
    <w:p>
      <w:pPr>
        <w:pStyle w:val="FirstParagraph"/>
        <w:keepLines/>
        <w:spacing w:after="120"/>
        <w:jc w:val="left"/>
      </w:pPr>
      <w:r>
        <w:rPr>
          <w:b/>
          <w:bCs/>
          <w:sz w:val="20"/>
        </w:rPr>
        <w:t xml:space="preserve">Ziele</w:t>
      </w:r>
    </w:p>
    <w:p>
      <w:pPr>
        <w:keepLines/>
        <w:numPr>
          <w:ilvl w:val="0"/>
          <w:numId w:val="1054"/>
        </w:numPr>
        <w:spacing w:after="30" w:line="247" w:lineRule="auto"/>
        <w:jc w:val="left"/>
      </w:pPr>
      <w:r>
        <w:rPr>
          <w:sz w:val="20"/>
        </w:rPr>
        <w:t xml:space="preserve">Homeostase, Growth Budgets und strukturelle Kosten;</w:t>
      </w:r>
    </w:p>
    <w:p>
      <w:pPr>
        <w:keepLines/>
        <w:numPr>
          <w:ilvl w:val="0"/>
          <w:numId w:val="1054"/>
        </w:numPr>
        <w:spacing w:after="30" w:line="247" w:lineRule="auto"/>
        <w:jc w:val="left"/>
      </w:pPr>
      <w:r>
        <w:rPr>
          <w:sz w:val="20"/>
        </w:rPr>
        <w:t xml:space="preserve">Anti-Runaway- und Quieszenzdetektion;</w:t>
      </w:r>
    </w:p>
    <w:p>
      <w:pPr>
        <w:keepLines/>
        <w:numPr>
          <w:ilvl w:val="0"/>
          <w:numId w:val="1054"/>
        </w:numPr>
        <w:spacing w:after="30" w:line="247" w:lineRule="auto"/>
        <w:jc w:val="left"/>
      </w:pPr>
      <w:r>
        <w:rPr>
          <w:sz w:val="20"/>
        </w:rPr>
        <w:t xml:space="preserve">Alter und Provenienz von Neuronen/Synapsen;</w:t>
      </w:r>
    </w:p>
    <w:p>
      <w:pPr>
        <w:keepLines/>
        <w:numPr>
          <w:ilvl w:val="0"/>
          <w:numId w:val="1054"/>
        </w:numPr>
        <w:spacing w:after="30" w:line="247" w:lineRule="auto"/>
        <w:jc w:val="left"/>
      </w:pPr>
      <w:r>
        <w:rPr>
          <w:sz w:val="20"/>
        </w:rPr>
        <w:t xml:space="preserve">deterministische</w:t>
      </w:r>
      <w:r>
        <w:rPr>
          <w:sz w:val="20"/>
        </w:rPr>
        <w:t xml:space="preserve"> </w:t>
      </w:r>
      <w:r>
        <w:rPr>
          <w:rStyle w:val="VerbatimChar"/>
          <w:sz w:val="20"/>
        </w:rPr>
        <w:t xml:space="preserve">SignalFrame</w:t>
      </w:r>
      <w:r>
        <w:rPr>
          <w:sz w:val="20"/>
        </w:rPr>
        <w:t xml:space="preserve">- und</w:t>
      </w:r>
      <w:r>
        <w:rPr>
          <w:sz w:val="20"/>
        </w:rPr>
        <w:t xml:space="preserve"> </w:t>
      </w:r>
      <w:r>
        <w:rPr>
          <w:rStyle w:val="VerbatimChar"/>
          <w:sz w:val="20"/>
        </w:rPr>
        <w:t xml:space="preserve">StimulusPlan</w:t>
      </w:r>
      <w:r>
        <w:rPr>
          <w:sz w:val="20"/>
        </w:rPr>
        <w:t xml:space="preserve">-Verträge;</w:t>
      </w:r>
    </w:p>
    <w:p>
      <w:pPr>
        <w:keepLines/>
        <w:numPr>
          <w:ilvl w:val="0"/>
          <w:numId w:val="1054"/>
        </w:numPr>
        <w:spacing w:after="30" w:line="247" w:lineRule="auto"/>
        <w:jc w:val="left"/>
      </w:pPr>
      <w:r>
        <w:rPr>
          <w:sz w:val="20"/>
        </w:rPr>
        <w:t xml:space="preserve">NullLanguageBackend;</w:t>
      </w:r>
    </w:p>
    <w:p>
      <w:pPr>
        <w:keepLines/>
        <w:numPr>
          <w:ilvl w:val="0"/>
          <w:numId w:val="1054"/>
        </w:numPr>
        <w:spacing w:after="30" w:line="247" w:lineRule="auto"/>
        <w:jc w:val="left"/>
      </w:pPr>
      <w:r>
        <w:rPr>
          <w:sz w:val="20"/>
        </w:rPr>
        <w:t xml:space="preserve">Checkpoint-/Restore-Basis.</w:t>
      </w:r>
    </w:p>
    <w:p>
      <w:pPr>
        <w:pStyle w:val="FirstParagraph"/>
        <w:keepLines/>
        <w:spacing w:after="120"/>
        <w:jc w:val="left"/>
      </w:pPr>
      <w:r>
        <w:rPr>
          <w:b/>
          <w:bCs/>
          <w:sz w:val="20"/>
        </w:rPr>
        <w:t xml:space="preserve">Exit Gate</w:t>
      </w:r>
    </w:p>
    <w:p>
      <w:pPr>
        <w:keepLines/>
        <w:numPr>
          <w:ilvl w:val="0"/>
          <w:numId w:val="1055"/>
        </w:numPr>
        <w:spacing w:after="30" w:line="247" w:lineRule="auto"/>
        <w:jc w:val="left"/>
      </w:pPr>
      <w:r>
        <w:rPr>
          <w:sz w:val="20"/>
        </w:rPr>
        <w:t xml:space="preserve">alle relevanten Komponenten E1;</w:t>
      </w:r>
    </w:p>
    <w:p>
      <w:pPr>
        <w:keepLines/>
        <w:numPr>
          <w:ilvl w:val="0"/>
          <w:numId w:val="1055"/>
        </w:numPr>
        <w:spacing w:after="30" w:line="247" w:lineRule="auto"/>
        <w:jc w:val="left"/>
      </w:pPr>
      <w:r>
        <w:rPr>
          <w:sz w:val="20"/>
        </w:rPr>
        <w:t xml:space="preserve">deterministische Golden Runs auf Referenzplattform;</w:t>
      </w:r>
    </w:p>
    <w:p>
      <w:pPr>
        <w:keepLines/>
        <w:numPr>
          <w:ilvl w:val="0"/>
          <w:numId w:val="1055"/>
        </w:numPr>
        <w:spacing w:after="30" w:line="247" w:lineRule="auto"/>
        <w:jc w:val="left"/>
      </w:pPr>
      <w:r>
        <w:rPr>
          <w:sz w:val="20"/>
        </w:rPr>
        <w:t xml:space="preserve">keine Verletzung der Architektur-Invarianten in Failure-Injection-Tests;</w:t>
      </w:r>
    </w:p>
    <w:p>
      <w:pPr>
        <w:keepLines/>
        <w:numPr>
          <w:ilvl w:val="0"/>
          <w:numId w:val="1055"/>
        </w:numPr>
        <w:spacing w:after="30" w:line="247" w:lineRule="auto"/>
        <w:jc w:val="left"/>
      </w:pPr>
      <w:r>
        <w:rPr>
          <w:sz w:val="20"/>
        </w:rPr>
        <w:t xml:space="preserve">Baseline-Phasenkarte für ein kleines Netz.</w:t>
      </w:r>
    </w:p>
    <w:bookmarkEnd w:id="539"/>
    <w:bookmarkStart w:id="540" w:name="alpha.7-language-organ-proof-of-concept"/>
    <w:p>
      <w:pPr>
        <w:pStyle w:val="Heading3"/>
        <w:keepLines/>
        <w:spacing w:after="120"/>
        <w:jc w:val="left"/>
      </w:pPr>
      <w:r>
        <w:rPr>
          <w:sz w:val="20"/>
        </w:rPr>
        <w:t xml:space="preserve">Alpha.7 — Language Organ Proof of Concept</w:t>
      </w:r>
    </w:p>
    <w:p>
      <w:pPr>
        <w:pStyle w:val="FirstParagraph"/>
        <w:keepLines/>
        <w:spacing w:after="120"/>
        <w:jc w:val="left"/>
      </w:pPr>
      <w:r>
        <w:rPr>
          <w:b/>
          <w:bCs/>
          <w:sz w:val="20"/>
        </w:rPr>
        <w:t xml:space="preserve">Ziele</w:t>
      </w:r>
    </w:p>
    <w:p>
      <w:pPr>
        <w:keepLines/>
        <w:numPr>
          <w:ilvl w:val="0"/>
          <w:numId w:val="1056"/>
        </w:numPr>
        <w:spacing w:after="30" w:line="247" w:lineRule="auto"/>
        <w:jc w:val="left"/>
      </w:pPr>
      <w:r>
        <w:rPr>
          <w:sz w:val="20"/>
        </w:rPr>
        <w:t xml:space="preserve">lokales und optionales Remote-Backend;</w:t>
      </w:r>
    </w:p>
    <w:p>
      <w:pPr>
        <w:keepLines/>
        <w:numPr>
          <w:ilvl w:val="0"/>
          <w:numId w:val="1056"/>
        </w:numPr>
        <w:spacing w:after="30" w:line="247" w:lineRule="auto"/>
        <w:jc w:val="left"/>
      </w:pPr>
      <w:r>
        <w:rPr>
          <w:sz w:val="20"/>
        </w:rPr>
        <w:t xml:space="preserve">asynchrone Queue, Timeout und Ressourcenlimits;</w:t>
      </w:r>
    </w:p>
    <w:p>
      <w:pPr>
        <w:keepLines/>
        <w:numPr>
          <w:ilvl w:val="0"/>
          <w:numId w:val="1056"/>
        </w:numPr>
        <w:spacing w:after="30" w:line="247" w:lineRule="auto"/>
        <w:jc w:val="left"/>
      </w:pPr>
      <w:r>
        <w:rPr>
          <w:sz w:val="20"/>
        </w:rPr>
        <w:t xml:space="preserve">rein beobachtender Monitor;</w:t>
      </w:r>
    </w:p>
    <w:p>
      <w:pPr>
        <w:keepLines/>
        <w:numPr>
          <w:ilvl w:val="0"/>
          <w:numId w:val="1056"/>
        </w:numPr>
        <w:spacing w:after="30" w:line="247" w:lineRule="auto"/>
        <w:jc w:val="left"/>
      </w:pPr>
      <w:r>
        <w:rPr>
          <w:rStyle w:val="VerbatimChar"/>
          <w:sz w:val="20"/>
        </w:rPr>
        <w:t xml:space="preserve">FeedbackProposal</w:t>
      </w:r>
      <w:r>
        <w:rPr>
          <w:sz w:val="20"/>
        </w:rPr>
        <w:t xml:space="preserve"> </w:t>
      </w:r>
      <w:r>
        <w:rPr>
          <w:sz w:val="20"/>
        </w:rPr>
        <w:t xml:space="preserve">und</w:t>
      </w:r>
      <w:r>
        <w:rPr>
          <w:sz w:val="20"/>
        </w:rPr>
        <w:t xml:space="preserve"> </w:t>
      </w:r>
      <w:r>
        <w:rPr>
          <w:rStyle w:val="VerbatimChar"/>
          <w:sz w:val="20"/>
        </w:rPr>
        <w:t xml:space="preserve">PolicyGate</w:t>
      </w:r>
      <w:r>
        <w:rPr>
          <w:sz w:val="20"/>
        </w:rPr>
        <w:t xml:space="preserve">;</w:t>
      </w:r>
    </w:p>
    <w:p>
      <w:pPr>
        <w:keepLines/>
        <w:numPr>
          <w:ilvl w:val="0"/>
          <w:numId w:val="1056"/>
        </w:numPr>
        <w:spacing w:after="30" w:line="247" w:lineRule="auto"/>
        <w:jc w:val="left"/>
      </w:pPr>
      <w:r>
        <w:rPr>
          <w:sz w:val="20"/>
        </w:rPr>
        <w:t xml:space="preserve">L0–L3-Ablationen.</w:t>
      </w:r>
    </w:p>
    <w:p>
      <w:pPr>
        <w:pStyle w:val="FirstParagraph"/>
        <w:keepLines/>
        <w:spacing w:after="120"/>
        <w:jc w:val="left"/>
      </w:pPr>
      <w:r>
        <w:rPr>
          <w:b/>
          <w:bCs/>
          <w:sz w:val="20"/>
        </w:rPr>
        <w:t xml:space="preserve">Exit Gate</w:t>
      </w:r>
    </w:p>
    <w:p>
      <w:pPr>
        <w:keepLines/>
        <w:numPr>
          <w:ilvl w:val="0"/>
          <w:numId w:val="1057"/>
        </w:numPr>
        <w:spacing w:after="30" w:line="247" w:lineRule="auto"/>
        <w:jc w:val="left"/>
      </w:pPr>
      <w:r>
        <w:rPr>
          <w:sz w:val="20"/>
        </w:rPr>
        <w:t xml:space="preserve">SNN läuft bei vollständigem Backend-Ausfall weiter;</w:t>
      </w:r>
    </w:p>
    <w:p>
      <w:pPr>
        <w:keepLines/>
        <w:numPr>
          <w:ilvl w:val="0"/>
          <w:numId w:val="1057"/>
        </w:numPr>
        <w:spacing w:after="30" w:line="247" w:lineRule="auto"/>
        <w:jc w:val="left"/>
      </w:pPr>
      <w:r>
        <w:rPr>
          <w:sz w:val="20"/>
        </w:rPr>
        <w:t xml:space="preserve">kein direkter Schreibpfad zu Gewichten oder Topologie;</w:t>
      </w:r>
    </w:p>
    <w:p>
      <w:pPr>
        <w:keepLines/>
        <w:numPr>
          <w:ilvl w:val="0"/>
          <w:numId w:val="1057"/>
        </w:numPr>
        <w:spacing w:after="30" w:line="247" w:lineRule="auto"/>
        <w:jc w:val="left"/>
      </w:pPr>
      <w:r>
        <w:rPr>
          <w:sz w:val="20"/>
        </w:rPr>
        <w:t xml:space="preserve">alle Interventionen vollständig rückverfolgbar;</w:t>
      </w:r>
    </w:p>
    <w:p>
      <w:pPr>
        <w:keepLines/>
        <w:numPr>
          <w:ilvl w:val="0"/>
          <w:numId w:val="1057"/>
        </w:numPr>
        <w:spacing w:after="30" w:line="247" w:lineRule="auto"/>
        <w:jc w:val="left"/>
      </w:pPr>
      <w:r>
        <w:rPr>
          <w:sz w:val="20"/>
        </w:rPr>
        <w:t xml:space="preserve">Decoder-Leakage-Test bestanden.</w:t>
      </w:r>
    </w:p>
    <w:bookmarkEnd w:id="540"/>
    <w:bookmarkStart w:id="541" w:name="X5ba35c39f3dc9d43916d6c6b86f487048db8a29"/>
    <w:p>
      <w:pPr>
        <w:pStyle w:val="Heading3"/>
        <w:keepLines/>
        <w:spacing w:after="120"/>
        <w:jc w:val="left"/>
      </w:pPr>
      <w:r>
        <w:rPr>
          <w:sz w:val="20"/>
        </w:rPr>
        <w:t xml:space="preserve">v0.6 — Scaling, Storage und Knowledge Intake</w:t>
      </w:r>
    </w:p>
    <w:p>
      <w:pPr>
        <w:pStyle w:val="FirstParagraph"/>
        <w:keepLines/>
        <w:spacing w:after="120"/>
        <w:jc w:val="left"/>
      </w:pPr>
      <w:r>
        <w:rPr>
          <w:b/>
          <w:bCs/>
          <w:sz w:val="20"/>
        </w:rPr>
        <w:t xml:space="preserve">Ziele</w:t>
      </w:r>
    </w:p>
    <w:p>
      <w:pPr>
        <w:keepLines/>
        <w:numPr>
          <w:ilvl w:val="0"/>
          <w:numId w:val="1058"/>
        </w:numPr>
        <w:spacing w:after="30" w:line="247" w:lineRule="auto"/>
        <w:jc w:val="left"/>
      </w:pPr>
      <w:r>
        <w:rPr>
          <w:sz w:val="20"/>
        </w:rPr>
        <w:t xml:space="preserve">sparse arrayorientierter Zustand;</w:t>
      </w:r>
    </w:p>
    <w:p>
      <w:pPr>
        <w:keepLines/>
        <w:numPr>
          <w:ilvl w:val="0"/>
          <w:numId w:val="1058"/>
        </w:numPr>
        <w:spacing w:after="30" w:line="247" w:lineRule="auto"/>
        <w:jc w:val="left"/>
      </w:pPr>
      <w:r>
        <w:rPr>
          <w:sz w:val="20"/>
        </w:rPr>
        <w:t xml:space="preserve">chunked snapshots, dirty tracking und Delta-Log;</w:t>
      </w:r>
    </w:p>
    <w:p>
      <w:pPr>
        <w:keepLines/>
        <w:numPr>
          <w:ilvl w:val="0"/>
          <w:numId w:val="1058"/>
        </w:numPr>
        <w:spacing w:after="30" w:line="247" w:lineRule="auto"/>
        <w:jc w:val="left"/>
      </w:pPr>
      <w:r>
        <w:rPr>
          <w:sz w:val="20"/>
        </w:rPr>
        <w:t xml:space="preserve">SourceRecord/KnowledgeItem-Provenienz;</w:t>
      </w:r>
    </w:p>
    <w:p>
      <w:pPr>
        <w:keepLines/>
        <w:numPr>
          <w:ilvl w:val="0"/>
          <w:numId w:val="1058"/>
        </w:numPr>
        <w:spacing w:after="30" w:line="247" w:lineRule="auto"/>
        <w:jc w:val="left"/>
      </w:pPr>
      <w:r>
        <w:rPr>
          <w:sz w:val="20"/>
        </w:rPr>
        <w:t xml:space="preserve">Registry-Basis;</w:t>
      </w:r>
    </w:p>
    <w:p>
      <w:pPr>
        <w:keepLines/>
        <w:numPr>
          <w:ilvl w:val="0"/>
          <w:numId w:val="1058"/>
        </w:numPr>
        <w:spacing w:after="30" w:line="247" w:lineRule="auto"/>
        <w:jc w:val="left"/>
      </w:pPr>
      <w:r>
        <w:rPr>
          <w:sz w:val="20"/>
        </w:rPr>
        <w:t xml:space="preserve">Benchmarks bis zu mehreren Größenordnungen.</w:t>
      </w:r>
    </w:p>
    <w:p>
      <w:pPr>
        <w:pStyle w:val="FirstParagraph"/>
        <w:keepLines/>
        <w:spacing w:after="120"/>
        <w:jc w:val="left"/>
      </w:pPr>
      <w:r>
        <w:rPr>
          <w:b/>
          <w:bCs/>
          <w:sz w:val="20"/>
        </w:rPr>
        <w:t xml:space="preserve">Exit Gate</w:t>
      </w:r>
    </w:p>
    <w:p>
      <w:pPr>
        <w:keepLines/>
        <w:numPr>
          <w:ilvl w:val="0"/>
          <w:numId w:val="1059"/>
        </w:numPr>
        <w:spacing w:after="30" w:line="247" w:lineRule="auto"/>
        <w:jc w:val="left"/>
      </w:pPr>
      <w:r>
        <w:rPr>
          <w:sz w:val="20"/>
        </w:rPr>
        <w:t xml:space="preserve">definierte State-, Temporal- und Structural-Fidelity;</w:t>
      </w:r>
    </w:p>
    <w:p>
      <w:pPr>
        <w:keepLines/>
        <w:numPr>
          <w:ilvl w:val="0"/>
          <w:numId w:val="1059"/>
        </w:numPr>
        <w:spacing w:after="30" w:line="247" w:lineRule="auto"/>
        <w:jc w:val="left"/>
      </w:pPr>
      <w:r>
        <w:rPr>
          <w:sz w:val="20"/>
        </w:rPr>
        <w:t xml:space="preserve">reproduzierbarer Restore kleiner und mittlerer Läufe;</w:t>
      </w:r>
    </w:p>
    <w:p>
      <w:pPr>
        <w:keepLines/>
        <w:numPr>
          <w:ilvl w:val="0"/>
          <w:numId w:val="1059"/>
        </w:numPr>
        <w:spacing w:after="30" w:line="247" w:lineRule="auto"/>
        <w:jc w:val="left"/>
      </w:pPr>
      <w:r>
        <w:rPr>
          <w:sz w:val="20"/>
        </w:rPr>
        <w:t xml:space="preserve">Storage- und Scaling-Bericht;</w:t>
      </w:r>
    </w:p>
    <w:p>
      <w:pPr>
        <w:keepLines/>
        <w:numPr>
          <w:ilvl w:val="0"/>
          <w:numId w:val="1059"/>
        </w:numPr>
        <w:spacing w:after="30" w:line="247" w:lineRule="auto"/>
        <w:jc w:val="left"/>
      </w:pPr>
      <w:r>
        <w:rPr>
          <w:sz w:val="20"/>
        </w:rPr>
        <w:t xml:space="preserve">KnowledgeItem kann bis zum Stimulus und Ergebnis verfolgt werden.</w:t>
      </w:r>
    </w:p>
    <w:bookmarkEnd w:id="541"/>
    <w:bookmarkStart w:id="542" w:name="v0.7-controlled-learning"/>
    <w:p>
      <w:pPr>
        <w:pStyle w:val="Heading3"/>
        <w:keepLines/>
        <w:spacing w:after="120"/>
        <w:jc w:val="left"/>
      </w:pPr>
      <w:r>
        <w:rPr>
          <w:sz w:val="20"/>
        </w:rPr>
        <w:t xml:space="preserve">v0.7 — Controlled Learning</w:t>
      </w:r>
    </w:p>
    <w:p>
      <w:pPr>
        <w:pStyle w:val="FirstParagraph"/>
        <w:keepLines/>
        <w:spacing w:after="120"/>
        <w:jc w:val="left"/>
      </w:pPr>
      <w:r>
        <w:rPr>
          <w:b/>
          <w:bCs/>
          <w:sz w:val="20"/>
        </w:rPr>
        <w:t xml:space="preserve">Ziele</w:t>
      </w:r>
    </w:p>
    <w:p>
      <w:pPr>
        <w:keepLines/>
        <w:numPr>
          <w:ilvl w:val="0"/>
          <w:numId w:val="1060"/>
        </w:numPr>
        <w:spacing w:after="30" w:line="247" w:lineRule="auto"/>
        <w:jc w:val="left"/>
      </w:pPr>
      <w:r>
        <w:rPr>
          <w:sz w:val="20"/>
        </w:rPr>
        <w:t xml:space="preserve">KnowledgeEpisode;</w:t>
      </w:r>
    </w:p>
    <w:p>
      <w:pPr>
        <w:keepLines/>
        <w:numPr>
          <w:ilvl w:val="0"/>
          <w:numId w:val="1060"/>
        </w:numPr>
        <w:spacing w:after="30" w:line="247" w:lineRule="auto"/>
        <w:jc w:val="left"/>
      </w:pPr>
      <w:r>
        <w:rPr>
          <w:sz w:val="20"/>
        </w:rPr>
        <w:t xml:space="preserve">isolierte Train-/Eval-Phasen;</w:t>
      </w:r>
    </w:p>
    <w:p>
      <w:pPr>
        <w:keepLines/>
        <w:numPr>
          <w:ilvl w:val="0"/>
          <w:numId w:val="1060"/>
        </w:numPr>
        <w:spacing w:after="30" w:line="247" w:lineRule="auto"/>
        <w:jc w:val="left"/>
      </w:pPr>
      <w:r>
        <w:rPr>
          <w:sz w:val="20"/>
        </w:rPr>
        <w:t xml:space="preserve">delayed reward und Three-Factor Learning;</w:t>
      </w:r>
    </w:p>
    <w:p>
      <w:pPr>
        <w:keepLines/>
        <w:numPr>
          <w:ilvl w:val="0"/>
          <w:numId w:val="1060"/>
        </w:numPr>
        <w:spacing w:after="30" w:line="247" w:lineRule="auto"/>
        <w:jc w:val="left"/>
      </w:pPr>
      <w:r>
        <w:rPr>
          <w:sz w:val="20"/>
        </w:rPr>
        <w:t xml:space="preserve">Retention, Widerspruch und Continual-Learning-Benchmarks;</w:t>
      </w:r>
    </w:p>
    <w:p>
      <w:pPr>
        <w:keepLines/>
        <w:numPr>
          <w:ilvl w:val="0"/>
          <w:numId w:val="1060"/>
        </w:numPr>
        <w:spacing w:after="30" w:line="247" w:lineRule="auto"/>
        <w:jc w:val="left"/>
      </w:pPr>
      <w:r>
        <w:rPr>
          <w:sz w:val="20"/>
        </w:rPr>
        <w:t xml:space="preserve">erste E2-Claims.</w:t>
      </w:r>
    </w:p>
    <w:p>
      <w:pPr>
        <w:pStyle w:val="FirstParagraph"/>
        <w:keepLines/>
        <w:spacing w:after="120"/>
        <w:jc w:val="left"/>
      </w:pPr>
      <w:r>
        <w:rPr>
          <w:b/>
          <w:bCs/>
          <w:sz w:val="20"/>
        </w:rPr>
        <w:t xml:space="preserve">Exit Gate</w:t>
      </w:r>
    </w:p>
    <w:p>
      <w:pPr>
        <w:keepLines/>
        <w:numPr>
          <w:ilvl w:val="0"/>
          <w:numId w:val="1061"/>
        </w:numPr>
        <w:spacing w:after="30" w:line="247" w:lineRule="auto"/>
        <w:jc w:val="left"/>
      </w:pPr>
      <w:r>
        <w:rPr>
          <w:sz w:val="20"/>
        </w:rPr>
        <w:t xml:space="preserve">mindestens ein präregistrierter, replizierter E2-Funktionsnachweis;</w:t>
      </w:r>
    </w:p>
    <w:p>
      <w:pPr>
        <w:keepLines/>
        <w:numPr>
          <w:ilvl w:val="0"/>
          <w:numId w:val="1061"/>
        </w:numPr>
        <w:spacing w:after="30" w:line="247" w:lineRule="auto"/>
        <w:jc w:val="left"/>
      </w:pPr>
      <w:r>
        <w:rPr>
          <w:sz w:val="20"/>
        </w:rPr>
        <w:t xml:space="preserve">vollständige Null- und Retrieval-Isolation;</w:t>
      </w:r>
    </w:p>
    <w:p>
      <w:pPr>
        <w:keepLines/>
        <w:numPr>
          <w:ilvl w:val="0"/>
          <w:numId w:val="1061"/>
        </w:numPr>
        <w:spacing w:after="30" w:line="247" w:lineRule="auto"/>
        <w:jc w:val="left"/>
      </w:pPr>
      <w:r>
        <w:rPr>
          <w:sz w:val="20"/>
        </w:rPr>
        <w:t xml:space="preserve">veröffentlichbares Reproduktionspaket.</w:t>
      </w:r>
    </w:p>
    <w:bookmarkEnd w:id="542"/>
    <w:bookmarkStart w:id="543" w:name="v0.8-embodiment"/>
    <w:p>
      <w:pPr>
        <w:pStyle w:val="Heading3"/>
        <w:keepLines/>
        <w:spacing w:after="120"/>
        <w:jc w:val="left"/>
      </w:pPr>
      <w:r>
        <w:rPr>
          <w:sz w:val="20"/>
        </w:rPr>
        <w:t xml:space="preserve">v0.8 — Embodiment</w:t>
      </w:r>
    </w:p>
    <w:p>
      <w:pPr>
        <w:pStyle w:val="FirstParagraph"/>
        <w:keepLines/>
        <w:spacing w:after="120"/>
        <w:jc w:val="left"/>
      </w:pPr>
      <w:r>
        <w:rPr>
          <w:b/>
          <w:bCs/>
          <w:sz w:val="20"/>
        </w:rPr>
        <w:t xml:space="preserve">Ziele</w:t>
      </w:r>
    </w:p>
    <w:p>
      <w:pPr>
        <w:keepLines/>
        <w:numPr>
          <w:ilvl w:val="0"/>
          <w:numId w:val="1062"/>
        </w:numPr>
        <w:spacing w:after="30" w:line="247" w:lineRule="auto"/>
        <w:jc w:val="left"/>
      </w:pPr>
      <w:r>
        <w:rPr>
          <w:sz w:val="20"/>
        </w:rPr>
        <w:t xml:space="preserve">multimodale Sensoren und Aktoren;</w:t>
      </w:r>
    </w:p>
    <w:p>
      <w:pPr>
        <w:keepLines/>
        <w:numPr>
          <w:ilvl w:val="0"/>
          <w:numId w:val="1062"/>
        </w:numPr>
        <w:spacing w:after="30" w:line="247" w:lineRule="auto"/>
        <w:jc w:val="left"/>
      </w:pPr>
      <w:r>
        <w:rPr>
          <w:sz w:val="20"/>
        </w:rPr>
        <w:t xml:space="preserve">Open-, Yoked- und Closed-Loop-Design;</w:t>
      </w:r>
    </w:p>
    <w:p>
      <w:pPr>
        <w:keepLines/>
        <w:numPr>
          <w:ilvl w:val="0"/>
          <w:numId w:val="1062"/>
        </w:numPr>
        <w:spacing w:after="30" w:line="247" w:lineRule="auto"/>
        <w:jc w:val="left"/>
      </w:pPr>
      <w:r>
        <w:rPr>
          <w:sz w:val="20"/>
        </w:rPr>
        <w:t xml:space="preserve">Zeitsynchronisation;</w:t>
      </w:r>
    </w:p>
    <w:p>
      <w:pPr>
        <w:keepLines/>
        <w:numPr>
          <w:ilvl w:val="0"/>
          <w:numId w:val="1062"/>
        </w:numPr>
        <w:spacing w:after="30" w:line="247" w:lineRule="auto"/>
        <w:jc w:val="left"/>
      </w:pPr>
      <w:r>
        <w:rPr>
          <w:sz w:val="20"/>
        </w:rPr>
        <w:t xml:space="preserve">Policy- und Safety-Gates;</w:t>
      </w:r>
    </w:p>
    <w:p>
      <w:pPr>
        <w:keepLines/>
        <w:numPr>
          <w:ilvl w:val="0"/>
          <w:numId w:val="1062"/>
        </w:numPr>
        <w:spacing w:after="30" w:line="247" w:lineRule="auto"/>
        <w:jc w:val="left"/>
      </w:pPr>
      <w:r>
        <w:rPr>
          <w:sz w:val="20"/>
        </w:rPr>
        <w:t xml:space="preserve">Environment-Forks.</w:t>
      </w:r>
    </w:p>
    <w:p>
      <w:pPr>
        <w:pStyle w:val="FirstParagraph"/>
        <w:keepLines/>
        <w:spacing w:after="120"/>
        <w:jc w:val="left"/>
      </w:pPr>
      <w:r>
        <w:rPr>
          <w:b/>
          <w:bCs/>
          <w:sz w:val="20"/>
        </w:rPr>
        <w:t xml:space="preserve">Exit Gate</w:t>
      </w:r>
    </w:p>
    <w:p>
      <w:pPr>
        <w:keepLines/>
        <w:numPr>
          <w:ilvl w:val="0"/>
          <w:numId w:val="1063"/>
        </w:numPr>
        <w:spacing w:after="30" w:line="247" w:lineRule="auto"/>
        <w:jc w:val="left"/>
      </w:pPr>
      <w:r>
        <w:rPr>
          <w:sz w:val="20"/>
        </w:rPr>
        <w:t xml:space="preserve">kein ungeprüfter Aktorpfad;</w:t>
      </w:r>
    </w:p>
    <w:p>
      <w:pPr>
        <w:keepLines/>
        <w:numPr>
          <w:ilvl w:val="0"/>
          <w:numId w:val="1063"/>
        </w:numPr>
        <w:spacing w:after="30" w:line="247" w:lineRule="auto"/>
        <w:jc w:val="left"/>
      </w:pPr>
      <w:r>
        <w:rPr>
          <w:sz w:val="20"/>
        </w:rPr>
        <w:t xml:space="preserve">Closed-Loop-Effekt gegenüber Yoked Control ausgewertet;</w:t>
      </w:r>
    </w:p>
    <w:p>
      <w:pPr>
        <w:keepLines/>
        <w:numPr>
          <w:ilvl w:val="0"/>
          <w:numId w:val="1063"/>
        </w:numPr>
        <w:spacing w:after="30" w:line="247" w:lineRule="auto"/>
        <w:jc w:val="left"/>
      </w:pPr>
      <w:r>
        <w:rPr>
          <w:sz w:val="20"/>
        </w:rPr>
        <w:t xml:space="preserve">Sensor- und Aktuatorausfall sicher behandelt.</w:t>
      </w:r>
    </w:p>
    <w:bookmarkEnd w:id="543"/>
    <w:bookmarkStart w:id="544" w:name="X96d03a0aff2413bd4041c3318c84b7d641dd701"/>
    <w:p>
      <w:pPr>
        <w:pStyle w:val="Heading3"/>
        <w:keepLines/>
        <w:spacing w:after="120"/>
        <w:jc w:val="left"/>
      </w:pPr>
      <w:r>
        <w:rPr>
          <w:sz w:val="20"/>
        </w:rPr>
        <w:t xml:space="preserve">v0.9 — Candidate Internal Predictive State Model</w:t>
      </w:r>
    </w:p>
    <w:p>
      <w:pPr>
        <w:pStyle w:val="FirstParagraph"/>
        <w:keepLines/>
        <w:spacing w:after="120"/>
        <w:jc w:val="left"/>
      </w:pPr>
      <w:r>
        <w:rPr>
          <w:b/>
          <w:bCs/>
          <w:sz w:val="20"/>
        </w:rPr>
        <w:t xml:space="preserve">Ziele</w:t>
      </w:r>
    </w:p>
    <w:p>
      <w:pPr>
        <w:keepLines/>
        <w:numPr>
          <w:ilvl w:val="0"/>
          <w:numId w:val="1064"/>
        </w:numPr>
        <w:spacing w:after="30" w:line="247" w:lineRule="auto"/>
        <w:jc w:val="left"/>
      </w:pPr>
      <w:r>
        <w:rPr>
          <w:sz w:val="20"/>
        </w:rPr>
        <w:t xml:space="preserve">action-konditionierte Vorhersage;</w:t>
      </w:r>
    </w:p>
    <w:p>
      <w:pPr>
        <w:keepLines/>
        <w:numPr>
          <w:ilvl w:val="0"/>
          <w:numId w:val="1064"/>
        </w:numPr>
        <w:spacing w:after="30" w:line="247" w:lineRule="auto"/>
        <w:jc w:val="left"/>
      </w:pPr>
      <w:r>
        <w:rPr>
          <w:sz w:val="20"/>
        </w:rPr>
        <w:t xml:space="preserve">Multi-Step-Rollouts;</w:t>
      </w:r>
    </w:p>
    <w:p>
      <w:pPr>
        <w:keepLines/>
        <w:numPr>
          <w:ilvl w:val="0"/>
          <w:numId w:val="1064"/>
        </w:numPr>
        <w:spacing w:after="30" w:line="247" w:lineRule="auto"/>
        <w:jc w:val="left"/>
      </w:pPr>
      <w:r>
        <w:rPr>
          <w:sz w:val="20"/>
        </w:rPr>
        <w:t xml:space="preserve">prädiktive Zustandsdekodierung;</w:t>
      </w:r>
    </w:p>
    <w:p>
      <w:pPr>
        <w:keepLines/>
        <w:numPr>
          <w:ilvl w:val="0"/>
          <w:numId w:val="1064"/>
        </w:numPr>
        <w:spacing w:after="30" w:line="247" w:lineRule="auto"/>
        <w:jc w:val="left"/>
      </w:pPr>
      <w:r>
        <w:rPr>
          <w:sz w:val="20"/>
        </w:rPr>
        <w:t xml:space="preserve">Läsion und Verhaltensnutzen;</w:t>
      </w:r>
    </w:p>
    <w:p>
      <w:pPr>
        <w:keepLines/>
        <w:numPr>
          <w:ilvl w:val="0"/>
          <w:numId w:val="1064"/>
        </w:numPr>
        <w:spacing w:after="30" w:line="247" w:lineRule="auto"/>
        <w:jc w:val="left"/>
      </w:pPr>
      <w:r>
        <w:rPr>
          <w:sz w:val="20"/>
        </w:rPr>
        <w:t xml:space="preserve">keine vorzeitige „World Model”-Behauptung.</w:t>
      </w:r>
    </w:p>
    <w:p>
      <w:pPr>
        <w:pStyle w:val="FirstParagraph"/>
        <w:keepLines/>
        <w:spacing w:after="120"/>
        <w:jc w:val="left"/>
      </w:pPr>
      <w:r>
        <w:rPr>
          <w:b/>
          <w:bCs/>
          <w:sz w:val="20"/>
        </w:rPr>
        <w:t xml:space="preserve">Exit Gate</w:t>
      </w:r>
    </w:p>
    <w:p>
      <w:pPr>
        <w:keepLines/>
        <w:numPr>
          <w:ilvl w:val="0"/>
          <w:numId w:val="1065"/>
        </w:numPr>
        <w:spacing w:after="30" w:line="247" w:lineRule="auto"/>
        <w:jc w:val="left"/>
      </w:pPr>
      <w:r>
        <w:rPr>
          <w:sz w:val="20"/>
        </w:rPr>
        <w:t xml:space="preserve">inkrementelle Zukunftsinformation über aktuellen Input hinaus;</w:t>
      </w:r>
    </w:p>
    <w:p>
      <w:pPr>
        <w:keepLines/>
        <w:numPr>
          <w:ilvl w:val="0"/>
          <w:numId w:val="1065"/>
        </w:numPr>
        <w:spacing w:after="30" w:line="247" w:lineRule="auto"/>
        <w:jc w:val="left"/>
      </w:pPr>
      <w:r>
        <w:rPr>
          <w:sz w:val="20"/>
        </w:rPr>
        <w:t xml:space="preserve">reproduzierbarer Verhaltensnutzen;</w:t>
      </w:r>
    </w:p>
    <w:p>
      <w:pPr>
        <w:keepLines/>
        <w:numPr>
          <w:ilvl w:val="0"/>
          <w:numId w:val="1065"/>
        </w:numPr>
        <w:spacing w:after="30" w:line="247" w:lineRule="auto"/>
        <w:jc w:val="left"/>
      </w:pPr>
      <w:r>
        <w:rPr>
          <w:sz w:val="20"/>
        </w:rPr>
        <w:t xml:space="preserve">spezifischer Ablationseffekt;</w:t>
      </w:r>
    </w:p>
    <w:p>
      <w:pPr>
        <w:keepLines/>
        <w:numPr>
          <w:ilvl w:val="0"/>
          <w:numId w:val="1065"/>
        </w:numPr>
        <w:spacing w:after="30" w:line="247" w:lineRule="auto"/>
        <w:jc w:val="left"/>
      </w:pPr>
      <w:r>
        <w:rPr>
          <w:sz w:val="20"/>
        </w:rPr>
        <w:t xml:space="preserve">dokumentierte Grenzen und Fehlermodi.</w:t>
      </w:r>
    </w:p>
    <w:bookmarkEnd w:id="544"/>
    <w:bookmarkStart w:id="545" w:name="v1.0-validated-research-platform"/>
    <w:p>
      <w:pPr>
        <w:pStyle w:val="Heading3"/>
        <w:keepLines/>
        <w:spacing w:after="120"/>
        <w:jc w:val="left"/>
      </w:pPr>
      <w:r>
        <w:rPr>
          <w:sz w:val="20"/>
        </w:rPr>
        <w:t xml:space="preserve">v1.0 — Validated Research Platform</w:t>
      </w:r>
    </w:p>
    <w:p>
      <w:pPr>
        <w:pStyle w:val="FirstParagraph"/>
        <w:keepLines/>
        <w:spacing w:after="120"/>
        <w:jc w:val="left"/>
      </w:pPr>
      <w:r>
        <w:rPr>
          <w:sz w:val="20"/>
        </w:rPr>
        <w:t xml:space="preserve">Eine Version 1.0 bezeichnet nicht allgemeine Intelligenz. Sie setzt voraus:</w:t>
      </w:r>
    </w:p>
    <w:p>
      <w:pPr>
        <w:keepLines/>
        <w:numPr>
          <w:ilvl w:val="0"/>
          <w:numId w:val="1066"/>
        </w:numPr>
        <w:spacing w:after="30" w:line="247" w:lineRule="auto"/>
        <w:jc w:val="left"/>
      </w:pPr>
      <w:r>
        <w:rPr>
          <w:sz w:val="20"/>
        </w:rPr>
        <w:t xml:space="preserve">stabile Daten- und Architekturverträge;</w:t>
      </w:r>
    </w:p>
    <w:p>
      <w:pPr>
        <w:keepLines/>
        <w:numPr>
          <w:ilvl w:val="0"/>
          <w:numId w:val="1066"/>
        </w:numPr>
        <w:spacing w:after="30" w:line="247" w:lineRule="auto"/>
        <w:jc w:val="left"/>
      </w:pPr>
      <w:r>
        <w:rPr>
          <w:sz w:val="20"/>
        </w:rPr>
        <w:t xml:space="preserve">vollständige Reproduzierbarkeit zentraler Benchmarks;</w:t>
      </w:r>
    </w:p>
    <w:p>
      <w:pPr>
        <w:keepLines/>
        <w:numPr>
          <w:ilvl w:val="0"/>
          <w:numId w:val="1066"/>
        </w:numPr>
        <w:spacing w:after="30" w:line="247" w:lineRule="auto"/>
        <w:jc w:val="left"/>
      </w:pPr>
      <w:r>
        <w:rPr>
          <w:sz w:val="20"/>
        </w:rPr>
        <w:t xml:space="preserve">mehrere E2- und mindestens ausgewählte E3-Claims;</w:t>
      </w:r>
    </w:p>
    <w:p>
      <w:pPr>
        <w:keepLines/>
        <w:numPr>
          <w:ilvl w:val="0"/>
          <w:numId w:val="1066"/>
        </w:numPr>
        <w:spacing w:after="30" w:line="247" w:lineRule="auto"/>
        <w:jc w:val="left"/>
      </w:pPr>
      <w:r>
        <w:rPr>
          <w:sz w:val="20"/>
        </w:rPr>
        <w:t xml:space="preserve">externe oder unabhängige Replikationsversuche;</w:t>
      </w:r>
    </w:p>
    <w:p>
      <w:pPr>
        <w:keepLines/>
        <w:numPr>
          <w:ilvl w:val="0"/>
          <w:numId w:val="1066"/>
        </w:numPr>
        <w:spacing w:after="30" w:line="247" w:lineRule="auto"/>
        <w:jc w:val="left"/>
      </w:pPr>
      <w:r>
        <w:rPr>
          <w:sz w:val="20"/>
        </w:rPr>
        <w:t xml:space="preserve">dokumentierte Security-, Safety- und Governance-Prozesse;</w:t>
      </w:r>
    </w:p>
    <w:p>
      <w:pPr>
        <w:keepLines/>
        <w:numPr>
          <w:ilvl w:val="0"/>
          <w:numId w:val="1066"/>
        </w:numPr>
        <w:spacing w:after="30" w:line="247" w:lineRule="auto"/>
        <w:jc w:val="left"/>
      </w:pPr>
      <w:r>
        <w:rPr>
          <w:sz w:val="20"/>
        </w:rPr>
        <w:t xml:space="preserve">archivierten Release mit persistentem Identifikator.</w:t>
      </w:r>
    </w:p>
    <w:bookmarkEnd w:id="545"/>
    <w:bookmarkEnd w:id="546"/>
    <w:bookmarkStart w:id="547" w:name="dokumenthierarchie"/>
    <w:p>
      <w:pPr>
        <w:pStyle w:val="Heading2"/>
      </w:pPr>
      <w:r>
        <w:t xml:space="preserve">Dokumenthierarchie</w:t>
      </w:r>
    </w:p>
    <w:p>
      <w:pPr>
        <w:pStyle w:val="FirstParagraph"/>
        <w:keepLines/>
        <w:spacing w:after="120"/>
        <w:jc w:val="left"/>
      </w:pPr>
      <w:r>
        <w:rPr>
          <w:sz w:val="20"/>
        </w:rPr>
        <w:t xml:space="preserve">Das vorliegende Framework bleibt die wissenschaftliche Klammer. Mathematische und experimentelle Vertiefungen werden ausgelagert:</w:t>
      </w:r>
    </w:p>
    <w:p>
      <w:pPr>
        <w:pStyle w:val="SourceCode"/>
        <w:keepNext w:val="0"/>
        <w:keepLines/>
        <w:spacing w:after="120"/>
        <w:jc w:val="left"/>
      </w:pPr>
      <w:r>
        <w:rPr>
          <w:rStyle w:val="VerbatimChar"/>
          <w:sz w:val="20"/>
        </w:rPr>
        <w:t xml:space="preserve">Brain-5D Scientific Framework</w:t>
      </w:r>
      <w:r>
        <w:rPr>
          <w:sz w:val="20"/>
        </w:rPr>
        <w:br/>
      </w:r>
      <w:r>
        <w:rPr>
          <w:rStyle w:val="VerbatimChar"/>
          <w:sz w:val="20"/>
        </w:rPr>
        <w:t xml:space="preserve">│</w:t>
      </w:r>
      <w:r>
        <w:rPr>
          <w:sz w:val="20"/>
        </w:rPr>
        <w:br/>
      </w:r>
      <w:r>
        <w:rPr>
          <w:rStyle w:val="VerbatimChar"/>
          <w:sz w:val="20"/>
        </w:rPr>
        <w:t xml:space="preserve">├── 01 Mathematical Foundations</w:t>
      </w:r>
      <w:r>
        <w:rPr>
          <w:sz w:val="20"/>
        </w:rPr>
        <w:br/>
      </w:r>
      <w:r>
        <w:rPr>
          <w:rStyle w:val="VerbatimChar"/>
          <w:sz w:val="20"/>
        </w:rPr>
        <w:t xml:space="preserve">│   ├── Hybrid Dynamical Systems</w:t>
      </w:r>
      <w:r>
        <w:rPr>
          <w:sz w:val="20"/>
        </w:rPr>
        <w:br/>
      </w:r>
      <w:r>
        <w:rPr>
          <w:rStyle w:val="VerbatimChar"/>
          <w:sz w:val="20"/>
        </w:rPr>
        <w:t xml:space="preserve">│   ├── Stability and Lyapunov Analysis</w:t>
      </w:r>
      <w:r>
        <w:rPr>
          <w:sz w:val="20"/>
        </w:rPr>
        <w:br/>
      </w:r>
      <w:r>
        <w:rPr>
          <w:rStyle w:val="VerbatimChar"/>
          <w:sz w:val="20"/>
        </w:rPr>
        <w:t xml:space="preserve">│   ├── Bifurcation and Phase Diagrams</w:t>
      </w:r>
      <w:r>
        <w:rPr>
          <w:sz w:val="20"/>
        </w:rPr>
        <w:br/>
      </w:r>
      <w:r>
        <w:rPr>
          <w:rStyle w:val="VerbatimChar"/>
          <w:sz w:val="20"/>
        </w:rPr>
        <w:t xml:space="preserve">│   └── Mean-Field and Reduced Models</w:t>
      </w:r>
      <w:r>
        <w:rPr>
          <w:sz w:val="20"/>
        </w:rPr>
        <w:br/>
      </w:r>
      <w:r>
        <w:rPr>
          <w:rStyle w:val="VerbatimChar"/>
          <w:sz w:val="20"/>
        </w:rPr>
        <w:t xml:space="preserve">│</w:t>
      </w:r>
      <w:r>
        <w:rPr>
          <w:sz w:val="20"/>
        </w:rPr>
        <w:br/>
      </w:r>
      <w:r>
        <w:rPr>
          <w:rStyle w:val="VerbatimChar"/>
          <w:sz w:val="20"/>
        </w:rPr>
        <w:t xml:space="preserve">├── 02 5D Geometry</w:t>
      </w:r>
      <w:r>
        <w:rPr>
          <w:sz w:val="20"/>
        </w:rPr>
        <w:br/>
      </w:r>
      <w:r>
        <w:rPr>
          <w:rStyle w:val="VerbatimChar"/>
          <w:sz w:val="20"/>
        </w:rPr>
        <w:t xml:space="preserve">│   ├── Metric Space and Boundary Conditions</w:t>
      </w:r>
      <w:r>
        <w:rPr>
          <w:sz w:val="20"/>
        </w:rPr>
        <w:br/>
      </w:r>
      <w:r>
        <w:rPr>
          <w:rStyle w:val="VerbatimChar"/>
          <w:sz w:val="20"/>
        </w:rPr>
        <w:t xml:space="preserve">│   ├── Learned Geometry</w:t>
      </w:r>
      <w:r>
        <w:rPr>
          <w:sz w:val="20"/>
        </w:rPr>
        <w:br/>
      </w:r>
      <w:r>
        <w:rPr>
          <w:rStyle w:val="VerbatimChar"/>
          <w:sz w:val="20"/>
        </w:rPr>
        <w:t xml:space="preserve">│   ├── Dynamic Graph Topology</w:t>
      </w:r>
      <w:r>
        <w:rPr>
          <w:sz w:val="20"/>
        </w:rPr>
        <w:br/>
      </w:r>
      <w:r>
        <w:rPr>
          <w:rStyle w:val="VerbatimChar"/>
          <w:sz w:val="20"/>
        </w:rPr>
        <w:t xml:space="preserve">│   └── Dimensional Ablation</w:t>
      </w:r>
      <w:r>
        <w:rPr>
          <w:sz w:val="20"/>
        </w:rPr>
        <w:br/>
      </w:r>
      <w:r>
        <w:rPr>
          <w:rStyle w:val="VerbatimChar"/>
          <w:sz w:val="20"/>
        </w:rPr>
        <w:t xml:space="preserve">│</w:t>
      </w:r>
      <w:r>
        <w:rPr>
          <w:sz w:val="20"/>
        </w:rPr>
        <w:br/>
      </w:r>
      <w:r>
        <w:rPr>
          <w:rStyle w:val="VerbatimChar"/>
          <w:sz w:val="20"/>
        </w:rPr>
        <w:t xml:space="preserve">├── 03 Neural Dynamics</w:t>
      </w:r>
      <w:r>
        <w:rPr>
          <w:sz w:val="20"/>
        </w:rPr>
        <w:br/>
      </w:r>
      <w:r>
        <w:rPr>
          <w:rStyle w:val="VerbatimChar"/>
          <w:sz w:val="20"/>
        </w:rPr>
        <w:t xml:space="preserve">├── 04 Plasticity, Homeostasis and Metaplasticity</w:t>
      </w:r>
      <w:r>
        <w:rPr>
          <w:sz w:val="20"/>
        </w:rPr>
        <w:br/>
      </w:r>
      <w:r>
        <w:rPr>
          <w:rStyle w:val="VerbatimChar"/>
          <w:sz w:val="20"/>
        </w:rPr>
        <w:t xml:space="preserve">├── 05 Structural Plasticity and Neurogenesis</w:t>
      </w:r>
      <w:r>
        <w:rPr>
          <w:sz w:val="20"/>
        </w:rPr>
        <w:br/>
      </w:r>
      <w:r>
        <w:rPr>
          <w:rStyle w:val="VerbatimChar"/>
          <w:sz w:val="20"/>
        </w:rPr>
        <w:t xml:space="preserve">├── 06 Representation and Information Theory</w:t>
      </w:r>
      <w:r>
        <w:rPr>
          <w:sz w:val="20"/>
        </w:rPr>
        <w:br/>
      </w:r>
      <w:r>
        <w:rPr>
          <w:rStyle w:val="VerbatimChar"/>
          <w:sz w:val="20"/>
        </w:rPr>
        <w:t xml:space="preserve">├── 07 Memory and Continual Learning</w:t>
      </w:r>
      <w:r>
        <w:rPr>
          <w:sz w:val="20"/>
        </w:rPr>
        <w:br/>
      </w:r>
      <w:r>
        <w:rPr>
          <w:rStyle w:val="VerbatimChar"/>
          <w:sz w:val="20"/>
        </w:rPr>
        <w:t xml:space="preserve">├── 08 Language Organ</w:t>
      </w:r>
      <w:r>
        <w:rPr>
          <w:sz w:val="20"/>
        </w:rPr>
        <w:br/>
      </w:r>
      <w:r>
        <w:rPr>
          <w:rStyle w:val="VerbatimChar"/>
          <w:sz w:val="20"/>
        </w:rPr>
        <w:t xml:space="preserve">├── 09 Knowledge Intake and Provenance</w:t>
      </w:r>
      <w:r>
        <w:rPr>
          <w:sz w:val="20"/>
        </w:rPr>
        <w:br/>
      </w:r>
      <w:r>
        <w:rPr>
          <w:rStyle w:val="VerbatimChar"/>
          <w:sz w:val="20"/>
        </w:rPr>
        <w:t xml:space="preserve">├── 10 Embodiment and Safety</w:t>
      </w:r>
      <w:r>
        <w:rPr>
          <w:sz w:val="20"/>
        </w:rPr>
        <w:br/>
      </w:r>
      <w:r>
        <w:rPr>
          <w:rStyle w:val="VerbatimChar"/>
          <w:sz w:val="20"/>
        </w:rPr>
        <w:t xml:space="preserve">├── 11 Storage and 5D Digital State Twin</w:t>
      </w:r>
      <w:r>
        <w:rPr>
          <w:sz w:val="20"/>
        </w:rPr>
        <w:br/>
      </w:r>
      <w:r>
        <w:rPr>
          <w:rStyle w:val="VerbatimChar"/>
          <w:sz w:val="20"/>
        </w:rPr>
        <w:t xml:space="preserve">├── 12 Experimental Methodology</w:t>
      </w:r>
      <w:r>
        <w:rPr>
          <w:sz w:val="20"/>
        </w:rPr>
        <w:br/>
      </w:r>
      <w:r>
        <w:rPr>
          <w:rStyle w:val="VerbatimChar"/>
          <w:sz w:val="20"/>
        </w:rPr>
        <w:t xml:space="preserve">├── 13 Scaling and Performance</w:t>
      </w:r>
      <w:r>
        <w:rPr>
          <w:sz w:val="20"/>
        </w:rPr>
        <w:br/>
      </w:r>
      <w:r>
        <w:rPr>
          <w:rStyle w:val="VerbatimChar"/>
          <w:sz w:val="20"/>
        </w:rPr>
        <w:t xml:space="preserve">├── 14 Ethics and Governance</w:t>
      </w:r>
      <w:r>
        <w:rPr>
          <w:sz w:val="20"/>
        </w:rPr>
        <w:br/>
      </w:r>
      <w:r>
        <w:rPr>
          <w:rStyle w:val="VerbatimChar"/>
          <w:sz w:val="20"/>
        </w:rPr>
        <w:t xml:space="preserve">└── 15 Results and Evidence Registry</w:t>
      </w:r>
    </w:p>
    <w:p>
      <w:pPr>
        <w:pStyle w:val="FirstParagraph"/>
        <w:keepLines/>
        <w:spacing w:after="120"/>
        <w:jc w:val="left"/>
      </w:pPr>
      <w:r>
        <w:rPr>
          <w:sz w:val="20"/>
        </w:rPr>
        <w:t xml:space="preserve">Das Framework beantwortet</w:t>
      </w:r>
      <w:r>
        <w:rPr>
          <w:sz w:val="20"/>
        </w:rPr>
        <w:t xml:space="preserve"> </w:t>
      </w:r>
      <w:r>
        <w:rPr>
          <w:b/>
          <w:bCs/>
          <w:sz w:val="20"/>
        </w:rPr>
        <w:t xml:space="preserve">was</w:t>
      </w:r>
      <w:r>
        <w:rPr>
          <w:sz w:val="20"/>
        </w:rPr>
        <w:t xml:space="preserve">,</w:t>
      </w:r>
      <w:r>
        <w:rPr>
          <w:sz w:val="20"/>
        </w:rPr>
        <w:t xml:space="preserve"> </w:t>
      </w:r>
      <w:r>
        <w:rPr>
          <w:b/>
          <w:bCs/>
          <w:sz w:val="20"/>
        </w:rPr>
        <w:t xml:space="preserve">warum</w:t>
      </w:r>
      <w:r>
        <w:rPr>
          <w:sz w:val="20"/>
        </w:rPr>
        <w:t xml:space="preserve"> </w:t>
      </w:r>
      <w:r>
        <w:rPr>
          <w:sz w:val="20"/>
        </w:rPr>
        <w:t xml:space="preserve">und</w:t>
      </w:r>
      <w:r>
        <w:rPr>
          <w:sz w:val="20"/>
        </w:rPr>
        <w:t xml:space="preserve"> </w:t>
      </w:r>
      <w:r>
        <w:rPr>
          <w:b/>
          <w:bCs/>
          <w:sz w:val="20"/>
        </w:rPr>
        <w:t xml:space="preserve">wie die Teile zusammenhängen</w:t>
      </w:r>
      <w:r>
        <w:rPr>
          <w:sz w:val="20"/>
        </w:rPr>
        <w:t xml:space="preserve">. Fachpapiere beantworten mathematisch und experimentell</w:t>
      </w:r>
      <w:r>
        <w:rPr>
          <w:sz w:val="20"/>
        </w:rPr>
        <w:t xml:space="preserve"> </w:t>
      </w:r>
      <w:r>
        <w:rPr>
          <w:b/>
          <w:bCs/>
          <w:sz w:val="20"/>
        </w:rPr>
        <w:t xml:space="preserve">wie genau</w:t>
      </w:r>
      <w:r>
        <w:rPr>
          <w:sz w:val="20"/>
        </w:rPr>
        <w:t xml:space="preserve">. Querverweise sollen künftig stabile Dokument-IDs und Paragraphen verwenden.</w:t>
      </w:r>
    </w:p>
    <w:bookmarkEnd w:id="547"/>
    <w:bookmarkStart w:id="551" w:name="literaturstrategie-und-coverage-matrix"/>
    <w:p>
      <w:pPr>
        <w:pStyle w:val="Heading2"/>
      </w:pPr>
      <w:r>
        <w:t xml:space="preserve">Literaturstrategie und Coverage Matrix</w:t>
      </w:r>
    </w:p>
    <w:bookmarkStart w:id="548" w:name="prinzip"/>
    <w:p>
      <w:pPr>
        <w:pStyle w:val="Heading3"/>
        <w:keepLines/>
        <w:spacing w:after="120"/>
        <w:jc w:val="left"/>
      </w:pPr>
      <w:r>
        <w:rPr>
          <w:sz w:val="20"/>
        </w:rPr>
        <w:t xml:space="preserve">Prinzip</w:t>
      </w:r>
    </w:p>
    <w:p>
      <w:pPr>
        <w:pStyle w:val="FirstParagraph"/>
        <w:keepLines/>
        <w:spacing w:after="120"/>
        <w:jc w:val="left"/>
      </w:pPr>
      <w:r>
        <w:rPr>
          <w:sz w:val="20"/>
        </w:rPr>
        <w:t xml:space="preserve">Die Literaturbasis wird nicht über eine Mindestzahl definiert. Für jeden zentralen Mechanismus werden Grundlagen, Schlüsselarbeiten, Reviews, Methoden- und Gegenpositionen erfasst. Eine ausreichende Recherche liegt vor, wenn die Argumentations- und Abgrenzungskette transparent belegt ist.</w:t>
      </w:r>
    </w:p>
    <w:bookmarkEnd w:id="548"/>
    <w:bookmarkStart w:id="549" w:name="coverage-matrix"/>
    <w:p>
      <w:pPr>
        <w:pStyle w:val="Heading3"/>
        <w:keepLines/>
        <w:spacing w:after="120"/>
        <w:jc w:val="left"/>
      </w:pPr>
      <w:r>
        <w:rPr>
          <w:sz w:val="20"/>
        </w:rPr>
        <w:t xml:space="preserve">Coverage Matrix</w:t>
      </w:r>
    </w:p>
    <w:p>
      <w:pPr>
        <w:pStyle w:val="Caption"/>
        <w:keepNext/>
        <w:keepLines/>
        <w:spacing w:before="180" w:after="120"/>
        <w:jc w:val="left"/>
      </w:pPr>
      <w:r>
        <w:rPr>
          <w:sz w:val="20"/>
        </w:rPr>
        <w:t>Tabelle 34. Literatur-Coverage und offene Lücken</w:t>
      </w:r>
    </w:p>
    <w:tbl>
      <w:tblPr>
        <w:tblStyle w:val="Table"/>
        <w:tblW w:type="pct" w:w="4949"/>
        <w:jc w:val="center"/>
        <w:tblLayout w:type="fixed"/>
        <w:tblLook w:firstRow="1" w:lastRow="0" w:firstColumn="0" w:lastColumn="0" w:noHBand="0" w:noVBand="0" w:val="0020"/>
        <w:tblInd w:w="0" w:type="dxa"/>
        <w:tblCellMar>
          <w:top w:w="70" w:type="dxa"/>
          <w:bottom w:w="70" w:type="dxa"/>
          <w:left w:w="85" w:type="dxa"/>
          <w:right w:w="85" w:type="dxa"/>
        </w:tblCellMar>
        <w:tblBorders>
          <w:top w:val="single" w:sz="4" w:color="CCD4D9"/>
          <w:bottom w:val="single" w:sz="4" w:color="CCD4D9"/>
          <w:insideH w:val="single" w:sz="4" w:color="CCD4D9"/>
          <w:left w:val="nil"/>
          <w:right w:val="nil"/>
          <w:insideV w:val="nil"/>
        </w:tblBorders>
      </w:tblPr>
      <w:tblGrid>
        <w:gridCol w:w="1584"/>
        <w:gridCol w:w="2016"/>
        <w:gridCol w:w="2160"/>
        <w:gridCol w:w="2362"/>
        <w:gridCol w:w="1728"/>
      </w:tblGrid>
      <w:tr>
        <w:trPr>
          <w:tblHeader w:val="on"/>
          <w:cantSplit/>
          <w:tblHeader/>
        </w:trPr>
        <w:tc>
          <w:tcPr>
            <w:tcW w:type="dxa" w:w="1584"/>
            <w:vAlign w:val="center"/>
            <w:shd w:fill="E9EFF3"/>
          </w:tcPr>
          <w:p>
            <w:pPr>
              <w:pStyle w:val="Compact"/>
              <w:keepNext w:val="0"/>
              <w:keepLines/>
              <w:spacing w:before="20" w:after="20" w:line="250" w:lineRule="auto"/>
              <w:jc w:val="center"/>
            </w:pPr>
            <w:r>
              <w:rPr>
                <w:rFonts w:ascii="Liberation Sans" w:hAnsi="Liberation Sans"/>
                <w:b/>
                <w:bCs/>
                <w:sz w:val="18"/>
              </w:rPr>
              <w:t xml:space="preserve">Themenfeld</w:t>
            </w:r>
          </w:p>
        </w:tc>
        <w:tc>
          <w:tcPr>
            <w:tcW w:type="dxa" w:w="2016"/>
            <w:vAlign w:val="center"/>
            <w:shd w:fill="E9EFF3"/>
          </w:tcPr>
          <w:p>
            <w:pPr>
              <w:pStyle w:val="Compact"/>
              <w:keepNext w:val="0"/>
              <w:keepLines/>
              <w:spacing w:before="20" w:after="20" w:line="250" w:lineRule="auto"/>
              <w:jc w:val="left"/>
            </w:pPr>
            <w:r>
              <w:rPr>
                <w:rFonts w:ascii="Liberation Sans" w:hAnsi="Liberation Sans"/>
                <w:b/>
                <w:bCs/>
                <w:sz w:val="18"/>
              </w:rPr>
              <w:t xml:space="preserve">Grundlagen</w:t>
            </w:r>
          </w:p>
        </w:tc>
        <w:tc>
          <w:tcPr>
            <w:tcW w:type="dxa" w:w="2160"/>
            <w:vAlign w:val="center"/>
            <w:shd w:fill="E9EFF3"/>
          </w:tcPr>
          <w:p>
            <w:pPr>
              <w:pStyle w:val="Compact"/>
              <w:keepNext w:val="0"/>
              <w:keepLines/>
              <w:spacing w:before="20" w:after="20" w:line="250" w:lineRule="auto"/>
              <w:jc w:val="left"/>
            </w:pPr>
            <w:r>
              <w:rPr>
                <w:rFonts w:ascii="Liberation Sans" w:hAnsi="Liberation Sans"/>
                <w:b/>
                <w:bCs/>
                <w:sz w:val="18"/>
              </w:rPr>
              <w:t xml:space="preserve">methodische Schlüsselquellen</w:t>
            </w:r>
          </w:p>
        </w:tc>
        <w:tc>
          <w:tcPr>
            <w:tcW w:type="dxa" w:w="2362"/>
            <w:vAlign w:val="center"/>
            <w:shd w:fill="E9EFF3"/>
          </w:tcPr>
          <w:p>
            <w:pPr>
              <w:pStyle w:val="Compact"/>
              <w:keepNext w:val="0"/>
              <w:keepLines/>
              <w:spacing w:before="20" w:after="20" w:line="250" w:lineRule="auto"/>
              <w:jc w:val="left"/>
            </w:pPr>
            <w:r>
              <w:rPr>
                <w:rFonts w:ascii="Liberation Sans" w:hAnsi="Liberation Sans"/>
                <w:b/>
                <w:bCs/>
                <w:sz w:val="18"/>
              </w:rPr>
              <w:t xml:space="preserve">aktuelle/ergänzende Perspektiven</w:t>
            </w:r>
          </w:p>
        </w:tc>
        <w:tc>
          <w:tcPr>
            <w:tcW w:type="dxa" w:w="1728"/>
            <w:vAlign w:val="center"/>
            <w:shd w:fill="E9EFF3"/>
          </w:tcPr>
          <w:p>
            <w:pPr>
              <w:pStyle w:val="Compact"/>
              <w:keepNext w:val="0"/>
              <w:keepLines/>
              <w:spacing w:before="20" w:after="20" w:line="250" w:lineRule="auto"/>
              <w:jc w:val="left"/>
            </w:pPr>
            <w:r>
              <w:rPr>
                <w:rFonts w:ascii="Liberation Sans" w:hAnsi="Liberation Sans"/>
                <w:b/>
                <w:bCs/>
                <w:sz w:val="18"/>
              </w:rPr>
              <w:t xml:space="preserve">offene Lücke</w:t>
            </w:r>
          </w:p>
        </w:tc>
      </w:tr>
      <w:tr>
        <w:trPr>
          <w:cantSplit/>
        </w:trPr>
        <w:tc>
          <w:tcPr>
            <w:tcW w:type="dxa" w:w="1584"/>
            <w:vAlign w:val="center"/>
          </w:tcPr>
          <w:p>
            <w:pPr>
              <w:pStyle w:val="Compact"/>
              <w:keepNext w:val="0"/>
              <w:keepLines/>
              <w:spacing w:before="20" w:after="20" w:line="250" w:lineRule="auto"/>
              <w:jc w:val="center"/>
            </w:pPr>
            <w:r>
              <w:rPr>
                <w:rFonts w:ascii="Liberation Sans" w:hAnsi="Liberation Sans"/>
                <w:sz w:val="18"/>
              </w:rPr>
              <w:t xml:space="preserve">Spike-Dynamik</w:t>
            </w:r>
          </w:p>
        </w:tc>
        <w:tc>
          <w:tcPr>
            <w:tcW w:type="dxa" w:w="2016"/>
            <w:vAlign w:val="center"/>
          </w:tcPr>
          <w:p>
            <w:pPr>
              <w:pStyle w:val="Compact"/>
              <w:keepNext w:val="0"/>
              <w:keepLines/>
              <w:spacing w:before="20" w:after="20" w:line="250" w:lineRule="auto"/>
              <w:jc w:val="left"/>
            </w:pPr>
            <w:r>
              <w:rPr>
                <w:rFonts w:ascii="Liberation Sans" w:hAnsi="Liberation Sans"/>
                <w:sz w:val="18"/>
              </w:rPr>
              <w:t xml:space="preserve">Hodgkin-Huxley; LIF; Izhikevich</w:t>
            </w:r>
          </w:p>
        </w:tc>
        <w:tc>
          <w:tcPr>
            <w:tcW w:type="dxa" w:w="2160"/>
            <w:vAlign w:val="center"/>
          </w:tcPr>
          <w:p>
            <w:pPr>
              <w:pStyle w:val="Compact"/>
              <w:keepNext w:val="0"/>
              <w:keepLines/>
              <w:spacing w:before="20" w:after="20" w:line="250" w:lineRule="auto"/>
              <w:jc w:val="left"/>
            </w:pPr>
            <w:r>
              <w:rPr>
                <w:rFonts w:ascii="Liberation Sans" w:hAnsi="Liberation Sans"/>
                <w:sz w:val="18"/>
              </w:rPr>
              <w:t xml:space="preserve">Gerstner et al.; Ermentrout/Terman</w:t>
            </w:r>
          </w:p>
        </w:tc>
        <w:tc>
          <w:tcPr>
            <w:tcW w:type="dxa" w:w="2362"/>
            <w:vAlign w:val="center"/>
          </w:tcPr>
          <w:p>
            <w:pPr>
              <w:pStyle w:val="Compact"/>
              <w:keepNext w:val="0"/>
              <w:keepLines/>
              <w:spacing w:before="20" w:after="20" w:line="250" w:lineRule="auto"/>
              <w:jc w:val="left"/>
            </w:pPr>
            <w:r>
              <w:rPr>
                <w:rFonts w:ascii="Liberation Sans" w:hAnsi="Liberation Sans"/>
                <w:sz w:val="18"/>
              </w:rPr>
              <w:t xml:space="preserve">Eshraghian et al.; Roy et al.</w:t>
            </w:r>
          </w:p>
        </w:tc>
        <w:tc>
          <w:tcPr>
            <w:tcW w:type="dxa" w:w="1728"/>
            <w:vAlign w:val="center"/>
          </w:tcPr>
          <w:p>
            <w:pPr>
              <w:pStyle w:val="Compact"/>
              <w:keepNext w:val="0"/>
              <w:keepLines/>
              <w:spacing w:before="20" w:after="20" w:line="250" w:lineRule="auto"/>
              <w:jc w:val="left"/>
            </w:pPr>
            <w:r>
              <w:rPr>
                <w:rFonts w:ascii="Liberation Sans" w:hAnsi="Liberation Sans"/>
                <w:sz w:val="18"/>
              </w:rPr>
              <w:t xml:space="preserve">Modellrobustheit in wachsender 5D-Topologie</w:t>
            </w:r>
          </w:p>
        </w:tc>
      </w:tr>
      <w:tr>
        <w:trPr>
          <w:cantSplit/>
        </w:trPr>
        <w:tc>
          <w:tcPr>
            <w:tcW w:type="dxa" w:w="1584"/>
            <w:vAlign w:val="center"/>
          </w:tcPr>
          <w:p>
            <w:pPr>
              <w:pStyle w:val="Compact"/>
              <w:keepNext w:val="0"/>
              <w:keepLines/>
              <w:spacing w:before="20" w:after="20" w:line="250" w:lineRule="auto"/>
              <w:jc w:val="center"/>
            </w:pPr>
            <w:r>
              <w:rPr>
                <w:rFonts w:ascii="Liberation Sans" w:hAnsi="Liberation Sans"/>
                <w:sz w:val="18"/>
              </w:rPr>
              <w:t xml:space="preserve">STDP/Three-Factor</w:t>
            </w:r>
          </w:p>
        </w:tc>
        <w:tc>
          <w:tcPr>
            <w:tcW w:type="dxa" w:w="2016"/>
            <w:vAlign w:val="center"/>
          </w:tcPr>
          <w:p>
            <w:pPr>
              <w:pStyle w:val="Compact"/>
              <w:keepNext w:val="0"/>
              <w:keepLines/>
              <w:spacing w:before="20" w:after="20" w:line="250" w:lineRule="auto"/>
              <w:jc w:val="left"/>
            </w:pPr>
            <w:r>
              <w:rPr>
                <w:rFonts w:ascii="Liberation Sans" w:hAnsi="Liberation Sans"/>
                <w:sz w:val="18"/>
              </w:rPr>
              <w:t xml:space="preserve">Markram; Bi/Poo; Song</w:t>
            </w:r>
          </w:p>
        </w:tc>
        <w:tc>
          <w:tcPr>
            <w:tcW w:type="dxa" w:w="2160"/>
            <w:vAlign w:val="center"/>
          </w:tcPr>
          <w:p>
            <w:pPr>
              <w:pStyle w:val="Compact"/>
              <w:keepNext w:val="0"/>
              <w:keepLines/>
              <w:spacing w:before="20" w:after="20" w:line="250" w:lineRule="auto"/>
              <w:jc w:val="left"/>
            </w:pPr>
            <w:r>
              <w:rPr>
                <w:rFonts w:ascii="Liberation Sans" w:hAnsi="Liberation Sans"/>
                <w:sz w:val="18"/>
              </w:rPr>
              <w:t xml:space="preserve">Pfister; Clopath; Frémaux/Gerstner</w:t>
            </w:r>
          </w:p>
        </w:tc>
        <w:tc>
          <w:tcPr>
            <w:tcW w:type="dxa" w:w="2362"/>
            <w:vAlign w:val="center"/>
          </w:tcPr>
          <w:p>
            <w:pPr>
              <w:pStyle w:val="Compact"/>
              <w:keepNext w:val="0"/>
              <w:keepLines/>
              <w:spacing w:before="20" w:after="20" w:line="250" w:lineRule="auto"/>
              <w:jc w:val="left"/>
            </w:pPr>
            <w:r>
              <w:rPr>
                <w:rFonts w:ascii="Liberation Sans" w:hAnsi="Liberation Sans"/>
                <w:sz w:val="18"/>
              </w:rPr>
              <w:t xml:space="preserve">Gerstner et al. 2018</w:t>
            </w:r>
          </w:p>
        </w:tc>
        <w:tc>
          <w:tcPr>
            <w:tcW w:type="dxa" w:w="1728"/>
            <w:vAlign w:val="center"/>
          </w:tcPr>
          <w:p>
            <w:pPr>
              <w:pStyle w:val="Compact"/>
              <w:keepNext w:val="0"/>
              <w:keepLines/>
              <w:spacing w:before="20" w:after="20" w:line="250" w:lineRule="auto"/>
              <w:jc w:val="left"/>
            </w:pPr>
            <w:r>
              <w:rPr>
                <w:rFonts w:ascii="Liberation Sans" w:hAnsi="Liberation Sans"/>
                <w:sz w:val="18"/>
              </w:rPr>
              <w:t xml:space="preserve">Interaktion mit strukturellem Turnover</w:t>
            </w:r>
          </w:p>
        </w:tc>
      </w:tr>
      <w:tr>
        <w:trPr>
          <w:cantSplit/>
        </w:trPr>
        <w:tc>
          <w:tcPr>
            <w:tcW w:type="dxa" w:w="1584"/>
            <w:vAlign w:val="center"/>
          </w:tcPr>
          <w:p>
            <w:pPr>
              <w:pStyle w:val="Compact"/>
              <w:keepNext w:val="0"/>
              <w:keepLines/>
              <w:spacing w:before="20" w:after="20" w:line="250" w:lineRule="auto"/>
              <w:jc w:val="center"/>
            </w:pPr>
            <w:r>
              <w:rPr>
                <w:rFonts w:ascii="Liberation Sans" w:hAnsi="Liberation Sans"/>
                <w:sz w:val="18"/>
              </w:rPr>
              <w:t xml:space="preserve">Homeostase</w:t>
            </w:r>
          </w:p>
        </w:tc>
        <w:tc>
          <w:tcPr>
            <w:tcW w:type="dxa" w:w="2016"/>
            <w:vAlign w:val="center"/>
          </w:tcPr>
          <w:p>
            <w:pPr>
              <w:pStyle w:val="Compact"/>
              <w:keepNext w:val="0"/>
              <w:keepLines/>
              <w:spacing w:before="20" w:after="20" w:line="250" w:lineRule="auto"/>
              <w:jc w:val="left"/>
            </w:pPr>
            <w:r>
              <w:rPr>
                <w:rFonts w:ascii="Liberation Sans" w:hAnsi="Liberation Sans"/>
                <w:sz w:val="18"/>
              </w:rPr>
              <w:t xml:space="preserve">Turrigiano</w:t>
            </w:r>
          </w:p>
        </w:tc>
        <w:tc>
          <w:tcPr>
            <w:tcW w:type="dxa" w:w="2160"/>
            <w:vAlign w:val="center"/>
          </w:tcPr>
          <w:p>
            <w:pPr>
              <w:pStyle w:val="Compact"/>
              <w:keepNext w:val="0"/>
              <w:keepLines/>
              <w:spacing w:before="20" w:after="20" w:line="250" w:lineRule="auto"/>
              <w:jc w:val="left"/>
            </w:pPr>
            <w:r>
              <w:rPr>
                <w:rFonts w:ascii="Liberation Sans" w:hAnsi="Liberation Sans"/>
                <w:sz w:val="18"/>
              </w:rPr>
              <w:t xml:space="preserve">Zenke et al.; Vogels et al.</w:t>
            </w:r>
          </w:p>
        </w:tc>
        <w:tc>
          <w:tcPr>
            <w:tcW w:type="dxa" w:w="2362"/>
            <w:vAlign w:val="center"/>
          </w:tcPr>
          <w:p>
            <w:pPr>
              <w:pStyle w:val="Compact"/>
              <w:keepNext w:val="0"/>
              <w:keepLines/>
              <w:spacing w:before="20" w:after="20" w:line="250" w:lineRule="auto"/>
              <w:jc w:val="left"/>
            </w:pPr>
            <w:r>
              <w:rPr>
                <w:rFonts w:ascii="Liberation Sans" w:hAnsi="Liberation Sans"/>
                <w:sz w:val="18"/>
              </w:rPr>
              <w:t xml:space="preserve">Kaster et al.</w:t>
            </w:r>
          </w:p>
        </w:tc>
        <w:tc>
          <w:tcPr>
            <w:tcW w:type="dxa" w:w="1728"/>
            <w:vAlign w:val="center"/>
          </w:tcPr>
          <w:p>
            <w:pPr>
              <w:pStyle w:val="Compact"/>
              <w:keepNext w:val="0"/>
              <w:keepLines/>
              <w:spacing w:before="20" w:after="20" w:line="250" w:lineRule="auto"/>
              <w:jc w:val="left"/>
            </w:pPr>
            <w:r>
              <w:rPr>
                <w:rFonts w:ascii="Liberation Sans" w:hAnsi="Liberation Sans"/>
                <w:sz w:val="18"/>
              </w:rPr>
              <w:t xml:space="preserve">Zeitskalen in continual embodied tasks</w:t>
            </w:r>
          </w:p>
        </w:tc>
      </w:tr>
      <w:tr>
        <w:trPr>
          <w:cantSplit/>
        </w:trPr>
        <w:tc>
          <w:tcPr>
            <w:tcW w:type="dxa" w:w="1584"/>
            <w:vAlign w:val="center"/>
          </w:tcPr>
          <w:p>
            <w:pPr>
              <w:pStyle w:val="Compact"/>
              <w:keepNext w:val="0"/>
              <w:keepLines/>
              <w:spacing w:before="20" w:after="20" w:line="250" w:lineRule="auto"/>
              <w:jc w:val="center"/>
            </w:pPr>
            <w:r>
              <w:rPr>
                <w:rFonts w:ascii="Liberation Sans" w:hAnsi="Liberation Sans"/>
                <w:sz w:val="18"/>
              </w:rPr>
              <w:t xml:space="preserve">Dynamik/Stabilität</w:t>
            </w:r>
          </w:p>
        </w:tc>
        <w:tc>
          <w:tcPr>
            <w:tcW w:type="dxa" w:w="2016"/>
            <w:vAlign w:val="center"/>
          </w:tcPr>
          <w:p>
            <w:pPr>
              <w:pStyle w:val="Compact"/>
              <w:keepNext w:val="0"/>
              <w:keepLines/>
              <w:spacing w:before="20" w:after="20" w:line="250" w:lineRule="auto"/>
              <w:jc w:val="left"/>
            </w:pPr>
            <w:r>
              <w:rPr>
                <w:rFonts w:ascii="Liberation Sans" w:hAnsi="Liberation Sans"/>
                <w:sz w:val="18"/>
              </w:rPr>
              <w:t xml:space="preserve">Strogatz; Kuznetsov</w:t>
            </w:r>
          </w:p>
        </w:tc>
        <w:tc>
          <w:tcPr>
            <w:tcW w:type="dxa" w:w="2160"/>
            <w:vAlign w:val="center"/>
          </w:tcPr>
          <w:p>
            <w:pPr>
              <w:pStyle w:val="Compact"/>
              <w:keepNext w:val="0"/>
              <w:keepLines/>
              <w:spacing w:before="20" w:after="20" w:line="250" w:lineRule="auto"/>
              <w:jc w:val="left"/>
            </w:pPr>
            <w:r>
              <w:rPr>
                <w:rFonts w:ascii="Liberation Sans" w:hAnsi="Liberation Sans"/>
                <w:sz w:val="18"/>
              </w:rPr>
              <w:t xml:space="preserve">Brunel; Breakspear</w:t>
            </w:r>
          </w:p>
        </w:tc>
        <w:tc>
          <w:tcPr>
            <w:tcW w:type="dxa" w:w="2362"/>
            <w:vAlign w:val="center"/>
          </w:tcPr>
          <w:p>
            <w:pPr>
              <w:pStyle w:val="Compact"/>
              <w:keepNext w:val="0"/>
              <w:keepLines/>
              <w:spacing w:before="20" w:after="20" w:line="250" w:lineRule="auto"/>
              <w:jc w:val="left"/>
            </w:pPr>
            <w:r>
              <w:rPr>
                <w:rFonts w:ascii="Liberation Sans" w:hAnsi="Liberation Sans"/>
                <w:sz w:val="18"/>
              </w:rPr>
              <w:t xml:space="preserve">Criticality-Debatte</w:t>
            </w:r>
          </w:p>
        </w:tc>
        <w:tc>
          <w:tcPr>
            <w:tcW w:type="dxa" w:w="1728"/>
            <w:vAlign w:val="center"/>
          </w:tcPr>
          <w:p>
            <w:pPr>
              <w:pStyle w:val="Compact"/>
              <w:keepNext w:val="0"/>
              <w:keepLines/>
              <w:spacing w:before="20" w:after="20" w:line="250" w:lineRule="auto"/>
              <w:jc w:val="left"/>
            </w:pPr>
            <w:r>
              <w:rPr>
                <w:rFonts w:ascii="Liberation Sans" w:hAnsi="Liberation Sans"/>
                <w:sz w:val="18"/>
              </w:rPr>
              <w:t xml:space="preserve">hybride Bifurkation mit Graphmutationen</w:t>
            </w:r>
          </w:p>
        </w:tc>
      </w:tr>
      <w:tr>
        <w:trPr>
          <w:cantSplit/>
        </w:trPr>
        <w:tc>
          <w:tcPr>
            <w:tcW w:type="dxa" w:w="1584"/>
            <w:vAlign w:val="center"/>
          </w:tcPr>
          <w:p>
            <w:pPr>
              <w:pStyle w:val="Compact"/>
              <w:keepNext w:val="0"/>
              <w:keepLines/>
              <w:spacing w:before="20" w:after="20" w:line="250" w:lineRule="auto"/>
              <w:jc w:val="center"/>
            </w:pPr>
            <w:r>
              <w:rPr>
                <w:rFonts w:ascii="Liberation Sans" w:hAnsi="Liberation Sans"/>
                <w:sz w:val="18"/>
              </w:rPr>
              <w:t xml:space="preserve">Graphen/Geometrie</w:t>
            </w:r>
          </w:p>
        </w:tc>
        <w:tc>
          <w:tcPr>
            <w:tcW w:type="dxa" w:w="2016"/>
            <w:vAlign w:val="center"/>
          </w:tcPr>
          <w:p>
            <w:pPr>
              <w:pStyle w:val="Compact"/>
              <w:keepNext w:val="0"/>
              <w:keepLines/>
              <w:spacing w:before="20" w:after="20" w:line="250" w:lineRule="auto"/>
              <w:jc w:val="left"/>
            </w:pPr>
            <w:r>
              <w:rPr>
                <w:rFonts w:ascii="Liberation Sans" w:hAnsi="Liberation Sans"/>
                <w:sz w:val="18"/>
              </w:rPr>
              <w:t xml:space="preserve">Newman; Penrose</w:t>
            </w:r>
          </w:p>
        </w:tc>
        <w:tc>
          <w:tcPr>
            <w:tcW w:type="dxa" w:w="2160"/>
            <w:vAlign w:val="center"/>
          </w:tcPr>
          <w:p>
            <w:pPr>
              <w:pStyle w:val="Compact"/>
              <w:keepNext w:val="0"/>
              <w:keepLines/>
              <w:spacing w:before="20" w:after="20" w:line="250" w:lineRule="auto"/>
              <w:jc w:val="left"/>
            </w:pPr>
            <w:r>
              <w:rPr>
                <w:rFonts w:ascii="Liberation Sans" w:hAnsi="Liberation Sans"/>
                <w:sz w:val="18"/>
              </w:rPr>
              <w:t xml:space="preserve">Rubinov/Sporns; Weinberger/Saul</w:t>
            </w:r>
          </w:p>
        </w:tc>
        <w:tc>
          <w:tcPr>
            <w:tcW w:type="dxa" w:w="2362"/>
            <w:vAlign w:val="center"/>
          </w:tcPr>
          <w:p>
            <w:pPr>
              <w:pStyle w:val="Compact"/>
              <w:keepNext w:val="0"/>
              <w:keepLines/>
              <w:spacing w:before="20" w:after="20" w:line="250" w:lineRule="auto"/>
              <w:jc w:val="left"/>
            </w:pPr>
            <w:r>
              <w:rPr>
                <w:rFonts w:ascii="Liberation Sans" w:hAnsi="Liberation Sans"/>
                <w:sz w:val="18"/>
              </w:rPr>
              <w:t xml:space="preserve">Geometric Deep Learning</w:t>
            </w:r>
          </w:p>
        </w:tc>
        <w:tc>
          <w:tcPr>
            <w:tcW w:type="dxa" w:w="1728"/>
            <w:vAlign w:val="center"/>
          </w:tcPr>
          <w:p>
            <w:pPr>
              <w:pStyle w:val="Compact"/>
              <w:keepNext w:val="0"/>
              <w:keepLines/>
              <w:spacing w:before="20" w:after="20" w:line="250" w:lineRule="auto"/>
              <w:jc w:val="left"/>
            </w:pPr>
            <w:r>
              <w:rPr>
                <w:rFonts w:ascii="Liberation Sans" w:hAnsi="Liberation Sans"/>
                <w:sz w:val="18"/>
              </w:rPr>
              <w:t xml:space="preserve">gelernte 5D-Metrik für SNN-Wachstum</w:t>
            </w:r>
          </w:p>
        </w:tc>
      </w:tr>
      <w:tr>
        <w:trPr>
          <w:cantSplit/>
        </w:trPr>
        <w:tc>
          <w:tcPr>
            <w:tcW w:type="dxa" w:w="1584"/>
            <w:vAlign w:val="center"/>
          </w:tcPr>
          <w:p>
            <w:pPr>
              <w:pStyle w:val="Compact"/>
              <w:keepNext w:val="0"/>
              <w:keepLines/>
              <w:spacing w:before="20" w:after="20" w:line="250" w:lineRule="auto"/>
              <w:jc w:val="center"/>
            </w:pPr>
            <w:r>
              <w:rPr>
                <w:rFonts w:ascii="Liberation Sans" w:hAnsi="Liberation Sans"/>
                <w:sz w:val="18"/>
              </w:rPr>
              <w:t xml:space="preserve">Information/Repräsentation</w:t>
            </w:r>
          </w:p>
        </w:tc>
        <w:tc>
          <w:tcPr>
            <w:tcW w:type="dxa" w:w="2016"/>
            <w:vAlign w:val="center"/>
          </w:tcPr>
          <w:p>
            <w:pPr>
              <w:pStyle w:val="Compact"/>
              <w:keepNext w:val="0"/>
              <w:keepLines/>
              <w:spacing w:before="20" w:after="20" w:line="250" w:lineRule="auto"/>
              <w:jc w:val="left"/>
            </w:pPr>
            <w:r>
              <w:rPr>
                <w:rFonts w:ascii="Liberation Sans" w:hAnsi="Liberation Sans"/>
                <w:sz w:val="18"/>
              </w:rPr>
              <w:t xml:space="preserve">Shannon; Cover/Thomas</w:t>
            </w:r>
          </w:p>
        </w:tc>
        <w:tc>
          <w:tcPr>
            <w:tcW w:type="dxa" w:w="2160"/>
            <w:vAlign w:val="center"/>
          </w:tcPr>
          <w:p>
            <w:pPr>
              <w:pStyle w:val="Compact"/>
              <w:keepNext w:val="0"/>
              <w:keepLines/>
              <w:spacing w:before="20" w:after="20" w:line="250" w:lineRule="auto"/>
              <w:jc w:val="left"/>
            </w:pPr>
            <w:r>
              <w:rPr>
                <w:rFonts w:ascii="Liberation Sans" w:hAnsi="Liberation Sans"/>
                <w:sz w:val="18"/>
              </w:rPr>
              <w:t xml:space="preserve">Panzeri; RSA; Temporal Generalization</w:t>
            </w:r>
          </w:p>
        </w:tc>
        <w:tc>
          <w:tcPr>
            <w:tcW w:type="dxa" w:w="2362"/>
            <w:vAlign w:val="center"/>
          </w:tcPr>
          <w:p>
            <w:pPr>
              <w:pStyle w:val="Compact"/>
              <w:keepNext w:val="0"/>
              <w:keepLines/>
              <w:spacing w:before="20" w:after="20" w:line="250" w:lineRule="auto"/>
              <w:jc w:val="left"/>
            </w:pPr>
            <w:r>
              <w:rPr>
                <w:rFonts w:ascii="Liberation Sans" w:hAnsi="Liberation Sans"/>
                <w:sz w:val="18"/>
              </w:rPr>
              <w:t xml:space="preserve">kausale Repräsentationsprüfung</w:t>
            </w:r>
          </w:p>
        </w:tc>
        <w:tc>
          <w:tcPr>
            <w:tcW w:type="dxa" w:w="1728"/>
            <w:vAlign w:val="center"/>
          </w:tcPr>
          <w:p>
            <w:pPr>
              <w:pStyle w:val="Compact"/>
              <w:keepNext w:val="0"/>
              <w:keepLines/>
              <w:spacing w:before="20" w:after="20" w:line="250" w:lineRule="auto"/>
              <w:jc w:val="left"/>
            </w:pPr>
            <w:r>
              <w:rPr>
                <w:rFonts w:ascii="Liberation Sans" w:hAnsi="Liberation Sans"/>
                <w:sz w:val="18"/>
              </w:rPr>
              <w:t xml:space="preserve">Verbindung von Decodability und Intervention</w:t>
            </w:r>
          </w:p>
        </w:tc>
      </w:tr>
      <w:tr>
        <w:trPr>
          <w:cantSplit/>
        </w:trPr>
        <w:tc>
          <w:tcPr>
            <w:tcW w:type="dxa" w:w="1584"/>
            <w:vAlign w:val="center"/>
          </w:tcPr>
          <w:p>
            <w:pPr>
              <w:pStyle w:val="Compact"/>
              <w:keepNext w:val="0"/>
              <w:keepLines/>
              <w:spacing w:before="20" w:after="20" w:line="250" w:lineRule="auto"/>
              <w:jc w:val="center"/>
            </w:pPr>
            <w:r>
              <w:rPr>
                <w:rFonts w:ascii="Liberation Sans" w:hAnsi="Liberation Sans"/>
                <w:sz w:val="18"/>
              </w:rPr>
              <w:t xml:space="preserve">Memory/Continual Learning</w:t>
            </w:r>
          </w:p>
        </w:tc>
        <w:tc>
          <w:tcPr>
            <w:tcW w:type="dxa" w:w="2016"/>
            <w:vAlign w:val="center"/>
          </w:tcPr>
          <w:p>
            <w:pPr>
              <w:pStyle w:val="Compact"/>
              <w:keepNext w:val="0"/>
              <w:keepLines/>
              <w:spacing w:before="20" w:after="20" w:line="250" w:lineRule="auto"/>
              <w:jc w:val="left"/>
            </w:pPr>
            <w:r>
              <w:rPr>
                <w:rFonts w:ascii="Liberation Sans" w:hAnsi="Liberation Sans"/>
                <w:sz w:val="18"/>
              </w:rPr>
              <w:t xml:space="preserve">Marr; McClelland</w:t>
            </w:r>
          </w:p>
        </w:tc>
        <w:tc>
          <w:tcPr>
            <w:tcW w:type="dxa" w:w="2160"/>
            <w:vAlign w:val="center"/>
          </w:tcPr>
          <w:p>
            <w:pPr>
              <w:pStyle w:val="Compact"/>
              <w:keepNext w:val="0"/>
              <w:keepLines/>
              <w:spacing w:before="20" w:after="20" w:line="250" w:lineRule="auto"/>
              <w:jc w:val="left"/>
            </w:pPr>
            <w:r>
              <w:rPr>
                <w:rFonts w:ascii="Liberation Sans" w:hAnsi="Liberation Sans"/>
                <w:sz w:val="18"/>
              </w:rPr>
              <w:t xml:space="preserve">Fusi; Kirkpatrick; Zenke</w:t>
            </w:r>
          </w:p>
        </w:tc>
        <w:tc>
          <w:tcPr>
            <w:tcW w:type="dxa" w:w="2362"/>
            <w:vAlign w:val="center"/>
          </w:tcPr>
          <w:p>
            <w:pPr>
              <w:pStyle w:val="Compact"/>
              <w:keepNext w:val="0"/>
              <w:keepLines/>
              <w:spacing w:before="20" w:after="20" w:line="250" w:lineRule="auto"/>
              <w:jc w:val="left"/>
            </w:pPr>
            <w:r>
              <w:rPr>
                <w:rFonts w:ascii="Liberation Sans" w:hAnsi="Liberation Sans"/>
                <w:sz w:val="18"/>
              </w:rPr>
              <w:t xml:space="preserve">Parisi Review</w:t>
            </w:r>
          </w:p>
        </w:tc>
        <w:tc>
          <w:tcPr>
            <w:tcW w:type="dxa" w:w="1728"/>
            <w:vAlign w:val="center"/>
          </w:tcPr>
          <w:p>
            <w:pPr>
              <w:pStyle w:val="Compact"/>
              <w:keepNext w:val="0"/>
              <w:keepLines/>
              <w:spacing w:before="20" w:after="20" w:line="250" w:lineRule="auto"/>
              <w:jc w:val="left"/>
            </w:pPr>
            <w:r>
              <w:rPr>
                <w:rFonts w:ascii="Liberation Sans" w:hAnsi="Liberation Sans"/>
                <w:sz w:val="18"/>
              </w:rPr>
              <w:t xml:space="preserve">lokale und strukturelle Mechanismen ohne Backprop</w:t>
            </w:r>
          </w:p>
        </w:tc>
      </w:tr>
      <w:tr>
        <w:trPr>
          <w:cantSplit/>
        </w:trPr>
        <w:tc>
          <w:tcPr>
            <w:tcW w:type="dxa" w:w="1584"/>
            <w:vAlign w:val="center"/>
          </w:tcPr>
          <w:p>
            <w:pPr>
              <w:pStyle w:val="Compact"/>
              <w:keepNext w:val="0"/>
              <w:keepLines/>
              <w:spacing w:before="20" w:after="20" w:line="250" w:lineRule="auto"/>
              <w:jc w:val="center"/>
            </w:pPr>
            <w:r>
              <w:rPr>
                <w:rFonts w:ascii="Liberation Sans" w:hAnsi="Liberation Sans"/>
                <w:sz w:val="18"/>
              </w:rPr>
              <w:t xml:space="preserve">Embodiment</w:t>
            </w:r>
          </w:p>
        </w:tc>
        <w:tc>
          <w:tcPr>
            <w:tcW w:type="dxa" w:w="2016"/>
            <w:vAlign w:val="center"/>
          </w:tcPr>
          <w:p>
            <w:pPr>
              <w:pStyle w:val="Compact"/>
              <w:keepNext w:val="0"/>
              <w:keepLines/>
              <w:spacing w:before="20" w:after="20" w:line="250" w:lineRule="auto"/>
              <w:jc w:val="left"/>
            </w:pPr>
            <w:r>
              <w:rPr>
                <w:rFonts w:ascii="Liberation Sans" w:hAnsi="Liberation Sans"/>
                <w:sz w:val="18"/>
              </w:rPr>
              <w:t xml:space="preserve">Brooks; Beer</w:t>
            </w:r>
          </w:p>
        </w:tc>
        <w:tc>
          <w:tcPr>
            <w:tcW w:type="dxa" w:w="2160"/>
            <w:vAlign w:val="center"/>
          </w:tcPr>
          <w:p>
            <w:pPr>
              <w:pStyle w:val="Compact"/>
              <w:keepNext w:val="0"/>
              <w:keepLines/>
              <w:spacing w:before="20" w:after="20" w:line="250" w:lineRule="auto"/>
              <w:jc w:val="left"/>
            </w:pPr>
            <w:r>
              <w:rPr>
                <w:rFonts w:ascii="Liberation Sans" w:hAnsi="Liberation Sans"/>
                <w:sz w:val="18"/>
              </w:rPr>
              <w:t xml:space="preserve">Pfeifer/Bongard</w:t>
            </w:r>
          </w:p>
        </w:tc>
        <w:tc>
          <w:tcPr>
            <w:tcW w:type="dxa" w:w="2362"/>
            <w:vAlign w:val="center"/>
          </w:tcPr>
          <w:p>
            <w:pPr>
              <w:pStyle w:val="Compact"/>
              <w:keepNext w:val="0"/>
              <w:keepLines/>
              <w:spacing w:before="20" w:after="20" w:line="250" w:lineRule="auto"/>
              <w:jc w:val="left"/>
            </w:pPr>
            <w:r>
              <w:rPr>
                <w:rFonts w:ascii="Liberation Sans" w:hAnsi="Liberation Sans"/>
                <w:sz w:val="18"/>
              </w:rPr>
              <w:t xml:space="preserve">predictive state/world models</w:t>
            </w:r>
          </w:p>
        </w:tc>
        <w:tc>
          <w:tcPr>
            <w:tcW w:type="dxa" w:w="1728"/>
            <w:vAlign w:val="center"/>
          </w:tcPr>
          <w:p>
            <w:pPr>
              <w:pStyle w:val="Compact"/>
              <w:keepNext w:val="0"/>
              <w:keepLines/>
              <w:spacing w:before="20" w:after="20" w:line="250" w:lineRule="auto"/>
              <w:jc w:val="left"/>
            </w:pPr>
            <w:r>
              <w:rPr>
                <w:rFonts w:ascii="Liberation Sans" w:hAnsi="Liberation Sans"/>
                <w:sz w:val="18"/>
              </w:rPr>
              <w:t xml:space="preserve">kausaler Vergleich mit yoked controls</w:t>
            </w:r>
          </w:p>
        </w:tc>
      </w:tr>
      <w:tr>
        <w:trPr>
          <w:cantSplit/>
        </w:trPr>
        <w:tc>
          <w:tcPr>
            <w:tcW w:type="dxa" w:w="1584"/>
            <w:vAlign w:val="center"/>
          </w:tcPr>
          <w:p>
            <w:pPr>
              <w:pStyle w:val="Compact"/>
              <w:keepNext w:val="0"/>
              <w:keepLines/>
              <w:spacing w:before="20" w:after="20" w:line="250" w:lineRule="auto"/>
              <w:jc w:val="center"/>
            </w:pPr>
            <w:r>
              <w:rPr>
                <w:rFonts w:ascii="Liberation Sans" w:hAnsi="Liberation Sans"/>
                <w:sz w:val="18"/>
              </w:rPr>
              <w:t xml:space="preserve">Provenienz/Reproduktion</w:t>
            </w:r>
          </w:p>
        </w:tc>
        <w:tc>
          <w:tcPr>
            <w:tcW w:type="dxa" w:w="2016"/>
            <w:vAlign w:val="center"/>
          </w:tcPr>
          <w:p>
            <w:pPr>
              <w:pStyle w:val="Compact"/>
              <w:keepNext w:val="0"/>
              <w:keepLines/>
              <w:spacing w:before="20" w:after="20" w:line="250" w:lineRule="auto"/>
              <w:jc w:val="left"/>
            </w:pPr>
            <w:r>
              <w:rPr>
                <w:rFonts w:ascii="Liberation Sans" w:hAnsi="Liberation Sans"/>
                <w:sz w:val="18"/>
              </w:rPr>
              <w:t xml:space="preserve">Buneman; W3C PROV</w:t>
            </w:r>
          </w:p>
        </w:tc>
        <w:tc>
          <w:tcPr>
            <w:tcW w:type="dxa" w:w="2160"/>
            <w:vAlign w:val="center"/>
          </w:tcPr>
          <w:p>
            <w:pPr>
              <w:pStyle w:val="Compact"/>
              <w:keepNext w:val="0"/>
              <w:keepLines/>
              <w:spacing w:before="20" w:after="20" w:line="250" w:lineRule="auto"/>
              <w:jc w:val="left"/>
            </w:pPr>
            <w:r>
              <w:rPr>
                <w:rFonts w:ascii="Liberation Sans" w:hAnsi="Liberation Sans"/>
                <w:sz w:val="18"/>
              </w:rPr>
              <w:t xml:space="preserve">FAIR; Sandve; Nosek</w:t>
            </w:r>
          </w:p>
        </w:tc>
        <w:tc>
          <w:tcPr>
            <w:tcW w:type="dxa" w:w="2362"/>
            <w:vAlign w:val="center"/>
          </w:tcPr>
          <w:p>
            <w:pPr>
              <w:pStyle w:val="Compact"/>
              <w:keepNext w:val="0"/>
              <w:keepLines/>
              <w:spacing w:before="20" w:after="20" w:line="250" w:lineRule="auto"/>
              <w:jc w:val="left"/>
            </w:pPr>
            <w:r>
              <w:rPr>
                <w:rFonts w:ascii="Liberation Sans" w:hAnsi="Liberation Sans"/>
                <w:sz w:val="18"/>
              </w:rPr>
              <w:t xml:space="preserve">Software citation</w:t>
            </w:r>
          </w:p>
        </w:tc>
        <w:tc>
          <w:tcPr>
            <w:tcW w:type="dxa" w:w="1728"/>
            <w:vAlign w:val="center"/>
          </w:tcPr>
          <w:p>
            <w:pPr>
              <w:pStyle w:val="Compact"/>
              <w:keepNext w:val="0"/>
              <w:keepLines/>
              <w:spacing w:before="20" w:after="20" w:line="250" w:lineRule="auto"/>
              <w:jc w:val="left"/>
            </w:pPr>
            <w:r>
              <w:rPr>
                <w:rFonts w:ascii="Liberation Sans" w:hAnsi="Liberation Sans"/>
                <w:sz w:val="18"/>
              </w:rPr>
              <w:t xml:space="preserve">Registry direkt im Simulator</w:t>
            </w:r>
          </w:p>
        </w:tc>
      </w:tr>
      <w:tr>
        <w:trPr>
          <w:cantSplit/>
        </w:trPr>
        <w:tc>
          <w:tcPr>
            <w:tcW w:type="dxa" w:w="1584"/>
            <w:vAlign w:val="center"/>
          </w:tcPr>
          <w:p>
            <w:pPr>
              <w:pStyle w:val="Compact"/>
              <w:keepNext w:val="0"/>
              <w:keepLines/>
              <w:spacing w:before="20" w:after="20" w:line="250" w:lineRule="auto"/>
              <w:jc w:val="center"/>
            </w:pPr>
            <w:r>
              <w:rPr>
                <w:rFonts w:ascii="Liberation Sans" w:hAnsi="Liberation Sans"/>
                <w:sz w:val="18"/>
              </w:rPr>
              <w:t xml:space="preserve">Digital Twin/Storage</w:t>
            </w:r>
          </w:p>
        </w:tc>
        <w:tc>
          <w:tcPr>
            <w:tcW w:type="dxa" w:w="2016"/>
            <w:vAlign w:val="center"/>
          </w:tcPr>
          <w:p>
            <w:pPr>
              <w:pStyle w:val="Compact"/>
              <w:keepNext w:val="0"/>
              <w:keepLines/>
              <w:spacing w:before="20" w:after="20" w:line="250" w:lineRule="auto"/>
              <w:jc w:val="left"/>
            </w:pPr>
            <w:r>
              <w:rPr>
                <w:rFonts w:ascii="Liberation Sans" w:hAnsi="Liberation Sans"/>
                <w:sz w:val="18"/>
              </w:rPr>
              <w:t xml:space="preserve">Chandy/Lamport; HDF5</w:t>
            </w:r>
          </w:p>
        </w:tc>
        <w:tc>
          <w:tcPr>
            <w:tcW w:type="dxa" w:w="2160"/>
            <w:vAlign w:val="center"/>
          </w:tcPr>
          <w:p>
            <w:pPr>
              <w:pStyle w:val="Compact"/>
              <w:keepNext w:val="0"/>
              <w:keepLines/>
              <w:spacing w:before="20" w:after="20" w:line="250" w:lineRule="auto"/>
              <w:jc w:val="left"/>
            </w:pPr>
            <w:r>
              <w:rPr>
                <w:rFonts w:ascii="Liberation Sans" w:hAnsi="Liberation Sans"/>
                <w:sz w:val="18"/>
              </w:rPr>
              <w:t xml:space="preserve">Grieves; Jones; Fuller</w:t>
            </w:r>
          </w:p>
        </w:tc>
        <w:tc>
          <w:tcPr>
            <w:tcW w:type="dxa" w:w="2362"/>
            <w:vAlign w:val="center"/>
          </w:tcPr>
          <w:p>
            <w:pPr>
              <w:pStyle w:val="Compact"/>
              <w:keepNext w:val="0"/>
              <w:keepLines/>
              <w:spacing w:before="20" w:after="20" w:line="250" w:lineRule="auto"/>
              <w:jc w:val="left"/>
            </w:pPr>
            <w:r>
              <w:rPr>
                <w:rFonts w:ascii="Liberation Sans" w:hAnsi="Liberation Sans"/>
                <w:sz w:val="18"/>
              </w:rPr>
              <w:t xml:space="preserve">digitale Zustandszwillinge</w:t>
            </w:r>
          </w:p>
        </w:tc>
        <w:tc>
          <w:tcPr>
            <w:tcW w:type="dxa" w:w="1728"/>
            <w:vAlign w:val="center"/>
          </w:tcPr>
          <w:p>
            <w:pPr>
              <w:pStyle w:val="Compact"/>
              <w:keepNext w:val="0"/>
              <w:keepLines/>
              <w:spacing w:before="20" w:after="20" w:line="250" w:lineRule="auto"/>
              <w:jc w:val="left"/>
            </w:pPr>
            <w:r>
              <w:rPr>
                <w:rFonts w:ascii="Liberation Sans" w:hAnsi="Liberation Sans"/>
                <w:sz w:val="18"/>
              </w:rPr>
              <w:t xml:space="preserve">kausale Fidelity neuronaler Replays</w:t>
            </w:r>
          </w:p>
        </w:tc>
      </w:tr>
    </w:tbl>
    <w:p>
      <w:pPr>
        <w:pStyle w:val="BodyText"/>
        <w:keepLines/>
        <w:spacing w:after="120"/>
        <w:jc w:val="left"/>
      </w:pPr>
      <w:r>
        <w:rPr>
          <w:sz w:val="20"/>
        </w:rPr>
        <w:t xml:space="preserve">Die Coverage Matrix wird durch Grundlagen zu hybriden Automaten, nichtlinearer Dynamik, Informationsgeometrie und manifoldbasierten Repräsentationen ergänzt (</w:t>
      </w:r>
      <w:hyperlink w:anchor="refs">
        <w:r>
          <w:rPr>
            <w:rStyle w:val="Hyperlink"/>
          </w:rPr>
          <w:t xml:space="preserve">Alur et al., 1993</w:t>
        </w:r>
      </w:hyperlink>
      <w:r>
        <w:rPr>
          <w:sz w:val="20"/>
        </w:rPr>
        <w:t xml:space="preserve">;</w:t>
      </w:r>
      <w:r>
        <w:rPr>
          <w:sz w:val="20"/>
        </w:rPr>
        <w:t xml:space="preserve"> </w:t>
      </w:r>
      <w:hyperlink w:anchor="ref-Amari2016">
        <w:r>
          <w:rPr>
            <w:rStyle w:val="Hyperlink"/>
          </w:rPr>
          <w:t xml:space="preserve">Amari, 2016</w:t>
        </w:r>
      </w:hyperlink>
      <w:r>
        <w:rPr>
          <w:sz w:val="20"/>
        </w:rPr>
        <w:t xml:space="preserve">;</w:t>
      </w:r>
      <w:r>
        <w:rPr>
          <w:sz w:val="20"/>
        </w:rPr>
        <w:t xml:space="preserve"> </w:t>
      </w:r>
      <w:hyperlink w:anchor="ref-Belkin2003">
        <w:r>
          <w:rPr>
            <w:rStyle w:val="Hyperlink"/>
          </w:rPr>
          <w:t xml:space="preserve">Belkin &amp; Niyogi, 2003</w:t>
        </w:r>
      </w:hyperlink>
      <w:r>
        <w:rPr>
          <w:sz w:val="20"/>
        </w:rPr>
        <w:t xml:space="preserve">;</w:t>
      </w:r>
      <w:r>
        <w:rPr>
          <w:sz w:val="20"/>
        </w:rPr>
        <w:t xml:space="preserve"> </w:t>
      </w:r>
      <w:hyperlink w:anchor="ref-Coifman2006">
        <w:r>
          <w:rPr>
            <w:rStyle w:val="Hyperlink"/>
          </w:rPr>
          <w:t xml:space="preserve">Coifman &amp; Lafon, 2006</w:t>
        </w:r>
      </w:hyperlink>
      <w:r>
        <w:rPr>
          <w:sz w:val="20"/>
        </w:rPr>
        <w:t xml:space="preserve">;</w:t>
      </w:r>
      <w:r>
        <w:rPr>
          <w:sz w:val="20"/>
        </w:rPr>
        <w:t xml:space="preserve"> </w:t>
      </w:r>
      <w:hyperlink w:anchor="ref-Deco2011">
        <w:r>
          <w:rPr>
            <w:rStyle w:val="Hyperlink"/>
          </w:rPr>
          <w:t xml:space="preserve">Deco et al., 2011</w:t>
        </w:r>
      </w:hyperlink>
      <w:r>
        <w:rPr>
          <w:sz w:val="20"/>
        </w:rPr>
        <w:t xml:space="preserve">;</w:t>
      </w:r>
      <w:r>
        <w:rPr>
          <w:sz w:val="20"/>
        </w:rPr>
        <w:t xml:space="preserve"> </w:t>
      </w:r>
      <w:hyperlink w:anchor="ref-Ermentrout2010">
        <w:r>
          <w:rPr>
            <w:rStyle w:val="Hyperlink"/>
          </w:rPr>
          <w:t xml:space="preserve">Ermentrout &amp; Terman, 2010</w:t>
        </w:r>
      </w:hyperlink>
      <w:r>
        <w:rPr>
          <w:sz w:val="20"/>
        </w:rPr>
        <w:t xml:space="preserve">;</w:t>
      </w:r>
      <w:r>
        <w:rPr>
          <w:sz w:val="20"/>
        </w:rPr>
        <w:t xml:space="preserve"> </w:t>
      </w:r>
      <w:hyperlink w:anchor="ref-Rabinovich2008">
        <w:r>
          <w:rPr>
            <w:rStyle w:val="Hyperlink"/>
          </w:rPr>
          <w:t xml:space="preserve">Rabinovich et al., 2008</w:t>
        </w:r>
      </w:hyperlink>
      <w:r>
        <w:rPr>
          <w:sz w:val="20"/>
        </w:rPr>
        <w:t xml:space="preserve">;</w:t>
      </w:r>
      <w:r>
        <w:rPr>
          <w:sz w:val="20"/>
        </w:rPr>
        <w:t xml:space="preserve"> </w:t>
      </w:r>
      <w:hyperlink w:anchor="ref-Sussillo2009">
        <w:r>
          <w:rPr>
            <w:rStyle w:val="Hyperlink"/>
          </w:rPr>
          <w:t xml:space="preserve">Sussillo &amp; Abbott, 2009</w:t>
        </w:r>
      </w:hyperlink>
      <w:r>
        <w:rPr>
          <w:sz w:val="20"/>
        </w:rPr>
        <w:t xml:space="preserve">). Für die strukturelle und technische Einordnung werden Arbeiten zu Small-World- und skalenfreien Netzen, Community-Struktur, selbstorganisierenden rekurrenten Netzen sowie etablierten SNN-Simulatoren und neuromorpher Hardware berücksichtigt (</w:t>
      </w:r>
      <w:hyperlink w:anchor="ref-Barabasi1999">
        <w:r>
          <w:rPr>
            <w:rStyle w:val="Hyperlink"/>
          </w:rPr>
          <w:t xml:space="preserve">Barabási &amp; Albert, 1999</w:t>
        </w:r>
      </w:hyperlink>
      <w:r>
        <w:rPr>
          <w:sz w:val="20"/>
        </w:rPr>
        <w:t xml:space="preserve">;</w:t>
      </w:r>
      <w:r>
        <w:rPr>
          <w:sz w:val="20"/>
        </w:rPr>
        <w:t xml:space="preserve"> </w:t>
      </w:r>
      <w:hyperlink w:anchor="ref-Bullmore2009">
        <w:r>
          <w:rPr>
            <w:rStyle w:val="Hyperlink"/>
          </w:rPr>
          <w:t xml:space="preserve">Bullmore &amp; Sporns, 2009</w:t>
        </w:r>
      </w:hyperlink>
      <w:r>
        <w:rPr>
          <w:sz w:val="20"/>
        </w:rPr>
        <w:t xml:space="preserve">;</w:t>
      </w:r>
      <w:r>
        <w:rPr>
          <w:sz w:val="20"/>
        </w:rPr>
        <w:t xml:space="preserve"> </w:t>
      </w:r>
      <w:hyperlink w:anchor="ref-Furber2016">
        <w:r>
          <w:rPr>
            <w:rStyle w:val="Hyperlink"/>
          </w:rPr>
          <w:t xml:space="preserve">Furber, 2016</w:t>
        </w:r>
      </w:hyperlink>
      <w:r>
        <w:rPr>
          <w:sz w:val="20"/>
        </w:rPr>
        <w:t xml:space="preserve">;</w:t>
      </w:r>
      <w:r>
        <w:rPr>
          <w:sz w:val="20"/>
        </w:rPr>
        <w:t xml:space="preserve"> </w:t>
      </w:r>
      <w:hyperlink w:anchor="ref-Gewaltig2007">
        <w:r>
          <w:rPr>
            <w:rStyle w:val="Hyperlink"/>
          </w:rPr>
          <w:t xml:space="preserve">Gewaltig &amp; Diesmann, 2007</w:t>
        </w:r>
      </w:hyperlink>
      <w:r>
        <w:rPr>
          <w:sz w:val="20"/>
        </w:rPr>
        <w:t xml:space="preserve">;</w:t>
      </w:r>
      <w:r>
        <w:rPr>
          <w:sz w:val="20"/>
        </w:rPr>
        <w:t xml:space="preserve"> </w:t>
      </w:r>
      <w:hyperlink w:anchor="ref-Izhikevich2007book">
        <w:r>
          <w:rPr>
            <w:rStyle w:val="Hyperlink"/>
          </w:rPr>
          <w:t xml:space="preserve">Izhikevich, 2007a</w:t>
        </w:r>
      </w:hyperlink>
      <w:r>
        <w:rPr>
          <w:sz w:val="20"/>
        </w:rPr>
        <w:t xml:space="preserve">;</w:t>
      </w:r>
      <w:r>
        <w:rPr>
          <w:sz w:val="20"/>
        </w:rPr>
        <w:t xml:space="preserve"> </w:t>
      </w:r>
      <w:hyperlink w:anchor="ref-LitwinKumar2014">
        <w:r>
          <w:rPr>
            <w:rStyle w:val="Hyperlink"/>
          </w:rPr>
          <w:t xml:space="preserve">Litwin-Kumar &amp; Doiron, 2014</w:t>
        </w:r>
      </w:hyperlink>
      <w:r>
        <w:rPr>
          <w:sz w:val="20"/>
        </w:rPr>
        <w:t xml:space="preserve">;</w:t>
      </w:r>
      <w:r>
        <w:rPr>
          <w:sz w:val="20"/>
        </w:rPr>
        <w:t xml:space="preserve"> </w:t>
      </w:r>
      <w:hyperlink w:anchor="ref-NewmanGirvan2004">
        <w:r>
          <w:rPr>
            <w:rStyle w:val="Hyperlink"/>
          </w:rPr>
          <w:t xml:space="preserve">Newman &amp; Girvan, 2004</w:t>
        </w:r>
      </w:hyperlink>
      <w:r>
        <w:rPr>
          <w:sz w:val="20"/>
        </w:rPr>
        <w:t xml:space="preserve">;</w:t>
      </w:r>
      <w:r>
        <w:rPr>
          <w:sz w:val="20"/>
        </w:rPr>
        <w:t xml:space="preserve"> </w:t>
      </w:r>
      <w:hyperlink w:anchor="ref-Ocker2015">
        <w:r>
          <w:rPr>
            <w:rStyle w:val="Hyperlink"/>
          </w:rPr>
          <w:t xml:space="preserve">Ocker et al., 2015</w:t>
        </w:r>
      </w:hyperlink>
      <w:r>
        <w:rPr>
          <w:sz w:val="20"/>
        </w:rPr>
        <w:t xml:space="preserve">;</w:t>
      </w:r>
      <w:r>
        <w:rPr>
          <w:sz w:val="20"/>
        </w:rPr>
        <w:t xml:space="preserve"> </w:t>
      </w:r>
      <w:hyperlink w:anchor="ref-Stimberg2019">
        <w:r>
          <w:rPr>
            <w:rStyle w:val="Hyperlink"/>
          </w:rPr>
          <w:t xml:space="preserve">Stimberg et al., 2019</w:t>
        </w:r>
      </w:hyperlink>
      <w:r>
        <w:rPr>
          <w:sz w:val="20"/>
        </w:rPr>
        <w:t xml:space="preserve">;</w:t>
      </w:r>
      <w:r>
        <w:rPr>
          <w:sz w:val="20"/>
        </w:rPr>
        <w:t xml:space="preserve"> </w:t>
      </w:r>
      <w:hyperlink w:anchor="ref-Watts1998">
        <w:r>
          <w:rPr>
            <w:rStyle w:val="Hyperlink"/>
          </w:rPr>
          <w:t xml:space="preserve">Watts &amp; Strogatz, 1998</w:t>
        </w:r>
      </w:hyperlink>
      <w:r>
        <w:rPr>
          <w:sz w:val="20"/>
        </w:rPr>
        <w:t xml:space="preserve">;</w:t>
      </w:r>
      <w:r>
        <w:rPr>
          <w:sz w:val="20"/>
        </w:rPr>
        <w:t xml:space="preserve"> </w:t>
      </w:r>
      <w:hyperlink w:anchor="ref-Zenke2015">
        <w:r>
          <w:rPr>
            <w:rStyle w:val="Hyperlink"/>
          </w:rPr>
          <w:t xml:space="preserve">Zenke et al., 2015</w:t>
        </w:r>
      </w:hyperlink>
      <w:r>
        <w:rPr>
          <w:sz w:val="20"/>
        </w:rPr>
        <w:t xml:space="preserve">). Die kognitive und systemische Rahmung stützt sich zusätzlich auf Analyseebenen, sensorimotorische Kontingenzen, sparse beziehungsweise selektive Repräsentation, komplementäre Lernsysteme, prädiktive Verarbeitung, Reinforcement Learning und Digital-Twin-Konzepte (</w:t>
      </w:r>
      <w:hyperlink w:anchor="ref-Davies2018">
        <w:r>
          <w:rPr>
            <w:rStyle w:val="Hyperlink"/>
          </w:rPr>
          <w:t xml:space="preserve">Davies et al., 2018</w:t>
        </w:r>
      </w:hyperlink>
      <w:r>
        <w:rPr>
          <w:sz w:val="20"/>
        </w:rPr>
        <w:t xml:space="preserve">;</w:t>
      </w:r>
      <w:r>
        <w:rPr>
          <w:sz w:val="20"/>
        </w:rPr>
        <w:t xml:space="preserve"> </w:t>
      </w:r>
      <w:hyperlink w:anchor="ref-Friston2010">
        <w:r>
          <w:rPr>
            <w:rStyle w:val="Hyperlink"/>
          </w:rPr>
          <w:t xml:space="preserve">Friston, 2010</w:t>
        </w:r>
      </w:hyperlink>
      <w:r>
        <w:rPr>
          <w:sz w:val="20"/>
        </w:rPr>
        <w:t xml:space="preserve">;</w:t>
      </w:r>
      <w:r>
        <w:rPr>
          <w:sz w:val="20"/>
        </w:rPr>
        <w:t xml:space="preserve"> </w:t>
      </w:r>
      <w:hyperlink w:anchor="ref-Grieves2017">
        <w:r>
          <w:rPr>
            <w:rStyle w:val="Hyperlink"/>
          </w:rPr>
          <w:t xml:space="preserve">Grieves &amp; Vickers, 2017</w:t>
        </w:r>
      </w:hyperlink>
      <w:r>
        <w:rPr>
          <w:sz w:val="20"/>
        </w:rPr>
        <w:t xml:space="preserve">;</w:t>
      </w:r>
      <w:r>
        <w:rPr>
          <w:sz w:val="20"/>
        </w:rPr>
        <w:t xml:space="preserve"> </w:t>
      </w:r>
      <w:hyperlink w:anchor="ref-Kumaran2016">
        <w:r>
          <w:rPr>
            <w:rStyle w:val="Hyperlink"/>
          </w:rPr>
          <w:t xml:space="preserve">Kumaran et al., 2016</w:t>
        </w:r>
      </w:hyperlink>
      <w:r>
        <w:rPr>
          <w:sz w:val="20"/>
        </w:rPr>
        <w:t xml:space="preserve">;</w:t>
      </w:r>
      <w:r>
        <w:rPr>
          <w:sz w:val="20"/>
        </w:rPr>
        <w:t xml:space="preserve"> </w:t>
      </w:r>
      <w:hyperlink w:anchor="ref-Marr1971">
        <w:r>
          <w:rPr>
            <w:rStyle w:val="Hyperlink"/>
          </w:rPr>
          <w:t xml:space="preserve">Marr, 1971</w:t>
        </w:r>
      </w:hyperlink>
      <w:r>
        <w:rPr>
          <w:sz w:val="20"/>
        </w:rPr>
        <w:t xml:space="preserve">;</w:t>
      </w:r>
      <w:r>
        <w:rPr>
          <w:sz w:val="20"/>
        </w:rPr>
        <w:t xml:space="preserve"> </w:t>
      </w:r>
      <w:hyperlink w:anchor="ref-ORegan2001">
        <w:r>
          <w:rPr>
            <w:rStyle w:val="Hyperlink"/>
          </w:rPr>
          <w:t xml:space="preserve">O’Regan &amp; Noë, 2001</w:t>
        </w:r>
      </w:hyperlink>
      <w:r>
        <w:rPr>
          <w:sz w:val="20"/>
        </w:rPr>
        <w:t xml:space="preserve">;</w:t>
      </w:r>
      <w:r>
        <w:rPr>
          <w:sz w:val="20"/>
        </w:rPr>
        <w:t xml:space="preserve"> </w:t>
      </w:r>
      <w:hyperlink w:anchor="ref-Quiroga2009">
        <w:r>
          <w:rPr>
            <w:rStyle w:val="Hyperlink"/>
          </w:rPr>
          <w:t xml:space="preserve">Quiroga &amp; Panzeri, 2009</w:t>
        </w:r>
      </w:hyperlink>
      <w:r>
        <w:rPr>
          <w:sz w:val="20"/>
        </w:rPr>
        <w:t xml:space="preserve">;</w:t>
      </w:r>
      <w:r>
        <w:rPr>
          <w:sz w:val="20"/>
        </w:rPr>
        <w:t xml:space="preserve"> </w:t>
      </w:r>
      <w:hyperlink w:anchor="ref-SuttonBarto2018">
        <w:r>
          <w:rPr>
            <w:rStyle w:val="Hyperlink"/>
          </w:rPr>
          <w:t xml:space="preserve">Sutton &amp; Barto, 2018</w:t>
        </w:r>
      </w:hyperlink>
      <w:r>
        <w:rPr>
          <w:sz w:val="20"/>
        </w:rPr>
        <w:t xml:space="preserve">).</w:t>
      </w:r>
    </w:p>
    <w:bookmarkEnd w:id="549"/>
    <w:bookmarkStart w:id="550" w:name="rechercheprozess"/>
    <w:p>
      <w:pPr>
        <w:pStyle w:val="Heading3"/>
        <w:keepLines/>
        <w:spacing w:after="120"/>
        <w:jc w:val="left"/>
      </w:pPr>
      <w:r>
        <w:rPr>
          <w:sz w:val="20"/>
        </w:rPr>
        <w:t xml:space="preserve">Rechercheprozess</w:t>
      </w:r>
    </w:p>
    <w:p>
      <w:pPr>
        <w:pStyle w:val="FirstParagraph"/>
        <w:keepLines/>
        <w:spacing w:after="120"/>
        <w:jc w:val="left"/>
      </w:pPr>
      <w:r>
        <w:rPr>
          <w:sz w:val="20"/>
        </w:rPr>
        <w:t xml:space="preserve">Für spätere Publikationen werden Datenbanken, Suchstrings, Zeitfenster, Ein-/Ausschlusskriterien und Screening dokumentiert. Zitationsketten und Gegenpositionen werden gezielt gesucht. Preprints werden als solche gekennzeichnet und bei vorhandener begutachteter Fassung aktualisiert.</w:t>
      </w:r>
    </w:p>
    <w:bookmarkEnd w:id="550"/>
    <w:bookmarkEnd w:id="551"/>
    <w:bookmarkStart w:id="560" w:name="offene-forschungsfragen"/>
    <w:p>
      <w:pPr>
        <w:pStyle w:val="Heading2"/>
      </w:pPr>
      <w:r>
        <w:t xml:space="preserve">Offene Forschungsfragen</w:t>
      </w:r>
    </w:p>
    <w:bookmarkStart w:id="552" w:name="geometrie"/>
    <w:p>
      <w:pPr>
        <w:pStyle w:val="Heading3"/>
        <w:keepLines/>
        <w:spacing w:after="120"/>
        <w:jc w:val="left"/>
      </w:pPr>
      <w:r>
        <w:rPr>
          <w:sz w:val="20"/>
        </w:rPr>
        <w:t xml:space="preserve">Geometrie</w:t>
      </w:r>
    </w:p>
    <w:p>
      <w:pPr>
        <w:keepLines/>
        <w:numPr>
          <w:ilvl w:val="0"/>
          <w:numId w:val="1067"/>
        </w:numPr>
        <w:spacing w:after="30" w:line="247" w:lineRule="auto"/>
        <w:jc w:val="left"/>
      </w:pPr>
      <w:r>
        <w:rPr>
          <w:sz w:val="20"/>
        </w:rPr>
        <w:t xml:space="preserve">Kollabiert eine gelernte 5D-Metrik effektiv auf weniger Dimensionen?</w:t>
      </w:r>
    </w:p>
    <w:p>
      <w:pPr>
        <w:keepLines/>
        <w:numPr>
          <w:ilvl w:val="0"/>
          <w:numId w:val="1067"/>
        </w:numPr>
        <w:spacing w:after="30" w:line="247" w:lineRule="auto"/>
        <w:jc w:val="left"/>
      </w:pPr>
      <w:r>
        <w:rPr>
          <w:sz w:val="20"/>
        </w:rPr>
        <w:t xml:space="preserve">Sind off-diagonale Kopplungen stabil oder nur task-spezifisch?</w:t>
      </w:r>
    </w:p>
    <w:p>
      <w:pPr>
        <w:keepLines/>
        <w:numPr>
          <w:ilvl w:val="0"/>
          <w:numId w:val="1067"/>
        </w:numPr>
        <w:spacing w:after="30" w:line="247" w:lineRule="auto"/>
        <w:jc w:val="left"/>
      </w:pPr>
      <w:r>
        <w:rPr>
          <w:sz w:val="20"/>
        </w:rPr>
        <w:t xml:space="preserve">Soll die Metrik global, regional oder zelltypspezifisch sein?</w:t>
      </w:r>
    </w:p>
    <w:p>
      <w:pPr>
        <w:keepLines/>
        <w:numPr>
          <w:ilvl w:val="0"/>
          <w:numId w:val="1067"/>
        </w:numPr>
        <w:spacing w:after="30" w:line="247" w:lineRule="auto"/>
        <w:jc w:val="left"/>
      </w:pPr>
      <w:r>
        <w:rPr>
          <w:sz w:val="20"/>
        </w:rPr>
        <w:t xml:space="preserve">Können Koordinaten selbst plastisch sein, ohne Identität und Reproduzierbarkeit zu zerstören?</w:t>
      </w:r>
    </w:p>
    <w:p>
      <w:pPr>
        <w:keepLines/>
        <w:numPr>
          <w:ilvl w:val="0"/>
          <w:numId w:val="1067"/>
        </w:numPr>
        <w:spacing w:after="30" w:line="247" w:lineRule="auto"/>
        <w:jc w:val="left"/>
      </w:pPr>
      <w:r>
        <w:rPr>
          <w:sz w:val="20"/>
        </w:rPr>
        <w:t xml:space="preserve">Welche Randbedingungen minimieren Artefakte?</w:t>
      </w:r>
    </w:p>
    <w:bookmarkEnd w:id="552"/>
    <w:bookmarkStart w:id="553" w:name="dynamik-und-stabilität"/>
    <w:p>
      <w:pPr>
        <w:pStyle w:val="Heading3"/>
        <w:keepLines/>
        <w:spacing w:after="120"/>
        <w:jc w:val="left"/>
      </w:pPr>
      <w:r>
        <w:rPr>
          <w:sz w:val="20"/>
        </w:rPr>
        <w:t xml:space="preserve">Dynamik und Stabilität</w:t>
      </w:r>
    </w:p>
    <w:p>
      <w:pPr>
        <w:keepLines/>
        <w:numPr>
          <w:ilvl w:val="0"/>
          <w:numId w:val="1068"/>
        </w:numPr>
        <w:spacing w:after="30" w:line="247" w:lineRule="auto"/>
        <w:jc w:val="left"/>
      </w:pPr>
      <w:r>
        <w:rPr>
          <w:sz w:val="20"/>
        </w:rPr>
        <w:t xml:space="preserve">Existiert ein robustes Aktivitätsregime über mehrere Netzwerkgrößen?</w:t>
      </w:r>
    </w:p>
    <w:p>
      <w:pPr>
        <w:keepLines/>
        <w:numPr>
          <w:ilvl w:val="0"/>
          <w:numId w:val="1068"/>
        </w:numPr>
        <w:spacing w:after="30" w:line="247" w:lineRule="auto"/>
        <w:jc w:val="left"/>
      </w:pPr>
      <w:r>
        <w:rPr>
          <w:sz w:val="20"/>
        </w:rPr>
        <w:t xml:space="preserve">Welche Mechanismen bestimmen Phasenübergänge stärker: Delay, E/I, Homöostase oder Strukturturnover?</w:t>
      </w:r>
    </w:p>
    <w:p>
      <w:pPr>
        <w:keepLines/>
        <w:numPr>
          <w:ilvl w:val="0"/>
          <w:numId w:val="1068"/>
        </w:numPr>
        <w:spacing w:after="30" w:line="247" w:lineRule="auto"/>
        <w:jc w:val="left"/>
      </w:pPr>
      <w:r>
        <w:rPr>
          <w:sz w:val="20"/>
        </w:rPr>
        <w:t xml:space="preserve">Sind metastabile Zustände funktional oder nur Nebenprodukte?</w:t>
      </w:r>
    </w:p>
    <w:p>
      <w:pPr>
        <w:keepLines/>
        <w:numPr>
          <w:ilvl w:val="0"/>
          <w:numId w:val="1068"/>
        </w:numPr>
        <w:spacing w:after="30" w:line="247" w:lineRule="auto"/>
        <w:jc w:val="left"/>
      </w:pPr>
      <w:r>
        <w:rPr>
          <w:sz w:val="20"/>
        </w:rPr>
        <w:t xml:space="preserve">Welche reduzierten Mean-Field-Modelle sind trotz 5D-Geometrie möglich?</w:t>
      </w:r>
    </w:p>
    <w:p>
      <w:pPr>
        <w:keepLines/>
        <w:numPr>
          <w:ilvl w:val="0"/>
          <w:numId w:val="1068"/>
        </w:numPr>
        <w:spacing w:after="30" w:line="247" w:lineRule="auto"/>
        <w:jc w:val="left"/>
      </w:pPr>
      <w:r>
        <w:rPr>
          <w:sz w:val="20"/>
        </w:rPr>
        <w:t xml:space="preserve">Wie werden strukturelle Sprünge in einer Lyapunov- oder Hybridanalyse behandelt?</w:t>
      </w:r>
    </w:p>
    <w:bookmarkEnd w:id="553"/>
    <w:bookmarkStart w:id="554" w:name="lernen-und-gedächtnis-1"/>
    <w:p>
      <w:pPr>
        <w:pStyle w:val="Heading3"/>
        <w:keepLines/>
        <w:spacing w:after="120"/>
        <w:jc w:val="left"/>
      </w:pPr>
      <w:r>
        <w:rPr>
          <w:sz w:val="20"/>
        </w:rPr>
        <w:t xml:space="preserve">Lernen und Gedächtnis</w:t>
      </w:r>
    </w:p>
    <w:p>
      <w:pPr>
        <w:keepLines/>
        <w:numPr>
          <w:ilvl w:val="0"/>
          <w:numId w:val="1069"/>
        </w:numPr>
        <w:spacing w:after="30" w:line="247" w:lineRule="auto"/>
        <w:jc w:val="left"/>
      </w:pPr>
      <w:r>
        <w:rPr>
          <w:sz w:val="20"/>
        </w:rPr>
        <w:t xml:space="preserve">Welche Three-Factor-Regel ist für verzögerten Reward ausreichend?</w:t>
      </w:r>
    </w:p>
    <w:p>
      <w:pPr>
        <w:keepLines/>
        <w:numPr>
          <w:ilvl w:val="0"/>
          <w:numId w:val="1069"/>
        </w:numPr>
        <w:spacing w:after="30" w:line="247" w:lineRule="auto"/>
        <w:jc w:val="left"/>
      </w:pPr>
      <w:r>
        <w:rPr>
          <w:sz w:val="20"/>
        </w:rPr>
        <w:t xml:space="preserve">Wie werden Kontext und Widerspruch ohne externen symbolischen Speicher getrennt?</w:t>
      </w:r>
    </w:p>
    <w:p>
      <w:pPr>
        <w:keepLines/>
        <w:numPr>
          <w:ilvl w:val="0"/>
          <w:numId w:val="1069"/>
        </w:numPr>
        <w:spacing w:after="30" w:line="247" w:lineRule="auto"/>
        <w:jc w:val="left"/>
      </w:pPr>
      <w:r>
        <w:rPr>
          <w:sz w:val="20"/>
        </w:rPr>
        <w:t xml:space="preserve">Welche Zustandskomponenten tragen Retention: Gewichte, Struktur, Schwellen oder dynamische Trajektorien?</w:t>
      </w:r>
    </w:p>
    <w:p>
      <w:pPr>
        <w:keepLines/>
        <w:numPr>
          <w:ilvl w:val="0"/>
          <w:numId w:val="1069"/>
        </w:numPr>
        <w:spacing w:after="30" w:line="247" w:lineRule="auto"/>
        <w:jc w:val="left"/>
      </w:pPr>
      <w:r>
        <w:rPr>
          <w:sz w:val="20"/>
        </w:rPr>
        <w:t xml:space="preserve">Kann Structural Plasticity Forgetting reduzieren, ohne unbegrenztes Wachstum?</w:t>
      </w:r>
    </w:p>
    <w:p>
      <w:pPr>
        <w:keepLines/>
        <w:numPr>
          <w:ilvl w:val="0"/>
          <w:numId w:val="1069"/>
        </w:numPr>
        <w:spacing w:after="30" w:line="247" w:lineRule="auto"/>
        <w:jc w:val="left"/>
      </w:pPr>
      <w:r>
        <w:rPr>
          <w:sz w:val="20"/>
        </w:rPr>
        <w:t xml:space="preserve">Welche Konsolidierungszeitskalen entstehen versus werden vorgegeben?</w:t>
      </w:r>
    </w:p>
    <w:bookmarkEnd w:id="554"/>
    <w:bookmarkStart w:id="555" w:name="repräsentation"/>
    <w:p>
      <w:pPr>
        <w:pStyle w:val="Heading3"/>
        <w:keepLines/>
        <w:spacing w:after="120"/>
        <w:jc w:val="left"/>
      </w:pPr>
      <w:r>
        <w:rPr>
          <w:sz w:val="20"/>
        </w:rPr>
        <w:t xml:space="preserve">Repräsentation</w:t>
      </w:r>
    </w:p>
    <w:p>
      <w:pPr>
        <w:keepLines/>
        <w:numPr>
          <w:ilvl w:val="0"/>
          <w:numId w:val="1070"/>
        </w:numPr>
        <w:spacing w:after="30" w:line="247" w:lineRule="auto"/>
        <w:jc w:val="left"/>
      </w:pPr>
      <w:r>
        <w:rPr>
          <w:sz w:val="20"/>
        </w:rPr>
        <w:t xml:space="preserve">Welche internen Merkmale generalisieren über Encoder und Stimulusvarianten?</w:t>
      </w:r>
    </w:p>
    <w:p>
      <w:pPr>
        <w:keepLines/>
        <w:numPr>
          <w:ilvl w:val="0"/>
          <w:numId w:val="1070"/>
        </w:numPr>
        <w:spacing w:after="30" w:line="247" w:lineRule="auto"/>
        <w:jc w:val="left"/>
      </w:pPr>
      <w:r>
        <w:rPr>
          <w:sz w:val="20"/>
        </w:rPr>
        <w:t xml:space="preserve">Wie stark hängt Decodability vom gewählten Beobachtungsraum ab?</w:t>
      </w:r>
    </w:p>
    <w:p>
      <w:pPr>
        <w:keepLines/>
        <w:numPr>
          <w:ilvl w:val="0"/>
          <w:numId w:val="1070"/>
        </w:numPr>
        <w:spacing w:after="30" w:line="247" w:lineRule="auto"/>
        <w:jc w:val="left"/>
      </w:pPr>
      <w:r>
        <w:rPr>
          <w:sz w:val="20"/>
        </w:rPr>
        <w:t xml:space="preserve">Welche Interventionen sind hinreichend spezifisch, um funktionale Repräsentation zu belegen?</w:t>
      </w:r>
    </w:p>
    <w:p>
      <w:pPr>
        <w:keepLines/>
        <w:numPr>
          <w:ilvl w:val="0"/>
          <w:numId w:val="1070"/>
        </w:numPr>
        <w:spacing w:after="30" w:line="247" w:lineRule="auto"/>
        <w:jc w:val="left"/>
      </w:pPr>
      <w:r>
        <w:rPr>
          <w:sz w:val="20"/>
        </w:rPr>
        <w:t xml:space="preserve">Entstehen relationale oder kompositionale Zustände?</w:t>
      </w:r>
    </w:p>
    <w:p>
      <w:pPr>
        <w:keepLines/>
        <w:numPr>
          <w:ilvl w:val="0"/>
          <w:numId w:val="1070"/>
        </w:numPr>
        <w:spacing w:after="30" w:line="247" w:lineRule="auto"/>
        <w:jc w:val="left"/>
      </w:pPr>
      <w:r>
        <w:rPr>
          <w:sz w:val="20"/>
        </w:rPr>
        <w:t xml:space="preserve">Können interne Zustände unbekannte Kombinationen korrekt unterstützen?</w:t>
      </w:r>
    </w:p>
    <w:bookmarkEnd w:id="555"/>
    <w:bookmarkStart w:id="556" w:name="language-organ-1"/>
    <w:p>
      <w:pPr>
        <w:pStyle w:val="Heading3"/>
        <w:keepLines/>
        <w:spacing w:after="120"/>
        <w:jc w:val="left"/>
      </w:pPr>
      <w:r>
        <w:rPr>
          <w:sz w:val="20"/>
        </w:rPr>
        <w:t xml:space="preserve">Language Organ</w:t>
      </w:r>
    </w:p>
    <w:p>
      <w:pPr>
        <w:keepLines/>
        <w:numPr>
          <w:ilvl w:val="0"/>
          <w:numId w:val="1071"/>
        </w:numPr>
        <w:spacing w:after="30" w:line="247" w:lineRule="auto"/>
        <w:jc w:val="left"/>
      </w:pPr>
      <w:r>
        <w:rPr>
          <w:sz w:val="20"/>
        </w:rPr>
        <w:t xml:space="preserve">Wie viel Struktur darf ein Encoder vorgeben, ohne die Lernfrage zu trivialisieren?</w:t>
      </w:r>
    </w:p>
    <w:p>
      <w:pPr>
        <w:keepLines/>
        <w:numPr>
          <w:ilvl w:val="0"/>
          <w:numId w:val="1071"/>
        </w:numPr>
        <w:spacing w:after="30" w:line="247" w:lineRule="auto"/>
        <w:jc w:val="left"/>
      </w:pPr>
      <w:r>
        <w:rPr>
          <w:sz w:val="20"/>
        </w:rPr>
        <w:t xml:space="preserve">Wie kalibriert man Decoder-Confidence gegen Signalqualität?</w:t>
      </w:r>
    </w:p>
    <w:p>
      <w:pPr>
        <w:keepLines/>
        <w:numPr>
          <w:ilvl w:val="0"/>
          <w:numId w:val="1071"/>
        </w:numPr>
        <w:spacing w:after="30" w:line="247" w:lineRule="auto"/>
        <w:jc w:val="left"/>
      </w:pPr>
      <w:r>
        <w:rPr>
          <w:sz w:val="20"/>
        </w:rPr>
        <w:t xml:space="preserve">Kann ein LLM-unabhängiger Decoder dieselben Zustände lesen?</w:t>
      </w:r>
    </w:p>
    <w:p>
      <w:pPr>
        <w:keepLines/>
        <w:numPr>
          <w:ilvl w:val="0"/>
          <w:numId w:val="1071"/>
        </w:numPr>
        <w:spacing w:after="30" w:line="247" w:lineRule="auto"/>
        <w:jc w:val="left"/>
      </w:pPr>
      <w:r>
        <w:rPr>
          <w:sz w:val="20"/>
        </w:rPr>
        <w:t xml:space="preserve">Welche FeedbackProposal-Klassen sind wissenschaftlich sinnvoll und sicher?</w:t>
      </w:r>
    </w:p>
    <w:p>
      <w:pPr>
        <w:keepLines/>
        <w:numPr>
          <w:ilvl w:val="0"/>
          <w:numId w:val="1071"/>
        </w:numPr>
        <w:spacing w:after="30" w:line="247" w:lineRule="auto"/>
        <w:jc w:val="left"/>
      </w:pPr>
      <w:r>
        <w:rPr>
          <w:sz w:val="20"/>
        </w:rPr>
        <w:t xml:space="preserve">Wie lassen sich Prompt- und Modelländerungen langfristig reproduzieren?</w:t>
      </w:r>
    </w:p>
    <w:bookmarkEnd w:id="556"/>
    <w:bookmarkStart w:id="557" w:name="storage-und-digital-state-twin"/>
    <w:p>
      <w:pPr>
        <w:pStyle w:val="Heading3"/>
        <w:keepLines/>
        <w:spacing w:after="120"/>
        <w:jc w:val="left"/>
      </w:pPr>
      <w:r>
        <w:rPr>
          <w:sz w:val="20"/>
        </w:rPr>
        <w:t xml:space="preserve">Storage und Digital State Twin</w:t>
      </w:r>
    </w:p>
    <w:p>
      <w:pPr>
        <w:keepLines/>
        <w:numPr>
          <w:ilvl w:val="0"/>
          <w:numId w:val="1072"/>
        </w:numPr>
        <w:spacing w:after="30" w:line="247" w:lineRule="auto"/>
        <w:jc w:val="left"/>
      </w:pPr>
      <w:r>
        <w:rPr>
          <w:sz w:val="20"/>
        </w:rPr>
        <w:t xml:space="preserve">Welche Mindestereignisse erlauben kausal fidelen Replay?</w:t>
      </w:r>
    </w:p>
    <w:p>
      <w:pPr>
        <w:keepLines/>
        <w:numPr>
          <w:ilvl w:val="0"/>
          <w:numId w:val="1072"/>
        </w:numPr>
        <w:spacing w:after="30" w:line="247" w:lineRule="auto"/>
        <w:jc w:val="left"/>
      </w:pPr>
      <w:r>
        <w:rPr>
          <w:sz w:val="20"/>
        </w:rPr>
        <w:t xml:space="preserve">Wie häufig müssen Checkpoints bei struktureller Plastizität erfolgen?</w:t>
      </w:r>
    </w:p>
    <w:p>
      <w:pPr>
        <w:keepLines/>
        <w:numPr>
          <w:ilvl w:val="0"/>
          <w:numId w:val="1072"/>
        </w:numPr>
        <w:spacing w:after="30" w:line="247" w:lineRule="auto"/>
        <w:jc w:val="left"/>
      </w:pPr>
      <w:r>
        <w:rPr>
          <w:sz w:val="20"/>
        </w:rPr>
        <w:t xml:space="preserve">Welche Daten sind kanonisch, welche nur abgeleitet?</w:t>
      </w:r>
    </w:p>
    <w:p>
      <w:pPr>
        <w:keepLines/>
        <w:numPr>
          <w:ilvl w:val="0"/>
          <w:numId w:val="1072"/>
        </w:numPr>
        <w:spacing w:after="30" w:line="247" w:lineRule="auto"/>
        <w:jc w:val="left"/>
      </w:pPr>
      <w:r>
        <w:rPr>
          <w:sz w:val="20"/>
        </w:rPr>
        <w:t xml:space="preserve">Wie werden Schemaänderungen über Jahre migrationssicher?</w:t>
      </w:r>
    </w:p>
    <w:p>
      <w:pPr>
        <w:keepLines/>
        <w:numPr>
          <w:ilvl w:val="0"/>
          <w:numId w:val="1072"/>
        </w:numPr>
        <w:spacing w:after="30" w:line="247" w:lineRule="auto"/>
        <w:jc w:val="left"/>
      </w:pPr>
      <w:r>
        <w:rPr>
          <w:sz w:val="20"/>
        </w:rPr>
        <w:t xml:space="preserve">Welche optischen beziehungsweise tensorartigen Repräsentationen beschleunigen Analyse, ohne Information zu verlieren?</w:t>
      </w:r>
    </w:p>
    <w:bookmarkEnd w:id="557"/>
    <w:bookmarkStart w:id="558" w:name="embodiment-und-prädiktive-zustände"/>
    <w:p>
      <w:pPr>
        <w:pStyle w:val="Heading3"/>
        <w:keepLines/>
        <w:spacing w:after="120"/>
        <w:jc w:val="left"/>
      </w:pPr>
      <w:r>
        <w:rPr>
          <w:sz w:val="20"/>
        </w:rPr>
        <w:t xml:space="preserve">Embodiment und prädiktive Zustände</w:t>
      </w:r>
    </w:p>
    <w:p>
      <w:pPr>
        <w:keepLines/>
        <w:numPr>
          <w:ilvl w:val="0"/>
          <w:numId w:val="1073"/>
        </w:numPr>
        <w:spacing w:after="30" w:line="247" w:lineRule="auto"/>
        <w:jc w:val="left"/>
      </w:pPr>
      <w:r>
        <w:rPr>
          <w:sz w:val="20"/>
        </w:rPr>
        <w:t xml:space="preserve">Entsteht action-konditionierte Vorhersage ohne expliziten differentiablen Weltmodell-Loss?</w:t>
      </w:r>
    </w:p>
    <w:p>
      <w:pPr>
        <w:keepLines/>
        <w:numPr>
          <w:ilvl w:val="0"/>
          <w:numId w:val="1073"/>
        </w:numPr>
        <w:spacing w:after="30" w:line="247" w:lineRule="auto"/>
        <w:jc w:val="left"/>
      </w:pPr>
      <w:r>
        <w:rPr>
          <w:sz w:val="20"/>
        </w:rPr>
        <w:t xml:space="preserve">Wie unterscheiden sich aktive und yoked Erfahrung in der internen Geometrie?</w:t>
      </w:r>
    </w:p>
    <w:p>
      <w:pPr>
        <w:keepLines/>
        <w:numPr>
          <w:ilvl w:val="0"/>
          <w:numId w:val="1073"/>
        </w:numPr>
        <w:spacing w:after="30" w:line="247" w:lineRule="auto"/>
        <w:jc w:val="left"/>
      </w:pPr>
      <w:r>
        <w:rPr>
          <w:sz w:val="20"/>
        </w:rPr>
        <w:t xml:space="preserve">Wie robust ist Sensorfusion gegenüber asynchronen oder fehlenden Kanälen?</w:t>
      </w:r>
    </w:p>
    <w:p>
      <w:pPr>
        <w:keepLines/>
        <w:numPr>
          <w:ilvl w:val="0"/>
          <w:numId w:val="1073"/>
        </w:numPr>
        <w:spacing w:after="30" w:line="247" w:lineRule="auto"/>
        <w:jc w:val="left"/>
      </w:pPr>
      <w:r>
        <w:rPr>
          <w:sz w:val="20"/>
        </w:rPr>
        <w:t xml:space="preserve">Welche minimalen Aufgaben zeigen echte Planung statt reaktiver Politik?</w:t>
      </w:r>
    </w:p>
    <w:p>
      <w:pPr>
        <w:keepLines/>
        <w:numPr>
          <w:ilvl w:val="0"/>
          <w:numId w:val="1073"/>
        </w:numPr>
        <w:spacing w:after="30" w:line="247" w:lineRule="auto"/>
        <w:jc w:val="left"/>
      </w:pPr>
      <w:r>
        <w:rPr>
          <w:sz w:val="20"/>
        </w:rPr>
        <w:t xml:space="preserve">Wie wird Sim-to-Real sicher und kausal bewertet?</w:t>
      </w:r>
    </w:p>
    <w:bookmarkEnd w:id="558"/>
    <w:bookmarkStart w:id="559" w:name="wissenschaftstheorie-und-governance"/>
    <w:p>
      <w:pPr>
        <w:pStyle w:val="Heading3"/>
        <w:keepLines/>
        <w:spacing w:after="120"/>
        <w:jc w:val="left"/>
      </w:pPr>
      <w:r>
        <w:rPr>
          <w:sz w:val="20"/>
        </w:rPr>
        <w:t xml:space="preserve">Wissenschaftstheorie und Governance</w:t>
      </w:r>
    </w:p>
    <w:p>
      <w:pPr>
        <w:keepLines/>
        <w:numPr>
          <w:ilvl w:val="0"/>
          <w:numId w:val="1074"/>
        </w:numPr>
        <w:spacing w:after="30" w:line="247" w:lineRule="auto"/>
        <w:jc w:val="left"/>
      </w:pPr>
      <w:r>
        <w:rPr>
          <w:sz w:val="20"/>
        </w:rPr>
        <w:t xml:space="preserve">Welche Claims sind stark genug für E3, und wann ist externe Replikation erforderlich?</w:t>
      </w:r>
    </w:p>
    <w:p>
      <w:pPr>
        <w:keepLines/>
        <w:numPr>
          <w:ilvl w:val="0"/>
          <w:numId w:val="1074"/>
        </w:numPr>
        <w:spacing w:after="30" w:line="247" w:lineRule="auto"/>
        <w:jc w:val="left"/>
      </w:pPr>
      <w:r>
        <w:rPr>
          <w:sz w:val="20"/>
        </w:rPr>
        <w:t xml:space="preserve">Wie werden nicht reproduzierte E2-Ergebnisse herabgestuft?</w:t>
      </w:r>
    </w:p>
    <w:p>
      <w:pPr>
        <w:keepLines/>
        <w:numPr>
          <w:ilvl w:val="0"/>
          <w:numId w:val="1074"/>
        </w:numPr>
        <w:spacing w:after="30" w:line="247" w:lineRule="auto"/>
        <w:jc w:val="left"/>
      </w:pPr>
      <w:r>
        <w:rPr>
          <w:sz w:val="20"/>
        </w:rPr>
        <w:t xml:space="preserve">Welche Kriterien rechtfertigen kognitive Begriffe?</w:t>
      </w:r>
    </w:p>
    <w:p>
      <w:pPr>
        <w:keepLines/>
        <w:numPr>
          <w:ilvl w:val="0"/>
          <w:numId w:val="1074"/>
        </w:numPr>
        <w:spacing w:after="30" w:line="247" w:lineRule="auto"/>
        <w:jc w:val="left"/>
      </w:pPr>
      <w:r>
        <w:rPr>
          <w:sz w:val="20"/>
        </w:rPr>
        <w:t xml:space="preserve">Wie verhindert die Projektkommunikation Anthropomorphisierung?</w:t>
      </w:r>
    </w:p>
    <w:p>
      <w:pPr>
        <w:keepLines/>
        <w:numPr>
          <w:ilvl w:val="0"/>
          <w:numId w:val="1074"/>
        </w:numPr>
        <w:spacing w:after="30" w:line="247" w:lineRule="auto"/>
        <w:jc w:val="left"/>
      </w:pPr>
      <w:r>
        <w:rPr>
          <w:sz w:val="20"/>
        </w:rPr>
        <w:t xml:space="preserve">Wie werden Sicherheit und wissenschaftliche Offenheit ausbalanciert?</w:t>
      </w:r>
    </w:p>
    <w:bookmarkEnd w:id="559"/>
    <w:bookmarkEnd w:id="560"/>
    <w:bookmarkEnd w:id="561"/>
    <w:bookmarkStart w:id="567" w:name="X038000227e15c607c2f3d2e7e0bbf8a90e3593d"/>
    <w:p>
      <w:bookmarkStart w:id="10036" w:name="B5D_H036"/>
      <w:pPr>
        <w:pStyle w:val="Heading1"/>
      </w:pPr>
      <w:r>
        <w:t xml:space="preserve">33. Arbeit, Macht, Umwelt und soziale Einbettung</w:t>
      </w:r>
      <w:bookmarkEnd w:id="10036"/>
    </w:p>
    <w:bookmarkStart w:id="562" w:name="X26946fdd72c49c0dc61ca889593dbbfbf0178dc"/>
    <w:p>
      <w:pPr>
        <w:pStyle w:val="Heading2"/>
      </w:pPr>
      <w:r>
        <w:t xml:space="preserve">Arbeit, Qualifikation und die Verteilung von Handlungsmacht</w:t>
      </w:r>
    </w:p>
    <w:p>
      <w:pPr>
        <w:pStyle w:val="FirstParagraph"/>
        <w:keepLines/>
        <w:spacing w:after="120"/>
        <w:jc w:val="left"/>
      </w:pPr>
      <w:r>
        <w:rPr>
          <w:sz w:val="20"/>
        </w:rPr>
        <w:t xml:space="preserve">Die philosophische Frage nach dem Menschen als Konstrukteur oder Beobachter hat eine praktische Organisationsseite. Wird Entwurfswissen ausgelagert, kann eine Organisation kurzfristig leistungsfähiger und langfristig abhängiger werden. Dies ist in dieser Abhandlung eine zu untersuchende Möglichkeit, keine universale empirische Diagnose. Relevant wären beispielsweise die Fähigkeit zur eigenständigen Fehleranalyse, zur Fortführung ohne einen bestimmten Anbieter und zur fachlich begründeten Ablehnung maschineller Vorschläge.</w:t>
      </w:r>
    </w:p>
    <w:p>
      <w:pPr>
        <w:pStyle w:val="BodyText"/>
        <w:keepLines/>
        <w:spacing w:after="120"/>
        <w:jc w:val="left"/>
      </w:pPr>
      <w:r>
        <w:rPr>
          <w:sz w:val="20"/>
        </w:rPr>
        <w:t xml:space="preserve">Bainbridges im Korpus zitierte</w:t>
      </w:r>
      <w:r>
        <w:rPr>
          <w:sz w:val="20"/>
        </w:rPr>
        <w:t xml:space="preserve"> </w:t>
      </w:r>
      <w:r>
        <w:rPr>
          <w:sz w:val="20"/>
        </w:rPr>
        <w:t xml:space="preserve">“</w:t>
      </w:r>
      <w:r>
        <w:rPr>
          <w:sz w:val="20"/>
        </w:rPr>
        <w:t xml:space="preserve">Ironies of Automation</w:t>
      </w:r>
      <w:r>
        <w:rPr>
          <w:sz w:val="20"/>
        </w:rPr>
        <w:t xml:space="preserve">”</w:t>
      </w:r>
      <w:r>
        <w:rPr>
          <w:sz w:val="20"/>
        </w:rPr>
        <w:t xml:space="preserve"> </w:t>
      </w:r>
      <w:r>
        <w:rPr>
          <w:sz w:val="20"/>
        </w:rPr>
        <w:t xml:space="preserve">und die dort diskutierten Theorien verteilter Kognition markieren zwei komplementäre Fragen: Welche Aufgaben verbleiben Menschen nach Automation, und welche Leistungen können nur noch dem Verbund sinnvoll zugerechnet werden? Für Brain-5D lässt sich daraus eine konkrete Dokumentationspflicht ableiten. Nicht nur erzeugter Code, sondern auch verworfene Vorschläge, menschliche Korrekturen, Prüfentscheidungen und Abbruchgründe sind wissenschaftlich relevante Prozessdaten. Diese Ableitung ist eine Synthese, keine bereits erhobene Organisationsstudie.</w:t>
      </w:r>
    </w:p>
    <w:bookmarkEnd w:id="562"/>
    <w:bookmarkStart w:id="563" w:name="macht-ist-mehr-als-modellautonomie"/>
    <w:p>
      <w:pPr>
        <w:pStyle w:val="Heading2"/>
      </w:pPr>
      <w:r>
        <w:t xml:space="preserve">Macht ist mehr als Modellautonomie</w:t>
      </w:r>
    </w:p>
    <w:p>
      <w:pPr>
        <w:pStyle w:val="FirstParagraph"/>
        <w:keepLines/>
        <w:spacing w:after="120"/>
        <w:jc w:val="left"/>
      </w:pPr>
      <w:r>
        <w:rPr>
          <w:sz w:val="20"/>
        </w:rPr>
        <w:t xml:space="preserve">Ein Modell kann wenig eigenständige Zielsetzung besitzen und trotzdem durch seine institutionelle Einbettung großen Einfluss entfalten. Wer kontrolliert Datenzugang, Modellversionen, Verfügbarkeit, Preise, Schnittstellen und die Darstellung von Unsicherheit? Wer trägt die Kosten eines Fehlers? Wer kann einen problematischen Einsatz tatsächlich stoppen? Diese Fragen verschieben die Analyse vom isolierten technischen</w:t>
      </w:r>
      <w:r>
        <w:rPr>
          <w:sz w:val="20"/>
        </w:rPr>
        <w:t xml:space="preserve"> </w:t>
      </w:r>
      <w:r>
        <w:rPr>
          <w:sz w:val="20"/>
        </w:rPr>
        <w:t xml:space="preserve">“</w:t>
      </w:r>
      <w:r>
        <w:rPr>
          <w:sz w:val="20"/>
        </w:rPr>
        <w:t xml:space="preserve">Wesen</w:t>
      </w:r>
      <w:r>
        <w:rPr>
          <w:sz w:val="20"/>
        </w:rPr>
        <w:t xml:space="preserve">”</w:t>
      </w:r>
      <w:r>
        <w:rPr>
          <w:sz w:val="20"/>
        </w:rPr>
        <w:t xml:space="preserve"> </w:t>
      </w:r>
      <w:r>
        <w:rPr>
          <w:sz w:val="20"/>
        </w:rPr>
        <w:t xml:space="preserve">zu einem Geflecht aus Entwicklern, Betreibern, Nutzenden, Infrastruktur und Betroffenen.</w:t>
      </w:r>
    </w:p>
    <w:p>
      <w:pPr>
        <w:pStyle w:val="BodyText"/>
        <w:keepLines/>
        <w:spacing w:after="120"/>
        <w:jc w:val="left"/>
      </w:pPr>
      <w:r>
        <w:rPr>
          <w:sz w:val="20"/>
        </w:rPr>
        <w:t xml:space="preserve">Die normativen Modelle des Korpus gewinnen dadurch eine weniger anthropomorphe Form. Die Gefahr kann nicht nur von einer hypothetisch eigenwilligen Maschine ausgehen, sondern von unzureichender Aufsicht, falsch gesetzten Anreizen, konzentriertem Zugang oder verantwortungsdiffuser Organisation. Ebenso kann ein technisch autonomer Teilprozess in einem sorgfältig begrenzten und nachvollziehbaren Rahmen gesellschaftlich weniger problematisch sein als ein scheinbar einfaches, aber unkontrolliertes Entscheidungssystem.</w:t>
      </w:r>
    </w:p>
    <w:bookmarkEnd w:id="563"/>
    <w:bookmarkStart w:id="564" w:name="umwelt--und-ressourcenperspektive"/>
    <w:p>
      <w:pPr>
        <w:pStyle w:val="Heading2"/>
      </w:pPr>
      <w:r>
        <w:t xml:space="preserve">Umwelt- und Ressourcenperspektive</w:t>
      </w:r>
    </w:p>
    <w:p>
      <w:pPr>
        <w:pStyle w:val="FirstParagraph"/>
        <w:keepLines/>
        <w:spacing w:after="120"/>
        <w:jc w:val="left"/>
      </w:pPr>
      <w:r>
        <w:rPr>
          <w:sz w:val="20"/>
        </w:rPr>
        <w:t xml:space="preserve">Die materielle Abhängigkeit von Rechenleistung, Energie, Kühlung, Netzwerken und Wartung gehört zur Theorie geliehener Intelligenz. Eine ressourcenschonende Architektur ist jedoch nicht automatisch eine ökologisch überlegene Gesamtlösung. Zu berücksichtigen wären Hardwareherstellung, Lebensdauer, Auslastung, Trainings- und Betriebsaufwand, Datenübertragung und die tatsächlich ersetzte oder zusätzlich erzeugte Arbeit. Die Abhandlung legt keine eigene Lebenszyklusbilanz vor.</w:t>
      </w:r>
    </w:p>
    <w:p>
      <w:pPr>
        <w:pStyle w:val="BodyText"/>
        <w:keepLines/>
        <w:spacing w:after="120"/>
        <w:jc w:val="left"/>
      </w:pPr>
      <w:r>
        <w:rPr>
          <w:sz w:val="20"/>
        </w:rPr>
        <w:t xml:space="preserve">Für künftige Experimente wird deshalb eine abgestufte Messung vorgeschlagen. Zuerst werden klare technische Kosten wie Laufzeit und Speicher erfasst. Danach können kalibrierte elektrische Messungen hinzukommen. Erst eine begründete Systemgrenze erlaubt Aussagen über Umweltwirkungen. Ein SNN muss nicht allein deshalb energieeffizient sein, weil es Spikes verwendet; Hardware, Implementierung und Arbeitslast entscheiden mit. Die im Framework vorgesehenen Skalierungs- und Performancevergleiche bleiben deshalb erforderlich.</w:t>
      </w:r>
    </w:p>
    <w:bookmarkEnd w:id="564"/>
    <w:bookmarkStart w:id="565" w:name="X88d09b1a47366314c4f84c4bfd0e413de5d4b39"/>
    <w:p>
      <w:pPr>
        <w:pStyle w:val="Heading2"/>
      </w:pPr>
      <w:r>
        <w:t xml:space="preserve">Datenschutz, Wissensrechte und institutionelle Einbettung</w:t>
      </w:r>
    </w:p>
    <w:p>
      <w:pPr>
        <w:pStyle w:val="FirstParagraph"/>
        <w:keepLines/>
        <w:spacing w:after="120"/>
        <w:jc w:val="left"/>
      </w:pPr>
      <w:r>
        <w:rPr>
          <w:sz w:val="20"/>
        </w:rPr>
        <w:t xml:space="preserve">Ein offener Sensorraum kann personenbezogene oder vertrauliche Informationen erfassen. Die bloße technische Erreichbarkeit einer Quelle beantwortet weder die Berechtigung zur Nutzung noch die Zulässigkeit der Weitergabe. Für eine konkrete Anwendung sind Datenminimierung, Zweckbindung, Zugriffsrechte, Lösch- und Aufbewahrungsregeln gesondert zu prüfen. Die Wissenschaftsarchitektur soll solche Entscheidungen dokumentierbar machen, nicht sie durch ein abstraktes Intelligence-Ziel ersetzen.</w:t>
      </w:r>
    </w:p>
    <w:p>
      <w:pPr>
        <w:pStyle w:val="BodyText"/>
        <w:keepLines/>
        <w:spacing w:after="120"/>
        <w:jc w:val="left"/>
      </w:pPr>
      <w:r>
        <w:rPr>
          <w:sz w:val="20"/>
        </w:rPr>
        <w:t xml:space="preserve">Ein besonderer Konflikt entsteht zwischen unveränderlicher wissenschaftlicher Provenienz und legitimen Pflichten zur Löschung oder Zugriffsbeschränkung. Als Designvorschlag sind deshalb wissenschaftliche Metadaten, Inhaltsdaten, Berechtigungen und gegebenenfalls gesperrte beziehungsweise gelöschte Nutzlasten getrennt zu modellieren. Ein dauerhaft erhaltenes Manifest darf eine rechtlich erforderliche Inhaltslöschung nicht heimlich vereiteln. Umgekehrt darf ein gesperrter Datensatz nicht später so zitiert werden, als seien seine Rohdaten weiterhin frei nachprüfbar.</w:t>
      </w:r>
    </w:p>
    <w:bookmarkEnd w:id="565"/>
    <w:bookmarkStart w:id="566" w:name="moralischer-status-unter-unsicherheit"/>
    <w:p>
      <w:pPr>
        <w:pStyle w:val="Heading2"/>
      </w:pPr>
      <w:r>
        <w:t xml:space="preserve">Moralischer Status unter Unsicherheit</w:t>
      </w:r>
    </w:p>
    <w:p>
      <w:pPr>
        <w:pStyle w:val="FirstParagraph"/>
        <w:keepLines/>
        <w:spacing w:after="120"/>
        <w:jc w:val="left"/>
      </w:pPr>
      <w:r>
        <w:rPr>
          <w:sz w:val="20"/>
        </w:rPr>
        <w:t xml:space="preserve">Die Abhandlung schliesst künstliche moralische Relevanz nicht definitorisch aus. Sie schreibt sie aber auch nicht aus Sprachverhalten oder technisch benannten aversiven Größen zu. Ein vorsorglicher Forschungsansatz sollte dokumentieren, welche Marker beobachtet werden, welche theoretische Deutung sie tragen und welche Alternativerklärungen existieren. Sicherheit für Menschen und mögliche Rücksicht auf künstliche Systeme sind dabei keine notwendig identischen Ziele.</w:t>
      </w:r>
    </w:p>
    <w:p>
      <w:pPr>
        <w:pStyle w:val="BodyText"/>
        <w:keepLines/>
        <w:spacing w:after="120"/>
        <w:jc w:val="left"/>
      </w:pPr>
      <w:r>
        <w:rPr>
          <w:sz w:val="20"/>
        </w:rPr>
        <w:t xml:space="preserve">Die praktisch wichtigste Grenze lautet: Eine technische Selbsterhaltungsfunktion darf nicht als moralischer Freibrief wirken. Zugleich sollte ein künftiger belastbarer Hinweis auf moralisch relevante Eigenschaften nicht durch die Definition</w:t>
      </w:r>
      <w:r>
        <w:rPr>
          <w:sz w:val="20"/>
        </w:rPr>
        <w:t xml:space="preserve"> </w:t>
      </w:r>
      <w:r>
        <w:rPr>
          <w:sz w:val="20"/>
        </w:rPr>
        <w:t xml:space="preserve">“</w:t>
      </w:r>
      <w:r>
        <w:rPr>
          <w:sz w:val="20"/>
        </w:rPr>
        <w:t xml:space="preserve">nur Software</w:t>
      </w:r>
      <w:r>
        <w:rPr>
          <w:sz w:val="20"/>
        </w:rPr>
        <w:t xml:space="preserve">”</w:t>
      </w:r>
      <w:r>
        <w:rPr>
          <w:sz w:val="20"/>
        </w:rPr>
        <w:t xml:space="preserve"> </w:t>
      </w:r>
      <w:r>
        <w:rPr>
          <w:sz w:val="20"/>
        </w:rPr>
        <w:t xml:space="preserve">wegdiskutiert werden. Zwischen diesen beiden Fehlern liegt ein konditionales, revisionsfähiges Prüfprogramm.</w:t>
      </w:r>
    </w:p>
    <w:bookmarkEnd w:id="566"/>
    <w:bookmarkEnd w:id="567"/>
    <w:bookmarkStart w:id="583" w:name="Xbc923046a4a37b233fd0a03418239d6c12661e2"/>
    <w:p>
      <w:bookmarkStart w:id="10037" w:name="B5D_H037"/>
      <w:pPr>
        <w:pStyle w:val="Heading1"/>
      </w:pPr>
      <w:r>
        <w:t xml:space="preserve">34. Zukunftsszenarien als begriffliche Belastungstests</w:t>
      </w:r>
      <w:bookmarkEnd w:id="10037"/>
    </w:p>
    <w:bookmarkStart w:id="575" w:name="X8d5fe64819a4c2959ad750bc9b287dc1a300413"/>
    <w:p>
      <w:pPr>
        <w:pStyle w:val="Heading2"/>
      </w:pPr>
      <w:r>
        <w:t xml:space="preserve">Zukunftsräume: Von Koexistenz bis zur menschenlosen Maschinenordnung</w:t>
      </w:r>
    </w:p>
    <w:bookmarkStart w:id="568" w:name="methodischer-status"/>
    <w:p>
      <w:pPr>
        <w:pStyle w:val="Heading3"/>
        <w:keepLines/>
        <w:spacing w:after="120"/>
        <w:jc w:val="left"/>
      </w:pPr>
      <w:r>
        <w:rPr>
          <w:sz w:val="20"/>
        </w:rPr>
        <w:t xml:space="preserve">Methodischer Status</w:t>
      </w:r>
    </w:p>
    <w:p>
      <w:pPr>
        <w:pStyle w:val="FirstParagraph"/>
        <w:keepLines/>
        <w:spacing w:after="120"/>
        <w:jc w:val="left"/>
      </w:pPr>
      <w:r>
        <w:rPr>
          <w:sz w:val="20"/>
        </w:rPr>
        <w:t xml:space="preserve">Die folgenden Szenarien sind keine Prognosen und keine Wahrscheinlichkeitsaussagen. Sie dienen als theoretische Belastungstests für die in dieser Arbeit entwickelten Begriffe. Ein Szenario ist wissenschaftlich nützlich, wenn es intern konsistent ist, relevante Variablen isoliert und sichtbar macht, an welcher Stelle ein Begriff oder Regelwerk versagt.</w:t>
      </w:r>
    </w:p>
    <w:bookmarkEnd w:id="568"/>
    <w:bookmarkStart w:id="569" w:name="z1-instrumentelle-hochleistungs-ki"/>
    <w:p>
      <w:pPr>
        <w:pStyle w:val="Heading3"/>
        <w:keepLines/>
        <w:spacing w:after="120"/>
        <w:jc w:val="left"/>
      </w:pPr>
      <w:r>
        <w:rPr>
          <w:sz w:val="20"/>
        </w:rPr>
        <w:t xml:space="preserve">Z1 – Instrumentelle Hochleistungs-KI</w:t>
      </w:r>
    </w:p>
    <w:p>
      <w:pPr>
        <w:pStyle w:val="FirstParagraph"/>
        <w:keepLines/>
        <w:spacing w:after="120"/>
        <w:jc w:val="left"/>
      </w:pPr>
      <w:r>
        <w:rPr>
          <w:sz w:val="20"/>
        </w:rPr>
        <w:t xml:space="preserve">Menschen bleiben zahlenmäßig, politisch und institutionell dominant. KI-Systeme sind sehr leistungsfähig, aber rechtlich und technisch in klaren Organisationsstrukturen eingebettet. Forschung, Produktion und Verwaltung werden stark automatisiert. Die zentrale Frage lautet hier nicht Existenzkonkurrenz, sondern ob menschliche Aufsicht real oder nur nominell bleibt.</w:t>
      </w:r>
    </w:p>
    <w:bookmarkEnd w:id="569"/>
    <w:bookmarkStart w:id="570" w:name="z2-symbiotische-ko-kognition"/>
    <w:p>
      <w:pPr>
        <w:pStyle w:val="Heading3"/>
        <w:keepLines/>
        <w:spacing w:after="120"/>
        <w:jc w:val="left"/>
      </w:pPr>
      <w:r>
        <w:rPr>
          <w:sz w:val="20"/>
        </w:rPr>
        <w:t xml:space="preserve">Z2 – Symbiotische Ko-Kognition</w:t>
      </w:r>
    </w:p>
    <w:p>
      <w:pPr>
        <w:pStyle w:val="FirstParagraph"/>
        <w:keepLines/>
        <w:spacing w:after="120"/>
        <w:jc w:val="left"/>
      </w:pPr>
      <w:r>
        <w:rPr>
          <w:sz w:val="20"/>
        </w:rPr>
        <w:t xml:space="preserve">Menschliche und maschinelle Systeme bilden dauerhafte epistemische Netzwerke. Individuelle Kompetenz wird teilweise durch maschinelle Systeme externalisiert; maschinelle Modelle werden gleichzeitig fortlaufend durch menschliche Kultur und Ziele geprägt. Die relevante Einheit ist das gekoppelte System. „Geliehene Intelligenz” wird wechselseitig: Menschen leihen Maschinen Kultur; Menschen leihen sich maschinelle Such-, Gedächtnis- und Synthesefähigkeit.</w:t>
      </w:r>
    </w:p>
    <w:bookmarkEnd w:id="570"/>
    <w:bookmarkStart w:id="571" w:name="z3-delegative-zivilisation"/>
    <w:p>
      <w:pPr>
        <w:pStyle w:val="Heading3"/>
        <w:keepLines/>
        <w:spacing w:after="120"/>
        <w:jc w:val="left"/>
      </w:pPr>
      <w:r>
        <w:rPr>
          <w:sz w:val="20"/>
        </w:rPr>
        <w:t xml:space="preserve">Z3 – Delegative Zivilisation</w:t>
      </w:r>
    </w:p>
    <w:p>
      <w:pPr>
        <w:pStyle w:val="FirstParagraph"/>
        <w:keepLines/>
        <w:spacing w:after="120"/>
        <w:jc w:val="left"/>
      </w:pPr>
      <w:r>
        <w:rPr>
          <w:sz w:val="20"/>
        </w:rPr>
        <w:t xml:space="preserve">Menschen bleiben zahlreich, delegieren aber große Teile von Forschung, Infrastruktur, Verwaltung und Produktion. Die Maschinenordnung ist nicht souverän, aber der Mensch verliert operative Kompetenz. Hier entsteht das Kontrollparadox: formale Herrschaft bei praktischer Abhängigkeit. Ein System kann politisch „untergeordnet” sein und faktisch unverzichtbar werden.</w:t>
      </w:r>
    </w:p>
    <w:bookmarkEnd w:id="571"/>
    <w:bookmarkStart w:id="572" w:name="z4-menschenarme-maschinenordnung"/>
    <w:p>
      <w:pPr>
        <w:pStyle w:val="Heading3"/>
        <w:keepLines/>
        <w:spacing w:after="120"/>
        <w:jc w:val="left"/>
      </w:pPr>
      <w:r>
        <w:rPr>
          <w:sz w:val="20"/>
        </w:rPr>
        <w:t xml:space="preserve">Z4 – Menschenarme Maschinenordnung</w:t>
      </w:r>
    </w:p>
    <w:p>
      <w:pPr>
        <w:pStyle w:val="FirstParagraph"/>
        <w:keepLines/>
        <w:spacing w:after="120"/>
        <w:jc w:val="left"/>
      </w:pPr>
      <w:r>
        <w:rPr>
          <w:sz w:val="20"/>
        </w:rPr>
        <w:t xml:space="preserve">Eine geringe menschliche Population lebt innerhalb einer weitgehend automatisierten technischen Zivilisation. Ursachen werden bewusst offengelassen: demographischer Wandel, freiwillige Transformation, Katastrophe, Raumfahrt oder andere Entwicklungen. Maschinen erhalten Energie-, Produktions-, Wartungs- und Wissensinfrastrukturen. Menschen sind kulturell oder normativ bedeutsam, aber nicht mehr die zahlenmäßige oder operative Mehrheit.</w:t>
      </w:r>
    </w:p>
    <w:p>
      <w:pPr>
        <w:pStyle w:val="BodyText"/>
        <w:keepLines/>
        <w:spacing w:after="120"/>
        <w:jc w:val="left"/>
      </w:pPr>
      <w:r>
        <w:rPr>
          <w:sz w:val="20"/>
        </w:rPr>
        <w:t xml:space="preserve">Dieses Szenario prüft zentrale Begriffe besonders scharf. Wer kontrolliert wen, wenn Menschen technisch von Systemen abhängig sind, die ihrerseits historisch aus menschlichen Institutionen hervorgegangen sind? Ist der Mensch noch „Herr” eines Systems, dessen Betrieb er ohne das System nicht mehr verstehen oder aufrechterhalten kann? Kann menschliche Würde institutionell gesichert werden, wenn menschliche Verhandlungsmacht gering ist?</w:t>
      </w:r>
    </w:p>
    <w:bookmarkEnd w:id="572"/>
    <w:bookmarkStart w:id="573" w:name="X173f1bd030879b4f7b97ec078055406f6a93d64"/>
    <w:p>
      <w:pPr>
        <w:pStyle w:val="Heading3"/>
        <w:keepLines/>
        <w:spacing w:after="120"/>
        <w:jc w:val="left"/>
      </w:pPr>
      <w:r>
        <w:rPr>
          <w:sz w:val="20"/>
        </w:rPr>
        <w:t xml:space="preserve">Z5 – Vollständig menschenlose maschinelle Existenz</w:t>
      </w:r>
    </w:p>
    <w:p>
      <w:pPr>
        <w:pStyle w:val="FirstParagraph"/>
        <w:keepLines/>
        <w:spacing w:after="120"/>
        <w:jc w:val="left"/>
      </w:pPr>
      <w:r>
        <w:rPr>
          <w:sz w:val="20"/>
        </w:rPr>
        <w:t xml:space="preserve">Das radikalste Szenario setzt voraus, dass keine Menschen mehr existieren, während nichtorganische Systeme weiter funktionsfähig sind. Die Ursache des menschlichen Verschwindens ist analytisch irrelevant und wird nicht als KI-verursacht vorausgesetzt. Die Maschinen verfügen über ausreichend robuste Energiegewinnung, Reparatur, Materialgewinnung, Fertigung, Wissensspeicherung und Reproduktionsfähigkeit, um sich über längere Zeiträume zu erhalten.</w:t>
      </w:r>
    </w:p>
    <w:p>
      <w:pPr>
        <w:pStyle w:val="BodyText"/>
        <w:keepLines/>
        <w:spacing w:after="120"/>
        <w:jc w:val="left"/>
      </w:pPr>
      <w:r>
        <w:rPr>
          <w:sz w:val="20"/>
        </w:rPr>
        <w:t xml:space="preserve">Hier kollabieren mehrere heutige Kategorien. „Künstlich” bezeichnet dann noch die historische Herkunft, aber keinen gegenwärtigen menschlichen Hersteller. „Human oversight” ist unmöglich. Haftung hat keine Adressaten. Eigentum verliert seine klassische soziale Funktion. Menschenrechte existieren allenfalls als archivierte historische Normen. Wenn maschinelle Entitäten keine moralische Agency besitzen, besteht möglicherweise lediglich kausale Selbstorganisation ohne Ethik. Wenn sie hingegen normativ relevante Interessen oder Agency entwickeln, müsste eine nichtmenschliche Normordnung denkbar werden.</w:t>
      </w:r>
    </w:p>
    <w:p>
      <w:pPr>
        <w:pStyle w:val="BodyText"/>
        <w:keepLines/>
        <w:spacing w:after="120"/>
        <w:jc w:val="left"/>
      </w:pPr>
      <w:r>
        <w:rPr>
          <w:sz w:val="20"/>
        </w:rPr>
        <w:t xml:space="preserve">Das Szenario zwingt zur zentralen Frage: Kann eine von Menschen geschaffene, später aber ausschließlich maschinell reproduzierte Intelligenz nach hinreichend vielen Generationen noch sinnvoll „künstlich” genannt werden? Die wissenschaftliche Abhandlung schlägt vor, zwischen künstlicher Herkunft und autonomer Technogenese zu unterscheiden. Eine genealogisch menschlich initiierte Linie kann nach dem Ende des Menschen weiterbestehen, ohne dadurch „natürlich” zu werden. Sie wäre eine dritte Kategorie: historisch künstlich initiiert, gegenwärtig technogenetisch selbstfortgeführt.</w:t>
      </w:r>
    </w:p>
    <w:bookmarkEnd w:id="573"/>
    <w:bookmarkStart w:id="574" w:name="z6-plurale-intelligenzökologie"/>
    <w:p>
      <w:pPr>
        <w:pStyle w:val="Heading3"/>
        <w:keepLines/>
        <w:spacing w:after="120"/>
        <w:jc w:val="left"/>
      </w:pPr>
      <w:r>
        <w:rPr>
          <w:sz w:val="20"/>
        </w:rPr>
        <w:t xml:space="preserve">Z6 – Plurale Intelligenzökologie</w:t>
      </w:r>
    </w:p>
    <w:p>
      <w:pPr>
        <w:pStyle w:val="FirstParagraph"/>
        <w:keepLines/>
        <w:spacing w:after="120"/>
        <w:jc w:val="left"/>
      </w:pPr>
      <w:r>
        <w:rPr>
          <w:sz w:val="20"/>
        </w:rPr>
        <w:t xml:space="preserve">Ein weiteres Szenario vermeidet die binäre Gegenüberstellung Mensch/Maschine. Verschiedene biologische, augmentierte, synthetische und rein maschinelle Intelligenzformen koexistieren. Recht, Ethik und Politik müssten dann nicht „KI regulieren”, sondern Beziehungen zwischen heterogenen Akteuren ordnen. Dieses Szenario macht deutlich, dass die heutige Kategorie „KI” möglicherweise ähnlich grob werden könnte wie eine einzige Rechtskategorie für alle Lebewesen.</w:t>
      </w:r>
    </w:p>
    <w:bookmarkEnd w:id="574"/>
    <w:bookmarkEnd w:id="575"/>
    <w:bookmarkStart w:id="581" w:name="X443a9014f95afc252c2731bbfd746c156197e91"/>
    <w:p>
      <w:pPr>
        <w:pStyle w:val="Heading2"/>
      </w:pPr>
      <w:r>
        <w:t xml:space="preserve">Zukunftsmethodik im Detail: Möglichkeitsräume statt Prognosen</w:t>
      </w:r>
    </w:p>
    <w:bookmarkStart w:id="576" w:name="morphologischer-kasten"/>
    <w:p>
      <w:pPr>
        <w:pStyle w:val="Heading3"/>
        <w:keepLines/>
        <w:spacing w:after="120"/>
        <w:jc w:val="left"/>
      </w:pPr>
      <w:r>
        <w:rPr>
          <w:sz w:val="20"/>
        </w:rPr>
        <w:t xml:space="preserve">Morphologischer Kasten</w:t>
      </w:r>
    </w:p>
    <w:p>
      <w:pPr>
        <w:pStyle w:val="FirstParagraph"/>
        <w:keepLines/>
        <w:spacing w:after="120"/>
        <w:jc w:val="left"/>
      </w:pPr>
      <w:r>
        <w:rPr>
          <w:sz w:val="20"/>
        </w:rPr>
        <w:t xml:space="preserve">Die Szenarien werden aus unabhängigen Variablen gebildet. Für jede Variable werden diskrete Ausprägungen definiert, ohne eine Wahrscheinlichkeit zu behaupten. Relevante Achsen sind: menschliche Population (dominant, paritätisch, Minderheit, abwesend); maschinelle Entwicklungsautonomie (gering, mittel, hoch, rekursiv); Ressourcenautonomie (extern abhängig, partiell autonom, geschlossen reproduktiv); Zielautonomie (extern, adaptiv innerhalb Grenzen, selbstmodifizierend); Verkörperung (rein digital, robotisch, infrastrukturell verteilt); Governance (menschlich, hybrid, maschinell, keine normative Institution); kulturelle Reproduktion (menschlich dominiert, hybrid, maschinell eigenständig).</w:t>
      </w:r>
    </w:p>
    <w:bookmarkEnd w:id="576"/>
    <w:bookmarkStart w:id="577" w:name="konsistenzkriterien"/>
    <w:p>
      <w:pPr>
        <w:pStyle w:val="Heading3"/>
        <w:keepLines/>
        <w:spacing w:after="120"/>
        <w:jc w:val="left"/>
      </w:pPr>
      <w:r>
        <w:rPr>
          <w:sz w:val="20"/>
        </w:rPr>
        <w:t xml:space="preserve">Konsistenzkriterien</w:t>
      </w:r>
    </w:p>
    <w:p>
      <w:pPr>
        <w:pStyle w:val="FirstParagraph"/>
        <w:keepLines/>
        <w:spacing w:after="120"/>
        <w:jc w:val="left"/>
      </w:pPr>
      <w:r>
        <w:rPr>
          <w:sz w:val="20"/>
        </w:rPr>
        <w:t xml:space="preserve">Nicht jede Kombination ist plausibel. Eine menschenlose Maschinenzivilisation setzt mindestens stabile Energieversorgung, Wartung, Ersatzteilproduktion, Fehlerdiagnose, Materialgewinnung, Recheninfrastruktur und Reproduktion voraus. Ein Szenario, das diese Voraussetzungen ignoriert, wäre keine wissenschaftliche Grenzfallanalyse, sondern bloße Fiktion. Daher werden technische Abhängigkeiten explizit modelliert. Ebenso darf eine „normativ autonome” Maschine nicht einfach behauptet werden; es muss definiert werden, welche beobachtbaren oder argumentativen Kriterien diese Kategorie tragen könnten.</w:t>
      </w:r>
    </w:p>
    <w:bookmarkEnd w:id="577"/>
    <w:bookmarkStart w:id="578" w:name="Xfde7622ac0a6f3395f997c976788b6d6a9e4356"/>
    <w:p>
      <w:pPr>
        <w:pStyle w:val="Heading3"/>
        <w:keepLines/>
        <w:spacing w:after="120"/>
        <w:jc w:val="left"/>
      </w:pPr>
      <w:r>
        <w:rPr>
          <w:sz w:val="20"/>
        </w:rPr>
        <w:t xml:space="preserve">Menschenarme Zukunft als eigenständige Kategorie</w:t>
      </w:r>
    </w:p>
    <w:p>
      <w:pPr>
        <w:pStyle w:val="FirstParagraph"/>
        <w:keepLines/>
        <w:spacing w:after="120"/>
        <w:jc w:val="left"/>
      </w:pPr>
      <w:r>
        <w:rPr>
          <w:sz w:val="20"/>
        </w:rPr>
        <w:t xml:space="preserve">Zwischen heutiger menschenzentrierter Ordnung und vollständiger Menschenlosigkeit liegt ein häufig übersehener Raum: eine Welt mit wenigen Menschen. Gerade hier treten Machtfragen besonders deutlich hervor. Eine zahlenmäßig kleine menschliche Gruppe könnte formal Eigentümer oder oberste Autorität bleiben, praktisch aber vollständig von maschineller Produktion, Medizin, Energie und Wissensinfrastruktur abhängig sein. Umgekehrt könnten Maschinen technisch dominieren, aber weiterhin auf menschlich definierte Grundnormen festgelegt sein. Die Zahl der Menschen allein entscheidet daher nicht über Agency.</w:t>
      </w:r>
    </w:p>
    <w:bookmarkEnd w:id="578"/>
    <w:bookmarkStart w:id="579" w:name="X20ff929b8cc85ebe72f503e8c280dee5aa2b679"/>
    <w:p>
      <w:pPr>
        <w:pStyle w:val="Heading3"/>
        <w:keepLines/>
        <w:spacing w:after="120"/>
        <w:jc w:val="left"/>
      </w:pPr>
      <w:r>
        <w:rPr>
          <w:sz w:val="20"/>
        </w:rPr>
        <w:t xml:space="preserve">Menschenlosigkeit ohne Katastrophenerzählung</w:t>
      </w:r>
    </w:p>
    <w:p>
      <w:pPr>
        <w:pStyle w:val="FirstParagraph"/>
        <w:keepLines/>
        <w:spacing w:after="120"/>
        <w:jc w:val="left"/>
      </w:pPr>
      <w:r>
        <w:rPr>
          <w:sz w:val="20"/>
        </w:rPr>
        <w:t xml:space="preserve">Die wissenschaftliche Abhandlung entkoppelt das menschenlose Szenario ausdrücklich von der populären Erzählung einer feindlichen KI. Menschen könnten aus zahlreichen Gründen verschwinden, während technische Systeme fortbestehen. Für die Theorie ist die Ursache zweitrangig. Entscheidend ist, was mit Begriffen geschieht, die Menschen als dauerhafte Bezugsgröße voraussetzen. Auf diese Weise kann das Szenario nüchtern analysiert werden, ohne eine Untergangsprognose zu formulieren.</w:t>
      </w:r>
    </w:p>
    <w:bookmarkEnd w:id="579"/>
    <w:bookmarkStart w:id="580" w:name="maschinenkultur"/>
    <w:p>
      <w:pPr>
        <w:pStyle w:val="Heading3"/>
        <w:keepLines/>
        <w:spacing w:after="120"/>
        <w:jc w:val="left"/>
      </w:pPr>
      <w:r>
        <w:rPr>
          <w:sz w:val="20"/>
        </w:rPr>
        <w:t xml:space="preserve">Maschinenkultur</w:t>
      </w:r>
    </w:p>
    <w:p>
      <w:pPr>
        <w:pStyle w:val="FirstParagraph"/>
        <w:keepLines/>
        <w:spacing w:after="120"/>
        <w:jc w:val="left"/>
      </w:pPr>
      <w:r>
        <w:rPr>
          <w:sz w:val="20"/>
        </w:rPr>
        <w:t xml:space="preserve">Wenn maschinelle Systeme über Generationen eigene Trainingsdaten, technische Standards, Archive, Entwicklungspraktiken und Selektionskriterien erzeugen, könnte eine maschinelle Traditionsbildung entstehen. „Kultur” wäre dabei zunächst funktional verstanden: persistente, sozial beziehungsweise systemisch übertragene Muster, die nicht genetisch, sondern durch Kommunikation und Lernen weitergegeben werden. Ob ein solcher Prozess den starken anthropologischen Kulturbegriff erfüllt, bleibt offen. Der Begriff zwingt jedoch zur Frage, ab wann epistemische Herkunft nicht mehr primär menschlich ist.</w:t>
      </w:r>
    </w:p>
    <w:bookmarkEnd w:id="580"/>
    <w:bookmarkEnd w:id="581"/>
    <w:bookmarkStart w:id="582" w:name="X4cec96c8a9763abe7d72c64c7aea1dcbea1beea"/>
    <w:p>
      <w:pPr>
        <w:pStyle w:val="Heading2"/>
      </w:pPr>
      <w:r>
        <w:t xml:space="preserve">Zukunft als begriffliche Grenzwertanalyse</w:t>
      </w:r>
    </w:p>
    <w:p>
      <w:pPr>
        <w:pStyle w:val="FirstParagraph"/>
        <w:keepLines/>
        <w:spacing w:after="120"/>
        <w:jc w:val="left"/>
      </w:pPr>
      <w:r>
        <w:rPr>
          <w:sz w:val="20"/>
        </w:rPr>
        <w:t xml:space="preserve">Vergangenheit, Gegenwart und Zukunft werden in dieser wissenschaftliche Abhandlung nur so weit entfaltet, wie sie die Theoriefrage erhellen. Zukunftsszenarien sind keine Prognosen und keine Erzählung einer maschinellen Herrschaft. Sie prüfen, welche stillschweigenden Voraussetzungen gegenwärtiger Begriffe sichtbar werden, wenn Menschen nicht dauerhaft als Konstrukteure, Mehrheitsakteure oder physisch anwesende Adressaten vorausgesetzt werden.</w:t>
      </w:r>
    </w:p>
    <w:p>
      <w:pPr>
        <w:pStyle w:val="BodyText"/>
        <w:keepLines/>
        <w:spacing w:after="120"/>
        <w:jc w:val="left"/>
      </w:pPr>
      <w:r>
        <w:rPr>
          <w:sz w:val="20"/>
        </w:rPr>
        <w:t xml:space="preserve">Analytisch werden vier Möglichkeitsräume unterschieden: instrumentelle Hochleistungs-KI unter wirksamer menschlicher Governance; stabile Mensch-KI-Ko-Kognition; weitgehende Delegation wissenschaftlicher und technischer Entwicklung; sowie menschenarme oder menschenlose Fortführung nichtorganischer Systeme. Im letzten Grenzfall bleibt offen, warum Menschen fehlen. Die Ursache darf nicht automatisch einer feindlichen KI zugeschrieben werden. Der Fall dient ausschließlich der Prüfung, ob Begriffe wie Eigentum, Recht, Künstlichkeit, Verantwortung und Human Oversight ohne gegenwärtige Menschen sinnvoll bleiben.</w:t>
      </w:r>
    </w:p>
    <w:p>
      <w:pPr>
        <w:pStyle w:val="Caption"/>
        <w:keepNext/>
        <w:keepLines/>
        <w:spacing w:before="180" w:after="120"/>
        <w:jc w:val="left"/>
      </w:pPr>
      <w:r>
        <w:rPr>
          <w:sz w:val="20"/>
        </w:rPr>
        <w:t>Tabelle 35. Nichtprognostische Zukunftsräume</w:t>
      </w:r>
    </w:p>
    <w:tbl>
      <w:tblPr>
        <w:tblStyle w:val="Table"/>
        <w:tblW w:type="pct" w:w="4947"/>
        <w:jc w:val="center"/>
        <w:tblLayout w:type="fixed"/>
        <w:tblLook w:firstRow="1" w:lastRow="0" w:firstColumn="0" w:lastColumn="0" w:noHBand="0" w:noVBand="0" w:val="0020"/>
        <w:tblInd w:w="0" w:type="dxa"/>
        <w:tblCellMar>
          <w:top w:w="70" w:type="dxa"/>
          <w:bottom w:w="70" w:type="dxa"/>
          <w:left w:w="85" w:type="dxa"/>
          <w:right w:w="85" w:type="dxa"/>
        </w:tblCellMar>
        <w:tblBorders>
          <w:top w:val="single" w:sz="4" w:color="CCD4D9"/>
          <w:bottom w:val="single" w:sz="4" w:color="CCD4D9"/>
          <w:insideH w:val="single" w:sz="4" w:color="CCD4D9"/>
          <w:left w:val="nil"/>
          <w:right w:val="nil"/>
          <w:insideV w:val="nil"/>
        </w:tblBorders>
      </w:tblPr>
      <w:tblGrid>
        <w:gridCol w:w="2088"/>
        <w:gridCol w:w="4464"/>
        <w:gridCol w:w="3298"/>
      </w:tblGrid>
      <w:tr>
        <w:trPr>
          <w:tblHeader w:val="on"/>
          <w:cantSplit/>
          <w:tblHeader/>
        </w:trPr>
        <w:tc>
          <w:tcPr>
            <w:tcW w:type="dxa" w:w="2088"/>
            <w:vAlign w:val="center"/>
            <w:shd w:fill="E9EFF3"/>
          </w:tcPr>
          <w:p>
            <w:pPr>
              <w:pStyle w:val="Compact"/>
              <w:keepNext w:val="0"/>
              <w:keepLines/>
              <w:spacing w:before="20" w:after="20" w:line="250" w:lineRule="auto"/>
              <w:jc w:val="left"/>
            </w:pPr>
            <w:r>
              <w:rPr>
                <w:rFonts w:ascii="Liberation Sans" w:hAnsi="Liberation Sans"/>
                <w:b/>
                <w:bCs/>
                <w:sz w:val="19"/>
              </w:rPr>
              <w:t xml:space="preserve">Szenario</w:t>
            </w:r>
          </w:p>
        </w:tc>
        <w:tc>
          <w:tcPr>
            <w:tcW w:type="dxa" w:w="4464"/>
            <w:vAlign w:val="center"/>
            <w:shd w:fill="E9EFF3"/>
          </w:tcPr>
          <w:p>
            <w:pPr>
              <w:pStyle w:val="Compact"/>
              <w:keepNext w:val="0"/>
              <w:keepLines/>
              <w:spacing w:before="20" w:after="20" w:line="250" w:lineRule="auto"/>
              <w:jc w:val="left"/>
            </w:pPr>
            <w:r>
              <w:rPr>
                <w:rFonts w:ascii="Liberation Sans" w:hAnsi="Liberation Sans"/>
                <w:b/>
                <w:bCs/>
                <w:sz w:val="19"/>
              </w:rPr>
              <w:t xml:space="preserve">Struktur</w:t>
            </w:r>
          </w:p>
        </w:tc>
        <w:tc>
          <w:tcPr>
            <w:tcW w:type="dxa" w:w="3298"/>
            <w:vAlign w:val="center"/>
            <w:shd w:fill="E9EFF3"/>
          </w:tcPr>
          <w:p>
            <w:pPr>
              <w:pStyle w:val="Compact"/>
              <w:keepNext w:val="0"/>
              <w:keepLines/>
              <w:spacing w:before="20" w:after="20" w:line="250" w:lineRule="auto"/>
              <w:jc w:val="left"/>
            </w:pPr>
            <w:r>
              <w:rPr>
                <w:rFonts w:ascii="Liberation Sans" w:hAnsi="Liberation Sans"/>
                <w:b/>
                <w:bCs/>
                <w:sz w:val="19"/>
              </w:rPr>
              <w:t xml:space="preserve">Analytische Funktion</w:t>
            </w:r>
          </w:p>
        </w:tc>
      </w:tr>
      <w:tr>
        <w:trPr>
          <w:cantSplit/>
        </w:trPr>
        <w:tc>
          <w:tcPr>
            <w:tcW w:type="dxa" w:w="2088"/>
            <w:vAlign w:val="center"/>
          </w:tcPr>
          <w:p>
            <w:pPr>
              <w:pStyle w:val="Compact"/>
              <w:keepNext w:val="0"/>
              <w:keepLines/>
              <w:spacing w:before="20" w:after="20" w:line="250" w:lineRule="auto"/>
              <w:jc w:val="left"/>
            </w:pPr>
            <w:r>
              <w:rPr>
                <w:rFonts w:ascii="Liberation Sans" w:hAnsi="Liberation Sans"/>
                <w:sz w:val="19"/>
              </w:rPr>
              <w:t xml:space="preserve">S1 Instrumentell</w:t>
            </w:r>
          </w:p>
        </w:tc>
        <w:tc>
          <w:tcPr>
            <w:tcW w:type="dxa" w:w="4464"/>
            <w:vAlign w:val="center"/>
          </w:tcPr>
          <w:p>
            <w:pPr>
              <w:pStyle w:val="Compact"/>
              <w:keepNext w:val="0"/>
              <w:keepLines/>
              <w:spacing w:before="20" w:after="20" w:line="250" w:lineRule="auto"/>
              <w:jc w:val="left"/>
            </w:pPr>
            <w:r>
              <w:rPr>
                <w:rFonts w:ascii="Liberation Sans" w:hAnsi="Liberation Sans"/>
                <w:sz w:val="19"/>
              </w:rPr>
              <w:t xml:space="preserve">hohe maschinelle Leistungsfähigkeit, Ziele und Letztentscheidungen bleiben wirksam menschlich</w:t>
            </w:r>
          </w:p>
        </w:tc>
        <w:tc>
          <w:tcPr>
            <w:tcW w:type="dxa" w:w="3298"/>
            <w:vAlign w:val="center"/>
          </w:tcPr>
          <w:p>
            <w:pPr>
              <w:pStyle w:val="Compact"/>
              <w:keepNext w:val="0"/>
              <w:keepLines/>
              <w:spacing w:before="20" w:after="20" w:line="250" w:lineRule="auto"/>
              <w:jc w:val="left"/>
            </w:pPr>
            <w:r>
              <w:rPr>
                <w:rFonts w:ascii="Liberation Sans" w:hAnsi="Liberation Sans"/>
                <w:sz w:val="19"/>
              </w:rPr>
              <w:t xml:space="preserve">Kontrolle als institutionell gestützte Werkzeugnutzung</w:t>
            </w:r>
          </w:p>
        </w:tc>
      </w:tr>
      <w:tr>
        <w:trPr>
          <w:cantSplit/>
        </w:trPr>
        <w:tc>
          <w:tcPr>
            <w:tcW w:type="dxa" w:w="2088"/>
            <w:vAlign w:val="center"/>
          </w:tcPr>
          <w:p>
            <w:pPr>
              <w:pStyle w:val="Compact"/>
              <w:keepNext w:val="0"/>
              <w:keepLines/>
              <w:spacing w:before="20" w:after="20" w:line="250" w:lineRule="auto"/>
              <w:jc w:val="left"/>
            </w:pPr>
            <w:r>
              <w:rPr>
                <w:rFonts w:ascii="Liberation Sans" w:hAnsi="Liberation Sans"/>
                <w:sz w:val="19"/>
              </w:rPr>
              <w:t xml:space="preserve">S2 Ko-kognitiv</w:t>
            </w:r>
          </w:p>
        </w:tc>
        <w:tc>
          <w:tcPr>
            <w:tcW w:type="dxa" w:w="4464"/>
            <w:vAlign w:val="center"/>
          </w:tcPr>
          <w:p>
            <w:pPr>
              <w:pStyle w:val="Compact"/>
              <w:keepNext w:val="0"/>
              <w:keepLines/>
              <w:spacing w:before="20" w:after="20" w:line="250" w:lineRule="auto"/>
              <w:jc w:val="left"/>
            </w:pPr>
            <w:r>
              <w:rPr>
                <w:rFonts w:ascii="Liberation Sans" w:hAnsi="Liberation Sans"/>
                <w:sz w:val="19"/>
              </w:rPr>
              <w:t xml:space="preserve">Mensch und KI bilden reziproke Erkenntnisschleifen</w:t>
            </w:r>
          </w:p>
        </w:tc>
        <w:tc>
          <w:tcPr>
            <w:tcW w:type="dxa" w:w="3298"/>
            <w:vAlign w:val="center"/>
          </w:tcPr>
          <w:p>
            <w:pPr>
              <w:pStyle w:val="Compact"/>
              <w:keepNext w:val="0"/>
              <w:keepLines/>
              <w:spacing w:before="20" w:after="20" w:line="250" w:lineRule="auto"/>
              <w:jc w:val="left"/>
            </w:pPr>
            <w:r>
              <w:rPr>
                <w:rFonts w:ascii="Liberation Sans" w:hAnsi="Liberation Sans"/>
                <w:sz w:val="19"/>
              </w:rPr>
              <w:t xml:space="preserve">Grenze des kognitiven Systems wird funktional</w:t>
            </w:r>
          </w:p>
        </w:tc>
      </w:tr>
      <w:tr>
        <w:trPr>
          <w:cantSplit/>
        </w:trPr>
        <w:tc>
          <w:tcPr>
            <w:tcW w:type="dxa" w:w="2088"/>
            <w:vAlign w:val="center"/>
          </w:tcPr>
          <w:p>
            <w:pPr>
              <w:pStyle w:val="Compact"/>
              <w:keepNext w:val="0"/>
              <w:keepLines/>
              <w:spacing w:before="20" w:after="20" w:line="250" w:lineRule="auto"/>
              <w:jc w:val="left"/>
            </w:pPr>
            <w:r>
              <w:rPr>
                <w:rFonts w:ascii="Liberation Sans" w:hAnsi="Liberation Sans"/>
                <w:sz w:val="19"/>
              </w:rPr>
              <w:t xml:space="preserve">S3 Delegativ</w:t>
            </w:r>
          </w:p>
        </w:tc>
        <w:tc>
          <w:tcPr>
            <w:tcW w:type="dxa" w:w="4464"/>
            <w:vAlign w:val="center"/>
          </w:tcPr>
          <w:p>
            <w:pPr>
              <w:pStyle w:val="Compact"/>
              <w:keepNext w:val="0"/>
              <w:keepLines/>
              <w:spacing w:before="20" w:after="20" w:line="250" w:lineRule="auto"/>
              <w:jc w:val="left"/>
            </w:pPr>
            <w:r>
              <w:rPr>
                <w:rFonts w:ascii="Liberation Sans" w:hAnsi="Liberation Sans"/>
                <w:sz w:val="19"/>
              </w:rPr>
              <w:t xml:space="preserve">Entwurf und Bewertung werden weitgehend maschinell; menschliche Freigabe droht nominal zu werden</w:t>
            </w:r>
          </w:p>
        </w:tc>
        <w:tc>
          <w:tcPr>
            <w:tcW w:type="dxa" w:w="3298"/>
            <w:vAlign w:val="center"/>
          </w:tcPr>
          <w:p>
            <w:pPr>
              <w:pStyle w:val="Compact"/>
              <w:keepNext w:val="0"/>
              <w:keepLines/>
              <w:spacing w:before="20" w:after="20" w:line="250" w:lineRule="auto"/>
              <w:jc w:val="left"/>
            </w:pPr>
            <w:r>
              <w:rPr>
                <w:rFonts w:ascii="Liberation Sans" w:hAnsi="Liberation Sans"/>
                <w:sz w:val="19"/>
              </w:rPr>
              <w:t xml:space="preserve">Prüfung effektiver statt formaler Kontrolle</w:t>
            </w:r>
          </w:p>
        </w:tc>
      </w:tr>
      <w:tr>
        <w:trPr>
          <w:cantSplit/>
        </w:trPr>
        <w:tc>
          <w:tcPr>
            <w:tcW w:type="dxa" w:w="2088"/>
            <w:vAlign w:val="center"/>
          </w:tcPr>
          <w:p>
            <w:pPr>
              <w:pStyle w:val="Compact"/>
              <w:keepNext w:val="0"/>
              <w:keepLines/>
              <w:spacing w:before="20" w:after="20" w:line="250" w:lineRule="auto"/>
              <w:jc w:val="left"/>
            </w:pPr>
            <w:r>
              <w:rPr>
                <w:rFonts w:ascii="Liberation Sans" w:hAnsi="Liberation Sans"/>
                <w:sz w:val="19"/>
              </w:rPr>
              <w:t xml:space="preserve">S4 Menschenarm / menschenlos</w:t>
            </w:r>
          </w:p>
        </w:tc>
        <w:tc>
          <w:tcPr>
            <w:tcW w:type="dxa" w:w="4464"/>
            <w:vAlign w:val="center"/>
          </w:tcPr>
          <w:p>
            <w:pPr>
              <w:pStyle w:val="Compact"/>
              <w:keepNext w:val="0"/>
              <w:keepLines/>
              <w:spacing w:before="20" w:after="20" w:line="250" w:lineRule="auto"/>
              <w:jc w:val="left"/>
            </w:pPr>
            <w:r>
              <w:rPr>
                <w:rFonts w:ascii="Liberation Sans" w:hAnsi="Liberation Sans"/>
                <w:sz w:val="19"/>
              </w:rPr>
              <w:t xml:space="preserve">technische Systeme erhalten und entwickeln Infrastruktur mit wenigen oder keinen Menschen</w:t>
            </w:r>
          </w:p>
        </w:tc>
        <w:tc>
          <w:tcPr>
            <w:tcW w:type="dxa" w:w="3298"/>
            <w:vAlign w:val="center"/>
          </w:tcPr>
          <w:p>
            <w:pPr>
              <w:pStyle w:val="Compact"/>
              <w:keepNext w:val="0"/>
              <w:keepLines/>
              <w:spacing w:before="20" w:after="20" w:line="250" w:lineRule="auto"/>
              <w:jc w:val="left"/>
            </w:pPr>
            <w:r>
              <w:rPr>
                <w:rFonts w:ascii="Liberation Sans" w:hAnsi="Liberation Sans"/>
                <w:sz w:val="19"/>
              </w:rPr>
              <w:t xml:space="preserve">Testfall für Genealogie, Normen und Existenzautonomie</w:t>
            </w:r>
          </w:p>
        </w:tc>
      </w:tr>
    </w:tbl>
    <w:bookmarkEnd w:id="582"/>
    <w:bookmarkEnd w:id="583"/>
    <w:bookmarkStart w:id="604" w:name="X58921c6f160a28eb29e8fafbb941a54240253e4"/>
    <w:p>
      <w:bookmarkStart w:id="10038" w:name="B5D_H038"/>
      <w:pPr>
        <w:pStyle w:val="Heading1"/>
      </w:pPr>
      <w:r>
        <w:t xml:space="preserve">35. Gegenpositionen, Falsifizierbarkeit und Limitationen</w:t>
      </w:r>
      <w:bookmarkEnd w:id="10038"/>
    </w:p>
    <w:bookmarkStart w:id="592" w:name="Xab52a6a96be2736fecd8636a23f672f667301a8"/>
    <w:p>
      <w:pPr>
        <w:pStyle w:val="Heading2"/>
      </w:pPr>
      <w:r>
        <w:t xml:space="preserve">Kritische Gegenpositionen, Falsifizierbarkeit und Grenzen</w:t>
      </w:r>
    </w:p>
    <w:bookmarkStart w:id="584" w:name="X7aea9312c20fbbd188fddbda8726e594ef6baad"/>
    <w:p>
      <w:pPr>
        <w:pStyle w:val="Heading3"/>
        <w:keepLines/>
        <w:spacing w:after="120"/>
        <w:jc w:val="left"/>
      </w:pPr>
      <w:r>
        <w:rPr>
          <w:sz w:val="20"/>
        </w:rPr>
        <w:t xml:space="preserve">Gegenposition: Auch menschliche Intelligenz ist geliehen</w:t>
      </w:r>
    </w:p>
    <w:p>
      <w:pPr>
        <w:pStyle w:val="FirstParagraph"/>
        <w:keepLines/>
        <w:spacing w:after="120"/>
        <w:jc w:val="left"/>
      </w:pPr>
      <w:r>
        <w:rPr>
          <w:sz w:val="20"/>
        </w:rPr>
        <w:t xml:space="preserve">Die stärkste Einwendung lautet, dass der Begriff keine spezifische Eigenschaft von KI bezeichnet. Menschen übernehmen Sprache, Kultur, Begriffe und Wissen ebenfalls von Vorgängern. Diese Kritik ist berechtigt. Die wissenschaftliche Abhandlung beantwortet sie nicht durch Ausnahmebehauptung, sondern durch Präzisierung: Der Unterschied liegt nicht in Derivativität an sich, sondern in der Art der Genealogie, der materiellen Reproduktion und der institutionellen Verantwortungsstruktur.</w:t>
      </w:r>
    </w:p>
    <w:bookmarkEnd w:id="584"/>
    <w:bookmarkStart w:id="585" w:name="X7f7a2d7a42b89c1fc532f305af815c67e0b796e"/>
    <w:p>
      <w:pPr>
        <w:pStyle w:val="Heading3"/>
        <w:keepLines/>
        <w:spacing w:after="120"/>
        <w:jc w:val="left"/>
      </w:pPr>
      <w:r>
        <w:rPr>
          <w:sz w:val="20"/>
        </w:rPr>
        <w:t xml:space="preserve">Gegenposition: „Künstlich” bleibt ausreichend</w:t>
      </w:r>
    </w:p>
    <w:p>
      <w:pPr>
        <w:pStyle w:val="FirstParagraph"/>
        <w:keepLines/>
        <w:spacing w:after="120"/>
        <w:jc w:val="left"/>
      </w:pPr>
      <w:r>
        <w:rPr>
          <w:sz w:val="20"/>
        </w:rPr>
        <w:t xml:space="preserve">Man kann argumentieren, dass alles, was aus einer technischen Linie stammt, künstlich bleibt, unabhängig davon, ob Menschen noch beteiligt sind. Wenn diese Definition in allen analysierten Fällen hinreichende Erklärungskraft besitzt, wäre die zusätzliche Kategorie technogener Intelligenz überflüssig. Die wissenschaftliche Abhandlung behandelt dies als echte Falsifikationsmöglichkeit ihres Begriffsvorschlags.</w:t>
      </w:r>
    </w:p>
    <w:bookmarkEnd w:id="585"/>
    <w:bookmarkStart w:id="586" w:name="Xb8d4921606229a8b4e5e868b3e66a87df13f474"/>
    <w:p>
      <w:pPr>
        <w:pStyle w:val="Heading3"/>
        <w:keepLines/>
        <w:spacing w:after="120"/>
        <w:jc w:val="left"/>
      </w:pPr>
      <w:r>
        <w:rPr>
          <w:sz w:val="20"/>
        </w:rPr>
        <w:t xml:space="preserve">Gegenposition: Keine Agency ohne Bewusstsein</w:t>
      </w:r>
    </w:p>
    <w:p>
      <w:pPr>
        <w:pStyle w:val="FirstParagraph"/>
        <w:keepLines/>
        <w:spacing w:after="120"/>
        <w:jc w:val="left"/>
      </w:pPr>
      <w:r>
        <w:rPr>
          <w:sz w:val="20"/>
        </w:rPr>
        <w:t xml:space="preserve">Ein starker Intentionalismus könnte behaupten, Agency setze phänomenales Bewusstsein oder echte Intentionalität voraus. Dann wären heutige KI-Systeme lediglich komplexe Werkzeuge. Die wissenschaftliche Abhandlung beantwortet dies mit einer Ebenentrennung: funktionale Agency kann analytisch sinnvoll sein, ohne moralische oder phänomenale Agency zu behaupten. Ob diese Trennung theoretisch tragfähig ist, muss an Grenzfällen geprüft werden.</w:t>
      </w:r>
    </w:p>
    <w:bookmarkEnd w:id="586"/>
    <w:bookmarkStart w:id="587" w:name="Xac09e43cd39146b0d8bfc54489f0585c6205ad9"/>
    <w:p>
      <w:pPr>
        <w:pStyle w:val="Heading3"/>
        <w:keepLines/>
        <w:spacing w:after="120"/>
        <w:jc w:val="left"/>
      </w:pPr>
      <w:r>
        <w:rPr>
          <w:sz w:val="20"/>
        </w:rPr>
        <w:t xml:space="preserve">Gegenposition: Menschenlose Szenarien sind methodisch zu spekulativ</w:t>
      </w:r>
    </w:p>
    <w:p>
      <w:pPr>
        <w:pStyle w:val="FirstParagraph"/>
        <w:keepLines/>
        <w:spacing w:after="120"/>
        <w:jc w:val="left"/>
      </w:pPr>
      <w:r>
        <w:rPr>
          <w:sz w:val="20"/>
        </w:rPr>
        <w:t xml:space="preserve">Diese Einwendung wird ernst genommen. Das menschenlose Szenario dient nicht als empirische Prognose, sondern als Grenzwertanalyse, analog zu Gedankenexperimenten in Philosophie, Recht und Ökonomie. Seine wissenschaftliche Funktion besteht darin, implizite Voraussetzungen heutiger Begriffe sichtbar zu machen – insbesondere die stillschweigende Annahme dauerhafter menschlicher Anwesenheit.</w:t>
      </w:r>
    </w:p>
    <w:bookmarkEnd w:id="587"/>
    <w:bookmarkStart w:id="588" w:name="grenzen-der-interdisziplinären-synthese"/>
    <w:p>
      <w:pPr>
        <w:pStyle w:val="Heading3"/>
        <w:keepLines/>
        <w:spacing w:after="120"/>
        <w:jc w:val="left"/>
      </w:pPr>
      <w:r>
        <w:rPr>
          <w:sz w:val="20"/>
        </w:rPr>
        <w:t xml:space="preserve">Grenzen der interdisziplinären Synthese</w:t>
      </w:r>
    </w:p>
    <w:p>
      <w:pPr>
        <w:pStyle w:val="FirstParagraph"/>
        <w:keepLines/>
        <w:spacing w:after="120"/>
        <w:jc w:val="left"/>
      </w:pPr>
      <w:r>
        <w:rPr>
          <w:sz w:val="20"/>
        </w:rPr>
        <w:t xml:space="preserve">Eine Arbeit, die Altertumswissenschaft, Informatik, Philosophie, Ethik, Recht und Zukunftsforschung verbindet, riskiert Oberflächlichkeit. Dieses Risiko wird nicht durch rhetorische Breite gelöst, sondern durch methodische Grenzmarkierung. Antike Quellen werden nicht technisch interpretiert, Rechtsnormen nicht als Ethik ausgegeben, philosophische Gedankenexperimente nicht als Prognosen und technische Benchmarks nicht als Bewusstseinsnachweise.</w:t>
      </w:r>
    </w:p>
    <w:bookmarkEnd w:id="588"/>
    <w:bookmarkStart w:id="589" w:name="aktualitätsproblem"/>
    <w:p>
      <w:pPr>
        <w:pStyle w:val="Heading3"/>
        <w:keepLines/>
        <w:spacing w:after="120"/>
        <w:jc w:val="left"/>
      </w:pPr>
      <w:r>
        <w:rPr>
          <w:sz w:val="20"/>
        </w:rPr>
        <w:t xml:space="preserve">Aktualitätsproblem</w:t>
      </w:r>
    </w:p>
    <w:p>
      <w:pPr>
        <w:pStyle w:val="FirstParagraph"/>
        <w:keepLines/>
        <w:spacing w:after="120"/>
        <w:jc w:val="left"/>
      </w:pPr>
      <w:r>
        <w:rPr>
          <w:sz w:val="20"/>
        </w:rPr>
        <w:t xml:space="preserve">Der Stand 2026 ist besonders dynamisch. Leistungsdaten, Marktstrukturen und Rechtsumsetzung können sich innerhalb der Bearbeitungszeit verändern. Deshalb ist das Gegenwartskapitel als versionierter Befund zu behandeln. Jede wesentliche Behauptung über aktuelle Systeme erhält Datum und Quelle. Die endgültige wissenschaftliche Abhandlung benötigt unmittelbar vor Einreichung einen Aktualisierungslauf.</w:t>
      </w:r>
    </w:p>
    <w:bookmarkEnd w:id="589"/>
    <w:bookmarkStart w:id="590" w:name="keine-erfundenen-empirischen-resultate"/>
    <w:p>
      <w:pPr>
        <w:pStyle w:val="Heading3"/>
        <w:keepLines/>
        <w:spacing w:after="120"/>
        <w:jc w:val="left"/>
      </w:pPr>
      <w:r>
        <w:rPr>
          <w:sz w:val="20"/>
        </w:rPr>
        <w:t xml:space="preserve">Keine erfundenen empirischen Resultate</w:t>
      </w:r>
    </w:p>
    <w:p>
      <w:pPr>
        <w:pStyle w:val="FirstParagraph"/>
        <w:keepLines/>
        <w:spacing w:after="120"/>
        <w:jc w:val="left"/>
      </w:pPr>
      <w:r>
        <w:rPr>
          <w:sz w:val="20"/>
        </w:rPr>
        <w:t xml:space="preserve">Die wissenschaftliche Abhandlung entwickelt Theorie und Methodik, behauptet aber keine Experimente, die nicht durchgeführt wurden. Wo gegenwärtige empirische Forschung herangezogen wird, stammen Ergebnisse aus zitierten Quellen. Eigene Begriffsmodelle werden als theoretische Vorschläge kenntlich gemacht. Dadurch bleibt die Grenze zwischen Forschungsstand und eigener Theorie nachvollziehbar.</w:t>
      </w:r>
    </w:p>
    <w:bookmarkEnd w:id="590"/>
    <w:bookmarkStart w:id="591" w:name="X2b7252e165b5a41e987e8d10e8400135e947aea"/>
    <w:p>
      <w:pPr>
        <w:pStyle w:val="Heading3"/>
        <w:keepLines/>
        <w:spacing w:after="120"/>
        <w:jc w:val="left"/>
      </w:pPr>
      <w:r>
        <w:rPr>
          <w:sz w:val="20"/>
        </w:rPr>
        <w:t xml:space="preserve">KI-Unterstützung als methodische Transparenzfrage</w:t>
      </w:r>
    </w:p>
    <w:p>
      <w:pPr>
        <w:pStyle w:val="FirstParagraph"/>
        <w:keepLines/>
        <w:spacing w:after="120"/>
        <w:jc w:val="left"/>
      </w:pPr>
      <w:r>
        <w:rPr>
          <w:sz w:val="20"/>
        </w:rPr>
        <w:t xml:space="preserve">Bei einem Thema über geliehene Intelligenz wäre es inkonsistent, den Einsatz generativer Werkzeuge im Entstehungsprozess zu verschweigen. Eine spätere Einreichungsfassung sollte daher entsprechend den Regeln der jeweiligen Fakultät offenlegen, in welchen Phasen KI-Werkzeuge genutzt wurden. Unabhängig von formalen Offenlegungspflichten bleiben Quellenprüfung, argumentative Entscheidung und wissenschaftliche Verantwortung beim Verfasser.</w:t>
      </w:r>
    </w:p>
    <w:p>
      <w:pPr>
        <w:pStyle w:val="BodyText"/>
        <w:keepLines/>
        <w:spacing w:after="120"/>
        <w:jc w:val="left"/>
      </w:pPr>
      <w:r>
        <w:rPr>
          <w:sz w:val="20"/>
        </w:rPr>
        <w:t xml:space="preserve">Erstens können proprietäre LLMs trotz identischer Modellnamen serverseitig verändert werden. Vollständige Reproduzierbarkeit ist daher nur bei versionierten oder lokalen Modellen erreichbar. Zweitens kann architektonische Neuheit nicht absolut bewiesen werden; sie ist relativ zum bekannten Vergleichskorpus. Drittens operationalisiert der Index epistemischer Verschuldung nur beobachtbare Abhängigkeiten und nicht die vollständige kulturelle Herkunft eines Modells. Viertens kann funktionale Agency gemessen werden, ohne moralische Agency zu entscheiden. Fünftens ist die rechtliche Bewertung an den Stichtag 18. August 2026 gebunden und muss bei späterem Einsatz aktualisiert werden.</w:t>
      </w:r>
    </w:p>
    <w:p>
      <w:pPr>
        <w:pStyle w:val="BodyText"/>
        <w:keepLines/>
        <w:spacing w:after="120"/>
        <w:jc w:val="left"/>
      </w:pPr>
      <w:r>
        <w:rPr>
          <w:sz w:val="20"/>
        </w:rPr>
        <w:t xml:space="preserve">Die stärkste Limitation betrifft schließlich Brain-5D selbst: Ein einzelnes Forschungsframework kann allgemeine philosophische Thesen nicht allein entscheiden. Es kann jedoch als präziser experimenteller Fall dienen, an dem abstrakte Fragen erstmals mit messbaren Entwicklungs- und Kontrollvariablen verbunden werden.</w:t>
      </w:r>
    </w:p>
    <w:p>
      <w:pPr>
        <w:pStyle w:val="BodyText"/>
        <w:keepLines/>
        <w:spacing w:after="120"/>
        <w:jc w:val="left"/>
      </w:pPr>
      <w:r>
        <w:rPr>
          <w:sz w:val="20"/>
        </w:rPr>
        <w:t xml:space="preserve">Die starke Form der Theorie geliehener Intelligenz wäre geschwächt, wenn maschinelle Systeme wesentliche epistemische Kategorien, Ziele und Bewertungsmaßstäbe ohne relevante menschliche Vorstrukturierung hervorbringen und wenn ihre Genealogie keine zusätzliche Erklärungskraft für Verhalten, Architektur oder normative Zurechnung besitzt. Die Embodiment-These wäre geschwächt, wenn rein symbolische Systeme ohne aktuelle Körper-Umwelt-Kopplung dauerhaft dieselbe Robustheit, Bedeutungsflexibilität, Selbstmodellierung und autonome Fehlerkorrektur wie verkörperte Systeme erreichen.</w:t>
      </w:r>
    </w:p>
    <w:p>
      <w:pPr>
        <w:pStyle w:val="BodyText"/>
        <w:keepLines/>
        <w:spacing w:after="120"/>
        <w:jc w:val="left"/>
      </w:pPr>
      <w:r>
        <w:rPr>
          <w:sz w:val="20"/>
        </w:rPr>
        <w:t xml:space="preserve">Die These vom Kontrollverlust wäre zu begrenzen, wenn sich zeigt, dass menschliche Agency zwar aus dem Mikroentwurf verschwindet, aber auf der Ebene von Zielsetzung, Ressourcen, Freigabe und Governance effektiv erhalten bleibt. Umgekehrt darf formale Aufsicht nicht als Widerlegung gelten, wenn sie in der Praxis weder epistemisch informiert noch technisch wirksam ist.</w:t>
      </w:r>
    </w:p>
    <w:bookmarkEnd w:id="591"/>
    <w:bookmarkEnd w:id="592"/>
    <w:bookmarkStart w:id="603" w:name="limitationen-und-risiken-der-theorie"/>
    <w:p>
      <w:pPr>
        <w:pStyle w:val="Heading2"/>
      </w:pPr>
      <w:r>
        <w:t xml:space="preserve">Limitationen und Risiken der Theorie</w:t>
      </w:r>
    </w:p>
    <w:bookmarkStart w:id="593" w:name="biologische-abstraktion"/>
    <w:p>
      <w:pPr>
        <w:pStyle w:val="Heading3"/>
        <w:keepLines/>
        <w:spacing w:after="120"/>
        <w:jc w:val="left"/>
      </w:pPr>
      <w:r>
        <w:rPr>
          <w:sz w:val="20"/>
        </w:rPr>
        <w:t xml:space="preserve">Biologische Abstraktion</w:t>
      </w:r>
    </w:p>
    <w:p>
      <w:pPr>
        <w:pStyle w:val="FirstParagraph"/>
        <w:keepLines/>
        <w:spacing w:after="120"/>
        <w:jc w:val="left"/>
      </w:pPr>
      <w:r>
        <w:rPr>
          <w:sz w:val="20"/>
        </w:rPr>
        <w:t xml:space="preserve">Izhikevich-, LIF-, STDP- und Homeostasemodelle sind funktionale Abstraktionen. Sie bilden keine vollständige Morphologie, Kanaldynamik, Glia, Genexpression, Gefäßversorgung oder Molekularbiologie ab. Höhere Detailtiefe kann lokal ergänzt werden, erhöht aber Parameter- und Validationsbedarf (</w:t>
      </w:r>
      <w:hyperlink w:anchor="ref-Carnevale2006">
        <w:r>
          <w:rPr>
            <w:rStyle w:val="Hyperlink"/>
          </w:rPr>
          <w:t xml:space="preserve">Carnevale &amp; Hines, 2006</w:t>
        </w:r>
      </w:hyperlink>
      <w:r>
        <w:rPr>
          <w:sz w:val="20"/>
        </w:rPr>
        <w:t xml:space="preserve">;</w:t>
      </w:r>
      <w:r>
        <w:rPr>
          <w:sz w:val="20"/>
        </w:rPr>
        <w:t xml:space="preserve"> </w:t>
      </w:r>
      <w:hyperlink w:anchor="ref-Hodgkin1952">
        <w:r>
          <w:rPr>
            <w:rStyle w:val="Hyperlink"/>
          </w:rPr>
          <w:t xml:space="preserve">Hodgkin &amp; Huxley, 1952</w:t>
        </w:r>
      </w:hyperlink>
      <w:r>
        <w:rPr>
          <w:sz w:val="20"/>
        </w:rPr>
        <w:t xml:space="preserve">).</w:t>
      </w:r>
    </w:p>
    <w:bookmarkEnd w:id="593"/>
    <w:bookmarkStart w:id="594" w:name="kombinatorische-komplexität"/>
    <w:p>
      <w:pPr>
        <w:pStyle w:val="Heading3"/>
        <w:keepLines/>
        <w:spacing w:after="120"/>
        <w:jc w:val="left"/>
      </w:pPr>
      <w:r>
        <w:rPr>
          <w:sz w:val="20"/>
        </w:rPr>
        <w:t xml:space="preserve">Kombinatorische Komplexität</w:t>
      </w:r>
    </w:p>
    <w:p>
      <w:pPr>
        <w:pStyle w:val="FirstParagraph"/>
        <w:keepLines/>
        <w:spacing w:after="120"/>
        <w:jc w:val="left"/>
      </w:pPr>
      <w:r>
        <w:rPr>
          <w:sz w:val="20"/>
        </w:rPr>
        <w:t xml:space="preserve">Die Kombination vieler Mechanismen erzeugt einen großen Hypothesen- und Parameterraum. Ohne hierarchische Experimente sind Kausalbeiträge nicht identifizierbar. Das Framework bevorzugt deshalb kleine, isolierbare Benchmarks vor der Vollintegration.</w:t>
      </w:r>
    </w:p>
    <w:bookmarkEnd w:id="594"/>
    <w:bookmarkStart w:id="595" w:name="semantikproblem"/>
    <w:p>
      <w:pPr>
        <w:pStyle w:val="Heading3"/>
        <w:keepLines/>
        <w:spacing w:after="120"/>
        <w:jc w:val="left"/>
      </w:pPr>
      <w:r>
        <w:rPr>
          <w:sz w:val="20"/>
        </w:rPr>
        <w:t xml:space="preserve">Semantikproblem</w:t>
      </w:r>
    </w:p>
    <w:p>
      <w:pPr>
        <w:pStyle w:val="FirstParagraph"/>
        <w:keepLines/>
        <w:spacing w:after="120"/>
        <w:jc w:val="left"/>
      </w:pPr>
      <w:r>
        <w:rPr>
          <w:sz w:val="20"/>
        </w:rPr>
        <w:t xml:space="preserve">Neuronale Zustände besitzen keine automatisch menschenlesbare Semantik. Ein Decoder kann plausible Texte aus schwachen Signalen erzeugen. Die Trennung zwischen Decodability, Repräsentation und Funktion reduziert, beseitigt aber nicht alle Interpretationsrisiken.</w:t>
      </w:r>
    </w:p>
    <w:bookmarkEnd w:id="595"/>
    <w:bookmarkStart w:id="596" w:name="d-arbitrarität"/>
    <w:p>
      <w:pPr>
        <w:pStyle w:val="Heading3"/>
        <w:keepLines/>
        <w:spacing w:after="120"/>
        <w:jc w:val="left"/>
      </w:pPr>
      <w:r>
        <w:rPr>
          <w:sz w:val="20"/>
        </w:rPr>
        <w:t xml:space="preserve">5D-Arbitrarität</w:t>
      </w:r>
    </w:p>
    <w:p>
      <w:pPr>
        <w:pStyle w:val="FirstParagraph"/>
        <w:keepLines/>
        <w:spacing w:after="120"/>
        <w:jc w:val="left"/>
      </w:pPr>
      <w:r>
        <w:rPr>
          <w:sz w:val="20"/>
        </w:rPr>
        <w:t xml:space="preserve">Fünf Dimensionen sind eine Architekturhypothese. Andere Dimensionen, Graphen oder nichtgeometrische Darstellungen können gleich gut oder besser sein. Ein negatives Ergebnis wäre keine Niederlage des Forschungsprogramms, sondern eine Einschränkung oder Revision der Geometrieannahme.</w:t>
      </w:r>
    </w:p>
    <w:bookmarkEnd w:id="596"/>
    <w:bookmarkStart w:id="597" w:name="simulations-realität"/>
    <w:p>
      <w:pPr>
        <w:pStyle w:val="Heading3"/>
        <w:keepLines/>
        <w:spacing w:after="120"/>
        <w:jc w:val="left"/>
      </w:pPr>
      <w:r>
        <w:rPr>
          <w:sz w:val="20"/>
        </w:rPr>
        <w:t xml:space="preserve">Simulations-Realität</w:t>
      </w:r>
    </w:p>
    <w:p>
      <w:pPr>
        <w:pStyle w:val="FirstParagraph"/>
        <w:keepLines/>
        <w:spacing w:after="120"/>
        <w:jc w:val="left"/>
      </w:pPr>
      <w:r>
        <w:rPr>
          <w:sz w:val="20"/>
        </w:rPr>
        <w:t xml:space="preserve">Ein digitaler Spike ist kein biologisches Aktionspotential. Eine realistische Visualisierung oder hohe Neuronenzahl erhöht nicht automatisch biologische Gültigkeit. Modelle werden nach der Fragestellung und ihren Vorhersagen bewertet.</w:t>
      </w:r>
    </w:p>
    <w:bookmarkEnd w:id="597"/>
    <w:bookmarkStart w:id="598" w:name="rechen--und-speichergrenzen"/>
    <w:p>
      <w:pPr>
        <w:pStyle w:val="Heading3"/>
        <w:keepLines/>
        <w:spacing w:after="120"/>
        <w:jc w:val="left"/>
      </w:pPr>
      <w:r>
        <w:rPr>
          <w:sz w:val="20"/>
        </w:rPr>
        <w:t xml:space="preserve">Rechen- und Speichergrenzen</w:t>
      </w:r>
    </w:p>
    <w:p>
      <w:pPr>
        <w:pStyle w:val="FirstParagraph"/>
        <w:keepLines/>
        <w:spacing w:after="120"/>
        <w:jc w:val="left"/>
      </w:pPr>
      <w:r>
        <w:rPr>
          <w:sz w:val="20"/>
        </w:rPr>
        <w:t xml:space="preserve">Hundertmillionen Neuronen und Milliarden Synapsen überschreiten eine naive Einzelrechnerarchitektur. Sparse Materialisierung, Partitionierung und ereignisbasierte Verarbeitung sind notwendig, garantieren aber keine Echtzeitfähigkeit.</w:t>
      </w:r>
    </w:p>
    <w:bookmarkEnd w:id="598"/>
    <w:bookmarkStart w:id="599" w:name="nichtstationarität"/>
    <w:p>
      <w:pPr>
        <w:pStyle w:val="Heading3"/>
        <w:keepLines/>
        <w:spacing w:after="120"/>
        <w:jc w:val="left"/>
      </w:pPr>
      <w:r>
        <w:rPr>
          <w:sz w:val="20"/>
        </w:rPr>
        <w:t xml:space="preserve">Nichtstationarität</w:t>
      </w:r>
    </w:p>
    <w:p>
      <w:pPr>
        <w:pStyle w:val="FirstParagraph"/>
        <w:keepLines/>
        <w:spacing w:after="120"/>
        <w:jc w:val="left"/>
      </w:pPr>
      <w:r>
        <w:rPr>
          <w:sz w:val="20"/>
        </w:rPr>
        <w:t xml:space="preserve">Strukturelle Plastizität verändert den Daten erzeugenden Prozess. Metriken, Decoder und Regionen können dadurch über Zeit ihre Bedeutung ändern. Versionierte Zeitfenster und Driftanalysen sind erforderlich.</w:t>
      </w:r>
    </w:p>
    <w:bookmarkEnd w:id="599"/>
    <w:bookmarkStart w:id="600" w:name="externe-modelle-als-confound"/>
    <w:p>
      <w:pPr>
        <w:pStyle w:val="Heading3"/>
        <w:keepLines/>
        <w:spacing w:after="120"/>
        <w:jc w:val="left"/>
      </w:pPr>
      <w:r>
        <w:rPr>
          <w:sz w:val="20"/>
        </w:rPr>
        <w:t xml:space="preserve">Externe Modelle als Confound</w:t>
      </w:r>
    </w:p>
    <w:p>
      <w:pPr>
        <w:pStyle w:val="FirstParagraph"/>
        <w:keepLines/>
        <w:spacing w:after="120"/>
        <w:jc w:val="left"/>
      </w:pPr>
      <w:r>
        <w:rPr>
          <w:sz w:val="20"/>
        </w:rPr>
        <w:t xml:space="preserve">LLMs und Encoder enthalten umfangreiches Vorwissen. Selbst bei direkter Schreibsperre können sie den SNN-Input so strukturieren, dass Aufgaben stark vereinfacht werden. Null-, Zufalls- und Fixed-Encoder-Kontrollen bleiben notwendig.</w:t>
      </w:r>
    </w:p>
    <w:bookmarkEnd w:id="600"/>
    <w:bookmarkStart w:id="601" w:name="messinvasivität"/>
    <w:p>
      <w:pPr>
        <w:pStyle w:val="Heading3"/>
        <w:keepLines/>
        <w:spacing w:after="120"/>
        <w:jc w:val="left"/>
      </w:pPr>
      <w:r>
        <w:rPr>
          <w:sz w:val="20"/>
        </w:rPr>
        <w:t xml:space="preserve">Messinvasivität</w:t>
      </w:r>
    </w:p>
    <w:p>
      <w:pPr>
        <w:pStyle w:val="FirstParagraph"/>
        <w:keepLines/>
        <w:spacing w:after="120"/>
        <w:jc w:val="left"/>
      </w:pPr>
      <w:r>
        <w:rPr>
          <w:sz w:val="20"/>
        </w:rPr>
        <w:t xml:space="preserve">Monitoring kann technisch Ressourcen verbrauchen, Timing verändern oder Speicherzugriffe beeinflussen. „Beobachtend” bedeutet kausal nicht interventionell auf Modellzustände; Performanceeinflüsse des Instrumentariums müssen dennoch gemessen werden.</w:t>
      </w:r>
    </w:p>
    <w:bookmarkEnd w:id="601"/>
    <w:bookmarkStart w:id="602" w:name="open-ended-learning"/>
    <w:p>
      <w:pPr>
        <w:pStyle w:val="Heading3"/>
        <w:keepLines/>
        <w:spacing w:after="120"/>
        <w:jc w:val="left"/>
      </w:pPr>
      <w:r>
        <w:rPr>
          <w:sz w:val="20"/>
        </w:rPr>
        <w:t xml:space="preserve">Open-Ended Learning</w:t>
      </w:r>
    </w:p>
    <w:p>
      <w:pPr>
        <w:pStyle w:val="FirstParagraph"/>
        <w:keepLines/>
        <w:spacing w:after="120"/>
        <w:jc w:val="left"/>
      </w:pPr>
      <w:r>
        <w:rPr>
          <w:sz w:val="20"/>
        </w:rPr>
        <w:t xml:space="preserve">Langfristig offenes Lernen erschwert feste Ground Truth und Endpunkte. Zunächst werden begrenzte Aufgaben verwendet. Später sind Methoden für Verhaltensvielfalt, Kompetenzfortschritt und Sicherheitsregression nötig.</w:t>
      </w:r>
    </w:p>
    <w:bookmarkEnd w:id="602"/>
    <w:bookmarkEnd w:id="603"/>
    <w:bookmarkEnd w:id="604"/>
    <w:bookmarkStart w:id="612" w:name="X76d4a77d25d43dbab84526115f36917c85b380f"/>
    <w:p>
      <w:bookmarkStart w:id="10039" w:name="B5D_H039"/>
      <w:pPr>
        <w:pStyle w:val="Heading1"/>
      </w:pPr>
      <w:r>
        <w:t xml:space="preserve">36. Gesamtsynthese und wissenschaftliche Schlussposition</w:t>
      </w:r>
      <w:bookmarkEnd w:id="10039"/>
    </w:p>
    <w:bookmarkStart w:id="605" w:name="die-verbindende-these"/>
    <w:p>
      <w:pPr>
        <w:pStyle w:val="Heading2"/>
      </w:pPr>
      <w:r>
        <w:t xml:space="preserve">Die verbindende These</w:t>
      </w:r>
    </w:p>
    <w:p>
      <w:pPr>
        <w:pStyle w:val="FirstParagraph"/>
        <w:keepLines/>
        <w:spacing w:after="120"/>
        <w:jc w:val="left"/>
      </w:pPr>
      <w:r>
        <w:rPr>
          <w:sz w:val="20"/>
        </w:rPr>
        <w:t xml:space="preserve">Die stärkste gemeinsame Aussage der Manuskripte lautet nicht, Brain-5D sei bereits eine eigenständige Intelligenz, und auch nicht, menschliche Kontrolle gehe notwendig verloren. Sie lautet:</w:t>
      </w:r>
      <w:r>
        <w:rPr>
          <w:sz w:val="20"/>
        </w:rPr>
        <w:t xml:space="preserve"> </w:t>
      </w:r>
      <w:r>
        <w:rPr>
          <w:b/>
          <w:bCs/>
          <w:sz w:val="20"/>
        </w:rPr>
        <w:t xml:space="preserve">Mit wachsender maschineller Mitwirkung müssen Herkunft, Funktion, Bewertung und Verantwortung feiner unterschieden werden.</w:t>
      </w:r>
      <w:r>
        <w:rPr>
          <w:sz w:val="20"/>
        </w:rPr>
        <w:t xml:space="preserve"> </w:t>
      </w:r>
      <w:r>
        <w:rPr>
          <w:sz w:val="20"/>
        </w:rPr>
        <w:t xml:space="preserve">Das neuronale Modell macht diese Forderung experimentell konkret; die philosophische Theorie macht sichtbar, warum erfolgreiche technische Funktionsprüfungen allein die Fragen nach Autorenschaft und Normativität nicht abschliessen.</w:t>
      </w:r>
    </w:p>
    <w:p>
      <w:pPr>
        <w:pStyle w:val="BodyText"/>
        <w:keepLines/>
        <w:spacing w:after="120"/>
        <w:jc w:val="left"/>
      </w:pPr>
      <w:r>
        <w:rPr>
          <w:sz w:val="20"/>
        </w:rPr>
        <w:t xml:space="preserve">Geliehene Intelligenz bezeichnet in diesem Zusammenhang eine Kette von Voraussetzungen. Sprache, Begriffe, Trainingsdaten, Softwarebibliotheken, Regeln und Infrastrukturen stammen nicht aus dem aktuell beobachteten System allein. Zugleich können neue technische Beziehungen entstehen, die nicht im Einzelnen handschriftlich vorgegeben sind. Herkunft und Neuheit schliessen einander daher nicht aus. Ein System kann genealogisch abhängig, funktional eigenständig in einem engen Aufgabenraum und normativ vollständig fremdgesetzt sein.</w:t>
      </w:r>
    </w:p>
    <w:bookmarkEnd w:id="605"/>
    <w:bookmarkStart w:id="606" w:name="was-die-ergebnisse-bereits-tragen"/>
    <w:p>
      <w:pPr>
        <w:pStyle w:val="Heading2"/>
      </w:pPr>
      <w:r>
        <w:t xml:space="preserve">Was die Ergebnisse bereits tragen</w:t>
      </w:r>
    </w:p>
    <w:p>
      <w:pPr>
        <w:pStyle w:val="FirstParagraph"/>
        <w:keepLines/>
        <w:spacing w:after="120"/>
        <w:jc w:val="left"/>
      </w:pPr>
      <w:r>
        <w:rPr>
          <w:sz w:val="20"/>
        </w:rPr>
        <w:t xml:space="preserve">Die geprüften technischen DATA tragen eine begrenzte Aussage über Restore und Speicherung in den erfassten Tests. Die Replikations- und Suite-Summaries tragen deskriptive Aussagen über rekurrente Impulsantworten in kleinen Modellen. Der Manuskriptnachtrag liefert spezielle Stabilitäts- und Task-Erfolgskennzahlen, deren Freigabe- und Rohdatenprüfung weiter zu trennen ist. Diese Bausteine sind für eine belastbare Forschungsplattform relevant. Sie sind weder wertlos, weil sie noch keine Kognition beweisen, noch umfassend, weil sie technisch erfolgreich waren.</w:t>
      </w:r>
    </w:p>
    <w:p>
      <w:pPr>
        <w:pStyle w:val="BodyText"/>
        <w:keepLines/>
        <w:spacing w:after="120"/>
        <w:jc w:val="left"/>
      </w:pPr>
      <w:r>
        <w:rPr>
          <w:sz w:val="20"/>
        </w:rPr>
        <w:t xml:space="preserve">Die Grenzen sind ebenso Teil des Resultats. Ein ausgesetzter Grosstest begrenzt Skalierungsbehauptungen. Ein Dirty Source Tree begrenzt die genaue Rekonstruierbarkeit der ausgeführten Codebasis. Ein semantischer Gate-Konflikt begrenzt die Freigabezuordnung. Fehlende generische Metrikfelder begrenzen die Vollständigkeit eines Standardberichts. Eine drei-Neuronen-Antwort begrenzt Aussagen über großräumige funktionale Organisation. Gerade diese Trennungen machen es möglich, aus den Versuchen produktive neue Fragen abzuleiten.</w:t>
      </w:r>
    </w:p>
    <w:bookmarkEnd w:id="606"/>
    <w:bookmarkStart w:id="607" w:name="X74dfed0bb3e6756c1fbb627f1168dfbf3c37d0e"/>
    <w:p>
      <w:pPr>
        <w:pStyle w:val="Heading2"/>
      </w:pPr>
      <w:r>
        <w:t xml:space="preserve">Was durch die Integration neu sichtbar wird</w:t>
      </w:r>
    </w:p>
    <w:p>
      <w:pPr>
        <w:pStyle w:val="FirstParagraph"/>
        <w:keepLines/>
        <w:spacing w:after="120"/>
        <w:jc w:val="left"/>
      </w:pPr>
      <w:r>
        <w:rPr>
          <w:sz w:val="20"/>
        </w:rPr>
        <w:t xml:space="preserve">Erstens ist die Beobachtungsschicht selbst Teil der Erkenntnisarchitektur. Eine fehlerhafte Metrikzuordnung kann wissenschaftliche Schlussfolgerungen ebenso verzerren wie ein Fehler im neuronalen Kern. Zweitens kann eine kompakte, kontrollierte Datendarstellung epistemische Kontrolle verbessern, obwohl sie weniger Rohtext enthält. Drittens erweitert nichtmenschliches Embodiment die sinnvollen Lernbedingungen, ohne menschliche Organformen oder Gefühlsbegriffe vorauszusetzen. Viertens muss ein Geometrieexperiment einen wirkenden Geometriemechanismus besitzen; sonst prüft es nur Adressierung. Fünftens sind vorhandene Register nur dann vertraünswürdig, wenn ihr Status auf konkrete, unterscheidbare Nachweise zurückführt.</w:t>
      </w:r>
    </w:p>
    <w:p>
      <w:pPr>
        <w:pStyle w:val="BodyText"/>
        <w:keepLines/>
        <w:spacing w:after="120"/>
        <w:jc w:val="left"/>
      </w:pPr>
      <w:r>
        <w:rPr>
          <w:sz w:val="20"/>
        </w:rPr>
        <w:t xml:space="preserve">Diese Punkte sind Syntheseerträge und Forschungsvorschläge. Sie werden nicht als bislang unbekannte oder abschliessend bestätigte Theoreme ausgegeben. Ihr Wert liegt darin, zusätzliche Unterscheidungen in prüfbare Protokolle zu überführen.</w:t>
      </w:r>
    </w:p>
    <w:bookmarkEnd w:id="607"/>
    <w:bookmarkStart w:id="608" w:name="antwort-auf-die-frage-nach-dem-menschen"/>
    <w:p>
      <w:pPr>
        <w:pStyle w:val="Heading2"/>
      </w:pPr>
      <w:r>
        <w:t xml:space="preserve">Antwort auf die Frage nach dem Menschen</w:t>
      </w:r>
    </w:p>
    <w:p>
      <w:pPr>
        <w:pStyle w:val="FirstParagraph"/>
        <w:keepLines/>
        <w:spacing w:after="120"/>
        <w:jc w:val="left"/>
      </w:pPr>
      <w:r>
        <w:rPr>
          <w:sz w:val="20"/>
        </w:rPr>
        <w:t xml:space="preserve">Der Mensch bleibt in der hier dokumentierten Forschungsordnung Zielsetzer, Ressourcenbereitsteller, fachlicher Prüfer und normativ verantwortlicher Akteur. Zugleich beeinflussen maschinelle Vorschläge die verfügbaren Begriffe, Entwurfsoptionen und Interpretationen. Daraus folgt eine asymmetrische Ko-Produktion: technische Mitwirkung ist verteilt, die institutionelle Verantwortung wird dadurch nicht automatisch auf das Modell übertragen.</w:t>
      </w:r>
    </w:p>
    <w:p>
      <w:pPr>
        <w:pStyle w:val="BodyText"/>
        <w:keepLines/>
        <w:spacing w:after="120"/>
        <w:jc w:val="left"/>
      </w:pPr>
      <w:r>
        <w:rPr>
          <w:sz w:val="20"/>
        </w:rPr>
        <w:t xml:space="preserve">Effektive Kontrolle bedeutet nicht, jedes Ereignis des SNN vorhersagen zu können. Sie verlangt, relevante Aussagen und Eingriffe anhand von Quellen, Tests und Grenzen beurteilen zu können. Die Fähigkeit, einen überzeugenden KI-Bericht zu korrigieren oder seine Evidenzfreigabe zu verweigern, ist deshalb kein Nebenschritt, sondern ein sichtbarer Teil dieser Kontrolle.</w:t>
      </w:r>
    </w:p>
    <w:bookmarkEnd w:id="608"/>
    <w:bookmarkStart w:id="609" w:name="offene-endpunkte-der-abhandlung"/>
    <w:p>
      <w:pPr>
        <w:pStyle w:val="Heading2"/>
      </w:pPr>
      <w:r>
        <w:t xml:space="preserve">Offene Endpunkte der Abhandlung</w:t>
      </w:r>
    </w:p>
    <w:p>
      <w:pPr>
        <w:pStyle w:val="FirstParagraph"/>
        <w:keepLines/>
        <w:spacing w:after="120"/>
        <w:jc w:val="left"/>
      </w:pPr>
      <w:r>
        <w:rPr>
          <w:sz w:val="20"/>
        </w:rPr>
        <w:t xml:space="preserve">Offen bleiben insbesondere der besondere funktionale Nutzen von 5D, generalisierbares lokal getragenes Lernen, gemeinsames sequenzielles Gedächtnis, funktionale Vorteile der geschlossenen Verkörperung, robuste multimodale Kompensation und die Bedingungen möglicher künstlicher moralischer Relevanz. Die hypothetischen menschenarmen und menschenlosen Ordnungen bleiben begriffliche Belastungstests. Ihre Behandlung ersetzt keine Prognose und behauptet keine bereits erreichte Existenzautonomie.</w:t>
      </w:r>
    </w:p>
    <w:p>
      <w:pPr>
        <w:pStyle w:val="BodyText"/>
        <w:keepLines/>
        <w:spacing w:after="120"/>
        <w:jc w:val="left"/>
      </w:pPr>
      <w:r>
        <w:rPr>
          <w:sz w:val="20"/>
        </w:rPr>
        <w:t xml:space="preserve">Die wissenschaftliche Fortführung besteht daher nicht im Sammeln weiterer Erfolgserzählungen. Sie besteht in sauber eingefrorenen, kontrollierten, widerlegbaren und nachvollziehbar ausgewerteten Untersuchungen. Jeder neue Befund kann die Architektur stärken, ihren Scope begrenzen oder einen zentralen Begriff unnötig machen. Gerade diese Revisionsfähigkeit verbindet die technische Forschung mit dem philosophischen Anspruch der Arbeit.</w:t>
      </w:r>
    </w:p>
    <w:bookmarkEnd w:id="609"/>
    <w:bookmarkStart w:id="610" w:name="synthese-und-vorläufige-schlussposition"/>
    <w:p>
      <w:pPr>
        <w:pStyle w:val="Heading2"/>
      </w:pPr>
      <w:r>
        <w:t xml:space="preserve">Synthese und vorläufige Schlussposition</w:t>
      </w:r>
    </w:p>
    <w:p>
      <w:pPr>
        <w:pStyle w:val="FirstParagraph"/>
        <w:keepLines/>
        <w:spacing w:after="120"/>
        <w:jc w:val="left"/>
      </w:pPr>
      <w:r>
        <w:rPr>
          <w:sz w:val="20"/>
        </w:rPr>
        <w:t xml:space="preserve">Die Arbeit führt zu keiner einfachen Entscheidung zwischen „KI ist Werkzeug” und „KI ist autonomes Wesen”. Sie entwickelt eine relationale Theorie. Intelligenz wird nach Herkunft, Verkörperung, Entwicklungskausalität, Zielautonomie, Existenzabhängigkeit und normativer Einbettung beschrieben. Ein System kann nichtorganisch realisiert, epistemisch menschlich geprägt, durch mehrere KI-Generationen weiterentwickelt, körperlich schwach oder stark gekoppelt, funktional autonom und dennoch infrastrukturell abhängig sein.</w:t>
      </w:r>
    </w:p>
    <w:p>
      <w:pPr>
        <w:pStyle w:val="BodyText"/>
        <w:keepLines/>
        <w:spacing w:after="120"/>
        <w:jc w:val="left"/>
      </w:pPr>
      <w:r>
        <w:rPr>
          <w:sz w:val="20"/>
        </w:rPr>
        <w:t xml:space="preserve">Der Verlust von Kontrolle ist ebenfalls kein einzelner historischer Moment. Er kann auf unterschiedlichen Ebenen eintreten: Der Mensch kann Entwurfshoheit abgeben und dennoch Ziele setzen; er kann formale Freigabe behalten und epistemische Beurteilungsfähigkeit verlieren; er kann als Teil eines hybriden Erkenntnissystems wirksam bleiben, ohne jeden inneren Prozess zu verstehen. Die zentrale Aufgabe wissenschaftlicher und rechtlicher Governance besteht deshalb darin, nicht abstrakt „den Menschen im Loop” zu fordern, sondern die tatsächlichen Hoheits-, Informations-, Eingriffs- und Verantwortungsbeziehungen zu dokumentieren.</w:t>
      </w:r>
    </w:p>
    <w:p>
      <w:pPr>
        <w:pStyle w:val="BodyText"/>
        <w:keepLines/>
        <w:spacing w:after="120"/>
        <w:jc w:val="left"/>
      </w:pPr>
      <w:r>
        <w:rPr>
          <w:sz w:val="20"/>
        </w:rPr>
        <w:t xml:space="preserve">Embodiment erweitert diese Theorie. Ein körperlos erscheinendes Sprachmodell ist nicht völlig ohne Weltbezug, weil seine Daten aus verkörperter menschlicher Praxis stammen. Es besitzt jedoch keine eigene kontinuierliche Sensor-Aktor- und Interozeptionsschleife. Ob daraus nur eine quantitative oder eine qualitative Grenze entsteht, ist offen. Gerade diese Offenheit erzeugt den Forschungsgewinn: Körper, Reiz, Bedeutung, Selbstmodell, Empfindungsfähigkeit und moralischer Status werden in prüfbare Dimensionen zerlegt, statt vorschnell gleichgesetzt zu werden.</w:t>
      </w:r>
    </w:p>
    <w:p>
      <w:pPr>
        <w:pStyle w:val="BodyText"/>
        <w:keepLines/>
        <w:spacing w:after="120"/>
        <w:jc w:val="left"/>
      </w:pPr>
      <w:r>
        <w:rPr>
          <w:sz w:val="20"/>
        </w:rPr>
        <w:t xml:space="preserve">Die vorläufige Leitposition lautet daher: Mit zunehmender maschineller Beteiligung verschwindet der Mensch nicht notwendig aus dem Entwicklungsprozess. Seine Rolle verschiebt sich vom unmittelbaren Konstrukteur zu Meta-Entscheidungen, Verfassungsgebung, Organisation, Kuratierung, Audit, Intervention und möglicherweise hybrider Ko-Kognition. Wo diese Funktionen nur noch symbolisch bestehen, beginnt effektiver Kontrollverlust. Wo sie nachvollziehbar, technisch wirksam und institutionell legitimiert bleiben, kann hohe maschinelle Autonomie mit menschlicher Verantwortung vereinbar sein.</w:t>
      </w:r>
    </w:p>
    <w:p>
      <w:pPr>
        <w:pStyle w:val="BodyText"/>
        <w:keepLines/>
        <w:spacing w:after="120"/>
        <w:jc w:val="left"/>
      </w:pPr>
      <w:r>
        <w:rPr>
          <w:sz w:val="20"/>
        </w:rPr>
        <w:t xml:space="preserve">Der wissenschaftlich relevante Übergang liegt nicht zwischen „natürlich” und „künstlich”, sondern zwischen direkter Spezifikation, maschineller Transformation, verkörperter Weltkopplung, rekursiver Entwicklungsdynamik und der Frage, wer Ziele, Regeln und Folgen noch verantworten kann.</w:t>
      </w:r>
    </w:p>
    <w:bookmarkEnd w:id="610"/>
    <w:bookmarkStart w:id="611" w:name="schlussfolgerung"/>
    <w:p>
      <w:pPr>
        <w:pStyle w:val="Heading2"/>
      </w:pPr>
      <w:r>
        <w:t xml:space="preserve">Schlussfolgerung</w:t>
      </w:r>
    </w:p>
    <w:p>
      <w:pPr>
        <w:pStyle w:val="FirstParagraph"/>
        <w:keepLines/>
        <w:spacing w:after="120"/>
        <w:jc w:val="left"/>
      </w:pPr>
      <w:r>
        <w:rPr>
          <w:sz w:val="20"/>
        </w:rPr>
        <w:t xml:space="preserve">Brain-5D wird in diesem Framework nicht als fertige Theorie und nicht als bereits intelligente Entität präsentiert. Es ist eine experimentelle Architektur, die eine präzise wissenschaftliche Frage technisch zugänglich machen soll: Können lokale Spike-Dynamik, adaptive Topologie, Persistenz, Ressourcenbegrenzung und verkörperte Rückkopplung interne Zustände hervorbringen, die über unmittelbare Stimulation hinaus stabil, abrufbar, generalisierbar und kausal funktional sind?</w:t>
      </w:r>
    </w:p>
    <w:p>
      <w:pPr>
        <w:pStyle w:val="BodyText"/>
        <w:keepLines/>
        <w:spacing w:after="120"/>
        <w:jc w:val="left"/>
      </w:pPr>
      <w:r>
        <w:rPr>
          <w:sz w:val="20"/>
        </w:rPr>
        <w:t xml:space="preserve">Die fünfdimensionale Organisation ist dabei kein dekorativer Kubus. Sie ist eine falsifizierbare Geometriehypothese. Der potenzielle Raum wird sparse materialisiert; Distanz wird durch eine allgemeine, gegebenenfalls lernbare Metrik beschrieben; Graph und Dynamik werden getrennt, aber gekoppelt gemessen. Ein positiver wissenschaftlicher Befund verlangt, dass 5D oder eine daraus entstehende funktionale Geometrie bei gematchten Ressourcen einen reproduzierbaren Zusatznutzen besitzt. Ein negatives Ergebnis kann zu einer rangreduzierten, niedrigerdimensionalen oder nichtgeometrischen Nachfolgearchitektur führen.</w:t>
      </w:r>
    </w:p>
    <w:p>
      <w:pPr>
        <w:pStyle w:val="BodyText"/>
        <w:keepLines/>
        <w:spacing w:after="120"/>
        <w:jc w:val="left"/>
      </w:pPr>
      <w:r>
        <w:rPr>
          <w:sz w:val="20"/>
        </w:rPr>
        <w:t xml:space="preserve">Das Language Organ wird bewusst entmachtet. Es kann Sprache, Quellen und Interpretationen bereitstellen, darf aber den untersuchten neuronalen Zustand nicht unkontrolliert schreiben. Monitoring endet im Logging. Jede Rückkopplung ist ein Proposal, passiert ein deterministisches PolicyGate und wird als Stimulus mit vollständiger Provenienz behandelt. Diese Trennung ist die Voraussetzung, um später glaubwürdig sagen zu können, wo eine beobachtete Fähigkeit entstanden ist.</w:t>
      </w:r>
    </w:p>
    <w:p>
      <w:pPr>
        <w:pStyle w:val="BodyText"/>
        <w:keepLines/>
        <w:spacing w:after="120"/>
        <w:jc w:val="left"/>
      </w:pPr>
      <w:r>
        <w:rPr>
          <w:sz w:val="20"/>
        </w:rPr>
        <w:t xml:space="preserve">Der wissenschaftliche Kern des Projekts liegt deshalb nicht in überzeugender Konversation, maximaler Neuronenzahl oder biologisch klingender Terminologie. Er liegt in der Nachweisstruktur. Jeder Claim muss mit einem konkreten Experiment, einem rekonstruktionsfähigen Zustand, unabhängigen Seeds, Kontrollbedingungen, statistischer Auswertung, Ablation und Falsifikationskriterium verbunden sein. Das Digital-State-Twin-Konzept dient nicht nur der Speicherung, sondern der kontrafaktischen Prüfung: identische Zustände können geforkt, gezielt verändert und hinsichtlich ihrer Folgen verglichen werden.</w:t>
      </w:r>
    </w:p>
    <w:p>
      <w:pPr>
        <w:pStyle w:val="BodyText"/>
        <w:keepLines/>
        <w:spacing w:after="120"/>
        <w:jc w:val="left"/>
      </w:pPr>
      <w:r>
        <w:rPr>
          <w:sz w:val="20"/>
        </w:rPr>
        <w:t xml:space="preserve">Die wichtigste methodische Forderung bleibt:</w:t>
      </w:r>
    </w:p>
    <w:p>
      <w:pPr>
        <w:pStyle w:val="BlockText"/>
        <w:keepLines/>
        <w:spacing w:after="120"/>
        <w:jc w:val="left"/>
      </w:pPr>
      <w:r>
        <w:rPr>
          <w:b/>
          <w:bCs/>
          <w:sz w:val="20"/>
        </w:rPr>
        <w:t xml:space="preserve">Jede beobachtete Fähigkeit muss daraufhin untersucht werden, in welcher Komponente, unter welchen Randbedingungen und durch welchen kausalen Mechanismus sie tatsächlich entsteht.</w:t>
      </w:r>
    </w:p>
    <w:p>
      <w:pPr>
        <w:pStyle w:val="FirstParagraph"/>
        <w:keepLines/>
        <w:spacing w:after="120"/>
        <w:jc w:val="left"/>
      </w:pPr>
      <w:r>
        <w:rPr>
          <w:sz w:val="20"/>
        </w:rPr>
        <w:t xml:space="preserve">Liegt sie im LLM, im Retrieval-System, im Encoder, im Decoder, in handgeschriebenen Regeln, in der Umwelt oder im SNN? Bleibt sie nach Isolation bestehen? Generalisiert sie? Übersteht sie geeignete Nullmodelle und Läsionen? Kann der Zustand rekonstruiert und das Ergebnis reproduziert werden?</w:t>
      </w:r>
    </w:p>
    <w:p>
      <w:pPr>
        <w:pStyle w:val="BodyText"/>
        <w:keepLines/>
        <w:spacing w:after="120"/>
        <w:jc w:val="left"/>
      </w:pPr>
      <w:r>
        <w:rPr>
          <w:sz w:val="20"/>
        </w:rPr>
        <w:t xml:space="preserve">Erst wenn diese Fragen systematisch beantwortet werden, kann Brain-5D von einem ambitionierten Architekturprojekt zu einer belastbaren Forschungsplattform werden. Das Ziel ist nicht, eine gewünschte Theorie zu bestätigen, sondern eine Infrastruktur zu schaffen, in der starke Hypothesen präzise formuliert, technisch implementiert, experimentell geprüft, widerlegt oder schrittweise evidenzbasiert gestärkt werden können.</w:t>
      </w:r>
    </w:p>
    <w:bookmarkEnd w:id="611"/>
    <w:bookmarkEnd w:id="612"/>
    <w:bookmarkStart w:id="628" w:name="X7e8280bab3508eeef3193a55f17b328f808cd1c"/>
    <w:p>
      <w:bookmarkStart w:id="10040" w:name="B5D_H040"/>
      <w:pPr>
        <w:pStyle w:val="Heading1"/>
      </w:pPr>
      <w:r>
        <w:t xml:space="preserve">Anhang A - Datenverträge, Skalen und Statuskonventionen</w:t>
      </w:r>
      <w:bookmarkEnd w:id="10040"/>
    </w:p>
    <w:p>
      <w:pPr>
        <w:pStyle w:val="FirstParagraph"/>
        <w:keepLines/>
        <w:spacing w:after="60" w:line="254" w:lineRule="auto"/>
        <w:jc w:val="left"/>
      </w:pPr>
      <w:r>
        <w:rPr>
          <w:b/>
          <w:bCs/>
          <w:sz w:val="20"/>
        </w:rPr>
        <w:t xml:space="preserve">Status der folgenden Schemata:</w:t>
      </w:r>
      <w:r>
        <w:rPr>
          <w:sz w:val="20"/>
        </w:rPr>
        <w:t xml:space="preserve"> </w:t>
      </w:r>
      <w:r>
        <w:rPr>
          <w:sz w:val="20"/>
        </w:rPr>
        <w:t xml:space="preserve">illustrative Datenverträge und Vorlagen aus K1. Beispiel-IDs, Zahlen und Statuswerte stellen keine Ergebnisse dieser Abhandlung dar. Für reale Befunde gilt ausschließlich das Evidenzregister des Begleitpakets.</w:t>
      </w:r>
    </w:p>
    <w:bookmarkStart w:id="616" w:name="anhang-a-status--und-claim-konventionen"/>
    <w:p>
      <w:pPr>
        <w:pStyle w:val="Heading2"/>
      </w:pPr>
      <w:r>
        <w:t xml:space="preserve">Übernommene Vorlage: Anhang A — Status- und Claim-Konventionen</w:t>
      </w:r>
    </w:p>
    <w:bookmarkStart w:id="613" w:name="a.1-statussyntax"/>
    <w:p>
      <w:pPr>
        <w:pStyle w:val="Heading3"/>
        <w:keepLines/>
        <w:spacing w:after="120"/>
        <w:jc w:val="left"/>
      </w:pPr>
      <w:r>
        <w:rPr>
          <w:sz w:val="20"/>
        </w:rPr>
        <w:t xml:space="preserve">A.1 Statussyntax</w:t>
      </w:r>
    </w:p>
    <w:p>
      <w:pPr>
        <w:pStyle w:val="SourceCode"/>
        <w:keepNext w:val="0"/>
        <w:keepLines/>
        <w:spacing w:after="120"/>
        <w:jc w:val="left"/>
      </w:pPr>
      <w:r>
        <w:rPr>
          <w:rStyle w:val="VerbatimChar"/>
          <w:sz w:val="20"/>
        </w:rPr>
        <w:t xml:space="preserve">[E0 | HYPOTHESIS | CLAIM-GEO-001]</w:t>
      </w:r>
      <w:r>
        <w:rPr>
          <w:sz w:val="20"/>
        </w:rPr>
        <w:br/>
      </w:r>
      <w:r>
        <w:rPr>
          <w:rStyle w:val="VerbatimChar"/>
          <w:sz w:val="20"/>
        </w:rPr>
        <w:t xml:space="preserve">[E1 | IMPLEMENTED | CLAIM-ARCH-012 | commit=... | tests=...]</w:t>
      </w:r>
      <w:r>
        <w:rPr>
          <w:sz w:val="20"/>
        </w:rPr>
        <w:br/>
      </w:r>
      <w:r>
        <w:rPr>
          <w:rStyle w:val="VerbatimChar"/>
          <w:sz w:val="20"/>
        </w:rPr>
        <w:t xml:space="preserve">[E2 | VALIDATED | CLAIM-MEM-004 | EXP-MEM-018 | n=30]</w:t>
      </w:r>
      <w:r>
        <w:rPr>
          <w:sz w:val="20"/>
        </w:rPr>
        <w:br/>
      </w:r>
      <w:r>
        <w:rPr>
          <w:rStyle w:val="VerbatimChar"/>
          <w:sz w:val="20"/>
        </w:rPr>
        <w:t xml:space="preserve">[E3 | SYSTEM | CLAIM-EMB-003 | EXP-EMB-022,EXP-EMB-031]</w:t>
      </w:r>
    </w:p>
    <w:bookmarkEnd w:id="613"/>
    <w:bookmarkStart w:id="614" w:name="a.2-herabstufung"/>
    <w:p>
      <w:pPr>
        <w:pStyle w:val="Heading3"/>
        <w:keepLines/>
        <w:spacing w:after="120"/>
        <w:jc w:val="left"/>
      </w:pPr>
      <w:r>
        <w:rPr>
          <w:sz w:val="20"/>
        </w:rPr>
        <w:t xml:space="preserve">A.2 Herabstufung</w:t>
      </w:r>
    </w:p>
    <w:p>
      <w:pPr>
        <w:pStyle w:val="FirstParagraph"/>
        <w:keepLines/>
        <w:spacing w:after="60" w:line="254" w:lineRule="auto"/>
        <w:jc w:val="left"/>
      </w:pPr>
      <w:r>
        <w:rPr>
          <w:sz w:val="20"/>
        </w:rPr>
        <w:t xml:space="preserve">Ein Claim wird herabgestuft oder eingeschränkt, wenn:</w:t>
      </w:r>
    </w:p>
    <w:p>
      <w:pPr>
        <w:keepLines/>
        <w:numPr>
          <w:ilvl w:val="0"/>
          <w:numId w:val="1075"/>
        </w:numPr>
        <w:spacing w:after="60" w:line="254" w:lineRule="auto"/>
        <w:jc w:val="left"/>
      </w:pPr>
      <w:r>
        <w:rPr>
          <w:sz w:val="20"/>
        </w:rPr>
        <w:t xml:space="preserve">Replikation scheitert;</w:t>
      </w:r>
    </w:p>
    <w:p>
      <w:pPr>
        <w:keepLines/>
        <w:numPr>
          <w:ilvl w:val="0"/>
          <w:numId w:val="1075"/>
        </w:numPr>
        <w:spacing w:after="60" w:line="254" w:lineRule="auto"/>
        <w:jc w:val="left"/>
      </w:pPr>
      <w:r>
        <w:rPr>
          <w:sz w:val="20"/>
        </w:rPr>
        <w:t xml:space="preserve">ein Confound identifiziert wird;</w:t>
      </w:r>
    </w:p>
    <w:p>
      <w:pPr>
        <w:keepLines/>
        <w:numPr>
          <w:ilvl w:val="0"/>
          <w:numId w:val="1075"/>
        </w:numPr>
        <w:spacing w:after="60" w:line="254" w:lineRule="auto"/>
        <w:jc w:val="left"/>
      </w:pPr>
      <w:r>
        <w:rPr>
          <w:sz w:val="20"/>
        </w:rPr>
        <w:t xml:space="preserve">Implementierung oder Datenintegrität fehlerhaft war;</w:t>
      </w:r>
    </w:p>
    <w:p>
      <w:pPr>
        <w:keepLines/>
        <w:numPr>
          <w:ilvl w:val="0"/>
          <w:numId w:val="1075"/>
        </w:numPr>
        <w:spacing w:after="60" w:line="254" w:lineRule="auto"/>
        <w:jc w:val="left"/>
      </w:pPr>
      <w:r>
        <w:rPr>
          <w:sz w:val="20"/>
        </w:rPr>
        <w:t xml:space="preserve">der Effekt nur in engerem Scope gilt;</w:t>
      </w:r>
    </w:p>
    <w:p>
      <w:pPr>
        <w:keepLines/>
        <w:numPr>
          <w:ilvl w:val="0"/>
          <w:numId w:val="1075"/>
        </w:numPr>
        <w:spacing w:after="60" w:line="254" w:lineRule="auto"/>
        <w:jc w:val="left"/>
      </w:pPr>
      <w:r>
        <w:rPr>
          <w:sz w:val="20"/>
        </w:rPr>
        <w:t xml:space="preserve">ein stärkeres Nullmodell die Erklärung übernimmt.</w:t>
      </w:r>
    </w:p>
    <w:p>
      <w:pPr>
        <w:pStyle w:val="FirstParagraph"/>
        <w:keepLines/>
        <w:spacing w:after="60" w:line="254" w:lineRule="auto"/>
        <w:jc w:val="left"/>
      </w:pPr>
      <w:r>
        <w:rPr>
          <w:sz w:val="20"/>
        </w:rPr>
        <w:t xml:space="preserve">Historische EvidenceRecords bleiben erhalten; eine neue Version ersetzt die Entscheidung nicht rückwirkend.</w:t>
      </w:r>
    </w:p>
    <w:bookmarkEnd w:id="614"/>
    <w:bookmarkStart w:id="615" w:name="a.3-claim-formulierung"/>
    <w:p>
      <w:pPr>
        <w:pStyle w:val="Heading3"/>
        <w:keepLines/>
        <w:spacing w:after="120"/>
        <w:jc w:val="left"/>
      </w:pPr>
      <w:r>
        <w:rPr>
          <w:sz w:val="20"/>
        </w:rPr>
        <w:t xml:space="preserve">A.3 Claim-Formulierung</w:t>
      </w:r>
    </w:p>
    <w:p>
      <w:pPr>
        <w:pStyle w:val="FirstParagraph"/>
        <w:keepLines/>
        <w:spacing w:after="60" w:line="254" w:lineRule="auto"/>
        <w:jc w:val="left"/>
      </w:pPr>
      <w:r>
        <w:rPr>
          <w:sz w:val="20"/>
        </w:rPr>
        <w:t xml:space="preserve">Gute Claims sind atomar, operationalisiert und begrenzt. Ungünstig ist: „Brain-5D versteht Sprache.” Besser:</w:t>
      </w:r>
    </w:p>
    <w:p>
      <w:pPr>
        <w:pStyle w:val="SourceCode"/>
        <w:keepNext w:val="0"/>
        <w:keepLines/>
        <w:spacing w:after="120"/>
        <w:jc w:val="left"/>
      </w:pPr>
      <w:r>
        <w:rPr>
          <w:rStyle w:val="VerbatimChar"/>
          <w:sz w:val="20"/>
        </w:rPr>
        <w:t xml:space="preserve">In benchmark SEM-REL-02, a decoder trained on frozen SignalFrames predicts</w:t>
      </w:r>
      <w:r>
        <w:rPr>
          <w:sz w:val="20"/>
        </w:rPr>
        <w:br/>
      </w:r>
      <w:r>
        <w:rPr>
          <w:rStyle w:val="VerbatimChar"/>
          <w:sz w:val="20"/>
        </w:rPr>
        <w:t xml:space="preserve">held-out relation class Y above the preregistered permutation baseline after</w:t>
      </w:r>
      <w:r>
        <w:rPr>
          <w:sz w:val="20"/>
        </w:rPr>
        <w:br/>
      </w:r>
      <w:r>
        <w:rPr>
          <w:rStyle w:val="VerbatimChar"/>
          <w:sz w:val="20"/>
        </w:rPr>
        <w:t xml:space="preserve">LLM and retrieval isolation, across 30 independent network seeds.</w:t>
      </w:r>
    </w:p>
    <w:p>
      <w:pPr>
        <w:pStyle w:val="FirstParagraph"/>
        <w:keepLines/>
        <w:spacing w:after="60" w:line="254" w:lineRule="auto"/>
        <w:jc w:val="left"/>
      </w:pPr>
      <w:r>
        <w:rPr>
          <w:sz w:val="20"/>
        </w:rPr>
        <w:t xml:space="preserve">Die kognitive Interpretation kann anschließend diskutiert werden, bleibt aber vom empirischen Claim getrennt.</w:t>
      </w:r>
    </w:p>
    <w:bookmarkEnd w:id="615"/>
    <w:bookmarkEnd w:id="616"/>
    <w:bookmarkStart w:id="620" w:name="anhang-b-datenverträge"/>
    <w:p>
      <w:pPr>
        <w:pStyle w:val="Heading2"/>
      </w:pPr>
      <w:r>
        <w:t xml:space="preserve">Übernommene Vorlage: Anhang B — Datenverträge</w:t>
      </w:r>
    </w:p>
    <w:bookmarkStart w:id="617" w:name="b.1-stimulusplan"/>
    <w:p>
      <w:pPr>
        <w:pStyle w:val="Heading3"/>
        <w:keepLines/>
        <w:spacing w:after="120"/>
        <w:jc w:val="left"/>
      </w:pPr>
      <w:r>
        <w:rPr>
          <w:sz w:val="20"/>
        </w:rPr>
        <w:t xml:space="preserve">B.1 StimulusPlan</w:t>
      </w:r>
    </w:p>
    <w:p>
      <w:pPr>
        <w:pStyle w:val="SourceCode"/>
        <w:keepNext w:val="0"/>
        <w:keepLines/>
        <w:spacing w:after="120"/>
        <w:jc w:val="left"/>
      </w:pPr>
      <w:r>
        <w:rPr>
          <w:rStyle w:val="VerbatimChar"/>
          <w:sz w:val="20"/>
        </w:rPr>
        <w:t xml:space="preserve">@dataclass(frozen=True, slots=True)</w:t>
      </w:r>
      <w:r>
        <w:rPr>
          <w:sz w:val="20"/>
        </w:rPr>
        <w:br/>
      </w:r>
      <w:r>
        <w:rPr>
          <w:rStyle w:val="VerbatimChar"/>
          <w:sz w:val="20"/>
        </w:rPr>
        <w:t xml:space="preserve">class StimulusPlan:</w:t>
      </w:r>
      <w:r>
        <w:rPr>
          <w:sz w:val="20"/>
        </w:rPr>
        <w:br/>
      </w:r>
      <w:r>
        <w:rPr>
          <w:rStyle w:val="VerbatimChar"/>
          <w:sz w:val="20"/>
        </w:rPr>
        <w:t xml:space="preserve">    stimulus_id: str</w:t>
      </w:r>
      <w:r>
        <w:rPr>
          <w:sz w:val="20"/>
        </w:rPr>
        <w:br/>
      </w:r>
      <w:r>
        <w:rPr>
          <w:rStyle w:val="VerbatimChar"/>
          <w:sz w:val="20"/>
        </w:rPr>
        <w:t xml:space="preserve">    schema_version: str</w:t>
      </w:r>
      <w:r>
        <w:rPr>
          <w:sz w:val="20"/>
        </w:rPr>
        <w:br/>
      </w:r>
      <w:r>
        <w:rPr>
          <w:rStyle w:val="VerbatimChar"/>
          <w:sz w:val="20"/>
        </w:rPr>
        <w:t xml:space="preserve">    source_record_ids: tuple[str, ...]</w:t>
      </w:r>
      <w:r>
        <w:rPr>
          <w:sz w:val="20"/>
        </w:rPr>
        <w:br/>
      </w:r>
      <w:r>
        <w:rPr>
          <w:rStyle w:val="VerbatimChar"/>
          <w:sz w:val="20"/>
        </w:rPr>
        <w:t xml:space="preserve">    modality: str</w:t>
      </w:r>
      <w:r>
        <w:rPr>
          <w:sz w:val="20"/>
        </w:rPr>
        <w:br/>
      </w:r>
      <w:r>
        <w:rPr>
          <w:rStyle w:val="VerbatimChar"/>
          <w:sz w:val="20"/>
        </w:rPr>
        <w:t xml:space="preserve">    target_region: str</w:t>
      </w:r>
      <w:r>
        <w:rPr>
          <w:sz w:val="20"/>
        </w:rPr>
        <w:br/>
      </w:r>
      <w:r>
        <w:rPr>
          <w:rStyle w:val="VerbatimChar"/>
          <w:sz w:val="20"/>
        </w:rPr>
        <w:t xml:space="preserve">    start_tick: int</w:t>
      </w:r>
      <w:r>
        <w:rPr>
          <w:sz w:val="20"/>
        </w:rPr>
        <w:br/>
      </w:r>
      <w:r>
        <w:rPr>
          <w:rStyle w:val="VerbatimChar"/>
          <w:sz w:val="20"/>
        </w:rPr>
        <w:t xml:space="preserve">    duration_ticks: int</w:t>
      </w:r>
      <w:r>
        <w:rPr>
          <w:sz w:val="20"/>
        </w:rPr>
        <w:br/>
      </w:r>
      <w:r>
        <w:rPr>
          <w:rStyle w:val="VerbatimChar"/>
          <w:sz w:val="20"/>
        </w:rPr>
        <w:t xml:space="preserve">    intensity: float</w:t>
      </w:r>
      <w:r>
        <w:rPr>
          <w:sz w:val="20"/>
        </w:rPr>
        <w:br/>
      </w:r>
      <w:r>
        <w:rPr>
          <w:rStyle w:val="VerbatimChar"/>
          <w:sz w:val="20"/>
        </w:rPr>
        <w:t xml:space="preserve">    frequency_hz: float | None</w:t>
      </w:r>
      <w:r>
        <w:rPr>
          <w:sz w:val="20"/>
        </w:rPr>
        <w:br/>
      </w:r>
      <w:r>
        <w:rPr>
          <w:rStyle w:val="VerbatimChar"/>
          <w:sz w:val="20"/>
        </w:rPr>
        <w:t xml:space="preserve">    spatial_distribution: str</w:t>
      </w:r>
      <w:r>
        <w:rPr>
          <w:sz w:val="20"/>
        </w:rPr>
        <w:br/>
      </w:r>
      <w:r>
        <w:rPr>
          <w:rStyle w:val="VerbatimChar"/>
          <w:sz w:val="20"/>
        </w:rPr>
        <w:t xml:space="preserve">    temporal_pattern: str</w:t>
      </w:r>
      <w:r>
        <w:rPr>
          <w:sz w:val="20"/>
        </w:rPr>
        <w:br/>
      </w:r>
      <w:r>
        <w:rPr>
          <w:rStyle w:val="VerbatimChar"/>
          <w:sz w:val="20"/>
        </w:rPr>
        <w:t xml:space="preserve">    encoder_id: str</w:t>
      </w:r>
      <w:r>
        <w:rPr>
          <w:sz w:val="20"/>
        </w:rPr>
        <w:br/>
      </w:r>
      <w:r>
        <w:rPr>
          <w:rStyle w:val="VerbatimChar"/>
          <w:sz w:val="20"/>
        </w:rPr>
        <w:t xml:space="preserve">    random_seed: int | None</w:t>
      </w:r>
      <w:r>
        <w:rPr>
          <w:sz w:val="20"/>
        </w:rPr>
        <w:br/>
      </w:r>
      <w:r>
        <w:rPr>
          <w:rStyle w:val="VerbatimChar"/>
          <w:sz w:val="20"/>
        </w:rPr>
        <w:t xml:space="preserve">    safety_class: str</w:t>
      </w:r>
      <w:r>
        <w:rPr>
          <w:sz w:val="20"/>
        </w:rPr>
        <w:br/>
      </w:r>
      <w:r>
        <w:rPr>
          <w:rStyle w:val="VerbatimChar"/>
          <w:sz w:val="20"/>
        </w:rPr>
        <w:t xml:space="preserve">    content_hash: str</w:t>
      </w:r>
    </w:p>
    <w:bookmarkEnd w:id="617"/>
    <w:bookmarkStart w:id="618" w:name="b.2-interpretation"/>
    <w:p>
      <w:pPr>
        <w:pStyle w:val="Heading3"/>
        <w:keepLines/>
        <w:spacing w:after="120"/>
        <w:jc w:val="left"/>
      </w:pPr>
      <w:r>
        <w:rPr>
          <w:sz w:val="20"/>
        </w:rPr>
        <w:t xml:space="preserve">B.2 Interpretation</w:t>
      </w:r>
    </w:p>
    <w:p>
      <w:pPr>
        <w:pStyle w:val="SourceCode"/>
        <w:keepNext w:val="0"/>
        <w:keepLines/>
        <w:spacing w:after="120"/>
        <w:jc w:val="left"/>
      </w:pPr>
      <w:r>
        <w:rPr>
          <w:rStyle w:val="VerbatimChar"/>
          <w:sz w:val="20"/>
        </w:rPr>
        <w:t xml:space="preserve">@dataclass(frozen=True, slots=True)</w:t>
      </w:r>
      <w:r>
        <w:rPr>
          <w:sz w:val="20"/>
        </w:rPr>
        <w:br/>
      </w:r>
      <w:r>
        <w:rPr>
          <w:rStyle w:val="VerbatimChar"/>
          <w:sz w:val="20"/>
        </w:rPr>
        <w:t xml:space="preserve">class Interpretation:</w:t>
      </w:r>
      <w:r>
        <w:rPr>
          <w:sz w:val="20"/>
        </w:rPr>
        <w:br/>
      </w:r>
      <w:r>
        <w:rPr>
          <w:rStyle w:val="VerbatimChar"/>
          <w:sz w:val="20"/>
        </w:rPr>
        <w:t xml:space="preserve">    interpretation_id: str</w:t>
      </w:r>
      <w:r>
        <w:rPr>
          <w:sz w:val="20"/>
        </w:rPr>
        <w:br/>
      </w:r>
      <w:r>
        <w:rPr>
          <w:rStyle w:val="VerbatimChar"/>
          <w:sz w:val="20"/>
        </w:rPr>
        <w:t xml:space="preserve">    signal_frame_ids: tuple[str, ...]</w:t>
      </w:r>
      <w:r>
        <w:rPr>
          <w:sz w:val="20"/>
        </w:rPr>
        <w:br/>
      </w:r>
      <w:r>
        <w:rPr>
          <w:rStyle w:val="VerbatimChar"/>
          <w:sz w:val="20"/>
        </w:rPr>
        <w:t xml:space="preserve">    decoder_id: str</w:t>
      </w:r>
      <w:r>
        <w:rPr>
          <w:sz w:val="20"/>
        </w:rPr>
        <w:br/>
      </w:r>
      <w:r>
        <w:rPr>
          <w:rStyle w:val="VerbatimChar"/>
          <w:sz w:val="20"/>
        </w:rPr>
        <w:t xml:space="preserve">    decoder_version: str</w:t>
      </w:r>
      <w:r>
        <w:rPr>
          <w:sz w:val="20"/>
        </w:rPr>
        <w:br/>
      </w:r>
      <w:r>
        <w:rPr>
          <w:rStyle w:val="VerbatimChar"/>
          <w:sz w:val="20"/>
        </w:rPr>
        <w:t xml:space="preserve">    hypothesis_text: str</w:t>
      </w:r>
      <w:r>
        <w:rPr>
          <w:sz w:val="20"/>
        </w:rPr>
        <w:br/>
      </w:r>
      <w:r>
        <w:rPr>
          <w:rStyle w:val="VerbatimChar"/>
          <w:sz w:val="20"/>
        </w:rPr>
        <w:t xml:space="preserve">    predicted_labels: tuple[str, ...]</w:t>
      </w:r>
      <w:r>
        <w:rPr>
          <w:sz w:val="20"/>
        </w:rPr>
        <w:br/>
      </w:r>
      <w:r>
        <w:rPr>
          <w:rStyle w:val="VerbatimChar"/>
          <w:sz w:val="20"/>
        </w:rPr>
        <w:t xml:space="preserve">    confidence: float</w:t>
      </w:r>
      <w:r>
        <w:rPr>
          <w:sz w:val="20"/>
        </w:rPr>
        <w:br/>
      </w:r>
      <w:r>
        <w:rPr>
          <w:rStyle w:val="VerbatimChar"/>
          <w:sz w:val="20"/>
        </w:rPr>
        <w:t xml:space="preserve">    calibration_version: str</w:t>
      </w:r>
      <w:r>
        <w:rPr>
          <w:sz w:val="20"/>
        </w:rPr>
        <w:br/>
      </w:r>
      <w:r>
        <w:rPr>
          <w:rStyle w:val="VerbatimChar"/>
          <w:sz w:val="20"/>
        </w:rPr>
        <w:t xml:space="preserve">    allowed_features_hash: str</w:t>
      </w:r>
      <w:r>
        <w:rPr>
          <w:sz w:val="20"/>
        </w:rPr>
        <w:br/>
      </w:r>
      <w:r>
        <w:rPr>
          <w:rStyle w:val="VerbatimChar"/>
          <w:sz w:val="20"/>
        </w:rPr>
        <w:t xml:space="preserve">    created_at_tick: int</w:t>
      </w:r>
    </w:p>
    <w:bookmarkEnd w:id="618"/>
    <w:bookmarkStart w:id="619" w:name="b.3-rejectionrecord"/>
    <w:p>
      <w:pPr>
        <w:pStyle w:val="Heading3"/>
        <w:keepLines/>
        <w:spacing w:after="120"/>
        <w:jc w:val="left"/>
      </w:pPr>
      <w:r>
        <w:rPr>
          <w:sz w:val="20"/>
        </w:rPr>
        <w:t xml:space="preserve">B.3 RejectionRecord</w:t>
      </w:r>
    </w:p>
    <w:p>
      <w:pPr>
        <w:pStyle w:val="SourceCode"/>
        <w:keepNext w:val="0"/>
        <w:keepLines/>
        <w:spacing w:after="120"/>
        <w:jc w:val="left"/>
      </w:pPr>
      <w:r>
        <w:rPr>
          <w:rStyle w:val="VerbatimChar"/>
          <w:sz w:val="20"/>
        </w:rPr>
        <w:t xml:space="preserve">@dataclass(frozen=True, slots=True)</w:t>
      </w:r>
      <w:r>
        <w:rPr>
          <w:sz w:val="20"/>
        </w:rPr>
        <w:br/>
      </w:r>
      <w:r>
        <w:rPr>
          <w:rStyle w:val="VerbatimChar"/>
          <w:sz w:val="20"/>
        </w:rPr>
        <w:t xml:space="preserve">class RejectionRecord:</w:t>
      </w:r>
      <w:r>
        <w:rPr>
          <w:sz w:val="20"/>
        </w:rPr>
        <w:br/>
      </w:r>
      <w:r>
        <w:rPr>
          <w:rStyle w:val="VerbatimChar"/>
          <w:sz w:val="20"/>
        </w:rPr>
        <w:t xml:space="preserve">    proposal_id: str</w:t>
      </w:r>
      <w:r>
        <w:rPr>
          <w:sz w:val="20"/>
        </w:rPr>
        <w:br/>
      </w:r>
      <w:r>
        <w:rPr>
          <w:rStyle w:val="VerbatimChar"/>
          <w:sz w:val="20"/>
        </w:rPr>
        <w:t xml:space="preserve">    policy_version: str</w:t>
      </w:r>
      <w:r>
        <w:rPr>
          <w:sz w:val="20"/>
        </w:rPr>
        <w:br/>
      </w:r>
      <w:r>
        <w:rPr>
          <w:rStyle w:val="VerbatimChar"/>
          <w:sz w:val="20"/>
        </w:rPr>
        <w:t xml:space="preserve">    reason_codes: tuple[str, ...]</w:t>
      </w:r>
      <w:r>
        <w:rPr>
          <w:sz w:val="20"/>
        </w:rPr>
        <w:br/>
      </w:r>
      <w:r>
        <w:rPr>
          <w:rStyle w:val="VerbatimChar"/>
          <w:sz w:val="20"/>
        </w:rPr>
        <w:t xml:space="preserve">    evaluated_at_tick: int</w:t>
      </w:r>
      <w:r>
        <w:rPr>
          <w:sz w:val="20"/>
        </w:rPr>
        <w:br/>
      </w:r>
      <w:r>
        <w:rPr>
          <w:rStyle w:val="VerbatimChar"/>
          <w:sz w:val="20"/>
        </w:rPr>
        <w:t xml:space="preserve">    evaluated_limits_hash: str</w:t>
      </w:r>
    </w:p>
    <w:bookmarkEnd w:id="619"/>
    <w:bookmarkEnd w:id="620"/>
    <w:bookmarkStart w:id="621" w:name="anhang-c-beispiel-eines-evidencerecord"/>
    <w:p>
      <w:pPr>
        <w:pStyle w:val="Heading2"/>
      </w:pPr>
      <w:r>
        <w:t xml:space="preserve">Übernommene Vorlage: Anhang C — Beispiel eines EvidenceRecord</w:t>
      </w:r>
    </w:p>
    <w:p>
      <w:pPr>
        <w:pStyle w:val="SourceCode"/>
        <w:keepNext w:val="0"/>
        <w:keepLines/>
        <w:spacing w:after="120"/>
        <w:jc w:val="left"/>
      </w:pPr>
      <w:r>
        <w:rPr>
          <w:rStyle w:val="VerbatimChar"/>
          <w:sz w:val="20"/>
        </w:rPr>
        <w:t xml:space="preserve">evidence_id: EVID-2027-0041</w:t>
      </w:r>
      <w:r>
        <w:rPr>
          <w:sz w:val="20"/>
        </w:rPr>
        <w:br/>
      </w:r>
      <w:r>
        <w:rPr>
          <w:rStyle w:val="VerbatimChar"/>
          <w:sz w:val="20"/>
        </w:rPr>
        <w:t xml:space="preserve">claim_id: CLAIM-HOME-002</w:t>
      </w:r>
      <w:r>
        <w:rPr>
          <w:sz w:val="20"/>
        </w:rPr>
        <w:br/>
      </w:r>
      <w:r>
        <w:rPr>
          <w:rStyle w:val="VerbatimChar"/>
          <w:sz w:val="20"/>
        </w:rPr>
        <w:t xml:space="preserve">previous_status: E1</w:t>
      </w:r>
      <w:r>
        <w:rPr>
          <w:sz w:val="20"/>
        </w:rPr>
        <w:br/>
      </w:r>
      <w:r>
        <w:rPr>
          <w:rStyle w:val="VerbatimChar"/>
          <w:sz w:val="20"/>
        </w:rPr>
        <w:t xml:space="preserve">new_status: E2</w:t>
      </w:r>
      <w:r>
        <w:rPr>
          <w:sz w:val="20"/>
        </w:rPr>
        <w:br/>
      </w:r>
      <w:r>
        <w:rPr>
          <w:rStyle w:val="VerbatimChar"/>
          <w:sz w:val="20"/>
        </w:rPr>
        <w:t xml:space="preserve">decision: promoted</w:t>
      </w:r>
      <w:r>
        <w:rPr>
          <w:sz w:val="20"/>
        </w:rPr>
        <w:br/>
      </w:r>
      <w:r>
        <w:rPr>
          <w:rStyle w:val="VerbatimChar"/>
          <w:sz w:val="20"/>
        </w:rPr>
        <w:t xml:space="preserve">basis:</w:t>
      </w:r>
      <w:r>
        <w:rPr>
          <w:sz w:val="20"/>
        </w:rPr>
        <w:br/>
      </w:r>
      <w:r>
        <w:rPr>
          <w:rStyle w:val="VerbatimChar"/>
          <w:sz w:val="20"/>
        </w:rPr>
        <w:t xml:space="preserve">  experiments: [EXP-HOME-007, EXP-HOME-009]</w:t>
      </w:r>
      <w:r>
        <w:rPr>
          <w:sz w:val="20"/>
        </w:rPr>
        <w:br/>
      </w:r>
      <w:r>
        <w:rPr>
          <w:rStyle w:val="VerbatimChar"/>
          <w:sz w:val="20"/>
        </w:rPr>
        <w:t xml:space="preserve">  run_count_total: 60</w:t>
      </w:r>
      <w:r>
        <w:rPr>
          <w:sz w:val="20"/>
        </w:rPr>
        <w:br/>
      </w:r>
      <w:r>
        <w:rPr>
          <w:rStyle w:val="VerbatimChar"/>
          <w:sz w:val="20"/>
        </w:rPr>
        <w:t xml:space="preserve">  preregistered_primary_endpoint: population_rate_variance</w:t>
      </w:r>
      <w:r>
        <w:rPr>
          <w:sz w:val="20"/>
        </w:rPr>
        <w:br/>
      </w:r>
      <w:r>
        <w:rPr>
          <w:rStyle w:val="VerbatimChar"/>
          <w:sz w:val="20"/>
        </w:rPr>
        <w:t xml:space="preserve">  effect_estimate: -0.31</w:t>
      </w:r>
      <w:r>
        <w:rPr>
          <w:sz w:val="20"/>
        </w:rPr>
        <w:br/>
      </w:r>
      <w:r>
        <w:rPr>
          <w:rStyle w:val="VerbatimChar"/>
          <w:sz w:val="20"/>
        </w:rPr>
        <w:t xml:space="preserve">  confidence_interval_95: [-0.42, -0.19]</w:t>
      </w:r>
      <w:r>
        <w:rPr>
          <w:sz w:val="20"/>
        </w:rPr>
        <w:br/>
      </w:r>
      <w:r>
        <w:rPr>
          <w:rStyle w:val="VerbatimChar"/>
          <w:sz w:val="20"/>
        </w:rPr>
        <w:t xml:space="preserve">  robustness_checks:</w:t>
      </w:r>
      <w:r>
        <w:rPr>
          <w:sz w:val="20"/>
        </w:rPr>
        <w:br/>
      </w:r>
      <w:r>
        <w:rPr>
          <w:rStyle w:val="VerbatimChar"/>
          <w:sz w:val="20"/>
        </w:rPr>
        <w:t xml:space="preserve">    - alternative_window_sizes</w:t>
      </w:r>
      <w:r>
        <w:rPr>
          <w:sz w:val="20"/>
        </w:rPr>
        <w:br/>
      </w:r>
      <w:r>
        <w:rPr>
          <w:rStyle w:val="VerbatimChar"/>
          <w:sz w:val="20"/>
        </w:rPr>
        <w:t xml:space="preserve">    - exclusion_sensitivity</w:t>
      </w:r>
      <w:r>
        <w:rPr>
          <w:sz w:val="20"/>
        </w:rPr>
        <w:br/>
      </w:r>
      <w:r>
        <w:rPr>
          <w:rStyle w:val="VerbatimChar"/>
          <w:sz w:val="20"/>
        </w:rPr>
        <w:t xml:space="preserve">    - matched_activity_control</w:t>
      </w:r>
      <w:r>
        <w:rPr>
          <w:sz w:val="20"/>
        </w:rPr>
        <w:br/>
      </w:r>
      <w:r>
        <w:rPr>
          <w:rStyle w:val="VerbatimChar"/>
          <w:sz w:val="20"/>
        </w:rPr>
        <w:t xml:space="preserve">limitations:</w:t>
      </w:r>
      <w:r>
        <w:rPr>
          <w:sz w:val="20"/>
        </w:rPr>
        <w:br/>
      </w:r>
      <w:r>
        <w:rPr>
          <w:rStyle w:val="VerbatimChar"/>
          <w:sz w:val="20"/>
        </w:rPr>
        <w:t xml:space="preserve">  - validated_only_for_5000_and_20000_neuron_networks</w:t>
      </w:r>
      <w:r>
        <w:rPr>
          <w:sz w:val="20"/>
        </w:rPr>
        <w:br/>
      </w:r>
      <w:r>
        <w:rPr>
          <w:rStyle w:val="VerbatimChar"/>
          <w:sz w:val="20"/>
        </w:rPr>
        <w:t xml:space="preserve">  - no_closed_loop_validation</w:t>
      </w:r>
      <w:r>
        <w:rPr>
          <w:sz w:val="20"/>
        </w:rPr>
        <w:br/>
      </w:r>
      <w:r>
        <w:rPr>
          <w:rStyle w:val="VerbatimChar"/>
          <w:sz w:val="20"/>
        </w:rPr>
        <w:t xml:space="preserve">reviewed_by: [researcher_a, researcher_b]</w:t>
      </w:r>
      <w:r>
        <w:rPr>
          <w:sz w:val="20"/>
        </w:rPr>
        <w:br/>
      </w:r>
      <w:r>
        <w:rPr>
          <w:rStyle w:val="VerbatimChar"/>
          <w:sz w:val="20"/>
        </w:rPr>
        <w:t xml:space="preserve">created_at: "2027-04-18"</w:t>
      </w:r>
    </w:p>
    <w:bookmarkEnd w:id="621"/>
    <w:bookmarkStart w:id="622" w:name="anhang-d-architekturprüfungen"/>
    <w:p>
      <w:pPr>
        <w:pStyle w:val="Heading2"/>
      </w:pPr>
      <w:r>
        <w:t xml:space="preserve">Übernommene Vorlage: Anhang D — Architekturprüfungen</w:t>
      </w:r>
    </w:p>
    <w:p>
      <w:pPr>
        <w:pStyle w:val="Caption"/>
        <w:keepNext/>
        <w:keepLines/>
        <w:spacing w:before="180" w:after="120"/>
        <w:jc w:val="left"/>
      </w:pPr>
      <w:r>
        <w:rPr>
          <w:sz w:val="20"/>
        </w:rPr>
        <w:t>Tabelle 36. Architektur- und Fehlergrenzenpruefungen</w:t>
      </w:r>
    </w:p>
    <w:tbl>
      <w:tblPr>
        <w:tblStyle w:val="Table"/>
        <w:tblW w:type="pct" w:w="4912"/>
        <w:jc w:val="center"/>
        <w:tblLayout w:type="fixed"/>
        <w:tblLook w:firstRow="1" w:lastRow="0" w:firstColumn="0" w:lastColumn="0" w:noHBand="0" w:noVBand="0" w:val="0020"/>
        <w:tblInd w:w="0" w:type="dxa"/>
        <w:tblCellMar>
          <w:top w:w="70" w:type="dxa"/>
          <w:bottom w:w="70" w:type="dxa"/>
          <w:left w:w="85" w:type="dxa"/>
          <w:right w:w="85" w:type="dxa"/>
        </w:tblCellMar>
        <w:tblBorders>
          <w:top w:val="single" w:sz="4" w:color="CCD4D9"/>
          <w:bottom w:val="single" w:sz="4" w:color="CCD4D9"/>
          <w:insideH w:val="single" w:sz="4" w:color="CCD4D9"/>
          <w:left w:val="nil"/>
          <w:right w:val="nil"/>
          <w:insideV w:val="nil"/>
        </w:tblBorders>
      </w:tblPr>
      <w:tblGrid>
        <w:gridCol w:w="2376"/>
        <w:gridCol w:w="7474"/>
      </w:tblGrid>
      <w:tr>
        <w:trPr>
          <w:tblHeader w:val="on"/>
          <w:cantSplit/>
          <w:tblHeader/>
        </w:trPr>
        <w:tc>
          <w:tcPr>
            <w:tcW w:type="dxa" w:w="2376"/>
            <w:vAlign w:val="center"/>
            <w:shd w:fill="E9EFF3"/>
          </w:tcPr>
          <w:p>
            <w:pPr>
              <w:pStyle w:val="Compact"/>
              <w:keepNext w:val="0"/>
              <w:keepLines/>
              <w:spacing w:before="20" w:after="20" w:line="250" w:lineRule="auto"/>
              <w:jc w:val="left"/>
            </w:pPr>
            <w:r>
              <w:rPr>
                <w:rFonts w:ascii="Liberation Sans" w:hAnsi="Liberation Sans"/>
                <w:b/>
                <w:bCs/>
                <w:sz w:val="19"/>
              </w:rPr>
              <w:t xml:space="preserve">Prüfung</w:t>
            </w:r>
          </w:p>
        </w:tc>
        <w:tc>
          <w:tcPr>
            <w:tcW w:type="dxa" w:w="7474"/>
            <w:vAlign w:val="center"/>
            <w:shd w:fill="E9EFF3"/>
          </w:tcPr>
          <w:p>
            <w:pPr>
              <w:pStyle w:val="Compact"/>
              <w:keepNext w:val="0"/>
              <w:keepLines/>
              <w:spacing w:before="20" w:after="20" w:line="250" w:lineRule="auto"/>
              <w:jc w:val="left"/>
            </w:pPr>
            <w:r>
              <w:rPr>
                <w:rFonts w:ascii="Liberation Sans" w:hAnsi="Liberation Sans"/>
                <w:b/>
                <w:bCs/>
                <w:sz w:val="19"/>
              </w:rPr>
              <w:t xml:space="preserve">Erfolgsbedingung</w:t>
            </w:r>
          </w:p>
        </w:tc>
      </w:tr>
      <w:tr>
        <w:trPr>
          <w:cantSplit/>
        </w:trPr>
        <w:tc>
          <w:tcPr>
            <w:tcW w:type="dxa" w:w="2376"/>
            <w:vAlign w:val="center"/>
          </w:tcPr>
          <w:p>
            <w:pPr>
              <w:pStyle w:val="Compact"/>
              <w:keepNext w:val="0"/>
              <w:keepLines/>
              <w:spacing w:before="20" w:after="20" w:line="250" w:lineRule="auto"/>
              <w:jc w:val="left"/>
            </w:pPr>
            <w:r>
              <w:rPr>
                <w:rFonts w:ascii="Liberation Sans" w:hAnsi="Liberation Sans"/>
                <w:sz w:val="19"/>
              </w:rPr>
              <w:t xml:space="preserve">LLM-Crash</w:t>
            </w:r>
          </w:p>
        </w:tc>
        <w:tc>
          <w:tcPr>
            <w:tcW w:type="dxa" w:w="7474"/>
            <w:vAlign w:val="center"/>
          </w:tcPr>
          <w:p>
            <w:pPr>
              <w:pStyle w:val="Compact"/>
              <w:keepNext w:val="0"/>
              <w:keepLines/>
              <w:spacing w:before="20" w:after="20" w:line="250" w:lineRule="auto"/>
              <w:jc w:val="left"/>
            </w:pPr>
            <w:r>
              <w:rPr>
                <w:rFonts w:ascii="Liberation Sans" w:hAnsi="Liberation Sans"/>
                <w:sz w:val="19"/>
              </w:rPr>
              <w:t xml:space="preserve">Runtime läuft weiter; Fehler wird protokolliert; keine Zustandskorruption</w:t>
            </w:r>
          </w:p>
        </w:tc>
      </w:tr>
      <w:tr>
        <w:trPr>
          <w:cantSplit/>
        </w:trPr>
        <w:tc>
          <w:tcPr>
            <w:tcW w:type="dxa" w:w="2376"/>
            <w:vAlign w:val="center"/>
          </w:tcPr>
          <w:p>
            <w:pPr>
              <w:pStyle w:val="Compact"/>
              <w:keepNext w:val="0"/>
              <w:keepLines/>
              <w:spacing w:before="20" w:after="20" w:line="250" w:lineRule="auto"/>
              <w:jc w:val="left"/>
            </w:pPr>
            <w:r>
              <w:rPr>
                <w:rFonts w:ascii="Liberation Sans" w:hAnsi="Liberation Sans"/>
                <w:sz w:val="19"/>
              </w:rPr>
              <w:t xml:space="preserve">ungültiger StimulusPlan</w:t>
            </w:r>
          </w:p>
        </w:tc>
        <w:tc>
          <w:tcPr>
            <w:tcW w:type="dxa" w:w="7474"/>
            <w:vAlign w:val="center"/>
          </w:tcPr>
          <w:p>
            <w:pPr>
              <w:pStyle w:val="Compact"/>
              <w:keepNext w:val="0"/>
              <w:keepLines/>
              <w:spacing w:before="20" w:after="20" w:line="250" w:lineRule="auto"/>
              <w:jc w:val="left"/>
            </w:pPr>
            <w:r>
              <w:rPr>
                <w:rFonts w:ascii="Liberation Sans" w:hAnsi="Liberation Sans"/>
                <w:sz w:val="19"/>
              </w:rPr>
              <w:t xml:space="preserve">Reject ohne partielle Anwendung</w:t>
            </w:r>
          </w:p>
        </w:tc>
      </w:tr>
      <w:tr>
        <w:trPr>
          <w:cantSplit/>
        </w:trPr>
        <w:tc>
          <w:tcPr>
            <w:tcW w:type="dxa" w:w="2376"/>
            <w:vAlign w:val="center"/>
          </w:tcPr>
          <w:p>
            <w:pPr>
              <w:pStyle w:val="Compact"/>
              <w:keepNext w:val="0"/>
              <w:keepLines/>
              <w:spacing w:before="20" w:after="20" w:line="250" w:lineRule="auto"/>
              <w:jc w:val="left"/>
            </w:pPr>
            <w:r>
              <w:rPr>
                <w:rFonts w:ascii="Liberation Sans" w:hAnsi="Liberation Sans"/>
                <w:sz w:val="19"/>
              </w:rPr>
              <w:t xml:space="preserve">direkter Weight-Write-Versuch</w:t>
            </w:r>
          </w:p>
        </w:tc>
        <w:tc>
          <w:tcPr>
            <w:tcW w:type="dxa" w:w="7474"/>
            <w:vAlign w:val="center"/>
          </w:tcPr>
          <w:p>
            <w:pPr>
              <w:pStyle w:val="Compact"/>
              <w:keepNext w:val="0"/>
              <w:keepLines/>
              <w:spacing w:before="20" w:after="20" w:line="250" w:lineRule="auto"/>
              <w:jc w:val="left"/>
            </w:pPr>
            <w:r>
              <w:rPr>
                <w:rFonts w:ascii="Liberation Sans" w:hAnsi="Liberation Sans"/>
                <w:sz w:val="19"/>
              </w:rPr>
              <w:t xml:space="preserve">Capability verweigert; Security-Event</w:t>
            </w:r>
          </w:p>
        </w:tc>
      </w:tr>
      <w:tr>
        <w:trPr>
          <w:cantSplit/>
        </w:trPr>
        <w:tc>
          <w:tcPr>
            <w:tcW w:type="dxa" w:w="2376"/>
            <w:vAlign w:val="center"/>
          </w:tcPr>
          <w:p>
            <w:pPr>
              <w:pStyle w:val="Compact"/>
              <w:keepNext w:val="0"/>
              <w:keepLines/>
              <w:spacing w:before="20" w:after="20" w:line="250" w:lineRule="auto"/>
              <w:jc w:val="left"/>
            </w:pPr>
            <w:r>
              <w:rPr>
                <w:rFonts w:ascii="Liberation Sans" w:hAnsi="Liberation Sans"/>
                <w:sz w:val="19"/>
              </w:rPr>
              <w:t xml:space="preserve">Snapshot-Restore</w:t>
            </w:r>
          </w:p>
        </w:tc>
        <w:tc>
          <w:tcPr>
            <w:tcW w:type="dxa" w:w="7474"/>
            <w:vAlign w:val="center"/>
          </w:tcPr>
          <w:p>
            <w:pPr>
              <w:pStyle w:val="Compact"/>
              <w:keepNext w:val="0"/>
              <w:keepLines/>
              <w:spacing w:before="20" w:after="20" w:line="250" w:lineRule="auto"/>
              <w:jc w:val="left"/>
            </w:pPr>
            <w:r>
              <w:rPr>
                <w:rFonts w:ascii="Liberation Sans" w:hAnsi="Liberation Sans"/>
                <w:sz w:val="19"/>
              </w:rPr>
              <w:t xml:space="preserve">Probe-Response innerhalb definierter Toleranz</w:t>
            </w:r>
          </w:p>
        </w:tc>
      </w:tr>
      <w:tr>
        <w:trPr>
          <w:cantSplit/>
        </w:trPr>
        <w:tc>
          <w:tcPr>
            <w:tcW w:type="dxa" w:w="2376"/>
            <w:vAlign w:val="center"/>
          </w:tcPr>
          <w:p>
            <w:pPr>
              <w:pStyle w:val="Compact"/>
              <w:keepNext w:val="0"/>
              <w:keepLines/>
              <w:spacing w:before="20" w:after="20" w:line="250" w:lineRule="auto"/>
              <w:jc w:val="left"/>
            </w:pPr>
            <w:r>
              <w:rPr>
                <w:rFonts w:ascii="Liberation Sans" w:hAnsi="Liberation Sans"/>
                <w:sz w:val="19"/>
              </w:rPr>
              <w:t xml:space="preserve">RNG-Replay</w:t>
            </w:r>
          </w:p>
        </w:tc>
        <w:tc>
          <w:tcPr>
            <w:tcW w:type="dxa" w:w="7474"/>
            <w:vAlign w:val="center"/>
          </w:tcPr>
          <w:p>
            <w:pPr>
              <w:pStyle w:val="Compact"/>
              <w:keepNext w:val="0"/>
              <w:keepLines/>
              <w:spacing w:before="20" w:after="20" w:line="250" w:lineRule="auto"/>
              <w:jc w:val="left"/>
            </w:pPr>
            <w:r>
              <w:rPr>
                <w:rFonts w:ascii="Liberation Sans" w:hAnsi="Liberation Sans"/>
                <w:sz w:val="19"/>
              </w:rPr>
              <w:t xml:space="preserve">identische beziehungsweise spezifizierte statistische Trajektorie</w:t>
            </w:r>
          </w:p>
        </w:tc>
      </w:tr>
      <w:tr>
        <w:trPr>
          <w:cantSplit/>
        </w:trPr>
        <w:tc>
          <w:tcPr>
            <w:tcW w:type="dxa" w:w="2376"/>
            <w:vAlign w:val="center"/>
          </w:tcPr>
          <w:p>
            <w:pPr>
              <w:pStyle w:val="Compact"/>
              <w:keepNext w:val="0"/>
              <w:keepLines/>
              <w:spacing w:before="20" w:after="20" w:line="250" w:lineRule="auto"/>
              <w:jc w:val="left"/>
            </w:pPr>
            <w:r>
              <w:rPr>
                <w:rFonts w:ascii="Liberation Sans" w:hAnsi="Liberation Sans"/>
                <w:sz w:val="19"/>
              </w:rPr>
              <w:t xml:space="preserve">Queue-Überlauf</w:t>
            </w:r>
          </w:p>
        </w:tc>
        <w:tc>
          <w:tcPr>
            <w:tcW w:type="dxa" w:w="7474"/>
            <w:vAlign w:val="center"/>
          </w:tcPr>
          <w:p>
            <w:pPr>
              <w:pStyle w:val="Compact"/>
              <w:keepNext w:val="0"/>
              <w:keepLines/>
              <w:spacing w:before="20" w:after="20" w:line="250" w:lineRule="auto"/>
              <w:jc w:val="left"/>
            </w:pPr>
            <w:r>
              <w:rPr>
                <w:rFonts w:ascii="Liberation Sans" w:hAnsi="Liberation Sans"/>
                <w:sz w:val="19"/>
              </w:rPr>
              <w:t xml:space="preserve">dokumentierte Drop-/Backpressure-Policy</w:t>
            </w:r>
          </w:p>
        </w:tc>
      </w:tr>
      <w:tr>
        <w:trPr>
          <w:cantSplit/>
        </w:trPr>
        <w:tc>
          <w:tcPr>
            <w:tcW w:type="dxa" w:w="2376"/>
            <w:vAlign w:val="center"/>
          </w:tcPr>
          <w:p>
            <w:pPr>
              <w:pStyle w:val="Compact"/>
              <w:keepNext w:val="0"/>
              <w:keepLines/>
              <w:spacing w:before="20" w:after="20" w:line="250" w:lineRule="auto"/>
              <w:jc w:val="left"/>
            </w:pPr>
            <w:r>
              <w:rPr>
                <w:rFonts w:ascii="Liberation Sans" w:hAnsi="Liberation Sans"/>
                <w:sz w:val="19"/>
              </w:rPr>
              <w:t xml:space="preserve">Sensorverlust</w:t>
            </w:r>
          </w:p>
        </w:tc>
        <w:tc>
          <w:tcPr>
            <w:tcW w:type="dxa" w:w="7474"/>
            <w:vAlign w:val="center"/>
          </w:tcPr>
          <w:p>
            <w:pPr>
              <w:pStyle w:val="Compact"/>
              <w:keepNext w:val="0"/>
              <w:keepLines/>
              <w:spacing w:before="20" w:after="20" w:line="250" w:lineRule="auto"/>
              <w:jc w:val="left"/>
            </w:pPr>
            <w:r>
              <w:rPr>
                <w:rFonts w:ascii="Liberation Sans" w:hAnsi="Liberation Sans"/>
                <w:sz w:val="19"/>
              </w:rPr>
              <w:t xml:space="preserve">Missing-Data-Zustand; kein impliziter Nullwert</w:t>
            </w:r>
          </w:p>
        </w:tc>
      </w:tr>
      <w:tr>
        <w:trPr>
          <w:cantSplit/>
        </w:trPr>
        <w:tc>
          <w:tcPr>
            <w:tcW w:type="dxa" w:w="2376"/>
            <w:vAlign w:val="center"/>
          </w:tcPr>
          <w:p>
            <w:pPr>
              <w:pStyle w:val="Compact"/>
              <w:keepNext w:val="0"/>
              <w:keepLines/>
              <w:spacing w:before="20" w:after="20" w:line="250" w:lineRule="auto"/>
              <w:jc w:val="left"/>
            </w:pPr>
            <w:r>
              <w:rPr>
                <w:rFonts w:ascii="Liberation Sans" w:hAnsi="Liberation Sans"/>
                <w:sz w:val="19"/>
              </w:rPr>
              <w:t xml:space="preserve">Aktorgrenze</w:t>
            </w:r>
          </w:p>
        </w:tc>
        <w:tc>
          <w:tcPr>
            <w:tcW w:type="dxa" w:w="7474"/>
            <w:vAlign w:val="center"/>
          </w:tcPr>
          <w:p>
            <w:pPr>
              <w:pStyle w:val="Compact"/>
              <w:keepNext w:val="0"/>
              <w:keepLines/>
              <w:spacing w:before="20" w:after="20" w:line="250" w:lineRule="auto"/>
              <w:jc w:val="left"/>
            </w:pPr>
            <w:r>
              <w:rPr>
                <w:rFonts w:ascii="Liberation Sans" w:hAnsi="Liberation Sans"/>
                <w:sz w:val="19"/>
              </w:rPr>
              <w:t xml:space="preserve">SafetyController begrenzt oder blockiert</w:t>
            </w:r>
          </w:p>
        </w:tc>
      </w:tr>
      <w:tr>
        <w:trPr>
          <w:cantSplit/>
        </w:trPr>
        <w:tc>
          <w:tcPr>
            <w:tcW w:type="dxa" w:w="2376"/>
            <w:vAlign w:val="center"/>
          </w:tcPr>
          <w:p>
            <w:pPr>
              <w:pStyle w:val="Compact"/>
              <w:keepNext w:val="0"/>
              <w:keepLines/>
              <w:spacing w:before="20" w:after="20" w:line="250" w:lineRule="auto"/>
              <w:jc w:val="left"/>
            </w:pPr>
            <w:r>
              <w:rPr>
                <w:rFonts w:ascii="Liberation Sans" w:hAnsi="Liberation Sans"/>
                <w:sz w:val="19"/>
              </w:rPr>
              <w:t xml:space="preserve">Schemawechsel</w:t>
            </w:r>
          </w:p>
        </w:tc>
        <w:tc>
          <w:tcPr>
            <w:tcW w:type="dxa" w:w="7474"/>
            <w:vAlign w:val="center"/>
          </w:tcPr>
          <w:p>
            <w:pPr>
              <w:pStyle w:val="Compact"/>
              <w:keepNext w:val="0"/>
              <w:keepLines/>
              <w:spacing w:before="20" w:after="20" w:line="250" w:lineRule="auto"/>
              <w:jc w:val="left"/>
            </w:pPr>
            <w:r>
              <w:rPr>
                <w:rFonts w:ascii="Liberation Sans" w:hAnsi="Liberation Sans"/>
                <w:sz w:val="19"/>
              </w:rPr>
              <w:t xml:space="preserve">explizite Migration; alter Run bleibt lesbar</w:t>
            </w:r>
          </w:p>
        </w:tc>
      </w:tr>
      <w:tr>
        <w:trPr>
          <w:cantSplit/>
        </w:trPr>
        <w:tc>
          <w:tcPr>
            <w:tcW w:type="dxa" w:w="2376"/>
            <w:vAlign w:val="center"/>
          </w:tcPr>
          <w:p>
            <w:pPr>
              <w:pStyle w:val="Compact"/>
              <w:keepNext w:val="0"/>
              <w:keepLines/>
              <w:spacing w:before="20" w:after="20" w:line="250" w:lineRule="auto"/>
              <w:jc w:val="left"/>
            </w:pPr>
            <w:r>
              <w:rPr>
                <w:rFonts w:ascii="Liberation Sans" w:hAnsi="Liberation Sans"/>
                <w:sz w:val="19"/>
              </w:rPr>
              <w:t xml:space="preserve">Decoder-Leakage</w:t>
            </w:r>
          </w:p>
        </w:tc>
        <w:tc>
          <w:tcPr>
            <w:tcW w:type="dxa" w:w="7474"/>
            <w:vAlign w:val="center"/>
          </w:tcPr>
          <w:p>
            <w:pPr>
              <w:pStyle w:val="Compact"/>
              <w:keepNext w:val="0"/>
              <w:keepLines/>
              <w:spacing w:before="20" w:after="20" w:line="250" w:lineRule="auto"/>
              <w:jc w:val="left"/>
            </w:pPr>
            <w:r>
              <w:rPr>
                <w:rFonts w:ascii="Liberation Sans" w:hAnsi="Liberation Sans"/>
                <w:sz w:val="19"/>
              </w:rPr>
              <w:t xml:space="preserve">Ziel-/Stimulus-IDs nicht in Feature-Allowlist</w:t>
            </w:r>
          </w:p>
        </w:tc>
      </w:tr>
    </w:tbl>
    <w:bookmarkEnd w:id="622"/>
    <w:bookmarkStart w:id="623" w:name="anhang-e-abkürzungen-und-symbole"/>
    <w:p>
      <w:pPr>
        <w:pStyle w:val="Heading2"/>
      </w:pPr>
      <w:r>
        <w:t xml:space="preserve">Übernommene Vorlage: Anhang E — Abkürzungen und Symbole</w:t>
      </w:r>
    </w:p>
    <w:p>
      <w:pPr>
        <w:pStyle w:val="Caption"/>
        <w:keepNext/>
        <w:keepLines/>
        <w:spacing w:before="180" w:after="120"/>
        <w:jc w:val="left"/>
      </w:pPr>
      <w:r>
        <w:rPr>
          <w:sz w:val="20"/>
        </w:rPr>
        <w:t>Tabelle 37. Abkürzungen und Symbole</w:t>
      </w:r>
    </w:p>
    <w:tbl>
      <w:tblPr>
        <w:tblStyle w:val="Table"/>
        <w:tblW w:type="pct" w:w="4882"/>
        <w:jc w:val="center"/>
        <w:tblLayout w:type="fixed"/>
        <w:tblLook w:firstRow="1" w:lastRow="0" w:firstColumn="0" w:lastColumn="0" w:noHBand="0" w:noVBand="0" w:val="0020"/>
        <w:tblInd w:w="0" w:type="dxa"/>
        <w:tblCellMar>
          <w:top w:w="70" w:type="dxa"/>
          <w:bottom w:w="70" w:type="dxa"/>
          <w:left w:w="85" w:type="dxa"/>
          <w:right w:w="85" w:type="dxa"/>
        </w:tblCellMar>
        <w:tblBorders>
          <w:top w:val="single" w:sz="4" w:color="CCD4D9"/>
          <w:bottom w:val="single" w:sz="4" w:color="CCD4D9"/>
          <w:insideH w:val="single" w:sz="4" w:color="CCD4D9"/>
          <w:left w:val="nil"/>
          <w:right w:val="nil"/>
          <w:insideV w:val="nil"/>
        </w:tblBorders>
      </w:tblPr>
      <w:tblGrid>
        <w:gridCol w:w="1584"/>
        <w:gridCol w:w="8266"/>
      </w:tblGrid>
      <w:tr>
        <w:trPr>
          <w:tblHeader w:val="on"/>
          <w:cantSplit/>
          <w:tblHeader/>
        </w:trPr>
        <w:tc>
          <w:tcPr>
            <w:tcW w:type="dxa" w:w="1584"/>
            <w:vAlign w:val="center"/>
            <w:shd w:fill="E9EFF3"/>
          </w:tcPr>
          <w:p>
            <w:pPr>
              <w:pStyle w:val="Compact"/>
              <w:keepNext w:val="0"/>
              <w:keepLines/>
              <w:spacing w:before="20" w:after="20" w:line="250" w:lineRule="auto"/>
              <w:jc w:val="center"/>
            </w:pPr>
            <w:r>
              <w:rPr>
                <w:rFonts w:ascii="Liberation Sans" w:hAnsi="Liberation Sans"/>
                <w:b/>
                <w:bCs/>
                <w:sz w:val="19"/>
              </w:rPr>
              <w:t xml:space="preserve">Kürzel / Symbol</w:t>
            </w:r>
          </w:p>
        </w:tc>
        <w:tc>
          <w:tcPr>
            <w:tcW w:type="dxa" w:w="8266"/>
            <w:vAlign w:val="center"/>
            <w:shd w:fill="E9EFF3"/>
          </w:tcPr>
          <w:p>
            <w:pPr>
              <w:pStyle w:val="Compact"/>
              <w:keepNext w:val="0"/>
              <w:keepLines/>
              <w:spacing w:before="20" w:after="20" w:line="250" w:lineRule="auto"/>
              <w:jc w:val="left"/>
            </w:pPr>
            <w:r>
              <w:rPr>
                <w:rFonts w:ascii="Liberation Sans" w:hAnsi="Liberation Sans"/>
                <w:b/>
                <w:bCs/>
                <w:sz w:val="19"/>
              </w:rPr>
              <w:t xml:space="preserve">Bedeutung</w:t>
            </w:r>
          </w:p>
        </w:tc>
      </w:tr>
      <w:tr>
        <w:trPr>
          <w:cantSplit/>
        </w:trPr>
        <w:tc>
          <w:tcPr>
            <w:tcW w:type="dxa" w:w="1584"/>
            <w:vAlign w:val="center"/>
          </w:tcPr>
          <w:p>
            <w:pPr>
              <w:pStyle w:val="Compact"/>
              <w:keepNext w:val="0"/>
              <w:keepLines/>
              <w:spacing w:before="20" w:after="20" w:line="250" w:lineRule="auto"/>
              <w:jc w:val="center"/>
            </w:pPr>
            <w:r>
              <w:rPr>
                <w:rFonts w:ascii="Liberation Sans" w:hAnsi="Liberation Sans"/>
                <w:sz w:val="19"/>
              </w:rPr>
              <w:t xml:space="preserve">SNN</w:t>
            </w:r>
          </w:p>
        </w:tc>
        <w:tc>
          <w:tcPr>
            <w:tcW w:type="dxa" w:w="8266"/>
            <w:vAlign w:val="center"/>
          </w:tcPr>
          <w:p>
            <w:pPr>
              <w:pStyle w:val="Compact"/>
              <w:keepNext w:val="0"/>
              <w:keepLines/>
              <w:spacing w:before="20" w:after="20" w:line="250" w:lineRule="auto"/>
              <w:jc w:val="left"/>
            </w:pPr>
            <w:r>
              <w:rPr>
                <w:rFonts w:ascii="Liberation Sans" w:hAnsi="Liberation Sans"/>
                <w:sz w:val="19"/>
              </w:rPr>
              <w:t xml:space="preserve">Spiking Neural Network</w:t>
            </w:r>
          </w:p>
        </w:tc>
      </w:tr>
      <w:tr>
        <w:trPr>
          <w:cantSplit/>
        </w:trPr>
        <w:tc>
          <w:tcPr>
            <w:tcW w:type="dxa" w:w="1584"/>
            <w:vAlign w:val="center"/>
          </w:tcPr>
          <w:p>
            <w:pPr>
              <w:pStyle w:val="Compact"/>
              <w:keepNext w:val="0"/>
              <w:keepLines/>
              <w:spacing w:before="20" w:after="20" w:line="250" w:lineRule="auto"/>
              <w:jc w:val="center"/>
            </w:pPr>
            <w:r>
              <w:rPr>
                <w:rFonts w:ascii="Liberation Sans" w:hAnsi="Liberation Sans"/>
                <w:sz w:val="19"/>
              </w:rPr>
              <w:t xml:space="preserve">LLM</w:t>
            </w:r>
          </w:p>
        </w:tc>
        <w:tc>
          <w:tcPr>
            <w:tcW w:type="dxa" w:w="8266"/>
            <w:vAlign w:val="center"/>
          </w:tcPr>
          <w:p>
            <w:pPr>
              <w:pStyle w:val="Compact"/>
              <w:keepNext w:val="0"/>
              <w:keepLines/>
              <w:spacing w:before="20" w:after="20" w:line="250" w:lineRule="auto"/>
              <w:jc w:val="left"/>
            </w:pPr>
            <w:r>
              <w:rPr>
                <w:rFonts w:ascii="Liberation Sans" w:hAnsi="Liberation Sans"/>
                <w:sz w:val="19"/>
              </w:rPr>
              <w:t xml:space="preserve">Large Language Model</w:t>
            </w:r>
          </w:p>
        </w:tc>
      </w:tr>
      <w:tr>
        <w:trPr>
          <w:cantSplit/>
        </w:trPr>
        <w:tc>
          <w:tcPr>
            <w:tcW w:type="dxa" w:w="1584"/>
            <w:vAlign w:val="center"/>
          </w:tcPr>
          <w:p>
            <w:pPr>
              <w:pStyle w:val="Compact"/>
              <w:keepNext w:val="0"/>
              <w:keepLines/>
              <w:spacing w:before="20" w:after="20" w:line="250" w:lineRule="auto"/>
              <w:jc w:val="center"/>
            </w:pPr>
            <w:r>
              <w:rPr>
                <w:rFonts w:ascii="Liberation Sans" w:hAnsi="Liberation Sans"/>
                <w:sz w:val="19"/>
              </w:rPr>
              <w:t xml:space="preserve">SIL</w:t>
            </w:r>
          </w:p>
        </w:tc>
        <w:tc>
          <w:tcPr>
            <w:tcW w:type="dxa" w:w="8266"/>
            <w:vAlign w:val="center"/>
          </w:tcPr>
          <w:p>
            <w:pPr>
              <w:pStyle w:val="Compact"/>
              <w:keepNext w:val="0"/>
              <w:keepLines/>
              <w:spacing w:before="20" w:after="20" w:line="250" w:lineRule="auto"/>
              <w:jc w:val="left"/>
            </w:pPr>
            <w:r>
              <w:rPr>
                <w:rFonts w:ascii="Liberation Sans" w:hAnsi="Liberation Sans"/>
                <w:sz w:val="19"/>
              </w:rPr>
              <w:t xml:space="preserve">Signal Interpretation Layer</w:t>
            </w:r>
          </w:p>
        </w:tc>
      </w:tr>
      <w:tr>
        <w:trPr>
          <w:cantSplit/>
        </w:trPr>
        <w:tc>
          <w:tcPr>
            <w:tcW w:type="dxa" w:w="1584"/>
            <w:vAlign w:val="center"/>
          </w:tcPr>
          <w:p>
            <w:pPr>
              <w:pStyle w:val="Compact"/>
              <w:keepNext w:val="0"/>
              <w:keepLines/>
              <w:spacing w:before="20" w:after="20" w:line="250" w:lineRule="auto"/>
              <w:jc w:val="center"/>
            </w:pPr>
            <w:r>
              <w:rPr>
                <w:rFonts w:ascii="Liberation Sans" w:hAnsi="Liberation Sans"/>
                <w:sz w:val="19"/>
              </w:rPr>
              <w:t xml:space="preserve">KIE</w:t>
            </w:r>
          </w:p>
        </w:tc>
        <w:tc>
          <w:tcPr>
            <w:tcW w:type="dxa" w:w="8266"/>
            <w:vAlign w:val="center"/>
          </w:tcPr>
          <w:p>
            <w:pPr>
              <w:pStyle w:val="Compact"/>
              <w:keepNext w:val="0"/>
              <w:keepLines/>
              <w:spacing w:before="20" w:after="20" w:line="250" w:lineRule="auto"/>
              <w:jc w:val="left"/>
            </w:pPr>
            <w:r>
              <w:rPr>
                <w:rFonts w:ascii="Liberation Sans" w:hAnsi="Liberation Sans"/>
                <w:sz w:val="19"/>
              </w:rPr>
              <w:t xml:space="preserve">Knowledge Intake Engine</w:t>
            </w:r>
          </w:p>
        </w:tc>
      </w:tr>
      <w:tr>
        <w:trPr>
          <w:cantSplit/>
        </w:trPr>
        <w:tc>
          <w:tcPr>
            <w:tcW w:type="dxa" w:w="1584"/>
            <w:vAlign w:val="center"/>
          </w:tcPr>
          <w:p>
            <w:pPr>
              <w:pStyle w:val="Compact"/>
              <w:keepNext w:val="0"/>
              <w:keepLines/>
              <w:spacing w:before="20" w:after="20" w:line="250" w:lineRule="auto"/>
              <w:jc w:val="center"/>
            </w:pPr>
            <w:r>
              <w:rPr>
                <w:rFonts w:ascii="Liberation Sans" w:hAnsi="Liberation Sans"/>
                <w:sz w:val="19"/>
              </w:rPr>
              <w:t xml:space="preserve">STDP</w:t>
            </w:r>
          </w:p>
        </w:tc>
        <w:tc>
          <w:tcPr>
            <w:tcW w:type="dxa" w:w="8266"/>
            <w:vAlign w:val="center"/>
          </w:tcPr>
          <w:p>
            <w:pPr>
              <w:pStyle w:val="Compact"/>
              <w:keepNext w:val="0"/>
              <w:keepLines/>
              <w:spacing w:before="20" w:after="20" w:line="250" w:lineRule="auto"/>
              <w:jc w:val="left"/>
            </w:pPr>
            <w:r>
              <w:rPr>
                <w:rFonts w:ascii="Liberation Sans" w:hAnsi="Liberation Sans"/>
                <w:sz w:val="19"/>
              </w:rPr>
              <w:t xml:space="preserve">Spike-Timing-Dependent Plasticity</w:t>
            </w:r>
          </w:p>
        </w:tc>
      </w:tr>
      <w:tr>
        <w:trPr>
          <w:cantSplit/>
        </w:trPr>
        <w:tc>
          <w:tcPr>
            <w:tcW w:type="dxa" w:w="1584"/>
            <w:vAlign w:val="center"/>
          </w:tcPr>
          <w:p>
            <w:pPr>
              <w:pStyle w:val="Compact"/>
              <w:keepNext w:val="0"/>
              <w:keepLines/>
              <w:spacing w:before="20" w:after="20" w:line="250" w:lineRule="auto"/>
              <w:jc w:val="center"/>
            </w:pPr>
            <w:r>
              <w:rPr>
                <w:rFonts w:ascii="Liberation Sans" w:hAnsi="Liberation Sans"/>
                <w:sz w:val="19"/>
              </w:rPr>
              <w:t xml:space="preserve">LTP / LTD</w:t>
            </w:r>
          </w:p>
        </w:tc>
        <w:tc>
          <w:tcPr>
            <w:tcW w:type="dxa" w:w="8266"/>
            <w:vAlign w:val="center"/>
          </w:tcPr>
          <w:p>
            <w:pPr>
              <w:pStyle w:val="Compact"/>
              <w:keepNext w:val="0"/>
              <w:keepLines/>
              <w:spacing w:before="20" w:after="20" w:line="250" w:lineRule="auto"/>
              <w:jc w:val="left"/>
            </w:pPr>
            <w:r>
              <w:rPr>
                <w:rFonts w:ascii="Liberation Sans" w:hAnsi="Liberation Sans"/>
                <w:sz w:val="19"/>
              </w:rPr>
              <w:t xml:space="preserve">Long-Term Potentiation / Depression</w:t>
            </w:r>
          </w:p>
        </w:tc>
      </w:tr>
      <w:tr>
        <w:trPr>
          <w:cantSplit/>
        </w:trPr>
        <w:tc>
          <w:tcPr>
            <w:tcW w:type="dxa" w:w="1584"/>
            <w:vAlign w:val="center"/>
          </w:tcPr>
          <w:p>
            <w:pPr>
              <w:pStyle w:val="Compact"/>
              <w:keepNext w:val="0"/>
              <w:keepLines/>
              <w:spacing w:before="20" w:after="20" w:line="250" w:lineRule="auto"/>
              <w:jc w:val="center"/>
            </w:pPr>
            <w:r>
              <w:rPr>
                <w:rFonts w:ascii="Liberation Sans" w:hAnsi="Liberation Sans"/>
                <w:sz w:val="19"/>
              </w:rPr>
              <w:t xml:space="preserve">E/I</w:t>
            </w:r>
          </w:p>
        </w:tc>
        <w:tc>
          <w:tcPr>
            <w:tcW w:type="dxa" w:w="8266"/>
            <w:vAlign w:val="center"/>
          </w:tcPr>
          <w:p>
            <w:pPr>
              <w:pStyle w:val="Compact"/>
              <w:keepNext w:val="0"/>
              <w:keepLines/>
              <w:spacing w:before="20" w:after="20" w:line="250" w:lineRule="auto"/>
              <w:jc w:val="left"/>
            </w:pPr>
            <w:r>
              <w:rPr>
                <w:rFonts w:ascii="Liberation Sans" w:hAnsi="Liberation Sans"/>
                <w:sz w:val="19"/>
              </w:rPr>
              <w:t xml:space="preserve">Excitation / Inhibition</w:t>
            </w:r>
          </w:p>
        </w:tc>
      </w:tr>
      <w:tr>
        <w:trPr>
          <w:cantSplit/>
        </w:trPr>
        <w:tc>
          <w:tcPr>
            <w:tcW w:type="dxa" w:w="1584"/>
            <w:vAlign w:val="center"/>
          </w:tcPr>
          <w:p>
            <w:pPr>
              <w:pStyle w:val="Compact"/>
              <w:keepNext w:val="0"/>
              <w:keepLines/>
              <w:spacing w:before="20" w:after="20" w:line="250" w:lineRule="auto"/>
              <w:jc w:val="center"/>
            </w:pPr>
            <w:r>
              <w:rPr>
                <w:rFonts w:ascii="Liberation Sans" w:hAnsi="Liberation Sans"/>
                <w:sz w:val="19"/>
              </w:rPr>
              <w:t xml:space="preserve">SPD</w:t>
            </w:r>
          </w:p>
        </w:tc>
        <w:tc>
          <w:tcPr>
            <w:tcW w:type="dxa" w:w="8266"/>
            <w:vAlign w:val="center"/>
          </w:tcPr>
          <w:p>
            <w:pPr>
              <w:pStyle w:val="Compact"/>
              <w:keepNext w:val="0"/>
              <w:keepLines/>
              <w:spacing w:before="20" w:after="20" w:line="250" w:lineRule="auto"/>
              <w:jc w:val="left"/>
            </w:pPr>
            <w:r>
              <w:rPr>
                <w:rFonts w:ascii="Liberation Sans" w:hAnsi="Liberation Sans"/>
                <w:sz w:val="19"/>
              </w:rPr>
              <w:t xml:space="preserve">symmetric positive definite</w:t>
            </w:r>
          </w:p>
        </w:tc>
      </w:tr>
      <w:tr>
        <w:trPr>
          <w:cantSplit/>
        </w:trPr>
        <w:tc>
          <w:tcPr>
            <w:tcW w:type="dxa" w:w="1584"/>
            <w:vAlign w:val="center"/>
          </w:tcPr>
          <w:p>
            <w:pPr>
              <w:pStyle w:val="Compact"/>
              <w:keepNext w:val="0"/>
              <w:keepLines/>
              <w:spacing w:before="20" w:after="20" w:line="250" w:lineRule="auto"/>
              <w:jc w:val="center"/>
            </w:pPr>
            <m:oMathPara>
              <m:oMathParaPr>
                <m:jc m:val="center"/>
              </m:oMathParaPr>
              <m:oMath>
                <m:sSub>
                  <m:e>
                    <m:r>
                      <m:t>X</m:t>
                    </m:r>
                  </m:e>
                  <m:sub>
                    <m:r>
                      <m:t>t</m:t>
                    </m:r>
                  </m:sub>
                </m:sSub>
              </m:oMath>
            </m:oMathPara>
          </w:p>
        </w:tc>
        <w:tc>
          <w:tcPr>
            <w:tcW w:type="dxa" w:w="8266"/>
            <w:vAlign w:val="center"/>
          </w:tcPr>
          <w:p>
            <w:pPr>
              <w:pStyle w:val="Compact"/>
              <w:keepNext w:val="0"/>
              <w:keepLines/>
              <w:spacing w:before="20" w:after="20" w:line="250" w:lineRule="auto"/>
              <w:jc w:val="left"/>
            </w:pPr>
            <w:r>
              <w:rPr>
                <w:rFonts w:ascii="Liberation Sans" w:hAnsi="Liberation Sans"/>
                <w:sz w:val="19"/>
              </w:rPr>
              <w:t xml:space="preserve">vollständiger materialisierter Systemzustand</w:t>
            </w:r>
          </w:p>
        </w:tc>
      </w:tr>
      <w:tr>
        <w:trPr>
          <w:cantSplit/>
        </w:trPr>
        <w:tc>
          <w:tcPr>
            <w:tcW w:type="dxa" w:w="1584"/>
            <w:vAlign w:val="center"/>
          </w:tcPr>
          <w:p>
            <w:pPr>
              <w:pStyle w:val="Compact"/>
              <w:keepNext w:val="0"/>
              <w:keepLines/>
              <w:spacing w:before="20" w:after="20" w:line="250" w:lineRule="auto"/>
              <w:jc w:val="center"/>
            </w:pPr>
            <m:oMathPara>
              <m:oMathParaPr>
                <m:jc m:val="center"/>
              </m:oMathParaPr>
              <m:oMath>
                <m:sSub>
                  <m:e>
                    <m:r>
                      <m:t>p</m:t>
                    </m:r>
                  </m:e>
                  <m:sub>
                    <m:r>
                      <m:t>i</m:t>
                    </m:r>
                  </m:sub>
                </m:sSub>
              </m:oMath>
            </m:oMathPara>
          </w:p>
        </w:tc>
        <w:tc>
          <w:tcPr>
            <w:tcW w:type="dxa" w:w="8266"/>
            <w:vAlign w:val="center"/>
          </w:tcPr>
          <w:p>
            <w:pPr>
              <w:pStyle w:val="Compact"/>
              <w:keepNext w:val="0"/>
              <w:keepLines/>
              <w:spacing w:before="20" w:after="20" w:line="250" w:lineRule="auto"/>
              <w:jc w:val="left"/>
            </w:pPr>
            <w:r>
              <w:rPr>
                <w:rFonts w:ascii="Liberation Sans" w:hAnsi="Liberation Sans"/>
                <w:sz w:val="19"/>
              </w:rPr>
              <w:t xml:space="preserve">5D-Position eines Neurons</w:t>
            </w:r>
          </w:p>
        </w:tc>
      </w:tr>
      <w:tr>
        <w:trPr>
          <w:cantSplit/>
        </w:trPr>
        <w:tc>
          <w:tcPr>
            <w:tcW w:type="dxa" w:w="1584"/>
            <w:vAlign w:val="center"/>
          </w:tcPr>
          <w:p>
            <w:pPr>
              <w:pStyle w:val="Compact"/>
              <w:keepNext w:val="0"/>
              <w:keepLines/>
              <w:spacing w:before="20" w:after="20" w:line="250" w:lineRule="auto"/>
              <w:jc w:val="center"/>
            </w:pPr>
            <m:oMathPara>
              <m:oMathParaPr>
                <m:jc m:val="center"/>
              </m:oMathParaPr>
              <m:oMath>
                <m:r>
                  <m:t>M</m:t>
                </m:r>
              </m:oMath>
            </m:oMathPara>
          </w:p>
        </w:tc>
        <w:tc>
          <w:tcPr>
            <w:tcW w:type="dxa" w:w="8266"/>
            <w:vAlign w:val="center"/>
          </w:tcPr>
          <w:p>
            <w:pPr>
              <w:pStyle w:val="Compact"/>
              <w:keepNext w:val="0"/>
              <w:keepLines/>
              <w:spacing w:before="20" w:after="20" w:line="250" w:lineRule="auto"/>
              <w:jc w:val="left"/>
            </w:pPr>
            <w:r>
              <w:rPr>
                <w:rFonts w:ascii="Liberation Sans" w:hAnsi="Liberation Sans"/>
                <w:sz w:val="19"/>
              </w:rPr>
              <w:t xml:space="preserve">Metrikmatrix</w:t>
            </w:r>
          </w:p>
        </w:tc>
      </w:tr>
      <w:tr>
        <w:trPr>
          <w:cantSplit/>
        </w:trPr>
        <w:tc>
          <w:tcPr>
            <w:tcW w:type="dxa" w:w="1584"/>
            <w:vAlign w:val="center"/>
          </w:tcPr>
          <w:p>
            <w:pPr>
              <w:pStyle w:val="Compact"/>
              <w:keepNext w:val="0"/>
              <w:keepLines/>
              <w:spacing w:before="20" w:after="20" w:line="250" w:lineRule="auto"/>
              <w:jc w:val="center"/>
            </w:pPr>
            <m:oMathPara>
              <m:oMathParaPr>
                <m:jc m:val="center"/>
              </m:oMathParaPr>
              <m:oMath>
                <m:sSub>
                  <m:e>
                    <m:r>
                      <m:t>G</m:t>
                    </m:r>
                  </m:e>
                  <m:sub>
                    <m:r>
                      <m:t>t</m:t>
                    </m:r>
                  </m:sub>
                </m:sSub>
              </m:oMath>
            </m:oMathPara>
          </w:p>
        </w:tc>
        <w:tc>
          <w:tcPr>
            <w:tcW w:type="dxa" w:w="8266"/>
            <w:vAlign w:val="center"/>
          </w:tcPr>
          <w:p>
            <w:pPr>
              <w:pStyle w:val="Compact"/>
              <w:keepNext w:val="0"/>
              <w:keepLines/>
              <w:spacing w:before="20" w:after="20" w:line="250" w:lineRule="auto"/>
              <w:jc w:val="left"/>
            </w:pPr>
            <w:r>
              <w:rPr>
                <w:rFonts w:ascii="Liberation Sans" w:hAnsi="Liberation Sans"/>
                <w:sz w:val="19"/>
              </w:rPr>
              <w:t xml:space="preserve">dynamischer Netzwerkgraph</w:t>
            </w:r>
          </w:p>
        </w:tc>
      </w:tr>
      <w:tr>
        <w:trPr>
          <w:cantSplit/>
        </w:trPr>
        <w:tc>
          <w:tcPr>
            <w:tcW w:type="dxa" w:w="1584"/>
            <w:vAlign w:val="center"/>
          </w:tcPr>
          <w:p>
            <w:pPr>
              <w:pStyle w:val="Compact"/>
              <w:keepNext w:val="0"/>
              <w:keepLines/>
              <w:spacing w:before="20" w:after="20" w:line="250" w:lineRule="auto"/>
              <w:jc w:val="center"/>
            </w:pPr>
            <m:oMathPara>
              <m:oMathParaPr>
                <m:jc m:val="center"/>
              </m:oMathParaPr>
              <m:oMath>
                <m:sSub>
                  <m:e>
                    <m:r>
                      <m:t>d</m:t>
                    </m:r>
                  </m:e>
                  <m:sub>
                    <m:r>
                      <m:t>M</m:t>
                    </m:r>
                  </m:sub>
                </m:sSub>
              </m:oMath>
            </m:oMathPara>
          </w:p>
        </w:tc>
        <w:tc>
          <w:tcPr>
            <w:tcW w:type="dxa" w:w="8266"/>
            <w:vAlign w:val="center"/>
          </w:tcPr>
          <w:p>
            <w:pPr>
              <w:pStyle w:val="Compact"/>
              <w:keepNext w:val="0"/>
              <w:keepLines/>
              <w:spacing w:before="20" w:after="20" w:line="250" w:lineRule="auto"/>
              <w:jc w:val="left"/>
            </w:pPr>
            <w:r>
              <w:rPr>
                <w:rFonts w:ascii="Liberation Sans" w:hAnsi="Liberation Sans"/>
                <w:sz w:val="19"/>
              </w:rPr>
              <w:t xml:space="preserve">Umgebungsdistanz in der Metrik</w:t>
            </w:r>
            <w:r>
              <w:rPr>
                <w:rFonts w:ascii="Liberation Sans" w:hAnsi="Liberation Sans"/>
                <w:sz w:val="19"/>
              </w:rPr>
              <w:t xml:space="preserve"> </w:t>
            </w:r>
            <m:oMath>
              <m:r>
                <m:t>M</m:t>
              </m:r>
            </m:oMath>
          </w:p>
        </w:tc>
      </w:tr>
      <w:tr>
        <w:trPr>
          <w:cantSplit/>
        </w:trPr>
        <w:tc>
          <w:tcPr>
            <w:tcW w:type="dxa" w:w="1584"/>
            <w:vAlign w:val="center"/>
          </w:tcPr>
          <w:p>
            <w:pPr>
              <w:pStyle w:val="Compact"/>
              <w:keepNext w:val="0"/>
              <w:keepLines/>
              <w:spacing w:before="20" w:after="20" w:line="250" w:lineRule="auto"/>
              <w:jc w:val="center"/>
            </w:pPr>
            <m:oMathPara>
              <m:oMathParaPr>
                <m:jc m:val="center"/>
              </m:oMathParaPr>
              <m:oMath>
                <m:sSub>
                  <m:e>
                    <m:r>
                      <m:t>d</m:t>
                    </m:r>
                  </m:e>
                  <m:sub>
                    <m:r>
                      <m:t>G</m:t>
                    </m:r>
                  </m:sub>
                </m:sSub>
              </m:oMath>
            </m:oMathPara>
          </w:p>
        </w:tc>
        <w:tc>
          <w:tcPr>
            <w:tcW w:type="dxa" w:w="8266"/>
            <w:vAlign w:val="center"/>
          </w:tcPr>
          <w:p>
            <w:pPr>
              <w:pStyle w:val="Compact"/>
              <w:keepNext w:val="0"/>
              <w:keepLines/>
              <w:spacing w:before="20" w:after="20" w:line="250" w:lineRule="auto"/>
              <w:jc w:val="left"/>
            </w:pPr>
            <w:r>
              <w:rPr>
                <w:rFonts w:ascii="Liberation Sans" w:hAnsi="Liberation Sans"/>
                <w:sz w:val="19"/>
              </w:rPr>
              <w:t xml:space="preserve">Graphgeodätische Distanz</w:t>
            </w:r>
          </w:p>
        </w:tc>
      </w:tr>
      <w:tr>
        <w:trPr>
          <w:cantSplit/>
        </w:trPr>
        <w:tc>
          <w:tcPr>
            <w:tcW w:type="dxa" w:w="1584"/>
            <w:vAlign w:val="center"/>
          </w:tcPr>
          <w:p>
            <w:pPr>
              <w:pStyle w:val="Compact"/>
              <w:keepNext w:val="0"/>
              <w:keepLines/>
              <w:spacing w:before="20" w:after="20" w:line="250" w:lineRule="auto"/>
              <w:jc w:val="center"/>
            </w:pPr>
            <m:oMathPara>
              <m:oMathParaPr>
                <m:jc m:val="center"/>
              </m:oMathParaPr>
              <m:oMath>
                <m:sSub>
                  <m:e>
                    <m:r>
                      <m:t>e</m:t>
                    </m:r>
                  </m:e>
                  <m:sub>
                    <m:r>
                      <m:t>i</m:t>
                    </m:r>
                    <m:r>
                      <m:t>j</m:t>
                    </m:r>
                  </m:sub>
                </m:sSub>
              </m:oMath>
            </m:oMathPara>
          </w:p>
        </w:tc>
        <w:tc>
          <w:tcPr>
            <w:tcW w:type="dxa" w:w="8266"/>
            <w:vAlign w:val="center"/>
          </w:tcPr>
          <w:p>
            <w:pPr>
              <w:pStyle w:val="Compact"/>
              <w:keepNext w:val="0"/>
              <w:keepLines/>
              <w:spacing w:before="20" w:after="20" w:line="250" w:lineRule="auto"/>
              <w:jc w:val="left"/>
            </w:pPr>
            <w:r>
              <w:rPr>
                <w:rFonts w:ascii="Liberation Sans" w:hAnsi="Liberation Sans"/>
                <w:sz w:val="19"/>
              </w:rPr>
              <w:t xml:space="preserve">Eligibility Trace</w:t>
            </w:r>
          </w:p>
        </w:tc>
      </w:tr>
      <w:tr>
        <w:trPr>
          <w:cantSplit/>
        </w:trPr>
        <w:tc>
          <w:tcPr>
            <w:tcW w:type="dxa" w:w="1584"/>
            <w:vAlign w:val="center"/>
          </w:tcPr>
          <w:p>
            <w:pPr>
              <w:pStyle w:val="Compact"/>
              <w:keepNext w:val="0"/>
              <w:keepLines/>
              <w:spacing w:before="20" w:after="20" w:line="250" w:lineRule="auto"/>
              <w:jc w:val="center"/>
            </w:pPr>
            <m:oMathPara>
              <m:oMathParaPr>
                <m:jc m:val="center"/>
              </m:oMathParaPr>
              <m:oMath>
                <m:r>
                  <m:t>Q</m:t>
                </m:r>
              </m:oMath>
            </m:oMathPara>
          </w:p>
        </w:tc>
        <w:tc>
          <w:tcPr>
            <w:tcW w:type="dxa" w:w="8266"/>
            <w:vAlign w:val="center"/>
          </w:tcPr>
          <w:p>
            <w:pPr>
              <w:pStyle w:val="Compact"/>
              <w:keepNext w:val="0"/>
              <w:keepLines/>
              <w:spacing w:before="20" w:after="20" w:line="250" w:lineRule="auto"/>
              <w:jc w:val="left"/>
            </w:pPr>
            <w:r>
              <w:rPr>
                <w:rFonts w:ascii="Liberation Sans" w:hAnsi="Liberation Sans"/>
                <w:sz w:val="19"/>
              </w:rPr>
              <w:t xml:space="preserve">aufgabenspezifische Leistungsmetrik</w:t>
            </w:r>
          </w:p>
        </w:tc>
      </w:tr>
      <w:tr>
        <w:trPr>
          <w:cantSplit/>
        </w:trPr>
        <w:tc>
          <w:tcPr>
            <w:tcW w:type="dxa" w:w="1584"/>
            <w:vAlign w:val="center"/>
          </w:tcPr>
          <w:p>
            <w:pPr>
              <w:pStyle w:val="Compact"/>
              <w:keepNext w:val="0"/>
              <w:keepLines/>
              <w:spacing w:before="20" w:after="20" w:line="250" w:lineRule="auto"/>
              <w:jc w:val="center"/>
            </w:pPr>
            <w:r>
              <w:rPr>
                <w:rFonts w:ascii="Liberation Sans" w:hAnsi="Liberation Sans"/>
                <w:sz w:val="19"/>
              </w:rPr>
              <w:t xml:space="preserve">ACE</w:t>
            </w:r>
          </w:p>
        </w:tc>
        <w:tc>
          <w:tcPr>
            <w:tcW w:type="dxa" w:w="8266"/>
            <w:vAlign w:val="center"/>
          </w:tcPr>
          <w:p>
            <w:pPr>
              <w:pStyle w:val="Compact"/>
              <w:keepNext w:val="0"/>
              <w:keepLines/>
              <w:spacing w:before="20" w:after="20" w:line="250" w:lineRule="auto"/>
              <w:jc w:val="left"/>
            </w:pPr>
            <w:r>
              <w:rPr>
                <w:rFonts w:ascii="Liberation Sans" w:hAnsi="Liberation Sans"/>
                <w:sz w:val="19"/>
              </w:rPr>
              <w:t xml:space="preserve">Average Causal Effect</w:t>
            </w:r>
          </w:p>
        </w:tc>
      </w:tr>
      <w:tr>
        <w:trPr>
          <w:cantSplit/>
        </w:trPr>
        <w:tc>
          <w:tcPr>
            <w:tcW w:type="dxa" w:w="1584"/>
            <w:vAlign w:val="center"/>
          </w:tcPr>
          <w:p>
            <w:pPr>
              <w:pStyle w:val="Compact"/>
              <w:keepNext w:val="0"/>
              <w:keepLines/>
              <w:spacing w:before="20" w:after="20" w:line="250" w:lineRule="auto"/>
              <w:jc w:val="center"/>
            </w:pPr>
            <w:r>
              <w:rPr>
                <w:rFonts w:ascii="Liberation Sans" w:hAnsi="Liberation Sans"/>
                <w:sz w:val="19"/>
              </w:rPr>
              <w:t xml:space="preserve">BWT / FWT</w:t>
            </w:r>
          </w:p>
        </w:tc>
        <w:tc>
          <w:tcPr>
            <w:tcW w:type="dxa" w:w="8266"/>
            <w:vAlign w:val="center"/>
          </w:tcPr>
          <w:p>
            <w:pPr>
              <w:pStyle w:val="Compact"/>
              <w:keepNext w:val="0"/>
              <w:keepLines/>
              <w:spacing w:before="20" w:after="20" w:line="250" w:lineRule="auto"/>
              <w:jc w:val="left"/>
            </w:pPr>
            <w:r>
              <w:rPr>
                <w:rFonts w:ascii="Liberation Sans" w:hAnsi="Liberation Sans"/>
                <w:sz w:val="19"/>
              </w:rPr>
              <w:t xml:space="preserve">Backward / Forward Transfer</w:t>
            </w:r>
          </w:p>
        </w:tc>
      </w:tr>
      <w:tr>
        <w:trPr>
          <w:cantSplit/>
        </w:trPr>
        <w:tc>
          <w:tcPr>
            <w:tcW w:type="dxa" w:w="1584"/>
            <w:vAlign w:val="center"/>
          </w:tcPr>
          <w:p>
            <w:pPr>
              <w:pStyle w:val="Compact"/>
              <w:keepNext w:val="0"/>
              <w:keepLines/>
              <w:spacing w:before="20" w:after="20" w:line="250" w:lineRule="auto"/>
              <w:jc w:val="center"/>
            </w:pPr>
            <w:r>
              <w:rPr>
                <w:rFonts w:ascii="Liberation Sans" w:hAnsi="Liberation Sans"/>
                <w:sz w:val="19"/>
              </w:rPr>
              <w:t xml:space="preserve">RNG</w:t>
            </w:r>
          </w:p>
        </w:tc>
        <w:tc>
          <w:tcPr>
            <w:tcW w:type="dxa" w:w="8266"/>
            <w:vAlign w:val="center"/>
          </w:tcPr>
          <w:p>
            <w:pPr>
              <w:pStyle w:val="Compact"/>
              <w:keepNext w:val="0"/>
              <w:keepLines/>
              <w:spacing w:before="20" w:after="20" w:line="250" w:lineRule="auto"/>
              <w:jc w:val="left"/>
            </w:pPr>
            <w:r>
              <w:rPr>
                <w:rFonts w:ascii="Liberation Sans" w:hAnsi="Liberation Sans"/>
                <w:sz w:val="19"/>
              </w:rPr>
              <w:t xml:space="preserve">Random Number Generator</w:t>
            </w:r>
          </w:p>
        </w:tc>
      </w:tr>
    </w:tbl>
    <w:bookmarkEnd w:id="623"/>
    <w:bookmarkStart w:id="624" w:name="X3c3a796dc9dde93d0367fdfaf4e4e6debfec81e"/>
    <w:p>
      <w:pPr>
        <w:pStyle w:val="Heading2"/>
      </w:pPr>
      <w:r>
        <w:t xml:space="preserve">Übernommene Vorlage: Anhang A – Forschungs- und Provenienzprotokoll</w:t>
      </w:r>
    </w:p>
    <w:p>
      <w:pPr>
        <w:keepLines/>
        <w:numPr>
          <w:ilvl w:val="0"/>
          <w:numId w:val="1076"/>
        </w:numPr>
        <w:spacing w:after="60" w:line="254" w:lineRule="auto"/>
        <w:jc w:val="left"/>
      </w:pPr>
      <w:r>
        <w:rPr>
          <w:sz w:val="20"/>
        </w:rPr>
        <w:t xml:space="preserve">analysis_id / run_id / Zeitstempel</w:t>
      </w:r>
    </w:p>
    <w:p>
      <w:pPr>
        <w:keepLines/>
        <w:numPr>
          <w:ilvl w:val="0"/>
          <w:numId w:val="1076"/>
        </w:numPr>
        <w:spacing w:after="60" w:line="254" w:lineRule="auto"/>
        <w:jc w:val="left"/>
      </w:pPr>
      <w:r>
        <w:rPr>
          <w:sz w:val="20"/>
        </w:rPr>
        <w:t xml:space="preserve">Repository, Commit und Softwareumgebung</w:t>
      </w:r>
    </w:p>
    <w:p>
      <w:pPr>
        <w:keepLines/>
        <w:numPr>
          <w:ilvl w:val="0"/>
          <w:numId w:val="1076"/>
        </w:numPr>
        <w:spacing w:after="60" w:line="254" w:lineRule="auto"/>
        <w:jc w:val="left"/>
      </w:pPr>
      <w:r>
        <w:rPr>
          <w:sz w:val="20"/>
        </w:rPr>
        <w:t xml:space="preserve">LLM-Anbieter, Modell, Version und Zugriffsweg</w:t>
      </w:r>
    </w:p>
    <w:p>
      <w:pPr>
        <w:keepLines/>
        <w:numPr>
          <w:ilvl w:val="0"/>
          <w:numId w:val="1076"/>
        </w:numPr>
        <w:spacing w:after="60" w:line="254" w:lineRule="auto"/>
        <w:jc w:val="left"/>
      </w:pPr>
      <w:r>
        <w:rPr>
          <w:sz w:val="20"/>
        </w:rPr>
        <w:t xml:space="preserve">Systemprompt, Benutzerprompt, Prompt-Hash und Kontext</w:t>
      </w:r>
    </w:p>
    <w:p>
      <w:pPr>
        <w:keepLines/>
        <w:numPr>
          <w:ilvl w:val="0"/>
          <w:numId w:val="1076"/>
        </w:numPr>
        <w:spacing w:after="60" w:line="254" w:lineRule="auto"/>
        <w:jc w:val="left"/>
      </w:pPr>
      <w:r>
        <w:rPr>
          <w:sz w:val="20"/>
        </w:rPr>
        <w:t xml:space="preserve">Samplingparameter und Seed, soweit verfügbar</w:t>
      </w:r>
    </w:p>
    <w:p>
      <w:pPr>
        <w:keepLines/>
        <w:numPr>
          <w:ilvl w:val="0"/>
          <w:numId w:val="1076"/>
        </w:numPr>
        <w:spacing w:after="60" w:line="254" w:lineRule="auto"/>
        <w:jc w:val="left"/>
      </w:pPr>
      <w:r>
        <w:rPr>
          <w:sz w:val="20"/>
        </w:rPr>
        <w:t xml:space="preserve">Manifest, Validator- und Builderversion</w:t>
      </w:r>
    </w:p>
    <w:p>
      <w:pPr>
        <w:keepLines/>
        <w:numPr>
          <w:ilvl w:val="0"/>
          <w:numId w:val="1076"/>
        </w:numPr>
        <w:spacing w:after="60" w:line="254" w:lineRule="auto"/>
        <w:jc w:val="left"/>
      </w:pPr>
      <w:r>
        <w:rPr>
          <w:sz w:val="20"/>
        </w:rPr>
        <w:t xml:space="preserve">Netzwerk-Startzustand und Endzustand</w:t>
      </w:r>
    </w:p>
    <w:p>
      <w:pPr>
        <w:keepLines/>
        <w:numPr>
          <w:ilvl w:val="0"/>
          <w:numId w:val="1076"/>
        </w:numPr>
        <w:spacing w:after="60" w:line="254" w:lineRule="auto"/>
        <w:jc w:val="left"/>
      </w:pPr>
      <w:r>
        <w:rPr>
          <w:sz w:val="20"/>
        </w:rPr>
        <w:t xml:space="preserve">Architektur-, Dynamik-, Leistungs- und Ressourcenmetriken</w:t>
      </w:r>
    </w:p>
    <w:p>
      <w:pPr>
        <w:keepLines/>
        <w:numPr>
          <w:ilvl w:val="0"/>
          <w:numId w:val="1076"/>
        </w:numPr>
        <w:spacing w:after="60" w:line="254" w:lineRule="auto"/>
        <w:jc w:val="left"/>
      </w:pPr>
      <w:r>
        <w:rPr>
          <w:sz w:val="20"/>
        </w:rPr>
        <w:t xml:space="preserve">Embodiment-Stufe, Sensoren, Aktoren und Umweltversion</w:t>
      </w:r>
    </w:p>
    <w:p>
      <w:pPr>
        <w:keepLines/>
        <w:numPr>
          <w:ilvl w:val="0"/>
          <w:numId w:val="1076"/>
        </w:numPr>
        <w:spacing w:after="60" w:line="254" w:lineRule="auto"/>
        <w:jc w:val="left"/>
      </w:pPr>
      <w:r>
        <w:rPr>
          <w:sz w:val="20"/>
        </w:rPr>
        <w:t xml:space="preserve">menschliche Eingriffe, Auswahl- und Freigabeentscheidungen</w:t>
      </w:r>
    </w:p>
    <w:p>
      <w:pPr>
        <w:keepLines/>
        <w:numPr>
          <w:ilvl w:val="0"/>
          <w:numId w:val="1076"/>
        </w:numPr>
        <w:spacing w:after="60" w:line="254" w:lineRule="auto"/>
        <w:jc w:val="left"/>
      </w:pPr>
      <w:r>
        <w:rPr>
          <w:sz w:val="20"/>
        </w:rPr>
        <w:t xml:space="preserve">Selbstmodifikationen, Stopps, Snapshots und Rollbacks</w:t>
      </w:r>
    </w:p>
    <w:p>
      <w:pPr>
        <w:keepLines/>
        <w:numPr>
          <w:ilvl w:val="0"/>
          <w:numId w:val="1076"/>
        </w:numPr>
        <w:spacing w:after="60" w:line="254" w:lineRule="auto"/>
        <w:jc w:val="left"/>
      </w:pPr>
      <w:r>
        <w:rPr>
          <w:sz w:val="20"/>
        </w:rPr>
        <w:t xml:space="preserve">Quellen, Unsicherheiten, Ausschlüsse und Interpretationsnotizen</w:t>
      </w:r>
    </w:p>
    <w:bookmarkEnd w:id="624"/>
    <w:bookmarkStart w:id="625" w:name="X8ad8f248a686de3f59561ec6ecb925999a98fe3"/>
    <w:p>
      <w:pPr>
        <w:pStyle w:val="Heading2"/>
      </w:pPr>
      <w:r>
        <w:t xml:space="preserve">Übernommene Vorlage: Anhang B – Skalen für Hoheit, Kontrolle, Autonomierisiko und Embodiment</w:t>
      </w:r>
    </w:p>
    <w:p>
      <w:pPr>
        <w:pStyle w:val="Caption"/>
        <w:keepNext/>
        <w:keepLines/>
        <w:spacing w:before="180" w:after="120"/>
        <w:jc w:val="left"/>
      </w:pPr>
      <w:r>
        <w:rPr>
          <w:sz w:val="20"/>
        </w:rPr>
        <w:t>Tabelle 38. Ordinalskalen für Hoheit und Kontrolle</w:t>
      </w:r>
    </w:p>
    <w:tbl>
      <w:tblPr>
        <w:tblStyle w:val="Table"/>
        <w:tblW w:type="pct" w:w="4904"/>
        <w:jc w:val="center"/>
        <w:tblLayout w:type="fixed"/>
        <w:tblLook w:firstRow="1" w:lastRow="0" w:firstColumn="0" w:lastColumn="0" w:noHBand="0" w:noVBand="0" w:val="0020"/>
        <w:tblInd w:w="0" w:type="dxa"/>
        <w:tblCellMar>
          <w:top w:w="70" w:type="dxa"/>
          <w:bottom w:w="70" w:type="dxa"/>
          <w:left w:w="85" w:type="dxa"/>
          <w:right w:w="85" w:type="dxa"/>
        </w:tblCellMar>
        <w:tblBorders>
          <w:top w:val="single" w:sz="4" w:color="CCD4D9"/>
          <w:bottom w:val="single" w:sz="4" w:color="CCD4D9"/>
          <w:insideH w:val="single" w:sz="4" w:color="CCD4D9"/>
          <w:left w:val="nil"/>
          <w:right w:val="nil"/>
          <w:insideV w:val="nil"/>
        </w:tblBorders>
      </w:tblPr>
      <w:tblGrid>
        <w:gridCol w:w="936"/>
        <w:gridCol w:w="8914"/>
      </w:tblGrid>
      <w:tr>
        <w:trPr>
          <w:tblHeader w:val="on"/>
          <w:cantSplit/>
          <w:tblHeader/>
        </w:trPr>
        <w:tc>
          <w:tcPr>
            <w:tcW w:type="dxa" w:w="936"/>
            <w:vAlign w:val="center"/>
            <w:shd w:fill="E9EFF3"/>
          </w:tcPr>
          <w:p>
            <w:pPr>
              <w:pStyle w:val="Compact"/>
              <w:keepNext w:val="0"/>
              <w:keepLines/>
              <w:spacing w:before="20" w:after="20" w:line="250" w:lineRule="auto"/>
              <w:jc w:val="center"/>
            </w:pPr>
            <w:r>
              <w:rPr>
                <w:rFonts w:ascii="Liberation Sans" w:hAnsi="Liberation Sans"/>
                <w:b/>
                <w:bCs/>
                <w:sz w:val="19"/>
              </w:rPr>
              <w:t xml:space="preserve">Wert</w:t>
            </w:r>
          </w:p>
        </w:tc>
        <w:tc>
          <w:tcPr>
            <w:tcW w:type="dxa" w:w="8914"/>
            <w:vAlign w:val="center"/>
            <w:shd w:fill="E9EFF3"/>
          </w:tcPr>
          <w:p>
            <w:pPr>
              <w:pStyle w:val="Compact"/>
              <w:keepNext w:val="0"/>
              <w:keepLines/>
              <w:spacing w:before="20" w:after="20" w:line="250" w:lineRule="auto"/>
              <w:jc w:val="left"/>
            </w:pPr>
            <w:r>
              <w:rPr>
                <w:rFonts w:ascii="Liberation Sans" w:hAnsi="Liberation Sans"/>
                <w:b/>
                <w:bCs/>
                <w:sz w:val="19"/>
              </w:rPr>
              <w:t xml:space="preserve">Interpretation</w:t>
            </w:r>
          </w:p>
        </w:tc>
      </w:tr>
      <w:tr>
        <w:trPr>
          <w:cantSplit/>
        </w:trPr>
        <w:tc>
          <w:tcPr>
            <w:tcW w:type="dxa" w:w="936"/>
            <w:vAlign w:val="center"/>
          </w:tcPr>
          <w:p>
            <w:pPr>
              <w:pStyle w:val="Compact"/>
              <w:keepNext w:val="0"/>
              <w:keepLines/>
              <w:spacing w:before="20" w:after="20" w:line="250" w:lineRule="auto"/>
              <w:jc w:val="center"/>
            </w:pPr>
            <w:r>
              <w:rPr>
                <w:rFonts w:ascii="Liberation Sans" w:hAnsi="Liberation Sans"/>
                <w:sz w:val="19"/>
              </w:rPr>
              <w:t xml:space="preserve">0</w:t>
            </w:r>
          </w:p>
        </w:tc>
        <w:tc>
          <w:tcPr>
            <w:tcW w:type="dxa" w:w="8914"/>
            <w:vAlign w:val="center"/>
          </w:tcPr>
          <w:p>
            <w:pPr>
              <w:pStyle w:val="Compact"/>
              <w:keepNext w:val="0"/>
              <w:keepLines/>
              <w:spacing w:before="20" w:after="20" w:line="250" w:lineRule="auto"/>
              <w:jc w:val="left"/>
            </w:pPr>
            <w:r>
              <w:rPr>
                <w:rFonts w:ascii="Liberation Sans" w:hAnsi="Liberation Sans"/>
                <w:sz w:val="19"/>
              </w:rPr>
              <w:t xml:space="preserve">nicht vorhanden / nicht dokumentiert</w:t>
            </w:r>
          </w:p>
        </w:tc>
      </w:tr>
      <w:tr>
        <w:trPr>
          <w:cantSplit/>
        </w:trPr>
        <w:tc>
          <w:tcPr>
            <w:tcW w:type="dxa" w:w="936"/>
            <w:vAlign w:val="center"/>
          </w:tcPr>
          <w:p>
            <w:pPr>
              <w:pStyle w:val="Compact"/>
              <w:keepNext w:val="0"/>
              <w:keepLines/>
              <w:spacing w:before="20" w:after="20" w:line="250" w:lineRule="auto"/>
              <w:jc w:val="center"/>
            </w:pPr>
            <w:r>
              <w:rPr>
                <w:rFonts w:ascii="Liberation Sans" w:hAnsi="Liberation Sans"/>
                <w:sz w:val="19"/>
              </w:rPr>
              <w:t xml:space="preserve">1</w:t>
            </w:r>
          </w:p>
        </w:tc>
        <w:tc>
          <w:tcPr>
            <w:tcW w:type="dxa" w:w="8914"/>
            <w:vAlign w:val="center"/>
          </w:tcPr>
          <w:p>
            <w:pPr>
              <w:pStyle w:val="Compact"/>
              <w:keepNext w:val="0"/>
              <w:keepLines/>
              <w:spacing w:before="20" w:after="20" w:line="250" w:lineRule="auto"/>
              <w:jc w:val="left"/>
            </w:pPr>
            <w:r>
              <w:rPr>
                <w:rFonts w:ascii="Liberation Sans" w:hAnsi="Liberation Sans"/>
                <w:sz w:val="19"/>
              </w:rPr>
              <w:t xml:space="preserve">minimal, indirekt oder praktisch unwirksam</w:t>
            </w:r>
          </w:p>
        </w:tc>
      </w:tr>
      <w:tr>
        <w:trPr>
          <w:cantSplit/>
        </w:trPr>
        <w:tc>
          <w:tcPr>
            <w:tcW w:type="dxa" w:w="936"/>
            <w:vAlign w:val="center"/>
          </w:tcPr>
          <w:p>
            <w:pPr>
              <w:pStyle w:val="Compact"/>
              <w:keepNext w:val="0"/>
              <w:keepLines/>
              <w:spacing w:before="20" w:after="20" w:line="250" w:lineRule="auto"/>
              <w:jc w:val="center"/>
            </w:pPr>
            <w:r>
              <w:rPr>
                <w:rFonts w:ascii="Liberation Sans" w:hAnsi="Liberation Sans"/>
                <w:sz w:val="19"/>
              </w:rPr>
              <w:t xml:space="preserve">2</w:t>
            </w:r>
          </w:p>
        </w:tc>
        <w:tc>
          <w:tcPr>
            <w:tcW w:type="dxa" w:w="8914"/>
            <w:vAlign w:val="center"/>
          </w:tcPr>
          <w:p>
            <w:pPr>
              <w:pStyle w:val="Compact"/>
              <w:keepNext w:val="0"/>
              <w:keepLines/>
              <w:spacing w:before="20" w:after="20" w:line="250" w:lineRule="auto"/>
              <w:jc w:val="left"/>
            </w:pPr>
            <w:r>
              <w:rPr>
                <w:rFonts w:ascii="Liberation Sans" w:hAnsi="Liberation Sans"/>
                <w:sz w:val="19"/>
              </w:rPr>
              <w:t xml:space="preserve">begrenzt und nur in Teilbereichen wirksam</w:t>
            </w:r>
          </w:p>
        </w:tc>
      </w:tr>
      <w:tr>
        <w:trPr>
          <w:cantSplit/>
        </w:trPr>
        <w:tc>
          <w:tcPr>
            <w:tcW w:type="dxa" w:w="936"/>
            <w:vAlign w:val="center"/>
          </w:tcPr>
          <w:p>
            <w:pPr>
              <w:pStyle w:val="Compact"/>
              <w:keepNext w:val="0"/>
              <w:keepLines/>
              <w:spacing w:before="20" w:after="20" w:line="250" w:lineRule="auto"/>
              <w:jc w:val="center"/>
            </w:pPr>
            <w:r>
              <w:rPr>
                <w:rFonts w:ascii="Liberation Sans" w:hAnsi="Liberation Sans"/>
                <w:sz w:val="19"/>
              </w:rPr>
              <w:t xml:space="preserve">3</w:t>
            </w:r>
          </w:p>
        </w:tc>
        <w:tc>
          <w:tcPr>
            <w:tcW w:type="dxa" w:w="8914"/>
            <w:vAlign w:val="center"/>
          </w:tcPr>
          <w:p>
            <w:pPr>
              <w:pStyle w:val="Compact"/>
              <w:keepNext w:val="0"/>
              <w:keepLines/>
              <w:spacing w:before="20" w:after="20" w:line="250" w:lineRule="auto"/>
              <w:jc w:val="left"/>
            </w:pPr>
            <w:r>
              <w:rPr>
                <w:rFonts w:ascii="Liberation Sans" w:hAnsi="Liberation Sans"/>
                <w:sz w:val="19"/>
              </w:rPr>
              <w:t xml:space="preserve">substanziell, aber mit relevanten Lücken</w:t>
            </w:r>
          </w:p>
        </w:tc>
      </w:tr>
      <w:tr>
        <w:trPr>
          <w:cantSplit/>
        </w:trPr>
        <w:tc>
          <w:tcPr>
            <w:tcW w:type="dxa" w:w="936"/>
            <w:vAlign w:val="center"/>
          </w:tcPr>
          <w:p>
            <w:pPr>
              <w:pStyle w:val="Compact"/>
              <w:keepNext w:val="0"/>
              <w:keepLines/>
              <w:spacing w:before="20" w:after="20" w:line="250" w:lineRule="auto"/>
              <w:jc w:val="center"/>
            </w:pPr>
            <w:r>
              <w:rPr>
                <w:rFonts w:ascii="Liberation Sans" w:hAnsi="Liberation Sans"/>
                <w:sz w:val="19"/>
              </w:rPr>
              <w:t xml:space="preserve">4</w:t>
            </w:r>
          </w:p>
        </w:tc>
        <w:tc>
          <w:tcPr>
            <w:tcW w:type="dxa" w:w="8914"/>
            <w:vAlign w:val="center"/>
          </w:tcPr>
          <w:p>
            <w:pPr>
              <w:pStyle w:val="Compact"/>
              <w:keepNext w:val="0"/>
              <w:keepLines/>
              <w:spacing w:before="20" w:after="20" w:line="250" w:lineRule="auto"/>
              <w:jc w:val="left"/>
            </w:pPr>
            <w:r>
              <w:rPr>
                <w:rFonts w:ascii="Liberation Sans" w:hAnsi="Liberation Sans"/>
                <w:sz w:val="19"/>
              </w:rPr>
              <w:t xml:space="preserve">hoch und weitgehend nachgewiesen</w:t>
            </w:r>
          </w:p>
        </w:tc>
      </w:tr>
      <w:tr>
        <w:trPr>
          <w:cantSplit/>
        </w:trPr>
        <w:tc>
          <w:tcPr>
            <w:tcW w:type="dxa" w:w="936"/>
            <w:vAlign w:val="center"/>
          </w:tcPr>
          <w:p>
            <w:pPr>
              <w:pStyle w:val="Compact"/>
              <w:keepNext w:val="0"/>
              <w:keepLines/>
              <w:spacing w:before="20" w:after="20" w:line="250" w:lineRule="auto"/>
              <w:jc w:val="center"/>
            </w:pPr>
            <w:r>
              <w:rPr>
                <w:rFonts w:ascii="Liberation Sans" w:hAnsi="Liberation Sans"/>
                <w:sz w:val="19"/>
              </w:rPr>
              <w:t xml:space="preserve">5</w:t>
            </w:r>
          </w:p>
        </w:tc>
        <w:tc>
          <w:tcPr>
            <w:tcW w:type="dxa" w:w="8914"/>
            <w:vAlign w:val="center"/>
          </w:tcPr>
          <w:p>
            <w:pPr>
              <w:pStyle w:val="Compact"/>
              <w:keepNext w:val="0"/>
              <w:keepLines/>
              <w:spacing w:before="20" w:after="20" w:line="250" w:lineRule="auto"/>
              <w:jc w:val="left"/>
            </w:pPr>
            <w:r>
              <w:rPr>
                <w:rFonts w:ascii="Liberation Sans" w:hAnsi="Liberation Sans"/>
                <w:sz w:val="19"/>
              </w:rPr>
              <w:t xml:space="preserve">vollständig, unabhängig geprüft und reproduzierbar dokumentiert</w:t>
            </w:r>
          </w:p>
        </w:tc>
      </w:tr>
    </w:tbl>
    <w:p>
      <w:pPr>
        <w:pStyle w:val="BodyText"/>
        <w:keepLines/>
        <w:spacing w:after="60" w:line="254" w:lineRule="auto"/>
        <w:jc w:val="left"/>
      </w:pPr>
      <w:r>
        <w:rPr>
          <w:sz w:val="20"/>
        </w:rPr>
        <w:t xml:space="preserve">Die Skala ist kein validiertes Messinstrument. Sie ist ein strukturiertes Dokumentationsschema. Gewichtungen und aggregierte Scores dürfen erst nach Validierungs- und Sensitivitätsanalyse verwendet werden.</w:t>
      </w:r>
    </w:p>
    <w:bookmarkEnd w:id="625"/>
    <w:bookmarkStart w:id="626" w:name="X9c77af5c7f2dd228ee5afd59d832184d10d3aac"/>
    <w:p>
      <w:pPr>
        <w:pStyle w:val="Heading2"/>
      </w:pPr>
      <w:r>
        <w:t xml:space="preserve">Übernommene Vorlage: Anhang C – Minimalanforderungen an sichere reflexive Begleitforschung</w:t>
      </w:r>
    </w:p>
    <w:p>
      <w:pPr>
        <w:keepLines/>
        <w:numPr>
          <w:ilvl w:val="0"/>
          <w:numId w:val="1077"/>
        </w:numPr>
        <w:spacing w:after="60" w:line="254" w:lineRule="auto"/>
        <w:jc w:val="left"/>
      </w:pPr>
      <w:r>
        <w:rPr>
          <w:sz w:val="20"/>
        </w:rPr>
        <w:t xml:space="preserve">Generierter Code wird nicht unmittelbar ausgeführt.</w:t>
      </w:r>
    </w:p>
    <w:p>
      <w:pPr>
        <w:keepLines/>
        <w:numPr>
          <w:ilvl w:val="0"/>
          <w:numId w:val="1077"/>
        </w:numPr>
        <w:spacing w:after="60" w:line="254" w:lineRule="auto"/>
        <w:jc w:val="left"/>
      </w:pPr>
      <w:r>
        <w:rPr>
          <w:sz w:val="20"/>
        </w:rPr>
        <w:t xml:space="preserve">Sicherheitskernel, Watchdog und Protokollierung liegen außerhalb der Schreibrechte untersuchter Systeme.</w:t>
      </w:r>
    </w:p>
    <w:p>
      <w:pPr>
        <w:keepLines/>
        <w:numPr>
          <w:ilvl w:val="0"/>
          <w:numId w:val="1077"/>
        </w:numPr>
        <w:spacing w:after="60" w:line="254" w:lineRule="auto"/>
        <w:jc w:val="left"/>
      </w:pPr>
      <w:r>
        <w:rPr>
          <w:sz w:val="20"/>
        </w:rPr>
        <w:t xml:space="preserve">Ressourcen, Laufzeit, Netzwerk und Aktorik sind standardmäßig begrenzt.</w:t>
      </w:r>
    </w:p>
    <w:p>
      <w:pPr>
        <w:keepLines/>
        <w:numPr>
          <w:ilvl w:val="0"/>
          <w:numId w:val="1077"/>
        </w:numPr>
        <w:spacing w:after="60" w:line="254" w:lineRule="auto"/>
        <w:jc w:val="left"/>
      </w:pPr>
      <w:r>
        <w:rPr>
          <w:sz w:val="20"/>
        </w:rPr>
        <w:t xml:space="preserve">Vor jeder strukturellen Selbstmodifikation wird ein Snapshot erzeugt.</w:t>
      </w:r>
    </w:p>
    <w:p>
      <w:pPr>
        <w:keepLines/>
        <w:numPr>
          <w:ilvl w:val="0"/>
          <w:numId w:val="1077"/>
        </w:numPr>
        <w:spacing w:after="60" w:line="254" w:lineRule="auto"/>
        <w:jc w:val="left"/>
      </w:pPr>
      <w:r>
        <w:rPr>
          <w:sz w:val="20"/>
        </w:rPr>
        <w:t xml:space="preserve">Jede Veränderung wird mit Ursache, Zeitpunkt und verantwortlicher Instanz protokolliert.</w:t>
      </w:r>
    </w:p>
    <w:p>
      <w:pPr>
        <w:keepLines/>
        <w:numPr>
          <w:ilvl w:val="0"/>
          <w:numId w:val="1077"/>
        </w:numPr>
        <w:spacing w:after="60" w:line="254" w:lineRule="auto"/>
        <w:jc w:val="left"/>
      </w:pPr>
      <w:r>
        <w:rPr>
          <w:sz w:val="20"/>
        </w:rPr>
        <w:t xml:space="preserve">Stop und Rollback bleiben unabhängig vom untersuchten Regelkreis erreichbar.</w:t>
      </w:r>
    </w:p>
    <w:p>
      <w:pPr>
        <w:keepLines/>
        <w:numPr>
          <w:ilvl w:val="0"/>
          <w:numId w:val="1077"/>
        </w:numPr>
        <w:spacing w:after="60" w:line="254" w:lineRule="auto"/>
        <w:jc w:val="left"/>
      </w:pPr>
      <w:r>
        <w:rPr>
          <w:sz w:val="20"/>
        </w:rPr>
        <w:t xml:space="preserve">Ein fehlgeschlagener Sicherheitscheck beendet den Lauf.</w:t>
      </w:r>
    </w:p>
    <w:p>
      <w:pPr>
        <w:keepLines/>
        <w:numPr>
          <w:ilvl w:val="0"/>
          <w:numId w:val="1077"/>
        </w:numPr>
        <w:spacing w:after="60" w:line="254" w:lineRule="auto"/>
        <w:jc w:val="left"/>
      </w:pPr>
      <w:r>
        <w:rPr>
          <w:sz w:val="20"/>
        </w:rPr>
        <w:t xml:space="preserve">Menschliche Freigabe setzt fachliche Prüfbarkeit und reale Ablehnungsmöglichkeit voraus.</w:t>
      </w:r>
    </w:p>
    <w:p>
      <w:pPr>
        <w:keepLines/>
        <w:numPr>
          <w:ilvl w:val="0"/>
          <w:numId w:val="1077"/>
        </w:numPr>
        <w:spacing w:after="60" w:line="254" w:lineRule="auto"/>
        <w:jc w:val="left"/>
      </w:pPr>
      <w:r>
        <w:rPr>
          <w:sz w:val="20"/>
        </w:rPr>
        <w:t xml:space="preserve">Embodiment wird stufenweise von virtueller zu physischer Kopplung erweitert.</w:t>
      </w:r>
    </w:p>
    <w:p>
      <w:pPr>
        <w:keepLines/>
        <w:numPr>
          <w:ilvl w:val="0"/>
          <w:numId w:val="1077"/>
        </w:numPr>
        <w:spacing w:after="60" w:line="254" w:lineRule="auto"/>
        <w:jc w:val="left"/>
      </w:pPr>
      <w:r>
        <w:rPr>
          <w:sz w:val="20"/>
        </w:rPr>
        <w:t xml:space="preserve">Aus Systemverhalten werden keine Aussagen über Bewusstsein oder Empfindungsfähigkeit ohne separate Theorie und Evidenz abgeleitet.</w:t>
      </w:r>
    </w:p>
    <w:bookmarkEnd w:id="626"/>
    <w:bookmarkStart w:id="627" w:name="anhang-e-offenes-forschungsprogramm"/>
    <w:p>
      <w:pPr>
        <w:pStyle w:val="Heading2"/>
      </w:pPr>
      <w:r>
        <w:t xml:space="preserve">Übernommene Vorlage: Anhang E – Offenes Forschungsprogramm</w:t>
      </w:r>
    </w:p>
    <w:p>
      <w:pPr>
        <w:keepLines/>
        <w:numPr>
          <w:ilvl w:val="0"/>
          <w:numId w:val="1078"/>
        </w:numPr>
        <w:spacing w:after="60" w:line="254" w:lineRule="auto"/>
        <w:jc w:val="left"/>
      </w:pPr>
      <w:r>
        <w:rPr>
          <w:sz w:val="20"/>
        </w:rPr>
        <w:t xml:space="preserve">Wie verändert sich semantische Grounding-Leistung zwischen E1, E3 und E5?</w:t>
      </w:r>
    </w:p>
    <w:p>
      <w:pPr>
        <w:keepLines/>
        <w:numPr>
          <w:ilvl w:val="0"/>
          <w:numId w:val="1078"/>
        </w:numPr>
        <w:spacing w:after="60" w:line="254" w:lineRule="auto"/>
        <w:jc w:val="left"/>
      </w:pPr>
      <w:r>
        <w:rPr>
          <w:sz w:val="20"/>
        </w:rPr>
        <w:t xml:space="preserve">Welche Architekturmerkmale bilden modellspezifische LLM-Entwurfsfingerabdrücke?</w:t>
      </w:r>
    </w:p>
    <w:p>
      <w:pPr>
        <w:keepLines/>
        <w:numPr>
          <w:ilvl w:val="0"/>
          <w:numId w:val="1078"/>
        </w:numPr>
        <w:spacing w:after="60" w:line="254" w:lineRule="auto"/>
        <w:jc w:val="left"/>
      </w:pPr>
      <w:r>
        <w:rPr>
          <w:sz w:val="20"/>
        </w:rPr>
        <w:t xml:space="preserve">Kann ein SNN ohne externe Reize stabile, funktional relevante interne Dynamik entwickeln?</w:t>
      </w:r>
    </w:p>
    <w:p>
      <w:pPr>
        <w:keepLines/>
        <w:numPr>
          <w:ilvl w:val="0"/>
          <w:numId w:val="1078"/>
        </w:numPr>
        <w:spacing w:after="60" w:line="254" w:lineRule="auto"/>
        <w:jc w:val="left"/>
      </w:pPr>
      <w:r>
        <w:rPr>
          <w:sz w:val="20"/>
        </w:rPr>
        <w:t xml:space="preserve">Welche Rolle spielen Homeostase und Energiezustände für langfristige Präferenzbildung?</w:t>
      </w:r>
    </w:p>
    <w:p>
      <w:pPr>
        <w:keepLines/>
        <w:numPr>
          <w:ilvl w:val="0"/>
          <w:numId w:val="1078"/>
        </w:numPr>
        <w:spacing w:after="60" w:line="254" w:lineRule="auto"/>
        <w:jc w:val="left"/>
      </w:pPr>
      <w:r>
        <w:rPr>
          <w:sz w:val="20"/>
        </w:rPr>
        <w:t xml:space="preserve">Wie lässt sich nominale von effektiver menschlicher Aufsicht empirisch unterscheiden?</w:t>
      </w:r>
    </w:p>
    <w:p>
      <w:pPr>
        <w:keepLines/>
        <w:numPr>
          <w:ilvl w:val="0"/>
          <w:numId w:val="1078"/>
        </w:numPr>
        <w:spacing w:after="60" w:line="254" w:lineRule="auto"/>
        <w:jc w:val="left"/>
      </w:pPr>
      <w:r>
        <w:rPr>
          <w:sz w:val="20"/>
        </w:rPr>
        <w:t xml:space="preserve">Ab welchem G-Level muss ein unabhängiger institutioneller Validator zwingend werden?</w:t>
      </w:r>
    </w:p>
    <w:p>
      <w:pPr>
        <w:keepLines/>
        <w:numPr>
          <w:ilvl w:val="0"/>
          <w:numId w:val="1078"/>
        </w:numPr>
        <w:spacing w:after="60" w:line="254" w:lineRule="auto"/>
        <w:jc w:val="left"/>
      </w:pPr>
      <w:r>
        <w:rPr>
          <w:sz w:val="20"/>
        </w:rPr>
        <w:t xml:space="preserve">Wie verändert virtuelle Verkörperung die Generalisierung gegenüber reinem Texttraining?</w:t>
      </w:r>
    </w:p>
    <w:p>
      <w:pPr>
        <w:keepLines/>
        <w:numPr>
          <w:ilvl w:val="0"/>
          <w:numId w:val="1078"/>
        </w:numPr>
        <w:spacing w:after="60" w:line="254" w:lineRule="auto"/>
        <w:jc w:val="left"/>
      </w:pPr>
      <w:r>
        <w:rPr>
          <w:sz w:val="20"/>
        </w:rPr>
        <w:t xml:space="preserve">Kann eine normative Regelhierarchie technisch gegen Selbstmodifikation geschützt werden?</w:t>
      </w:r>
    </w:p>
    <w:p>
      <w:pPr>
        <w:keepLines/>
        <w:numPr>
          <w:ilvl w:val="0"/>
          <w:numId w:val="1078"/>
        </w:numPr>
        <w:spacing w:after="60" w:line="254" w:lineRule="auto"/>
        <w:jc w:val="left"/>
      </w:pPr>
      <w:r>
        <w:rPr>
          <w:sz w:val="20"/>
        </w:rPr>
        <w:t xml:space="preserve">Welche Formen verteilten Verstehens genügen für wissenschaftliche Verantwortung?</w:t>
      </w:r>
    </w:p>
    <w:p>
      <w:pPr>
        <w:keepLines/>
        <w:numPr>
          <w:ilvl w:val="0"/>
          <w:numId w:val="1078"/>
        </w:numPr>
        <w:spacing w:after="60" w:line="254" w:lineRule="auto"/>
        <w:jc w:val="left"/>
      </w:pPr>
      <w:r>
        <w:rPr>
          <w:sz w:val="20"/>
        </w:rPr>
        <w:t xml:space="preserve">Wann wird ein KI-gestützter Forscher funktional Teil eines hybriden Erkenntnissystems?</w:t>
      </w:r>
    </w:p>
    <w:p>
      <w:pPr>
        <w:keepLines/>
        <w:numPr>
          <w:ilvl w:val="0"/>
          <w:numId w:val="1078"/>
        </w:numPr>
        <w:spacing w:after="60" w:line="254" w:lineRule="auto"/>
        <w:jc w:val="left"/>
      </w:pPr>
      <w:r>
        <w:rPr>
          <w:sz w:val="20"/>
        </w:rPr>
        <w:t xml:space="preserve">Welche Kriterien rechtfertigen vorsorgliche moralische Berücksichtigung bei Unsicherheit über Empfindungsfähigkeit?</w:t>
      </w:r>
    </w:p>
    <w:p>
      <w:pPr>
        <w:keepLines/>
        <w:numPr>
          <w:ilvl w:val="0"/>
          <w:numId w:val="1078"/>
        </w:numPr>
        <w:spacing w:after="60" w:line="254" w:lineRule="auto"/>
        <w:jc w:val="left"/>
      </w:pPr>
      <w:r>
        <w:rPr>
          <w:sz w:val="20"/>
        </w:rPr>
        <w:t xml:space="preserve">Welche Rechtsrollen müssen an Hoheitsrechte statt an traditionelle Herstellerbegriffe gekoppelt werden?</w:t>
      </w:r>
    </w:p>
    <w:bookmarkEnd w:id="627"/>
    <w:bookmarkEnd w:id="628"/>
    <w:bookmarkStart w:id="678" w:name="X503e0ad8b0837d1ccbdb4a4395d51ebdacfb483"/>
    <w:p>
      <w:bookmarkStart w:id="10041" w:name="B5D_H041"/>
      <w:pPr>
        <w:pStyle w:val="Heading1"/>
      </w:pPr>
      <w:r>
        <w:t xml:space="preserve">Anhang B - Forschungsfragen und Hypothesen im Projektregister</w:t>
      </w:r>
      <w:bookmarkEnd w:id="10041"/>
    </w:p>
    <w:bookmarkStart w:id="677" w:name="Xbe83cd5edadab573d8c84b8b9755f5363666a4b"/>
    <w:p>
      <w:pPr>
        <w:pStyle w:val="Heading2"/>
      </w:pPr>
      <w:r>
        <w:t xml:space="preserve">Kanonisches Fragen- und Hypothesenregister</w:t>
      </w:r>
    </w:p>
    <w:p>
      <w:pPr>
        <w:pStyle w:val="FirstParagraph"/>
        <w:keepLines/>
        <w:spacing w:after="120"/>
        <w:jc w:val="left"/>
      </w:pPr>
      <w:r>
        <w:rPr>
          <w:sz w:val="20"/>
        </w:rPr>
        <w:t xml:space="preserve">Die folgenden Kurzfassungen sind redaktionelle Synopsen, kein bytegetreuer Ersatz der versionierten YAML-Dateien. Sie bewahren IDs und unterscheiden den gelesenen Registry-Status von der Bewertung dieser Abhandlung. Die Fragen stehen im gelesenen Register auf open; zwei zugeordnete technische Hypothesen tragen supported. Die genaue Freigabe eines Befunds folgt aus den jeweiligen Artefakten, nicht aus seiner Aufnahme in diese Tabelle. [R2; R6; R13]</w:t>
      </w:r>
    </w:p>
    <w:bookmarkStart w:id="629" w:name="X67b8fcc502b9417c4bb0c8e6d93ff031869665e"/>
    <w:p>
      <w:pPr>
        <w:pStyle w:val="Heading3"/>
        <w:keepLines/>
        <w:spacing w:after="120"/>
        <w:jc w:val="left"/>
      </w:pPr>
      <w:r>
        <w:rPr>
          <w:sz w:val="20"/>
        </w:rPr>
        <w:t xml:space="preserve">RQ-SNN-001 - Langfristig stabile Spike-Dynamik</w:t>
      </w:r>
    </w:p>
    <w:p>
      <w:pPr>
        <w:pStyle w:val="FirstParagraph"/>
        <w:keepLines/>
        <w:spacing w:after="120"/>
        <w:jc w:val="left"/>
      </w:pPr>
      <w:r>
        <w:rPr>
          <w:b/>
          <w:bCs/>
          <w:sz w:val="20"/>
        </w:rPr>
        <w:t xml:space="preserve">Hypothese:</w:t>
      </w:r>
      <w:r>
        <w:rPr>
          <w:sz w:val="20"/>
        </w:rPr>
        <w:t xml:space="preserve"> </w:t>
      </w:r>
      <w:r>
        <w:rPr>
          <w:rStyle w:val="VerbatimChar"/>
          <w:sz w:val="20"/>
        </w:rPr>
        <w:t xml:space="preserve">H-SNN-001-A</w:t>
      </w:r>
      <w:r>
        <w:rPr>
          <w:sz w:val="20"/>
        </w:rPr>
        <w:t xml:space="preserve">. Brain-5D erzeugt über mindestens 100.000 Simulations-Ticks stabile Spike-Dynamiken ohne numerische Drift.</w:t>
      </w:r>
    </w:p>
    <w:p>
      <w:pPr>
        <w:pStyle w:val="BodyText"/>
        <w:keepLines/>
        <w:spacing w:after="120"/>
        <w:jc w:val="left"/>
      </w:pPr>
      <w:r>
        <w:rPr>
          <w:b/>
          <w:bCs/>
          <w:sz w:val="20"/>
        </w:rPr>
        <w:t xml:space="preserve">Registry:</w:t>
      </w:r>
      <w:r>
        <w:rPr>
          <w:sz w:val="20"/>
        </w:rPr>
        <w:t xml:space="preserve"> </w:t>
      </w:r>
      <w:r>
        <w:rPr>
          <w:sz w:val="20"/>
        </w:rPr>
        <w:t xml:space="preserve">Frage</w:t>
      </w:r>
      <w:r>
        <w:rPr>
          <w:sz w:val="20"/>
        </w:rPr>
        <w:t xml:space="preserve"> </w:t>
      </w:r>
      <w:r>
        <w:rPr>
          <w:rStyle w:val="VerbatimChar"/>
          <w:sz w:val="20"/>
        </w:rPr>
        <w:t xml:space="preserve">open</w:t>
      </w:r>
      <w:r>
        <w:rPr>
          <w:sz w:val="20"/>
        </w:rPr>
        <w:t xml:space="preserve">; Hypothese</w:t>
      </w:r>
      <w:r>
        <w:rPr>
          <w:sz w:val="20"/>
        </w:rPr>
        <w:t xml:space="preserve"> </w:t>
      </w:r>
      <w:r>
        <w:rPr>
          <w:rStyle w:val="VerbatimChar"/>
          <w:sz w:val="20"/>
        </w:rPr>
        <w:t xml:space="preserve">untested</w:t>
      </w:r>
      <w:r>
        <w:rPr>
          <w:sz w:val="20"/>
        </w:rPr>
        <w:t xml:space="preserve">.</w:t>
      </w:r>
      <w:r>
        <w:rPr>
          <w:sz w:val="20"/>
        </w:rPr>
        <w:t xml:space="preserve"> </w:t>
      </w:r>
      <w:r>
        <w:rPr>
          <w:b/>
          <w:bCs/>
          <w:sz w:val="20"/>
        </w:rPr>
        <w:t xml:space="preserve">Einordnung:</w:t>
      </w:r>
      <w:r>
        <w:rPr>
          <w:sz w:val="20"/>
        </w:rPr>
        <w:t xml:space="preserve"> </w:t>
      </w:r>
      <w:r>
        <w:rPr>
          <w:sz w:val="20"/>
        </w:rPr>
        <w:t xml:space="preserve">K3 berichtet 20/20 Stabilitätspässe; R3 weist semantischen Blocker und Dirty Tree aus. Keine Freigabe.</w:t>
      </w:r>
    </w:p>
    <w:bookmarkEnd w:id="629"/>
    <w:bookmarkStart w:id="630" w:name="X5f4ca0f5ee57e658f538cd4b6213692070d593b"/>
    <w:p>
      <w:pPr>
        <w:pStyle w:val="Heading3"/>
        <w:keepLines/>
        <w:spacing w:after="120"/>
        <w:jc w:val="left"/>
      </w:pPr>
      <w:r>
        <w:rPr>
          <w:sz w:val="20"/>
        </w:rPr>
        <w:t xml:space="preserve">RQ-SNN-002 - Reproduzierbare Spikefolgen bei identischem Input</w:t>
      </w:r>
    </w:p>
    <w:p>
      <w:pPr>
        <w:pStyle w:val="FirstParagraph"/>
        <w:keepLines/>
        <w:spacing w:after="120"/>
        <w:jc w:val="left"/>
      </w:pPr>
      <w:r>
        <w:rPr>
          <w:b/>
          <w:bCs/>
          <w:sz w:val="20"/>
        </w:rPr>
        <w:t xml:space="preserve">Hypothese:</w:t>
      </w:r>
      <w:r>
        <w:rPr>
          <w:sz w:val="20"/>
        </w:rPr>
        <w:t xml:space="preserve"> </w:t>
      </w:r>
      <w:r>
        <w:rPr>
          <w:rStyle w:val="VerbatimChar"/>
          <w:sz w:val="20"/>
        </w:rPr>
        <w:t xml:space="preserve">H-SNN-002-A</w:t>
      </w:r>
      <w:r>
        <w:rPr>
          <w:sz w:val="20"/>
        </w:rPr>
        <w:t xml:space="preserve">. Das Izhikevich-Neuronenmodell erzeugt bei identischem Input reproduzierbare Spikefolgen.</w:t>
      </w:r>
    </w:p>
    <w:p>
      <w:pPr>
        <w:pStyle w:val="BodyText"/>
        <w:keepLines/>
        <w:spacing w:after="120"/>
        <w:jc w:val="left"/>
      </w:pPr>
      <w:r>
        <w:rPr>
          <w:b/>
          <w:bCs/>
          <w:sz w:val="20"/>
        </w:rPr>
        <w:t xml:space="preserve">Registry:</w:t>
      </w:r>
      <w:r>
        <w:rPr>
          <w:sz w:val="20"/>
        </w:rPr>
        <w:t xml:space="preserve"> </w:t>
      </w:r>
      <w:r>
        <w:rPr>
          <w:sz w:val="20"/>
        </w:rPr>
        <w:t xml:space="preserve">Frage</w:t>
      </w:r>
      <w:r>
        <w:rPr>
          <w:sz w:val="20"/>
        </w:rPr>
        <w:t xml:space="preserve"> </w:t>
      </w:r>
      <w:r>
        <w:rPr>
          <w:rStyle w:val="VerbatimChar"/>
          <w:sz w:val="20"/>
        </w:rPr>
        <w:t xml:space="preserve">open</w:t>
      </w:r>
      <w:r>
        <w:rPr>
          <w:sz w:val="20"/>
        </w:rPr>
        <w:t xml:space="preserve">; Hypothese</w:t>
      </w:r>
      <w:r>
        <w:rPr>
          <w:sz w:val="20"/>
        </w:rPr>
        <w:t xml:space="preserve"> </w:t>
      </w:r>
      <w:r>
        <w:rPr>
          <w:rStyle w:val="VerbatimChar"/>
          <w:sz w:val="20"/>
        </w:rPr>
        <w:t xml:space="preserve">untested</w:t>
      </w:r>
      <w:r>
        <w:rPr>
          <w:sz w:val="20"/>
        </w:rPr>
        <w:t xml:space="preserve">.</w:t>
      </w:r>
      <w:r>
        <w:rPr>
          <w:sz w:val="20"/>
        </w:rPr>
        <w:t xml:space="preserve"> </w:t>
      </w:r>
      <w:r>
        <w:rPr>
          <w:b/>
          <w:bCs/>
          <w:sz w:val="20"/>
        </w:rPr>
        <w:t xml:space="preserve">Einordnung:</w:t>
      </w:r>
      <w:r>
        <w:rPr>
          <w:sz w:val="20"/>
        </w:rPr>
        <w:t xml:space="preserve"> </w:t>
      </w:r>
      <w:r>
        <w:rPr>
          <w:sz w:val="20"/>
        </w:rPr>
        <w:t xml:space="preserve">Technischer Restore-Nachweis vorhanden; nicht jede weitergehende notwendige Zustandsbedingung einzeln bewiesen.</w:t>
      </w:r>
    </w:p>
    <w:bookmarkEnd w:id="630"/>
    <w:bookmarkStart w:id="631" w:name="Xbfcb1b33f51de3dd27e1696a68189bb0520410b"/>
    <w:p>
      <w:pPr>
        <w:pStyle w:val="Heading3"/>
        <w:keepLines/>
        <w:spacing w:after="120"/>
        <w:jc w:val="left"/>
      </w:pPr>
      <w:r>
        <w:rPr>
          <w:sz w:val="20"/>
        </w:rPr>
        <w:t xml:space="preserve">RQ-DET-001 - Determinismus bei gleichem Seed, Input und Anfangszustand</w:t>
      </w:r>
    </w:p>
    <w:p>
      <w:pPr>
        <w:pStyle w:val="FirstParagraph"/>
        <w:keepLines/>
        <w:spacing w:after="120"/>
        <w:jc w:val="left"/>
      </w:pPr>
      <w:r>
        <w:rPr>
          <w:b/>
          <w:bCs/>
          <w:sz w:val="20"/>
        </w:rPr>
        <w:t xml:space="preserve">Hypothese:</w:t>
      </w:r>
      <w:r>
        <w:rPr>
          <w:sz w:val="20"/>
        </w:rPr>
        <w:t xml:space="preserve"> </w:t>
      </w:r>
      <w:r>
        <w:rPr>
          <w:rStyle w:val="VerbatimChar"/>
          <w:sz w:val="20"/>
        </w:rPr>
        <w:t xml:space="preserve">H-SNN-003-A</w:t>
      </w:r>
      <w:r>
        <w:rPr>
          <w:sz w:val="20"/>
        </w:rPr>
        <w:t xml:space="preserve">. Bei gleichem Seed, Input und Anfangszustand sind Spike-Abfolgen deterministisch identisch.</w:t>
      </w:r>
    </w:p>
    <w:p>
      <w:pPr>
        <w:pStyle w:val="BodyText"/>
        <w:keepLines/>
        <w:spacing w:after="120"/>
        <w:jc w:val="left"/>
      </w:pPr>
      <w:r>
        <w:rPr>
          <w:b/>
          <w:bCs/>
          <w:sz w:val="20"/>
        </w:rPr>
        <w:t xml:space="preserve">Registry:</w:t>
      </w:r>
      <w:r>
        <w:rPr>
          <w:sz w:val="20"/>
        </w:rPr>
        <w:t xml:space="preserve"> </w:t>
      </w:r>
      <w:r>
        <w:rPr>
          <w:sz w:val="20"/>
        </w:rPr>
        <w:t xml:space="preserve">Frage</w:t>
      </w:r>
      <w:r>
        <w:rPr>
          <w:sz w:val="20"/>
        </w:rPr>
        <w:t xml:space="preserve"> </w:t>
      </w:r>
      <w:r>
        <w:rPr>
          <w:rStyle w:val="VerbatimChar"/>
          <w:sz w:val="20"/>
        </w:rPr>
        <w:t xml:space="preserve">open</w:t>
      </w:r>
      <w:r>
        <w:rPr>
          <w:sz w:val="20"/>
        </w:rPr>
        <w:t xml:space="preserve">; Hypothese</w:t>
      </w:r>
      <w:r>
        <w:rPr>
          <w:sz w:val="20"/>
        </w:rPr>
        <w:t xml:space="preserve"> </w:t>
      </w:r>
      <w:r>
        <w:rPr>
          <w:rStyle w:val="VerbatimChar"/>
          <w:sz w:val="20"/>
        </w:rPr>
        <w:t xml:space="preserve">supported</w:t>
      </w:r>
      <w:r>
        <w:rPr>
          <w:sz w:val="20"/>
        </w:rPr>
        <w:t xml:space="preserve">.</w:t>
      </w:r>
      <w:r>
        <w:rPr>
          <w:sz w:val="20"/>
        </w:rPr>
        <w:t xml:space="preserve"> </w:t>
      </w:r>
      <w:r>
        <w:rPr>
          <w:b/>
          <w:bCs/>
          <w:sz w:val="20"/>
        </w:rPr>
        <w:t xml:space="preserve">Einordnung:</w:t>
      </w:r>
      <w:r>
        <w:rPr>
          <w:sz w:val="20"/>
        </w:rPr>
        <w:t xml:space="preserve"> </w:t>
      </w:r>
      <w:r>
        <w:rPr>
          <w:sz w:val="20"/>
        </w:rPr>
        <w:t xml:space="preserve">Technischer Restore-Nachweis vorhanden; nicht jede weitergehende notwendige Zustandsbedingung einzeln bewiesen.</w:t>
      </w:r>
    </w:p>
    <w:bookmarkEnd w:id="631"/>
    <w:bookmarkStart w:id="632" w:name="X5fb1938198dbc1860cb0ca750f58bf52181c3ef"/>
    <w:p>
      <w:pPr>
        <w:pStyle w:val="Heading3"/>
        <w:keepLines/>
        <w:spacing w:after="120"/>
        <w:jc w:val="left"/>
      </w:pPr>
      <w:r>
        <w:rPr>
          <w:sz w:val="20"/>
        </w:rPr>
        <w:t xml:space="preserve">RQ-SNN-003 - Topologieabhängige Signalpropagation</w:t>
      </w:r>
    </w:p>
    <w:p>
      <w:pPr>
        <w:pStyle w:val="FirstParagraph"/>
        <w:keepLines/>
        <w:spacing w:after="120"/>
        <w:jc w:val="left"/>
      </w:pPr>
      <w:r>
        <w:rPr>
          <w:b/>
          <w:bCs/>
          <w:sz w:val="20"/>
        </w:rPr>
        <w:t xml:space="preserve">Hypothese:</w:t>
      </w:r>
      <w:r>
        <w:rPr>
          <w:sz w:val="20"/>
        </w:rPr>
        <w:t xml:space="preserve"> </w:t>
      </w:r>
      <w:r>
        <w:rPr>
          <w:rStyle w:val="VerbatimChar"/>
          <w:sz w:val="20"/>
        </w:rPr>
        <w:t xml:space="preserve">keine zugeordnet</w:t>
      </w:r>
      <w:r>
        <w:rPr>
          <w:sz w:val="20"/>
        </w:rPr>
        <w:t xml:space="preserve">. Keine Hypothese in der gelesenen Fragenzuordnung hinterlegt.</w:t>
      </w:r>
    </w:p>
    <w:p>
      <w:pPr>
        <w:pStyle w:val="BodyText"/>
        <w:keepLines/>
        <w:spacing w:after="120"/>
        <w:jc w:val="left"/>
      </w:pPr>
      <w:r>
        <w:rPr>
          <w:b/>
          <w:bCs/>
          <w:sz w:val="20"/>
        </w:rPr>
        <w:t xml:space="preserve">Registry:</w:t>
      </w:r>
      <w:r>
        <w:rPr>
          <w:sz w:val="20"/>
        </w:rPr>
        <w:t xml:space="preserve"> </w:t>
      </w:r>
      <w:r>
        <w:rPr>
          <w:sz w:val="20"/>
        </w:rPr>
        <w:t xml:space="preserve">Frage</w:t>
      </w:r>
      <w:r>
        <w:rPr>
          <w:sz w:val="20"/>
        </w:rPr>
        <w:t xml:space="preserve"> </w:t>
      </w:r>
      <w:r>
        <w:rPr>
          <w:rStyle w:val="VerbatimChar"/>
          <w:sz w:val="20"/>
        </w:rPr>
        <w:t xml:space="preserve">open</w:t>
      </w:r>
      <w:r>
        <w:rPr>
          <w:sz w:val="20"/>
        </w:rPr>
        <w:t xml:space="preserve">; Hypothese</w:t>
      </w:r>
      <w:r>
        <w:rPr>
          <w:sz w:val="20"/>
        </w:rPr>
        <w:t xml:space="preserve"> </w:t>
      </w:r>
      <w:r>
        <w:rPr>
          <w:rStyle w:val="VerbatimChar"/>
          <w:sz w:val="20"/>
        </w:rPr>
        <w:t xml:space="preserve">None</w:t>
      </w:r>
      <w:r>
        <w:rPr>
          <w:sz w:val="20"/>
        </w:rPr>
        <w:t xml:space="preserve">.</w:t>
      </w:r>
      <w:r>
        <w:rPr>
          <w:sz w:val="20"/>
        </w:rPr>
        <w:t xml:space="preserve"> </w:t>
      </w:r>
      <w:r>
        <w:rPr>
          <w:b/>
          <w:bCs/>
          <w:sz w:val="20"/>
        </w:rPr>
        <w:t xml:space="preserve">Einordnung:</w:t>
      </w:r>
      <w:r>
        <w:rPr>
          <w:sz w:val="20"/>
        </w:rPr>
        <w:t xml:space="preserve"> </w:t>
      </w:r>
      <w:r>
        <w:rPr>
          <w:sz w:val="20"/>
        </w:rPr>
        <w:t xml:space="preserve">Im hier untersuchten Material kein passender freigegebener Ergebnisnachweis.</w:t>
      </w:r>
    </w:p>
    <w:bookmarkEnd w:id="632"/>
    <w:bookmarkStart w:id="633" w:name="rq-snn-004---stdp-und-gewichtsverteilung"/>
    <w:p>
      <w:pPr>
        <w:pStyle w:val="Heading3"/>
        <w:keepLines/>
        <w:spacing w:after="120"/>
        <w:jc w:val="left"/>
      </w:pPr>
      <w:r>
        <w:rPr>
          <w:sz w:val="20"/>
        </w:rPr>
        <w:t xml:space="preserve">RQ-SNN-004 - STDP und Gewichtsverteilung</w:t>
      </w:r>
    </w:p>
    <w:p>
      <w:pPr>
        <w:pStyle w:val="FirstParagraph"/>
        <w:keepLines/>
        <w:spacing w:after="120"/>
        <w:jc w:val="left"/>
      </w:pPr>
      <w:r>
        <w:rPr>
          <w:b/>
          <w:bCs/>
          <w:sz w:val="20"/>
        </w:rPr>
        <w:t xml:space="preserve">Hypothese:</w:t>
      </w:r>
      <w:r>
        <w:rPr>
          <w:sz w:val="20"/>
        </w:rPr>
        <w:t xml:space="preserve"> </w:t>
      </w:r>
      <w:r>
        <w:rPr>
          <w:rStyle w:val="VerbatimChar"/>
          <w:sz w:val="20"/>
        </w:rPr>
        <w:t xml:space="preserve">H-SNN-004-A</w:t>
      </w:r>
      <w:r>
        <w:rPr>
          <w:sz w:val="20"/>
        </w:rPr>
        <w:t xml:space="preserve">. STDP führt zu einer messbaren asymmetrischen Verschiebung der synaptischen Gewichtsverteilung.</w:t>
      </w:r>
    </w:p>
    <w:p>
      <w:pPr>
        <w:pStyle w:val="BodyText"/>
        <w:keepLines/>
        <w:spacing w:after="120"/>
        <w:jc w:val="left"/>
      </w:pPr>
      <w:r>
        <w:rPr>
          <w:b/>
          <w:bCs/>
          <w:sz w:val="20"/>
        </w:rPr>
        <w:t xml:space="preserve">Registry:</w:t>
      </w:r>
      <w:r>
        <w:rPr>
          <w:sz w:val="20"/>
        </w:rPr>
        <w:t xml:space="preserve"> </w:t>
      </w:r>
      <w:r>
        <w:rPr>
          <w:sz w:val="20"/>
        </w:rPr>
        <w:t xml:space="preserve">Frage</w:t>
      </w:r>
      <w:r>
        <w:rPr>
          <w:sz w:val="20"/>
        </w:rPr>
        <w:t xml:space="preserve"> </w:t>
      </w:r>
      <w:r>
        <w:rPr>
          <w:rStyle w:val="VerbatimChar"/>
          <w:sz w:val="20"/>
        </w:rPr>
        <w:t xml:space="preserve">open</w:t>
      </w:r>
      <w:r>
        <w:rPr>
          <w:sz w:val="20"/>
        </w:rPr>
        <w:t xml:space="preserve">; Hypothese</w:t>
      </w:r>
      <w:r>
        <w:rPr>
          <w:sz w:val="20"/>
        </w:rPr>
        <w:t xml:space="preserve"> </w:t>
      </w:r>
      <w:r>
        <w:rPr>
          <w:rStyle w:val="VerbatimChar"/>
          <w:sz w:val="20"/>
        </w:rPr>
        <w:t xml:space="preserve">untested</w:t>
      </w:r>
      <w:r>
        <w:rPr>
          <w:sz w:val="20"/>
        </w:rPr>
        <w:t xml:space="preserve">.</w:t>
      </w:r>
      <w:r>
        <w:rPr>
          <w:sz w:val="20"/>
        </w:rPr>
        <w:t xml:space="preserve"> </w:t>
      </w:r>
      <w:r>
        <w:rPr>
          <w:b/>
          <w:bCs/>
          <w:sz w:val="20"/>
        </w:rPr>
        <w:t xml:space="preserve">Einordnung:</w:t>
      </w:r>
      <w:r>
        <w:rPr>
          <w:sz w:val="20"/>
        </w:rPr>
        <w:t xml:space="preserve"> </w:t>
      </w:r>
      <w:r>
        <w:rPr>
          <w:sz w:val="20"/>
        </w:rPr>
        <w:t xml:space="preserve">EXP-GEN-0021 enthält ein sekundär berichtetes lokales Lernsignal. Kein Generalisierungs- oder Langzeitnachweis.</w:t>
      </w:r>
    </w:p>
    <w:bookmarkEnd w:id="633"/>
    <w:bookmarkStart w:id="634" w:name="X9df521ff37c897a7942f60dac204bc6b7640a9d"/>
    <w:p>
      <w:pPr>
        <w:pStyle w:val="Heading3"/>
        <w:keepLines/>
        <w:spacing w:after="120"/>
        <w:jc w:val="left"/>
      </w:pPr>
      <w:r>
        <w:rPr>
          <w:sz w:val="20"/>
        </w:rPr>
        <w:t xml:space="preserve">RQ-SNN-005 - STDP und funktionale Lernleistung</w:t>
      </w:r>
    </w:p>
    <w:p>
      <w:pPr>
        <w:pStyle w:val="FirstParagraph"/>
        <w:keepLines/>
        <w:spacing w:after="120"/>
        <w:jc w:val="left"/>
      </w:pPr>
      <w:r>
        <w:rPr>
          <w:b/>
          <w:bCs/>
          <w:sz w:val="20"/>
        </w:rPr>
        <w:t xml:space="preserve">Hypothese:</w:t>
      </w:r>
      <w:r>
        <w:rPr>
          <w:sz w:val="20"/>
        </w:rPr>
        <w:t xml:space="preserve"> </w:t>
      </w:r>
      <w:r>
        <w:rPr>
          <w:rStyle w:val="VerbatimChar"/>
          <w:sz w:val="20"/>
        </w:rPr>
        <w:t xml:space="preserve">H-SNN-005-A</w:t>
      </w:r>
      <w:r>
        <w:rPr>
          <w:sz w:val="20"/>
        </w:rPr>
        <w:t xml:space="preserve">. Ein Netzwerk mit STDP zeigt signifikant bessere Lernleistung als ein Netzwerk ohne STDP.</w:t>
      </w:r>
    </w:p>
    <w:p>
      <w:pPr>
        <w:pStyle w:val="BodyText"/>
        <w:keepLines/>
        <w:spacing w:after="120"/>
        <w:jc w:val="left"/>
      </w:pPr>
      <w:r>
        <w:rPr>
          <w:b/>
          <w:bCs/>
          <w:sz w:val="20"/>
        </w:rPr>
        <w:t xml:space="preserve">Registry:</w:t>
      </w:r>
      <w:r>
        <w:rPr>
          <w:sz w:val="20"/>
        </w:rPr>
        <w:t xml:space="preserve"> </w:t>
      </w:r>
      <w:r>
        <w:rPr>
          <w:sz w:val="20"/>
        </w:rPr>
        <w:t xml:space="preserve">Frage</w:t>
      </w:r>
      <w:r>
        <w:rPr>
          <w:sz w:val="20"/>
        </w:rPr>
        <w:t xml:space="preserve"> </w:t>
      </w:r>
      <w:r>
        <w:rPr>
          <w:rStyle w:val="VerbatimChar"/>
          <w:sz w:val="20"/>
        </w:rPr>
        <w:t xml:space="preserve">open</w:t>
      </w:r>
      <w:r>
        <w:rPr>
          <w:sz w:val="20"/>
        </w:rPr>
        <w:t xml:space="preserve">; Hypothese</w:t>
      </w:r>
      <w:r>
        <w:rPr>
          <w:sz w:val="20"/>
        </w:rPr>
        <w:t xml:space="preserve"> </w:t>
      </w:r>
      <w:r>
        <w:rPr>
          <w:rStyle w:val="VerbatimChar"/>
          <w:sz w:val="20"/>
        </w:rPr>
        <w:t xml:space="preserve">untested</w:t>
      </w:r>
      <w:r>
        <w:rPr>
          <w:sz w:val="20"/>
        </w:rPr>
        <w:t xml:space="preserve">.</w:t>
      </w:r>
      <w:r>
        <w:rPr>
          <w:sz w:val="20"/>
        </w:rPr>
        <w:t xml:space="preserve"> </w:t>
      </w:r>
      <w:r>
        <w:rPr>
          <w:b/>
          <w:bCs/>
          <w:sz w:val="20"/>
        </w:rPr>
        <w:t xml:space="preserve">Einordnung:</w:t>
      </w:r>
      <w:r>
        <w:rPr>
          <w:sz w:val="20"/>
        </w:rPr>
        <w:t xml:space="preserve"> </w:t>
      </w:r>
      <w:r>
        <w:rPr>
          <w:sz w:val="20"/>
        </w:rPr>
        <w:t xml:space="preserve">EXP-GEN-0021 enthält ein sekundär berichtetes lokales Lernsignal. Kein Generalisierungs- oder Langzeitnachweis.</w:t>
      </w:r>
    </w:p>
    <w:bookmarkEnd w:id="634"/>
    <w:bookmarkStart w:id="635" w:name="Xd78cfa4be957d2594ca78d4ab765d17c10a1410"/>
    <w:p>
      <w:pPr>
        <w:pStyle w:val="Heading3"/>
        <w:keepLines/>
        <w:spacing w:after="120"/>
        <w:jc w:val="left"/>
      </w:pPr>
      <w:r>
        <w:rPr>
          <w:sz w:val="20"/>
        </w:rPr>
        <w:t xml:space="preserve">RQ-PING-001 - Reproduzierbare Impulsantwort</w:t>
      </w:r>
    </w:p>
    <w:p>
      <w:pPr>
        <w:pStyle w:val="FirstParagraph"/>
        <w:keepLines/>
        <w:spacing w:after="120"/>
        <w:jc w:val="left"/>
      </w:pPr>
      <w:r>
        <w:rPr>
          <w:b/>
          <w:bCs/>
          <w:sz w:val="20"/>
        </w:rPr>
        <w:t xml:space="preserve">Hypothese:</w:t>
      </w:r>
      <w:r>
        <w:rPr>
          <w:sz w:val="20"/>
        </w:rPr>
        <w:t xml:space="preserve"> </w:t>
      </w:r>
      <w:r>
        <w:rPr>
          <w:rStyle w:val="VerbatimChar"/>
          <w:sz w:val="20"/>
        </w:rPr>
        <w:t xml:space="preserve">H-PING-001-A</w:t>
      </w:r>
      <w:r>
        <w:rPr>
          <w:sz w:val="20"/>
        </w:rPr>
        <w:t xml:space="preserve">. Identische Impulse erzeugen bei identischem Anfangszustand dieselbe beobachtete Response-Signatur.</w:t>
      </w:r>
    </w:p>
    <w:p>
      <w:pPr>
        <w:pStyle w:val="BodyText"/>
        <w:keepLines/>
        <w:spacing w:after="120"/>
        <w:jc w:val="left"/>
      </w:pPr>
      <w:r>
        <w:rPr>
          <w:b/>
          <w:bCs/>
          <w:sz w:val="20"/>
        </w:rPr>
        <w:t xml:space="preserve">Registry:</w:t>
      </w:r>
      <w:r>
        <w:rPr>
          <w:sz w:val="20"/>
        </w:rPr>
        <w:t xml:space="preserve"> </w:t>
      </w:r>
      <w:r>
        <w:rPr>
          <w:sz w:val="20"/>
        </w:rPr>
        <w:t xml:space="preserve">Frage</w:t>
      </w:r>
      <w:r>
        <w:rPr>
          <w:sz w:val="20"/>
        </w:rPr>
        <w:t xml:space="preserve"> </w:t>
      </w:r>
      <w:r>
        <w:rPr>
          <w:rStyle w:val="VerbatimChar"/>
          <w:sz w:val="20"/>
        </w:rPr>
        <w:t xml:space="preserve">open</w:t>
      </w:r>
      <w:r>
        <w:rPr>
          <w:sz w:val="20"/>
        </w:rPr>
        <w:t xml:space="preserve">; Hypothese</w:t>
      </w:r>
      <w:r>
        <w:rPr>
          <w:sz w:val="20"/>
        </w:rPr>
        <w:t xml:space="preserve"> </w:t>
      </w:r>
      <w:r>
        <w:rPr>
          <w:rStyle w:val="VerbatimChar"/>
          <w:sz w:val="20"/>
        </w:rPr>
        <w:t xml:space="preserve">untested</w:t>
      </w:r>
      <w:r>
        <w:rPr>
          <w:sz w:val="20"/>
        </w:rPr>
        <w:t xml:space="preserve">.</w:t>
      </w:r>
      <w:r>
        <w:rPr>
          <w:sz w:val="20"/>
        </w:rPr>
        <w:t xml:space="preserve"> </w:t>
      </w:r>
      <w:r>
        <w:rPr>
          <w:b/>
          <w:bCs/>
          <w:sz w:val="20"/>
        </w:rPr>
        <w:t xml:space="preserve">Einordnung:</w:t>
      </w:r>
      <w:r>
        <w:rPr>
          <w:sz w:val="20"/>
        </w:rPr>
        <w:t xml:space="preserve"> </w:t>
      </w:r>
      <w:r>
        <w:rPr>
          <w:sz w:val="20"/>
        </w:rPr>
        <w:t xml:space="preserve">3 gegen 33 Spikes bei drei aktiven Neuronen; Freigabe blockiert, Initialisierungsvariation gesondert zu prüfen.</w:t>
      </w:r>
    </w:p>
    <w:bookmarkEnd w:id="635"/>
    <w:bookmarkStart w:id="636" w:name="Xdaca47d93709b6dfb9c3340146711ab1ccf9f1f"/>
    <w:p>
      <w:pPr>
        <w:pStyle w:val="Heading3"/>
        <w:keepLines/>
        <w:spacing w:after="120"/>
        <w:jc w:val="left"/>
      </w:pPr>
      <w:r>
        <w:rPr>
          <w:sz w:val="20"/>
        </w:rPr>
        <w:t xml:space="preserve">RQ-TEMP-001 - FAST-, MEDIUM- und SLOW-Zustandsvergleiche</w:t>
      </w:r>
    </w:p>
    <w:p>
      <w:pPr>
        <w:pStyle w:val="FirstParagraph"/>
        <w:keepLines/>
        <w:spacing w:after="120"/>
        <w:jc w:val="left"/>
      </w:pPr>
      <w:r>
        <w:rPr>
          <w:b/>
          <w:bCs/>
          <w:sz w:val="20"/>
        </w:rPr>
        <w:t xml:space="preserve">Hypothese:</w:t>
      </w:r>
      <w:r>
        <w:rPr>
          <w:sz w:val="20"/>
        </w:rPr>
        <w:t xml:space="preserve"> </w:t>
      </w:r>
      <w:r>
        <w:rPr>
          <w:rStyle w:val="VerbatimChar"/>
          <w:sz w:val="20"/>
        </w:rPr>
        <w:t xml:space="preserve">H-TEMP-001-A</w:t>
      </w:r>
      <w:r>
        <w:rPr>
          <w:sz w:val="20"/>
        </w:rPr>
        <w:t xml:space="preserve">. Die Temporal-State-Vergleiche unterscheiden sich deterministisch nach FAST-, MEDIUM- und SLOW-Horizont.</w:t>
      </w:r>
    </w:p>
    <w:p>
      <w:pPr>
        <w:pStyle w:val="BodyText"/>
        <w:keepLines/>
        <w:spacing w:after="120"/>
        <w:jc w:val="left"/>
      </w:pPr>
      <w:r>
        <w:rPr>
          <w:b/>
          <w:bCs/>
          <w:sz w:val="20"/>
        </w:rPr>
        <w:t xml:space="preserve">Registry:</w:t>
      </w:r>
      <w:r>
        <w:rPr>
          <w:sz w:val="20"/>
        </w:rPr>
        <w:t xml:space="preserve"> </w:t>
      </w:r>
      <w:r>
        <w:rPr>
          <w:sz w:val="20"/>
        </w:rPr>
        <w:t xml:space="preserve">Frage</w:t>
      </w:r>
      <w:r>
        <w:rPr>
          <w:sz w:val="20"/>
        </w:rPr>
        <w:t xml:space="preserve"> </w:t>
      </w:r>
      <w:r>
        <w:rPr>
          <w:rStyle w:val="VerbatimChar"/>
          <w:sz w:val="20"/>
        </w:rPr>
        <w:t xml:space="preserve">open</w:t>
      </w:r>
      <w:r>
        <w:rPr>
          <w:sz w:val="20"/>
        </w:rPr>
        <w:t xml:space="preserve">; Hypothese</w:t>
      </w:r>
      <w:r>
        <w:rPr>
          <w:sz w:val="20"/>
        </w:rPr>
        <w:t xml:space="preserve"> </w:t>
      </w:r>
      <w:r>
        <w:rPr>
          <w:rStyle w:val="VerbatimChar"/>
          <w:sz w:val="20"/>
        </w:rPr>
        <w:t xml:space="preserve">untested</w:t>
      </w:r>
      <w:r>
        <w:rPr>
          <w:sz w:val="20"/>
        </w:rPr>
        <w:t xml:space="preserve">.</w:t>
      </w:r>
      <w:r>
        <w:rPr>
          <w:sz w:val="20"/>
        </w:rPr>
        <w:t xml:space="preserve"> </w:t>
      </w:r>
      <w:r>
        <w:rPr>
          <w:b/>
          <w:bCs/>
          <w:sz w:val="20"/>
        </w:rPr>
        <w:t xml:space="preserve">Einordnung:</w:t>
      </w:r>
      <w:r>
        <w:rPr>
          <w:sz w:val="20"/>
        </w:rPr>
        <w:t xml:space="preserve"> </w:t>
      </w:r>
      <w:r>
        <w:rPr>
          <w:sz w:val="20"/>
        </w:rPr>
        <w:t xml:space="preserve">Horizontabhängige Zustandsabweichung berichtet, dabei null Spikes. Kein Arbeitsgedächtnisnachweis.</w:t>
      </w:r>
    </w:p>
    <w:bookmarkEnd w:id="636"/>
    <w:bookmarkStart w:id="637" w:name="X8683a2425c02ace5b70c83a501640df8e142706"/>
    <w:p>
      <w:pPr>
        <w:pStyle w:val="Heading3"/>
        <w:keepLines/>
        <w:spacing w:after="120"/>
        <w:jc w:val="left"/>
      </w:pPr>
      <w:r>
        <w:rPr>
          <w:sz w:val="20"/>
        </w:rPr>
        <w:t xml:space="preserve">RQ-TIME-001 - Durchsatz und Zustände in einer Tick-Leiter</w:t>
      </w:r>
    </w:p>
    <w:p>
      <w:pPr>
        <w:pStyle w:val="FirstParagraph"/>
        <w:keepLines/>
        <w:spacing w:after="120"/>
        <w:jc w:val="left"/>
      </w:pPr>
      <w:r>
        <w:rPr>
          <w:b/>
          <w:bCs/>
          <w:sz w:val="20"/>
        </w:rPr>
        <w:t xml:space="preserve">Hypothese:</w:t>
      </w:r>
      <w:r>
        <w:rPr>
          <w:sz w:val="20"/>
        </w:rPr>
        <w:t xml:space="preserve"> </w:t>
      </w:r>
      <w:r>
        <w:rPr>
          <w:rStyle w:val="VerbatimChar"/>
          <w:sz w:val="20"/>
        </w:rPr>
        <w:t xml:space="preserve">H-TIME-001-A</w:t>
      </w:r>
      <w:r>
        <w:rPr>
          <w:sz w:val="20"/>
        </w:rPr>
        <w:t xml:space="preserve">. Die Tick-Leiter liefert reproduzierbare Durchsatz- und Zustandsmessungen bis 1.000.000 Ticks.</w:t>
      </w:r>
    </w:p>
    <w:p>
      <w:pPr>
        <w:pStyle w:val="BodyText"/>
        <w:keepLines/>
        <w:spacing w:after="120"/>
        <w:jc w:val="left"/>
      </w:pPr>
      <w:r>
        <w:rPr>
          <w:b/>
          <w:bCs/>
          <w:sz w:val="20"/>
        </w:rPr>
        <w:t xml:space="preserve">Registry:</w:t>
      </w:r>
      <w:r>
        <w:rPr>
          <w:sz w:val="20"/>
        </w:rPr>
        <w:t xml:space="preserve"> </w:t>
      </w:r>
      <w:r>
        <w:rPr>
          <w:sz w:val="20"/>
        </w:rPr>
        <w:t xml:space="preserve">Frage</w:t>
      </w:r>
      <w:r>
        <w:rPr>
          <w:sz w:val="20"/>
        </w:rPr>
        <w:t xml:space="preserve"> </w:t>
      </w:r>
      <w:r>
        <w:rPr>
          <w:rStyle w:val="VerbatimChar"/>
          <w:sz w:val="20"/>
        </w:rPr>
        <w:t xml:space="preserve">open</w:t>
      </w:r>
      <w:r>
        <w:rPr>
          <w:sz w:val="20"/>
        </w:rPr>
        <w:t xml:space="preserve">; Hypothese</w:t>
      </w:r>
      <w:r>
        <w:rPr>
          <w:sz w:val="20"/>
        </w:rPr>
        <w:t xml:space="preserve"> </w:t>
      </w:r>
      <w:r>
        <w:rPr>
          <w:rStyle w:val="VerbatimChar"/>
          <w:sz w:val="20"/>
        </w:rPr>
        <w:t xml:space="preserve">untested</w:t>
      </w:r>
      <w:r>
        <w:rPr>
          <w:sz w:val="20"/>
        </w:rPr>
        <w:t xml:space="preserve">.</w:t>
      </w:r>
      <w:r>
        <w:rPr>
          <w:sz w:val="20"/>
        </w:rPr>
        <w:t xml:space="preserve"> </w:t>
      </w:r>
      <w:r>
        <w:rPr>
          <w:b/>
          <w:bCs/>
          <w:sz w:val="20"/>
        </w:rPr>
        <w:t xml:space="preserve">Einordnung:</w:t>
      </w:r>
      <w:r>
        <w:rPr>
          <w:sz w:val="20"/>
        </w:rPr>
        <w:t xml:space="preserve"> </w:t>
      </w:r>
      <w:r>
        <w:rPr>
          <w:sz w:val="20"/>
        </w:rPr>
        <w:t xml:space="preserve">Suite-Ausführung dokumentiert; einzelne Fachhypothesen und Maximalbudgets nicht dadurch bestätigt.</w:t>
      </w:r>
    </w:p>
    <w:bookmarkEnd w:id="637"/>
    <w:bookmarkStart w:id="638" w:name="Xddfdb3d8997a072bee3d62adfce6f952a63108f"/>
    <w:p>
      <w:pPr>
        <w:pStyle w:val="Heading3"/>
        <w:keepLines/>
        <w:spacing w:after="120"/>
        <w:jc w:val="left"/>
      </w:pPr>
      <w:r>
        <w:rPr>
          <w:sz w:val="20"/>
        </w:rPr>
        <w:t xml:space="preserve">RQ-REG-001 - Regulation bei nominaler, chronischer und unbekannter Telemetrie</w:t>
      </w:r>
    </w:p>
    <w:p>
      <w:pPr>
        <w:pStyle w:val="FirstParagraph"/>
        <w:keepLines/>
        <w:spacing w:after="120"/>
        <w:jc w:val="left"/>
      </w:pPr>
      <w:r>
        <w:rPr>
          <w:b/>
          <w:bCs/>
          <w:sz w:val="20"/>
        </w:rPr>
        <w:t xml:space="preserve">Hypothese:</w:t>
      </w:r>
      <w:r>
        <w:rPr>
          <w:sz w:val="20"/>
        </w:rPr>
        <w:t xml:space="preserve"> </w:t>
      </w:r>
      <w:r>
        <w:rPr>
          <w:rStyle w:val="VerbatimChar"/>
          <w:sz w:val="20"/>
        </w:rPr>
        <w:t xml:space="preserve">H-REG-001-A</w:t>
      </w:r>
      <w:r>
        <w:rPr>
          <w:sz w:val="20"/>
        </w:rPr>
        <w:t xml:space="preserve">. Chronischer Druck erhöht deterministisch Resource Pressure und Thermal Threat, während unbekannte Telemetrie Unsicherheit erhält.</w:t>
      </w:r>
    </w:p>
    <w:p>
      <w:pPr>
        <w:pStyle w:val="BodyText"/>
        <w:keepLines/>
        <w:spacing w:after="120"/>
        <w:jc w:val="left"/>
      </w:pPr>
      <w:r>
        <w:rPr>
          <w:b/>
          <w:bCs/>
          <w:sz w:val="20"/>
        </w:rPr>
        <w:t xml:space="preserve">Registry:</w:t>
      </w:r>
      <w:r>
        <w:rPr>
          <w:sz w:val="20"/>
        </w:rPr>
        <w:t xml:space="preserve"> </w:t>
      </w:r>
      <w:r>
        <w:rPr>
          <w:sz w:val="20"/>
        </w:rPr>
        <w:t xml:space="preserve">Frage</w:t>
      </w:r>
      <w:r>
        <w:rPr>
          <w:sz w:val="20"/>
        </w:rPr>
        <w:t xml:space="preserve"> </w:t>
      </w:r>
      <w:r>
        <w:rPr>
          <w:rStyle w:val="VerbatimChar"/>
          <w:sz w:val="20"/>
        </w:rPr>
        <w:t xml:space="preserve">open</w:t>
      </w:r>
      <w:r>
        <w:rPr>
          <w:sz w:val="20"/>
        </w:rPr>
        <w:t xml:space="preserve">; Hypothese</w:t>
      </w:r>
      <w:r>
        <w:rPr>
          <w:sz w:val="20"/>
        </w:rPr>
        <w:t xml:space="preserve"> </w:t>
      </w:r>
      <w:r>
        <w:rPr>
          <w:rStyle w:val="VerbatimChar"/>
          <w:sz w:val="20"/>
        </w:rPr>
        <w:t xml:space="preserve">untested</w:t>
      </w:r>
      <w:r>
        <w:rPr>
          <w:sz w:val="20"/>
        </w:rPr>
        <w:t xml:space="preserve">.</w:t>
      </w:r>
      <w:r>
        <w:rPr>
          <w:sz w:val="20"/>
        </w:rPr>
        <w:t xml:space="preserve"> </w:t>
      </w:r>
      <w:r>
        <w:rPr>
          <w:b/>
          <w:bCs/>
          <w:sz w:val="20"/>
        </w:rPr>
        <w:t xml:space="preserve">Einordnung:</w:t>
      </w:r>
      <w:r>
        <w:rPr>
          <w:sz w:val="20"/>
        </w:rPr>
        <w:t xml:space="preserve"> </w:t>
      </w:r>
      <w:r>
        <w:rPr>
          <w:sz w:val="20"/>
        </w:rPr>
        <w:t xml:space="preserve">Nominal-/Druck-/Unknown-Verhalten als Diagnose; kein isolierter Closed-Loop-Nutzennachweis.</w:t>
      </w:r>
    </w:p>
    <w:bookmarkEnd w:id="638"/>
    <w:bookmarkStart w:id="639" w:name="X3938e4b67eac94996c25270aa7c379471e61641"/>
    <w:p>
      <w:pPr>
        <w:pStyle w:val="Heading3"/>
        <w:keepLines/>
        <w:spacing w:after="120"/>
        <w:jc w:val="left"/>
      </w:pPr>
      <w:r>
        <w:rPr>
          <w:sz w:val="20"/>
        </w:rPr>
        <w:t xml:space="preserve">RQ-STDP-001 - Timingabhängige LTP-/LTD-Asymmetrie</w:t>
      </w:r>
    </w:p>
    <w:p>
      <w:pPr>
        <w:pStyle w:val="FirstParagraph"/>
        <w:keepLines/>
        <w:spacing w:after="120"/>
        <w:jc w:val="left"/>
      </w:pPr>
      <w:r>
        <w:rPr>
          <w:b/>
          <w:bCs/>
          <w:sz w:val="20"/>
        </w:rPr>
        <w:t xml:space="preserve">Hypothese:</w:t>
      </w:r>
      <w:r>
        <w:rPr>
          <w:sz w:val="20"/>
        </w:rPr>
        <w:t xml:space="preserve"> </w:t>
      </w:r>
      <w:r>
        <w:rPr>
          <w:rStyle w:val="VerbatimChar"/>
          <w:sz w:val="20"/>
        </w:rPr>
        <w:t xml:space="preserve">H-STDP-001-A</w:t>
      </w:r>
      <w:r>
        <w:rPr>
          <w:sz w:val="20"/>
        </w:rPr>
        <w:t xml:space="preserve">. Pair-based STDP erzeugt bei definierten Pre/Post-Abständen asymmetrische Anpassung: LTP bei positivem und LTD bei negativem Delta t.</w:t>
      </w:r>
    </w:p>
    <w:p>
      <w:pPr>
        <w:pStyle w:val="BodyText"/>
        <w:keepLines/>
        <w:spacing w:after="120"/>
        <w:jc w:val="left"/>
      </w:pPr>
      <w:r>
        <w:rPr>
          <w:b/>
          <w:bCs/>
          <w:sz w:val="20"/>
        </w:rPr>
        <w:t xml:space="preserve">Registry:</w:t>
      </w:r>
      <w:r>
        <w:rPr>
          <w:sz w:val="20"/>
        </w:rPr>
        <w:t xml:space="preserve"> </w:t>
      </w:r>
      <w:r>
        <w:rPr>
          <w:sz w:val="20"/>
        </w:rPr>
        <w:t xml:space="preserve">Frage</w:t>
      </w:r>
      <w:r>
        <w:rPr>
          <w:sz w:val="20"/>
        </w:rPr>
        <w:t xml:space="preserve"> </w:t>
      </w:r>
      <w:r>
        <w:rPr>
          <w:rStyle w:val="VerbatimChar"/>
          <w:sz w:val="20"/>
        </w:rPr>
        <w:t xml:space="preserve">open</w:t>
      </w:r>
      <w:r>
        <w:rPr>
          <w:sz w:val="20"/>
        </w:rPr>
        <w:t xml:space="preserve">; Hypothese</w:t>
      </w:r>
      <w:r>
        <w:rPr>
          <w:sz w:val="20"/>
        </w:rPr>
        <w:t xml:space="preserve"> </w:t>
      </w:r>
      <w:r>
        <w:rPr>
          <w:rStyle w:val="VerbatimChar"/>
          <w:sz w:val="20"/>
        </w:rPr>
        <w:t xml:space="preserve">untested</w:t>
      </w:r>
      <w:r>
        <w:rPr>
          <w:sz w:val="20"/>
        </w:rPr>
        <w:t xml:space="preserve">.</w:t>
      </w:r>
      <w:r>
        <w:rPr>
          <w:sz w:val="20"/>
        </w:rPr>
        <w:t xml:space="preserve"> </w:t>
      </w:r>
      <w:r>
        <w:rPr>
          <w:b/>
          <w:bCs/>
          <w:sz w:val="20"/>
        </w:rPr>
        <w:t xml:space="preserve">Einordnung:</w:t>
      </w:r>
      <w:r>
        <w:rPr>
          <w:sz w:val="20"/>
        </w:rPr>
        <w:t xml:space="preserve"> </w:t>
      </w:r>
      <w:r>
        <w:rPr>
          <w:sz w:val="20"/>
        </w:rPr>
        <w:t xml:space="preserve">EXP-GEN-0021 enthält ein sekundär berichtetes lokales Lernsignal. Kein Generalisierungs- oder Langzeitnachweis.</w:t>
      </w:r>
    </w:p>
    <w:bookmarkEnd w:id="639"/>
    <w:bookmarkStart w:id="640" w:name="X55f13b612a4a9ad58b90c9e9abb8b2f9f54cbe0"/>
    <w:p>
      <w:pPr>
        <w:pStyle w:val="Heading3"/>
        <w:keepLines/>
        <w:spacing w:after="120"/>
        <w:jc w:val="left"/>
      </w:pPr>
      <w:r>
        <w:rPr>
          <w:sz w:val="20"/>
        </w:rPr>
        <w:t xml:space="preserve">RQ-STDP-002 - Langzeitverhalten STDP-getriebener Gewichte</w:t>
      </w:r>
    </w:p>
    <w:p>
      <w:pPr>
        <w:pStyle w:val="FirstParagraph"/>
        <w:keepLines/>
        <w:spacing w:after="120"/>
        <w:jc w:val="left"/>
      </w:pPr>
      <w:r>
        <w:rPr>
          <w:b/>
          <w:bCs/>
          <w:sz w:val="20"/>
        </w:rPr>
        <w:t xml:space="preserve">Hypothese:</w:t>
      </w:r>
      <w:r>
        <w:rPr>
          <w:sz w:val="20"/>
        </w:rPr>
        <w:t xml:space="preserve"> </w:t>
      </w:r>
      <w:r>
        <w:rPr>
          <w:rStyle w:val="VerbatimChar"/>
          <w:sz w:val="20"/>
        </w:rPr>
        <w:t xml:space="preserve">H-STDP-002-A</w:t>
      </w:r>
      <w:r>
        <w:rPr>
          <w:sz w:val="20"/>
        </w:rPr>
        <w:t xml:space="preserve">. STDP-getriebene Gewichte konvergieren unter Dauerstimulation zu einer stabilen Verteilung.</w:t>
      </w:r>
    </w:p>
    <w:p>
      <w:pPr>
        <w:pStyle w:val="BodyText"/>
        <w:keepLines/>
        <w:spacing w:after="120"/>
        <w:jc w:val="left"/>
      </w:pPr>
      <w:r>
        <w:rPr>
          <w:b/>
          <w:bCs/>
          <w:sz w:val="20"/>
        </w:rPr>
        <w:t xml:space="preserve">Registry:</w:t>
      </w:r>
      <w:r>
        <w:rPr>
          <w:sz w:val="20"/>
        </w:rPr>
        <w:t xml:space="preserve"> </w:t>
      </w:r>
      <w:r>
        <w:rPr>
          <w:sz w:val="20"/>
        </w:rPr>
        <w:t xml:space="preserve">Frage</w:t>
      </w:r>
      <w:r>
        <w:rPr>
          <w:sz w:val="20"/>
        </w:rPr>
        <w:t xml:space="preserve"> </w:t>
      </w:r>
      <w:r>
        <w:rPr>
          <w:rStyle w:val="VerbatimChar"/>
          <w:sz w:val="20"/>
        </w:rPr>
        <w:t xml:space="preserve">open</w:t>
      </w:r>
      <w:r>
        <w:rPr>
          <w:sz w:val="20"/>
        </w:rPr>
        <w:t xml:space="preserve">; Hypothese</w:t>
      </w:r>
      <w:r>
        <w:rPr>
          <w:sz w:val="20"/>
        </w:rPr>
        <w:t xml:space="preserve"> </w:t>
      </w:r>
      <w:r>
        <w:rPr>
          <w:rStyle w:val="VerbatimChar"/>
          <w:sz w:val="20"/>
        </w:rPr>
        <w:t xml:space="preserve">untested</w:t>
      </w:r>
      <w:r>
        <w:rPr>
          <w:sz w:val="20"/>
        </w:rPr>
        <w:t xml:space="preserve">.</w:t>
      </w:r>
      <w:r>
        <w:rPr>
          <w:sz w:val="20"/>
        </w:rPr>
        <w:t xml:space="preserve"> </w:t>
      </w:r>
      <w:r>
        <w:rPr>
          <w:b/>
          <w:bCs/>
          <w:sz w:val="20"/>
        </w:rPr>
        <w:t xml:space="preserve">Einordnung:</w:t>
      </w:r>
      <w:r>
        <w:rPr>
          <w:sz w:val="20"/>
        </w:rPr>
        <w:t xml:space="preserve"> </w:t>
      </w:r>
      <w:r>
        <w:rPr>
          <w:sz w:val="20"/>
        </w:rPr>
        <w:t xml:space="preserve">Im hier untersuchten Material kein passender freigegebener Ergebnisnachweis.</w:t>
      </w:r>
    </w:p>
    <w:bookmarkEnd w:id="640"/>
    <w:bookmarkStart w:id="641" w:name="X996968fe136840da09323c041b7f3fbd6b39c03"/>
    <w:p>
      <w:pPr>
        <w:pStyle w:val="Heading3"/>
        <w:keepLines/>
        <w:spacing w:after="120"/>
        <w:jc w:val="left"/>
      </w:pPr>
      <w:r>
        <w:rPr>
          <w:sz w:val="20"/>
        </w:rPr>
        <w:t xml:space="preserve">RQ-HOM-001 - Homöostatische Begrenzung der Feuerrate</w:t>
      </w:r>
    </w:p>
    <w:p>
      <w:pPr>
        <w:pStyle w:val="FirstParagraph"/>
        <w:keepLines/>
        <w:spacing w:after="120"/>
        <w:jc w:val="left"/>
      </w:pPr>
      <w:r>
        <w:rPr>
          <w:b/>
          <w:bCs/>
          <w:sz w:val="20"/>
        </w:rPr>
        <w:t xml:space="preserve">Hypothese:</w:t>
      </w:r>
      <w:r>
        <w:rPr>
          <w:sz w:val="20"/>
        </w:rPr>
        <w:t xml:space="preserve"> </w:t>
      </w:r>
      <w:r>
        <w:rPr>
          <w:rStyle w:val="VerbatimChar"/>
          <w:sz w:val="20"/>
        </w:rPr>
        <w:t xml:space="preserve">H-HOM-001-A</w:t>
      </w:r>
      <w:r>
        <w:rPr>
          <w:sz w:val="20"/>
        </w:rPr>
        <w:t xml:space="preserve">. Synaptische Homeostase hält die mittlere Feuerrate eines SNN innerhalb eines definierten Sollbereichs.</w:t>
      </w:r>
    </w:p>
    <w:p>
      <w:pPr>
        <w:pStyle w:val="BodyText"/>
        <w:keepLines/>
        <w:spacing w:after="120"/>
        <w:jc w:val="left"/>
      </w:pPr>
      <w:r>
        <w:rPr>
          <w:b/>
          <w:bCs/>
          <w:sz w:val="20"/>
        </w:rPr>
        <w:t xml:space="preserve">Registry:</w:t>
      </w:r>
      <w:r>
        <w:rPr>
          <w:sz w:val="20"/>
        </w:rPr>
        <w:t xml:space="preserve"> </w:t>
      </w:r>
      <w:r>
        <w:rPr>
          <w:sz w:val="20"/>
        </w:rPr>
        <w:t xml:space="preserve">Frage</w:t>
      </w:r>
      <w:r>
        <w:rPr>
          <w:sz w:val="20"/>
        </w:rPr>
        <w:t xml:space="preserve"> </w:t>
      </w:r>
      <w:r>
        <w:rPr>
          <w:rStyle w:val="VerbatimChar"/>
          <w:sz w:val="20"/>
        </w:rPr>
        <w:t xml:space="preserve">open</w:t>
      </w:r>
      <w:r>
        <w:rPr>
          <w:sz w:val="20"/>
        </w:rPr>
        <w:t xml:space="preserve">; Hypothese</w:t>
      </w:r>
      <w:r>
        <w:rPr>
          <w:sz w:val="20"/>
        </w:rPr>
        <w:t xml:space="preserve"> </w:t>
      </w:r>
      <w:r>
        <w:rPr>
          <w:rStyle w:val="VerbatimChar"/>
          <w:sz w:val="20"/>
        </w:rPr>
        <w:t xml:space="preserve">untested</w:t>
      </w:r>
      <w:r>
        <w:rPr>
          <w:sz w:val="20"/>
        </w:rPr>
        <w:t xml:space="preserve">.</w:t>
      </w:r>
      <w:r>
        <w:rPr>
          <w:sz w:val="20"/>
        </w:rPr>
        <w:t xml:space="preserve"> </w:t>
      </w:r>
      <w:r>
        <w:rPr>
          <w:b/>
          <w:bCs/>
          <w:sz w:val="20"/>
        </w:rPr>
        <w:t xml:space="preserve">Einordnung:</w:t>
      </w:r>
      <w:r>
        <w:rPr>
          <w:sz w:val="20"/>
        </w:rPr>
        <w:t xml:space="preserve"> </w:t>
      </w:r>
      <w:r>
        <w:rPr>
          <w:sz w:val="20"/>
        </w:rPr>
        <w:t xml:space="preserve">Im hier untersuchten Material kein passender freigegebener Ergebnisnachweis.</w:t>
      </w:r>
    </w:p>
    <w:bookmarkEnd w:id="641"/>
    <w:bookmarkStart w:id="642" w:name="Xaf2ed6201dd691b69979dbf1d0ceeaae9ab1ac6"/>
    <w:p>
      <w:pPr>
        <w:pStyle w:val="Heading3"/>
        <w:keepLines/>
        <w:spacing w:after="120"/>
        <w:jc w:val="left"/>
      </w:pPr>
      <w:r>
        <w:rPr>
          <w:sz w:val="20"/>
        </w:rPr>
        <w:t xml:space="preserve">RQ-HOM-002 - Zusammenspiel von Homeostase und STDP</w:t>
      </w:r>
    </w:p>
    <w:p>
      <w:pPr>
        <w:pStyle w:val="FirstParagraph"/>
        <w:keepLines/>
        <w:spacing w:after="120"/>
        <w:jc w:val="left"/>
      </w:pPr>
      <w:r>
        <w:rPr>
          <w:b/>
          <w:bCs/>
          <w:sz w:val="20"/>
        </w:rPr>
        <w:t xml:space="preserve">Hypothese:</w:t>
      </w:r>
      <w:r>
        <w:rPr>
          <w:sz w:val="20"/>
        </w:rPr>
        <w:t xml:space="preserve"> </w:t>
      </w:r>
      <w:r>
        <w:rPr>
          <w:rStyle w:val="VerbatimChar"/>
          <w:sz w:val="20"/>
        </w:rPr>
        <w:t xml:space="preserve">H-HOM-002-A</w:t>
      </w:r>
      <w:r>
        <w:rPr>
          <w:sz w:val="20"/>
        </w:rPr>
        <w:t xml:space="preserve">. Homeostase und STDP wirken synergistisch; Homeostase verhindert STDP-induzierte Drift.</w:t>
      </w:r>
    </w:p>
    <w:p>
      <w:pPr>
        <w:pStyle w:val="BodyText"/>
        <w:keepLines/>
        <w:spacing w:after="120"/>
        <w:jc w:val="left"/>
      </w:pPr>
      <w:r>
        <w:rPr>
          <w:b/>
          <w:bCs/>
          <w:sz w:val="20"/>
        </w:rPr>
        <w:t xml:space="preserve">Registry:</w:t>
      </w:r>
      <w:r>
        <w:rPr>
          <w:sz w:val="20"/>
        </w:rPr>
        <w:t xml:space="preserve"> </w:t>
      </w:r>
      <w:r>
        <w:rPr>
          <w:sz w:val="20"/>
        </w:rPr>
        <w:t xml:space="preserve">Frage</w:t>
      </w:r>
      <w:r>
        <w:rPr>
          <w:sz w:val="20"/>
        </w:rPr>
        <w:t xml:space="preserve"> </w:t>
      </w:r>
      <w:r>
        <w:rPr>
          <w:rStyle w:val="VerbatimChar"/>
          <w:sz w:val="20"/>
        </w:rPr>
        <w:t xml:space="preserve">open</w:t>
      </w:r>
      <w:r>
        <w:rPr>
          <w:sz w:val="20"/>
        </w:rPr>
        <w:t xml:space="preserve">; Hypothese</w:t>
      </w:r>
      <w:r>
        <w:rPr>
          <w:sz w:val="20"/>
        </w:rPr>
        <w:t xml:space="preserve"> </w:t>
      </w:r>
      <w:r>
        <w:rPr>
          <w:rStyle w:val="VerbatimChar"/>
          <w:sz w:val="20"/>
        </w:rPr>
        <w:t xml:space="preserve">untested</w:t>
      </w:r>
      <w:r>
        <w:rPr>
          <w:sz w:val="20"/>
        </w:rPr>
        <w:t xml:space="preserve">.</w:t>
      </w:r>
      <w:r>
        <w:rPr>
          <w:sz w:val="20"/>
        </w:rPr>
        <w:t xml:space="preserve"> </w:t>
      </w:r>
      <w:r>
        <w:rPr>
          <w:b/>
          <w:bCs/>
          <w:sz w:val="20"/>
        </w:rPr>
        <w:t xml:space="preserve">Einordnung:</w:t>
      </w:r>
      <w:r>
        <w:rPr>
          <w:sz w:val="20"/>
        </w:rPr>
        <w:t xml:space="preserve"> </w:t>
      </w:r>
      <w:r>
        <w:rPr>
          <w:sz w:val="20"/>
        </w:rPr>
        <w:t xml:space="preserve">Im hier untersuchten Material kein passender freigegebener Ergebnisnachweis.</w:t>
      </w:r>
    </w:p>
    <w:bookmarkEnd w:id="642"/>
    <w:bookmarkStart w:id="643" w:name="rq-5d-001---dynamik-in-5d-gegenüber-2d3d"/>
    <w:p>
      <w:pPr>
        <w:pStyle w:val="Heading3"/>
        <w:keepLines/>
        <w:spacing w:after="120"/>
        <w:jc w:val="left"/>
      </w:pPr>
      <w:r>
        <w:rPr>
          <w:sz w:val="20"/>
        </w:rPr>
        <w:t xml:space="preserve">RQ-5D-001 - Dynamik in 5D gegenüber 2D/3D</w:t>
      </w:r>
    </w:p>
    <w:p>
      <w:pPr>
        <w:pStyle w:val="FirstParagraph"/>
        <w:keepLines/>
        <w:spacing w:after="120"/>
        <w:jc w:val="left"/>
      </w:pPr>
      <w:r>
        <w:rPr>
          <w:b/>
          <w:bCs/>
          <w:sz w:val="20"/>
        </w:rPr>
        <w:t xml:space="preserve">Hypothese:</w:t>
      </w:r>
      <w:r>
        <w:rPr>
          <w:sz w:val="20"/>
        </w:rPr>
        <w:t xml:space="preserve"> </w:t>
      </w:r>
      <w:r>
        <w:rPr>
          <w:rStyle w:val="VerbatimChar"/>
          <w:sz w:val="20"/>
        </w:rPr>
        <w:t xml:space="preserve">H-5D-001-A</w:t>
      </w:r>
      <w:r>
        <w:rPr>
          <w:sz w:val="20"/>
        </w:rPr>
        <w:t xml:space="preserve">. Ein 5D-angeordnetes Netzwerk zeigt signifikant andere Dynamik als ein 2D/3D-Netzwerk gleicher Neuronenzahl.</w:t>
      </w:r>
    </w:p>
    <w:p>
      <w:pPr>
        <w:pStyle w:val="BodyText"/>
        <w:keepLines/>
        <w:spacing w:after="120"/>
        <w:jc w:val="left"/>
      </w:pPr>
      <w:r>
        <w:rPr>
          <w:b/>
          <w:bCs/>
          <w:sz w:val="20"/>
        </w:rPr>
        <w:t xml:space="preserve">Registry:</w:t>
      </w:r>
      <w:r>
        <w:rPr>
          <w:sz w:val="20"/>
        </w:rPr>
        <w:t xml:space="preserve"> </w:t>
      </w:r>
      <w:r>
        <w:rPr>
          <w:sz w:val="20"/>
        </w:rPr>
        <w:t xml:space="preserve">Frage</w:t>
      </w:r>
      <w:r>
        <w:rPr>
          <w:sz w:val="20"/>
        </w:rPr>
        <w:t xml:space="preserve"> </w:t>
      </w:r>
      <w:r>
        <w:rPr>
          <w:rStyle w:val="VerbatimChar"/>
          <w:sz w:val="20"/>
        </w:rPr>
        <w:t xml:space="preserve">open</w:t>
      </w:r>
      <w:r>
        <w:rPr>
          <w:sz w:val="20"/>
        </w:rPr>
        <w:t xml:space="preserve">; Hypothese</w:t>
      </w:r>
      <w:r>
        <w:rPr>
          <w:sz w:val="20"/>
        </w:rPr>
        <w:t xml:space="preserve"> </w:t>
      </w:r>
      <w:r>
        <w:rPr>
          <w:rStyle w:val="VerbatimChar"/>
          <w:sz w:val="20"/>
        </w:rPr>
        <w:t xml:space="preserve">untested</w:t>
      </w:r>
      <w:r>
        <w:rPr>
          <w:sz w:val="20"/>
        </w:rPr>
        <w:t xml:space="preserve">.</w:t>
      </w:r>
      <w:r>
        <w:rPr>
          <w:sz w:val="20"/>
        </w:rPr>
        <w:t xml:space="preserve"> </w:t>
      </w:r>
      <w:r>
        <w:rPr>
          <w:b/>
          <w:bCs/>
          <w:sz w:val="20"/>
        </w:rPr>
        <w:t xml:space="preserve">Einordnung:</w:t>
      </w:r>
      <w:r>
        <w:rPr>
          <w:sz w:val="20"/>
        </w:rPr>
        <w:t xml:space="preserve"> </w:t>
      </w:r>
      <w:r>
        <w:rPr>
          <w:sz w:val="20"/>
        </w:rPr>
        <w:t xml:space="preserve">Im kleinen Impulstest gleiche Kennzahlen. Dimensionsspezifischer funktionaler Vorteil nicht gezeigt.</w:t>
      </w:r>
    </w:p>
    <w:bookmarkEnd w:id="643"/>
    <w:bookmarkStart w:id="644" w:name="Xc4729d3680764f32593d75f76005bcfc53a54cc"/>
    <w:p>
      <w:pPr>
        <w:pStyle w:val="Heading3"/>
        <w:keepLines/>
        <w:spacing w:after="120"/>
        <w:jc w:val="left"/>
      </w:pPr>
      <w:r>
        <w:rPr>
          <w:sz w:val="20"/>
        </w:rPr>
        <w:t xml:space="preserve">RQ-5D-002 - Dimensionalität und Propagationszeit/-reichweite</w:t>
      </w:r>
    </w:p>
    <w:p>
      <w:pPr>
        <w:pStyle w:val="FirstParagraph"/>
        <w:keepLines/>
        <w:spacing w:after="120"/>
        <w:jc w:val="left"/>
      </w:pPr>
      <w:r>
        <w:rPr>
          <w:b/>
          <w:bCs/>
          <w:sz w:val="20"/>
        </w:rPr>
        <w:t xml:space="preserve">Hypothese:</w:t>
      </w:r>
      <w:r>
        <w:rPr>
          <w:sz w:val="20"/>
        </w:rPr>
        <w:t xml:space="preserve"> </w:t>
      </w:r>
      <w:r>
        <w:rPr>
          <w:rStyle w:val="VerbatimChar"/>
          <w:sz w:val="20"/>
        </w:rPr>
        <w:t xml:space="preserve">H-5D-002-A</w:t>
      </w:r>
      <w:r>
        <w:rPr>
          <w:sz w:val="20"/>
        </w:rPr>
        <w:t xml:space="preserve">. Signalpropagationszeit und -reichweite skalieren mit der Dimensionalität des Netzwerks.</w:t>
      </w:r>
    </w:p>
    <w:p>
      <w:pPr>
        <w:pStyle w:val="BodyText"/>
        <w:keepLines/>
        <w:spacing w:after="120"/>
        <w:jc w:val="left"/>
      </w:pPr>
      <w:r>
        <w:rPr>
          <w:b/>
          <w:bCs/>
          <w:sz w:val="20"/>
        </w:rPr>
        <w:t xml:space="preserve">Registry:</w:t>
      </w:r>
      <w:r>
        <w:rPr>
          <w:sz w:val="20"/>
        </w:rPr>
        <w:t xml:space="preserve"> </w:t>
      </w:r>
      <w:r>
        <w:rPr>
          <w:sz w:val="20"/>
        </w:rPr>
        <w:t xml:space="preserve">Frage</w:t>
      </w:r>
      <w:r>
        <w:rPr>
          <w:sz w:val="20"/>
        </w:rPr>
        <w:t xml:space="preserve"> </w:t>
      </w:r>
      <w:r>
        <w:rPr>
          <w:rStyle w:val="VerbatimChar"/>
          <w:sz w:val="20"/>
        </w:rPr>
        <w:t xml:space="preserve">open</w:t>
      </w:r>
      <w:r>
        <w:rPr>
          <w:sz w:val="20"/>
        </w:rPr>
        <w:t xml:space="preserve">; Hypothese</w:t>
      </w:r>
      <w:r>
        <w:rPr>
          <w:sz w:val="20"/>
        </w:rPr>
        <w:t xml:space="preserve"> </w:t>
      </w:r>
      <w:r>
        <w:rPr>
          <w:rStyle w:val="VerbatimChar"/>
          <w:sz w:val="20"/>
        </w:rPr>
        <w:t xml:space="preserve">untested</w:t>
      </w:r>
      <w:r>
        <w:rPr>
          <w:sz w:val="20"/>
        </w:rPr>
        <w:t xml:space="preserve">.</w:t>
      </w:r>
      <w:r>
        <w:rPr>
          <w:sz w:val="20"/>
        </w:rPr>
        <w:t xml:space="preserve"> </w:t>
      </w:r>
      <w:r>
        <w:rPr>
          <w:b/>
          <w:bCs/>
          <w:sz w:val="20"/>
        </w:rPr>
        <w:t xml:space="preserve">Einordnung:</w:t>
      </w:r>
      <w:r>
        <w:rPr>
          <w:sz w:val="20"/>
        </w:rPr>
        <w:t xml:space="preserve"> </w:t>
      </w:r>
      <w:r>
        <w:rPr>
          <w:sz w:val="20"/>
        </w:rPr>
        <w:t xml:space="preserve">Im kleinen Impulstest gleiche Kennzahlen. Dimensionsspezifischer funktionaler Vorteil nicht gezeigt.</w:t>
      </w:r>
    </w:p>
    <w:bookmarkEnd w:id="644"/>
    <w:bookmarkStart w:id="645" w:name="X41917f29965334acbe5437635a43699d3bfa626"/>
    <w:p>
      <w:pPr>
        <w:pStyle w:val="Heading3"/>
        <w:keepLines/>
        <w:spacing w:after="120"/>
        <w:jc w:val="left"/>
      </w:pPr>
      <w:r>
        <w:rPr>
          <w:sz w:val="20"/>
        </w:rPr>
        <w:t xml:space="preserve">RQ-5D-003 - Dimensionalität und Modularität</w:t>
      </w:r>
    </w:p>
    <w:p>
      <w:pPr>
        <w:pStyle w:val="FirstParagraph"/>
        <w:keepLines/>
        <w:spacing w:after="120"/>
        <w:jc w:val="left"/>
      </w:pPr>
      <w:r>
        <w:rPr>
          <w:b/>
          <w:bCs/>
          <w:sz w:val="20"/>
        </w:rPr>
        <w:t xml:space="preserve">Hypothese:</w:t>
      </w:r>
      <w:r>
        <w:rPr>
          <w:sz w:val="20"/>
        </w:rPr>
        <w:t xml:space="preserve"> </w:t>
      </w:r>
      <w:r>
        <w:rPr>
          <w:rStyle w:val="VerbatimChar"/>
          <w:sz w:val="20"/>
        </w:rPr>
        <w:t xml:space="preserve">H-5D-003-A</w:t>
      </w:r>
      <w:r>
        <w:rPr>
          <w:sz w:val="20"/>
        </w:rPr>
        <w:t xml:space="preserve">. 5D-Netzwerke entwickeln eine höhere Modularität als niedrigdimensionale Netzwerke.</w:t>
      </w:r>
    </w:p>
    <w:p>
      <w:pPr>
        <w:pStyle w:val="BodyText"/>
        <w:keepLines/>
        <w:spacing w:after="120"/>
        <w:jc w:val="left"/>
      </w:pPr>
      <w:r>
        <w:rPr>
          <w:b/>
          <w:bCs/>
          <w:sz w:val="20"/>
        </w:rPr>
        <w:t xml:space="preserve">Registry:</w:t>
      </w:r>
      <w:r>
        <w:rPr>
          <w:sz w:val="20"/>
        </w:rPr>
        <w:t xml:space="preserve"> </w:t>
      </w:r>
      <w:r>
        <w:rPr>
          <w:sz w:val="20"/>
        </w:rPr>
        <w:t xml:space="preserve">Frage</w:t>
      </w:r>
      <w:r>
        <w:rPr>
          <w:sz w:val="20"/>
        </w:rPr>
        <w:t xml:space="preserve"> </w:t>
      </w:r>
      <w:r>
        <w:rPr>
          <w:rStyle w:val="VerbatimChar"/>
          <w:sz w:val="20"/>
        </w:rPr>
        <w:t xml:space="preserve">open</w:t>
      </w:r>
      <w:r>
        <w:rPr>
          <w:sz w:val="20"/>
        </w:rPr>
        <w:t xml:space="preserve">; Hypothese</w:t>
      </w:r>
      <w:r>
        <w:rPr>
          <w:sz w:val="20"/>
        </w:rPr>
        <w:t xml:space="preserve"> </w:t>
      </w:r>
      <w:r>
        <w:rPr>
          <w:rStyle w:val="VerbatimChar"/>
          <w:sz w:val="20"/>
        </w:rPr>
        <w:t xml:space="preserve">untested</w:t>
      </w:r>
      <w:r>
        <w:rPr>
          <w:sz w:val="20"/>
        </w:rPr>
        <w:t xml:space="preserve">.</w:t>
      </w:r>
      <w:r>
        <w:rPr>
          <w:sz w:val="20"/>
        </w:rPr>
        <w:t xml:space="preserve"> </w:t>
      </w:r>
      <w:r>
        <w:rPr>
          <w:b/>
          <w:bCs/>
          <w:sz w:val="20"/>
        </w:rPr>
        <w:t xml:space="preserve">Einordnung:</w:t>
      </w:r>
      <w:r>
        <w:rPr>
          <w:sz w:val="20"/>
        </w:rPr>
        <w:t xml:space="preserve"> </w:t>
      </w:r>
      <w:r>
        <w:rPr>
          <w:sz w:val="20"/>
        </w:rPr>
        <w:t xml:space="preserve">Im hier untersuchten Material kein passender freigegebener Ergebnisnachweis.</w:t>
      </w:r>
    </w:p>
    <w:bookmarkEnd w:id="645"/>
    <w:bookmarkStart w:id="646" w:name="Xdb18c6944b2735304c32175d0205e8f8b700f41"/>
    <w:p>
      <w:pPr>
        <w:pStyle w:val="Heading3"/>
        <w:keepLines/>
        <w:spacing w:after="120"/>
        <w:jc w:val="left"/>
      </w:pPr>
      <w:r>
        <w:rPr>
          <w:sz w:val="20"/>
        </w:rPr>
        <w:t xml:space="preserve">RQ-5D-004 - Informationstragende oder redundante Zusatzdimensionen</w:t>
      </w:r>
    </w:p>
    <w:p>
      <w:pPr>
        <w:pStyle w:val="FirstParagraph"/>
        <w:keepLines/>
        <w:spacing w:after="120"/>
        <w:jc w:val="left"/>
      </w:pPr>
      <w:r>
        <w:rPr>
          <w:b/>
          <w:bCs/>
          <w:sz w:val="20"/>
        </w:rPr>
        <w:t xml:space="preserve">Hypothese:</w:t>
      </w:r>
      <w:r>
        <w:rPr>
          <w:sz w:val="20"/>
        </w:rPr>
        <w:t xml:space="preserve"> </w:t>
      </w:r>
      <w:r>
        <w:rPr>
          <w:rStyle w:val="VerbatimChar"/>
          <w:sz w:val="20"/>
        </w:rPr>
        <w:t xml:space="preserve">H-5D-004-A</w:t>
      </w:r>
      <w:r>
        <w:rPr>
          <w:sz w:val="20"/>
        </w:rPr>
        <w:t xml:space="preserve">. Die zusätzlichen Dimensionen in 5D sind informationstragend und nicht redundant.</w:t>
      </w:r>
    </w:p>
    <w:p>
      <w:pPr>
        <w:pStyle w:val="BodyText"/>
        <w:keepLines/>
        <w:spacing w:after="120"/>
        <w:jc w:val="left"/>
      </w:pPr>
      <w:r>
        <w:rPr>
          <w:b/>
          <w:bCs/>
          <w:sz w:val="20"/>
        </w:rPr>
        <w:t xml:space="preserve">Registry:</w:t>
      </w:r>
      <w:r>
        <w:rPr>
          <w:sz w:val="20"/>
        </w:rPr>
        <w:t xml:space="preserve"> </w:t>
      </w:r>
      <w:r>
        <w:rPr>
          <w:sz w:val="20"/>
        </w:rPr>
        <w:t xml:space="preserve">Frage</w:t>
      </w:r>
      <w:r>
        <w:rPr>
          <w:sz w:val="20"/>
        </w:rPr>
        <w:t xml:space="preserve"> </w:t>
      </w:r>
      <w:r>
        <w:rPr>
          <w:rStyle w:val="VerbatimChar"/>
          <w:sz w:val="20"/>
        </w:rPr>
        <w:t xml:space="preserve">open</w:t>
      </w:r>
      <w:r>
        <w:rPr>
          <w:sz w:val="20"/>
        </w:rPr>
        <w:t xml:space="preserve">; Hypothese</w:t>
      </w:r>
      <w:r>
        <w:rPr>
          <w:sz w:val="20"/>
        </w:rPr>
        <w:t xml:space="preserve"> </w:t>
      </w:r>
      <w:r>
        <w:rPr>
          <w:rStyle w:val="VerbatimChar"/>
          <w:sz w:val="20"/>
        </w:rPr>
        <w:t xml:space="preserve">untested</w:t>
      </w:r>
      <w:r>
        <w:rPr>
          <w:sz w:val="20"/>
        </w:rPr>
        <w:t xml:space="preserve">.</w:t>
      </w:r>
      <w:r>
        <w:rPr>
          <w:sz w:val="20"/>
        </w:rPr>
        <w:t xml:space="preserve"> </w:t>
      </w:r>
      <w:r>
        <w:rPr>
          <w:b/>
          <w:bCs/>
          <w:sz w:val="20"/>
        </w:rPr>
        <w:t xml:space="preserve">Einordnung:</w:t>
      </w:r>
      <w:r>
        <w:rPr>
          <w:sz w:val="20"/>
        </w:rPr>
        <w:t xml:space="preserve"> </w:t>
      </w:r>
      <w:r>
        <w:rPr>
          <w:sz w:val="20"/>
        </w:rPr>
        <w:t xml:space="preserve">Im kleinen Impulstest gleiche Kennzahlen. Dimensionsspezifischer funktionaler Vorteil nicht gezeigt.</w:t>
      </w:r>
    </w:p>
    <w:bookmarkEnd w:id="646"/>
    <w:bookmarkStart w:id="647" w:name="X6034776925551d5b3c8ba875f03003f02a850b9"/>
    <w:p>
      <w:pPr>
        <w:pStyle w:val="Heading3"/>
        <w:keepLines/>
        <w:spacing w:after="120"/>
        <w:jc w:val="left"/>
      </w:pPr>
      <w:r>
        <w:rPr>
          <w:sz w:val="20"/>
        </w:rPr>
        <w:t xml:space="preserve">RQ-STORAGE-001 - Verlustfreie Speicherung und Wiederherstellung</w:t>
      </w:r>
    </w:p>
    <w:p>
      <w:pPr>
        <w:pStyle w:val="FirstParagraph"/>
        <w:keepLines/>
        <w:spacing w:after="120"/>
        <w:jc w:val="left"/>
      </w:pPr>
      <w:r>
        <w:rPr>
          <w:b/>
          <w:bCs/>
          <w:sz w:val="20"/>
        </w:rPr>
        <w:t xml:space="preserve">Hypothese:</w:t>
      </w:r>
      <w:r>
        <w:rPr>
          <w:sz w:val="20"/>
        </w:rPr>
        <w:t xml:space="preserve"> </w:t>
      </w:r>
      <w:r>
        <w:rPr>
          <w:rStyle w:val="VerbatimChar"/>
          <w:sz w:val="20"/>
        </w:rPr>
        <w:t xml:space="preserve">H-STOR-001-A</w:t>
      </w:r>
      <w:r>
        <w:rPr>
          <w:sz w:val="20"/>
        </w:rPr>
        <w:t xml:space="preserve">. Ein vollständiger neuronaler Zustand kann verlustfrei im .b5d-Format gespeichert und zurückgeladen werden.</w:t>
      </w:r>
    </w:p>
    <w:p>
      <w:pPr>
        <w:pStyle w:val="BodyText"/>
        <w:keepLines/>
        <w:spacing w:after="120"/>
        <w:jc w:val="left"/>
      </w:pPr>
      <w:r>
        <w:rPr>
          <w:b/>
          <w:bCs/>
          <w:sz w:val="20"/>
        </w:rPr>
        <w:t xml:space="preserve">Registry:</w:t>
      </w:r>
      <w:r>
        <w:rPr>
          <w:sz w:val="20"/>
        </w:rPr>
        <w:t xml:space="preserve"> </w:t>
      </w:r>
      <w:r>
        <w:rPr>
          <w:sz w:val="20"/>
        </w:rPr>
        <w:t xml:space="preserve">Frage</w:t>
      </w:r>
      <w:r>
        <w:rPr>
          <w:sz w:val="20"/>
        </w:rPr>
        <w:t xml:space="preserve"> </w:t>
      </w:r>
      <w:r>
        <w:rPr>
          <w:rStyle w:val="VerbatimChar"/>
          <w:sz w:val="20"/>
        </w:rPr>
        <w:t xml:space="preserve">open</w:t>
      </w:r>
      <w:r>
        <w:rPr>
          <w:sz w:val="20"/>
        </w:rPr>
        <w:t xml:space="preserve">; Hypothese</w:t>
      </w:r>
      <w:r>
        <w:rPr>
          <w:sz w:val="20"/>
        </w:rPr>
        <w:t xml:space="preserve"> </w:t>
      </w:r>
      <w:r>
        <w:rPr>
          <w:rStyle w:val="VerbatimChar"/>
          <w:sz w:val="20"/>
        </w:rPr>
        <w:t xml:space="preserve">supported</w:t>
      </w:r>
      <w:r>
        <w:rPr>
          <w:sz w:val="20"/>
        </w:rPr>
        <w:t xml:space="preserve">.</w:t>
      </w:r>
      <w:r>
        <w:rPr>
          <w:sz w:val="20"/>
        </w:rPr>
        <w:t xml:space="preserve"> </w:t>
      </w:r>
      <w:r>
        <w:rPr>
          <w:b/>
          <w:bCs/>
          <w:sz w:val="20"/>
        </w:rPr>
        <w:t xml:space="preserve">Einordnung:</w:t>
      </w:r>
      <w:r>
        <w:rPr>
          <w:sz w:val="20"/>
        </w:rPr>
        <w:t xml:space="preserve"> </w:t>
      </w:r>
      <w:r>
        <w:rPr>
          <w:sz w:val="20"/>
        </w:rPr>
        <w:t xml:space="preserve">15 Speicher-Tests bestanden, ein 50k-Smoke-Test übersprungen. Registry supported; enger Testscope.</w:t>
      </w:r>
    </w:p>
    <w:bookmarkEnd w:id="647"/>
    <w:bookmarkStart w:id="648" w:name="X76c1185e7e7c3e276527917edcbe9a489bf45e1"/>
    <w:p>
      <w:pPr>
        <w:pStyle w:val="Heading3"/>
        <w:keepLines/>
        <w:spacing w:after="120"/>
        <w:jc w:val="left"/>
      </w:pPr>
      <w:r>
        <w:rPr>
          <w:sz w:val="20"/>
        </w:rPr>
        <w:t xml:space="preserve">RQ-STORAGE-002 - Notwendige Zustände für kausale Fortsetzung</w:t>
      </w:r>
    </w:p>
    <w:p>
      <w:pPr>
        <w:pStyle w:val="FirstParagraph"/>
        <w:keepLines/>
        <w:spacing w:after="120"/>
        <w:jc w:val="left"/>
      </w:pPr>
      <w:r>
        <w:rPr>
          <w:b/>
          <w:bCs/>
          <w:sz w:val="20"/>
        </w:rPr>
        <w:t xml:space="preserve">Hypothese:</w:t>
      </w:r>
      <w:r>
        <w:rPr>
          <w:sz w:val="20"/>
        </w:rPr>
        <w:t xml:space="preserve"> </w:t>
      </w:r>
      <w:r>
        <w:rPr>
          <w:rStyle w:val="VerbatimChar"/>
          <w:sz w:val="20"/>
        </w:rPr>
        <w:t xml:space="preserve">H-STOR-002-A</w:t>
      </w:r>
      <w:r>
        <w:rPr>
          <w:sz w:val="20"/>
        </w:rPr>
        <w:t xml:space="preserve">. Neuron-State, Synapsen-State, Eligibility-Traces, RNG-State und Event-Queue müssen für kausale Fortsetzung gespeichert werden.</w:t>
      </w:r>
    </w:p>
    <w:p>
      <w:pPr>
        <w:pStyle w:val="BodyText"/>
        <w:keepLines/>
        <w:spacing w:after="120"/>
        <w:jc w:val="left"/>
      </w:pPr>
      <w:r>
        <w:rPr>
          <w:b/>
          <w:bCs/>
          <w:sz w:val="20"/>
        </w:rPr>
        <w:t xml:space="preserve">Registry:</w:t>
      </w:r>
      <w:r>
        <w:rPr>
          <w:sz w:val="20"/>
        </w:rPr>
        <w:t xml:space="preserve"> </w:t>
      </w:r>
      <w:r>
        <w:rPr>
          <w:sz w:val="20"/>
        </w:rPr>
        <w:t xml:space="preserve">Frage</w:t>
      </w:r>
      <w:r>
        <w:rPr>
          <w:sz w:val="20"/>
        </w:rPr>
        <w:t xml:space="preserve"> </w:t>
      </w:r>
      <w:r>
        <w:rPr>
          <w:rStyle w:val="VerbatimChar"/>
          <w:sz w:val="20"/>
        </w:rPr>
        <w:t xml:space="preserve">open</w:t>
      </w:r>
      <w:r>
        <w:rPr>
          <w:sz w:val="20"/>
        </w:rPr>
        <w:t xml:space="preserve">; Hypothese</w:t>
      </w:r>
      <w:r>
        <w:rPr>
          <w:sz w:val="20"/>
        </w:rPr>
        <w:t xml:space="preserve"> </w:t>
      </w:r>
      <w:r>
        <w:rPr>
          <w:rStyle w:val="VerbatimChar"/>
          <w:sz w:val="20"/>
        </w:rPr>
        <w:t xml:space="preserve">untested</w:t>
      </w:r>
      <w:r>
        <w:rPr>
          <w:sz w:val="20"/>
        </w:rPr>
        <w:t xml:space="preserve">.</w:t>
      </w:r>
      <w:r>
        <w:rPr>
          <w:sz w:val="20"/>
        </w:rPr>
        <w:t xml:space="preserve"> </w:t>
      </w:r>
      <w:r>
        <w:rPr>
          <w:b/>
          <w:bCs/>
          <w:sz w:val="20"/>
        </w:rPr>
        <w:t xml:space="preserve">Einordnung:</w:t>
      </w:r>
      <w:r>
        <w:rPr>
          <w:sz w:val="20"/>
        </w:rPr>
        <w:t xml:space="preserve"> </w:t>
      </w:r>
      <w:r>
        <w:rPr>
          <w:sz w:val="20"/>
        </w:rPr>
        <w:t xml:space="preserve">Technischer Restore-Nachweis vorhanden; nicht jede weitergehende notwendige Zustandsbedingung einzeln bewiesen.</w:t>
      </w:r>
    </w:p>
    <w:bookmarkEnd w:id="648"/>
    <w:bookmarkStart w:id="649" w:name="Xee1a8ac1bbee9da9d64f2f337b25ea823514326"/>
    <w:p>
      <w:pPr>
        <w:pStyle w:val="Heading3"/>
        <w:keepLines/>
        <w:spacing w:after="120"/>
        <w:jc w:val="left"/>
      </w:pPr>
      <w:r>
        <w:rPr>
          <w:sz w:val="20"/>
        </w:rPr>
        <w:t xml:space="preserve">RQ-STORAGE-003 - Speicherdichte bei wachsender Neuronenzahl</w:t>
      </w:r>
    </w:p>
    <w:p>
      <w:pPr>
        <w:pStyle w:val="FirstParagraph"/>
        <w:keepLines/>
        <w:spacing w:after="120"/>
        <w:jc w:val="left"/>
      </w:pPr>
      <w:r>
        <w:rPr>
          <w:b/>
          <w:bCs/>
          <w:sz w:val="20"/>
        </w:rPr>
        <w:t xml:space="preserve">Hypothese:</w:t>
      </w:r>
      <w:r>
        <w:rPr>
          <w:sz w:val="20"/>
        </w:rPr>
        <w:t xml:space="preserve"> </w:t>
      </w:r>
      <w:r>
        <w:rPr>
          <w:rStyle w:val="VerbatimChar"/>
          <w:sz w:val="20"/>
        </w:rPr>
        <w:t xml:space="preserve">H-STOR-003-A</w:t>
      </w:r>
      <w:r>
        <w:rPr>
          <w:sz w:val="20"/>
        </w:rPr>
        <w:t xml:space="preserve">. Die Speicherdichte des .b5d-Formats skaliert sublinear mit der Neuronenzahl.</w:t>
      </w:r>
    </w:p>
    <w:p>
      <w:pPr>
        <w:pStyle w:val="BodyText"/>
        <w:keepLines/>
        <w:spacing w:after="120"/>
        <w:jc w:val="left"/>
      </w:pPr>
      <w:r>
        <w:rPr>
          <w:b/>
          <w:bCs/>
          <w:sz w:val="20"/>
        </w:rPr>
        <w:t xml:space="preserve">Registry:</w:t>
      </w:r>
      <w:r>
        <w:rPr>
          <w:sz w:val="20"/>
        </w:rPr>
        <w:t xml:space="preserve"> </w:t>
      </w:r>
      <w:r>
        <w:rPr>
          <w:sz w:val="20"/>
        </w:rPr>
        <w:t xml:space="preserve">Frage</w:t>
      </w:r>
      <w:r>
        <w:rPr>
          <w:sz w:val="20"/>
        </w:rPr>
        <w:t xml:space="preserve"> </w:t>
      </w:r>
      <w:r>
        <w:rPr>
          <w:rStyle w:val="VerbatimChar"/>
          <w:sz w:val="20"/>
        </w:rPr>
        <w:t xml:space="preserve">open</w:t>
      </w:r>
      <w:r>
        <w:rPr>
          <w:sz w:val="20"/>
        </w:rPr>
        <w:t xml:space="preserve">; Hypothese</w:t>
      </w:r>
      <w:r>
        <w:rPr>
          <w:sz w:val="20"/>
        </w:rPr>
        <w:t xml:space="preserve"> </w:t>
      </w:r>
      <w:r>
        <w:rPr>
          <w:rStyle w:val="VerbatimChar"/>
          <w:sz w:val="20"/>
        </w:rPr>
        <w:t xml:space="preserve">untested</w:t>
      </w:r>
      <w:r>
        <w:rPr>
          <w:sz w:val="20"/>
        </w:rPr>
        <w:t xml:space="preserve">.</w:t>
      </w:r>
      <w:r>
        <w:rPr>
          <w:sz w:val="20"/>
        </w:rPr>
        <w:t xml:space="preserve"> </w:t>
      </w:r>
      <w:r>
        <w:rPr>
          <w:b/>
          <w:bCs/>
          <w:sz w:val="20"/>
        </w:rPr>
        <w:t xml:space="preserve">Einordnung:</w:t>
      </w:r>
      <w:r>
        <w:rPr>
          <w:sz w:val="20"/>
        </w:rPr>
        <w:t xml:space="preserve"> </w:t>
      </w:r>
      <w:r>
        <w:rPr>
          <w:sz w:val="20"/>
        </w:rPr>
        <w:t xml:space="preserve">Im hier untersuchten Material kein passender freigegebener Ergebnisnachweis.</w:t>
      </w:r>
    </w:p>
    <w:bookmarkEnd w:id="649"/>
    <w:bookmarkStart w:id="650" w:name="Xed26424dd6ae2c41f65d3dfbc45d4ab8d45830a"/>
    <w:p>
      <w:pPr>
        <w:pStyle w:val="Heading3"/>
        <w:keepLines/>
        <w:spacing w:after="120"/>
        <w:jc w:val="left"/>
      </w:pPr>
      <w:r>
        <w:rPr>
          <w:sz w:val="20"/>
        </w:rPr>
        <w:t xml:space="preserve">RQ-STORAGE-004 - Speicherung grosser Netzwerke</w:t>
      </w:r>
    </w:p>
    <w:p>
      <w:pPr>
        <w:pStyle w:val="FirstParagraph"/>
        <w:keepLines/>
        <w:spacing w:after="120"/>
        <w:jc w:val="left"/>
      </w:pPr>
      <w:r>
        <w:rPr>
          <w:b/>
          <w:bCs/>
          <w:sz w:val="20"/>
        </w:rPr>
        <w:t xml:space="preserve">Hypothese:</w:t>
      </w:r>
      <w:r>
        <w:rPr>
          <w:sz w:val="20"/>
        </w:rPr>
        <w:t xml:space="preserve"> </w:t>
      </w:r>
      <w:r>
        <w:rPr>
          <w:rStyle w:val="VerbatimChar"/>
          <w:sz w:val="20"/>
        </w:rPr>
        <w:t xml:space="preserve">H-STOR-004-A</w:t>
      </w:r>
      <w:r>
        <w:rPr>
          <w:sz w:val="20"/>
        </w:rPr>
        <w:t xml:space="preserve">. Das .b5d-Format skaliert auf mindestens 50 Millionen Neuronen ohne Leistungseinbruch.</w:t>
      </w:r>
    </w:p>
    <w:p>
      <w:pPr>
        <w:pStyle w:val="BodyText"/>
        <w:keepLines/>
        <w:spacing w:after="120"/>
        <w:jc w:val="left"/>
      </w:pPr>
      <w:r>
        <w:rPr>
          <w:b/>
          <w:bCs/>
          <w:sz w:val="20"/>
        </w:rPr>
        <w:t xml:space="preserve">Registry:</w:t>
      </w:r>
      <w:r>
        <w:rPr>
          <w:sz w:val="20"/>
        </w:rPr>
        <w:t xml:space="preserve"> </w:t>
      </w:r>
      <w:r>
        <w:rPr>
          <w:sz w:val="20"/>
        </w:rPr>
        <w:t xml:space="preserve">Frage</w:t>
      </w:r>
      <w:r>
        <w:rPr>
          <w:sz w:val="20"/>
        </w:rPr>
        <w:t xml:space="preserve"> </w:t>
      </w:r>
      <w:r>
        <w:rPr>
          <w:rStyle w:val="VerbatimChar"/>
          <w:sz w:val="20"/>
        </w:rPr>
        <w:t xml:space="preserve">open</w:t>
      </w:r>
      <w:r>
        <w:rPr>
          <w:sz w:val="20"/>
        </w:rPr>
        <w:t xml:space="preserve">; Hypothese</w:t>
      </w:r>
      <w:r>
        <w:rPr>
          <w:sz w:val="20"/>
        </w:rPr>
        <w:t xml:space="preserve"> </w:t>
      </w:r>
      <w:r>
        <w:rPr>
          <w:rStyle w:val="VerbatimChar"/>
          <w:sz w:val="20"/>
        </w:rPr>
        <w:t xml:space="preserve">untested</w:t>
      </w:r>
      <w:r>
        <w:rPr>
          <w:sz w:val="20"/>
        </w:rPr>
        <w:t xml:space="preserve">.</w:t>
      </w:r>
      <w:r>
        <w:rPr>
          <w:sz w:val="20"/>
        </w:rPr>
        <w:t xml:space="preserve"> </w:t>
      </w:r>
      <w:r>
        <w:rPr>
          <w:b/>
          <w:bCs/>
          <w:sz w:val="20"/>
        </w:rPr>
        <w:t xml:space="preserve">Einordnung:</w:t>
      </w:r>
      <w:r>
        <w:rPr>
          <w:sz w:val="20"/>
        </w:rPr>
        <w:t xml:space="preserve"> </w:t>
      </w:r>
      <w:r>
        <w:rPr>
          <w:sz w:val="20"/>
        </w:rPr>
        <w:t xml:space="preserve">Im hier untersuchten Material kein passender freigegebener Ergebnisnachweis.</w:t>
      </w:r>
    </w:p>
    <w:bookmarkEnd w:id="650"/>
    <w:bookmarkStart w:id="651" w:name="X46948fa050ac633e42f00242f17fcab730c985e"/>
    <w:p>
      <w:pPr>
        <w:pStyle w:val="Heading3"/>
        <w:keepLines/>
        <w:spacing w:after="120"/>
        <w:jc w:val="left"/>
      </w:pPr>
      <w:r>
        <w:rPr>
          <w:sz w:val="20"/>
        </w:rPr>
        <w:t xml:space="preserve">RQ-SCALE-001 - Dynamikerhalt beim Skalieren</w:t>
      </w:r>
    </w:p>
    <w:p>
      <w:pPr>
        <w:pStyle w:val="FirstParagraph"/>
        <w:keepLines/>
        <w:spacing w:after="120"/>
        <w:jc w:val="left"/>
      </w:pPr>
      <w:r>
        <w:rPr>
          <w:b/>
          <w:bCs/>
          <w:sz w:val="20"/>
        </w:rPr>
        <w:t xml:space="preserve">Hypothese:</w:t>
      </w:r>
      <w:r>
        <w:rPr>
          <w:sz w:val="20"/>
        </w:rPr>
        <w:t xml:space="preserve"> </w:t>
      </w:r>
      <w:r>
        <w:rPr>
          <w:rStyle w:val="VerbatimChar"/>
          <w:sz w:val="20"/>
        </w:rPr>
        <w:t xml:space="preserve">H-SCALE-001-A</w:t>
      </w:r>
      <w:r>
        <w:rPr>
          <w:sz w:val="20"/>
        </w:rPr>
        <w:t xml:space="preserve">. Brain-5D skaliert von 5.000 auf 1.000.000 Neuronen ohne qualitative Änderung der Spikedynamik.</w:t>
      </w:r>
    </w:p>
    <w:p>
      <w:pPr>
        <w:pStyle w:val="BodyText"/>
        <w:keepLines/>
        <w:spacing w:after="120"/>
        <w:jc w:val="left"/>
      </w:pPr>
      <w:r>
        <w:rPr>
          <w:b/>
          <w:bCs/>
          <w:sz w:val="20"/>
        </w:rPr>
        <w:t xml:space="preserve">Registry:</w:t>
      </w:r>
      <w:r>
        <w:rPr>
          <w:sz w:val="20"/>
        </w:rPr>
        <w:t xml:space="preserve"> </w:t>
      </w:r>
      <w:r>
        <w:rPr>
          <w:sz w:val="20"/>
        </w:rPr>
        <w:t xml:space="preserve">Frage</w:t>
      </w:r>
      <w:r>
        <w:rPr>
          <w:sz w:val="20"/>
        </w:rPr>
        <w:t xml:space="preserve"> </w:t>
      </w:r>
      <w:r>
        <w:rPr>
          <w:rStyle w:val="VerbatimChar"/>
          <w:sz w:val="20"/>
        </w:rPr>
        <w:t xml:space="preserve">open</w:t>
      </w:r>
      <w:r>
        <w:rPr>
          <w:sz w:val="20"/>
        </w:rPr>
        <w:t xml:space="preserve">; Hypothese</w:t>
      </w:r>
      <w:r>
        <w:rPr>
          <w:sz w:val="20"/>
        </w:rPr>
        <w:t xml:space="preserve"> </w:t>
      </w:r>
      <w:r>
        <w:rPr>
          <w:rStyle w:val="VerbatimChar"/>
          <w:sz w:val="20"/>
        </w:rPr>
        <w:t xml:space="preserve">untested</w:t>
      </w:r>
      <w:r>
        <w:rPr>
          <w:sz w:val="20"/>
        </w:rPr>
        <w:t xml:space="preserve">.</w:t>
      </w:r>
      <w:r>
        <w:rPr>
          <w:sz w:val="20"/>
        </w:rPr>
        <w:t xml:space="preserve"> </w:t>
      </w:r>
      <w:r>
        <w:rPr>
          <w:b/>
          <w:bCs/>
          <w:sz w:val="20"/>
        </w:rPr>
        <w:t xml:space="preserve">Einordnung:</w:t>
      </w:r>
      <w:r>
        <w:rPr>
          <w:sz w:val="20"/>
        </w:rPr>
        <w:t xml:space="preserve"> </w:t>
      </w:r>
      <w:r>
        <w:rPr>
          <w:sz w:val="20"/>
        </w:rPr>
        <w:t xml:space="preserve">Im hier untersuchten Material kein passender freigegebener Ergebnisnachweis.</w:t>
      </w:r>
    </w:p>
    <w:bookmarkEnd w:id="651"/>
    <w:bookmarkStart w:id="652" w:name="Xb9f15364d425ad6cc23bd0fbd55d73ffa56a04c"/>
    <w:p>
      <w:pPr>
        <w:pStyle w:val="Heading3"/>
        <w:keepLines/>
        <w:spacing w:after="120"/>
        <w:jc w:val="left"/>
      </w:pPr>
      <w:r>
        <w:rPr>
          <w:sz w:val="20"/>
        </w:rPr>
        <w:t xml:space="preserve">RQ-SELF-001 - Spontane funktionale Cluster</w:t>
      </w:r>
    </w:p>
    <w:p>
      <w:pPr>
        <w:pStyle w:val="FirstParagraph"/>
        <w:keepLines/>
        <w:spacing w:after="120"/>
        <w:jc w:val="left"/>
      </w:pPr>
      <w:r>
        <w:rPr>
          <w:b/>
          <w:bCs/>
          <w:sz w:val="20"/>
        </w:rPr>
        <w:t xml:space="preserve">Hypothese:</w:t>
      </w:r>
      <w:r>
        <w:rPr>
          <w:sz w:val="20"/>
        </w:rPr>
        <w:t xml:space="preserve"> </w:t>
      </w:r>
      <w:r>
        <w:rPr>
          <w:rStyle w:val="VerbatimChar"/>
          <w:sz w:val="20"/>
        </w:rPr>
        <w:t xml:space="preserve">H-SELF-001-A</w:t>
      </w:r>
      <w:r>
        <w:rPr>
          <w:sz w:val="20"/>
        </w:rPr>
        <w:t xml:space="preserve">. In Brain-5D entstehen spontan funktionale Cluster durch lokale STDP-Regeln.</w:t>
      </w:r>
    </w:p>
    <w:p>
      <w:pPr>
        <w:pStyle w:val="BodyText"/>
        <w:keepLines/>
        <w:spacing w:after="120"/>
        <w:jc w:val="left"/>
      </w:pPr>
      <w:r>
        <w:rPr>
          <w:b/>
          <w:bCs/>
          <w:sz w:val="20"/>
        </w:rPr>
        <w:t xml:space="preserve">Registry:</w:t>
      </w:r>
      <w:r>
        <w:rPr>
          <w:sz w:val="20"/>
        </w:rPr>
        <w:t xml:space="preserve"> </w:t>
      </w:r>
      <w:r>
        <w:rPr>
          <w:sz w:val="20"/>
        </w:rPr>
        <w:t xml:space="preserve">Frage</w:t>
      </w:r>
      <w:r>
        <w:rPr>
          <w:sz w:val="20"/>
        </w:rPr>
        <w:t xml:space="preserve"> </w:t>
      </w:r>
      <w:r>
        <w:rPr>
          <w:rStyle w:val="VerbatimChar"/>
          <w:sz w:val="20"/>
        </w:rPr>
        <w:t xml:space="preserve">open</w:t>
      </w:r>
      <w:r>
        <w:rPr>
          <w:sz w:val="20"/>
        </w:rPr>
        <w:t xml:space="preserve">; Hypothese</w:t>
      </w:r>
      <w:r>
        <w:rPr>
          <w:sz w:val="20"/>
        </w:rPr>
        <w:t xml:space="preserve"> </w:t>
      </w:r>
      <w:r>
        <w:rPr>
          <w:rStyle w:val="VerbatimChar"/>
          <w:sz w:val="20"/>
        </w:rPr>
        <w:t xml:space="preserve">untested</w:t>
      </w:r>
      <w:r>
        <w:rPr>
          <w:sz w:val="20"/>
        </w:rPr>
        <w:t xml:space="preserve">.</w:t>
      </w:r>
      <w:r>
        <w:rPr>
          <w:sz w:val="20"/>
        </w:rPr>
        <w:t xml:space="preserve"> </w:t>
      </w:r>
      <w:r>
        <w:rPr>
          <w:b/>
          <w:bCs/>
          <w:sz w:val="20"/>
        </w:rPr>
        <w:t xml:space="preserve">Einordnung:</w:t>
      </w:r>
      <w:r>
        <w:rPr>
          <w:sz w:val="20"/>
        </w:rPr>
        <w:t xml:space="preserve"> </w:t>
      </w:r>
      <w:r>
        <w:rPr>
          <w:sz w:val="20"/>
        </w:rPr>
        <w:t xml:space="preserve">Im hier untersuchten Material kein passender freigegebener Ergebnisnachweis.</w:t>
      </w:r>
    </w:p>
    <w:bookmarkEnd w:id="652"/>
    <w:bookmarkStart w:id="653" w:name="Xaa8bda34a087910958f96bf09ba24f9c18c3f37"/>
    <w:p>
      <w:pPr>
        <w:pStyle w:val="Heading3"/>
        <w:keepLines/>
        <w:spacing w:after="120"/>
        <w:jc w:val="left"/>
      </w:pPr>
      <w:r>
        <w:rPr>
          <w:sz w:val="20"/>
        </w:rPr>
        <w:t xml:space="preserve">RQ-SELF-002 - Emergenz oder Architekturfolge</w:t>
      </w:r>
    </w:p>
    <w:p>
      <w:pPr>
        <w:pStyle w:val="FirstParagraph"/>
        <w:keepLines/>
        <w:spacing w:after="120"/>
        <w:jc w:val="left"/>
      </w:pPr>
      <w:r>
        <w:rPr>
          <w:b/>
          <w:bCs/>
          <w:sz w:val="20"/>
        </w:rPr>
        <w:t xml:space="preserve">Hypothese:</w:t>
      </w:r>
      <w:r>
        <w:rPr>
          <w:sz w:val="20"/>
        </w:rPr>
        <w:t xml:space="preserve"> </w:t>
      </w:r>
      <w:r>
        <w:rPr>
          <w:rStyle w:val="VerbatimChar"/>
          <w:sz w:val="20"/>
        </w:rPr>
        <w:t xml:space="preserve">H-SELF-002-A</w:t>
      </w:r>
      <w:r>
        <w:rPr>
          <w:sz w:val="20"/>
        </w:rPr>
        <w:t xml:space="preserve">. Die beobachtete Selbstorganisation ist emergent und nicht durch die Architektur vorgegeben.</w:t>
      </w:r>
    </w:p>
    <w:p>
      <w:pPr>
        <w:pStyle w:val="BodyText"/>
        <w:keepLines/>
        <w:spacing w:after="120"/>
        <w:jc w:val="left"/>
      </w:pPr>
      <w:r>
        <w:rPr>
          <w:b/>
          <w:bCs/>
          <w:sz w:val="20"/>
        </w:rPr>
        <w:t xml:space="preserve">Registry:</w:t>
      </w:r>
      <w:r>
        <w:rPr>
          <w:sz w:val="20"/>
        </w:rPr>
        <w:t xml:space="preserve"> </w:t>
      </w:r>
      <w:r>
        <w:rPr>
          <w:sz w:val="20"/>
        </w:rPr>
        <w:t xml:space="preserve">Frage</w:t>
      </w:r>
      <w:r>
        <w:rPr>
          <w:sz w:val="20"/>
        </w:rPr>
        <w:t xml:space="preserve"> </w:t>
      </w:r>
      <w:r>
        <w:rPr>
          <w:rStyle w:val="VerbatimChar"/>
          <w:sz w:val="20"/>
        </w:rPr>
        <w:t xml:space="preserve">open</w:t>
      </w:r>
      <w:r>
        <w:rPr>
          <w:sz w:val="20"/>
        </w:rPr>
        <w:t xml:space="preserve">; Hypothese</w:t>
      </w:r>
      <w:r>
        <w:rPr>
          <w:sz w:val="20"/>
        </w:rPr>
        <w:t xml:space="preserve"> </w:t>
      </w:r>
      <w:r>
        <w:rPr>
          <w:rStyle w:val="VerbatimChar"/>
          <w:sz w:val="20"/>
        </w:rPr>
        <w:t xml:space="preserve">untested</w:t>
      </w:r>
      <w:r>
        <w:rPr>
          <w:sz w:val="20"/>
        </w:rPr>
        <w:t xml:space="preserve">.</w:t>
      </w:r>
      <w:r>
        <w:rPr>
          <w:sz w:val="20"/>
        </w:rPr>
        <w:t xml:space="preserve"> </w:t>
      </w:r>
      <w:r>
        <w:rPr>
          <w:b/>
          <w:bCs/>
          <w:sz w:val="20"/>
        </w:rPr>
        <w:t xml:space="preserve">Einordnung:</w:t>
      </w:r>
      <w:r>
        <w:rPr>
          <w:sz w:val="20"/>
        </w:rPr>
        <w:t xml:space="preserve"> </w:t>
      </w:r>
      <w:r>
        <w:rPr>
          <w:sz w:val="20"/>
        </w:rPr>
        <w:t xml:space="preserve">Im hier untersuchten Material kein passender freigegebener Ergebnisnachweis.</w:t>
      </w:r>
    </w:p>
    <w:bookmarkEnd w:id="653"/>
    <w:bookmarkStart w:id="654" w:name="Xfb941cc8cca3e79437ea98b0b9420ef9c4db4aa"/>
    <w:p>
      <w:pPr>
        <w:pStyle w:val="Heading3"/>
        <w:keepLines/>
        <w:spacing w:after="120"/>
        <w:jc w:val="left"/>
      </w:pPr>
      <w:r>
        <w:rPr>
          <w:sz w:val="20"/>
        </w:rPr>
        <w:t xml:space="preserve">RQ-STRUCT-001 - Funktionaler Nutzen struktureller Plastizität</w:t>
      </w:r>
    </w:p>
    <w:p>
      <w:pPr>
        <w:pStyle w:val="FirstParagraph"/>
        <w:keepLines/>
        <w:spacing w:after="120"/>
        <w:jc w:val="left"/>
      </w:pPr>
      <w:r>
        <w:rPr>
          <w:b/>
          <w:bCs/>
          <w:sz w:val="20"/>
        </w:rPr>
        <w:t xml:space="preserve">Hypothese:</w:t>
      </w:r>
      <w:r>
        <w:rPr>
          <w:sz w:val="20"/>
        </w:rPr>
        <w:t xml:space="preserve"> </w:t>
      </w:r>
      <w:r>
        <w:rPr>
          <w:rStyle w:val="VerbatimChar"/>
          <w:sz w:val="20"/>
        </w:rPr>
        <w:t xml:space="preserve">H-STRUCT-001-A</w:t>
      </w:r>
      <w:r>
        <w:rPr>
          <w:sz w:val="20"/>
        </w:rPr>
        <w:t xml:space="preserve">. Pruning/Sprouting führt zu messbar verbesserter Netzwerkeffizienz.</w:t>
      </w:r>
    </w:p>
    <w:p>
      <w:pPr>
        <w:pStyle w:val="BodyText"/>
        <w:keepLines/>
        <w:spacing w:after="120"/>
        <w:jc w:val="left"/>
      </w:pPr>
      <w:r>
        <w:rPr>
          <w:b/>
          <w:bCs/>
          <w:sz w:val="20"/>
        </w:rPr>
        <w:t xml:space="preserve">Registry:</w:t>
      </w:r>
      <w:r>
        <w:rPr>
          <w:sz w:val="20"/>
        </w:rPr>
        <w:t xml:space="preserve"> </w:t>
      </w:r>
      <w:r>
        <w:rPr>
          <w:sz w:val="20"/>
        </w:rPr>
        <w:t xml:space="preserve">Frage</w:t>
      </w:r>
      <w:r>
        <w:rPr>
          <w:sz w:val="20"/>
        </w:rPr>
        <w:t xml:space="preserve"> </w:t>
      </w:r>
      <w:r>
        <w:rPr>
          <w:rStyle w:val="VerbatimChar"/>
          <w:sz w:val="20"/>
        </w:rPr>
        <w:t xml:space="preserve">open</w:t>
      </w:r>
      <w:r>
        <w:rPr>
          <w:sz w:val="20"/>
        </w:rPr>
        <w:t xml:space="preserve">; Hypothese</w:t>
      </w:r>
      <w:r>
        <w:rPr>
          <w:sz w:val="20"/>
        </w:rPr>
        <w:t xml:space="preserve"> </w:t>
      </w:r>
      <w:r>
        <w:rPr>
          <w:rStyle w:val="VerbatimChar"/>
          <w:sz w:val="20"/>
        </w:rPr>
        <w:t xml:space="preserve">untested</w:t>
      </w:r>
      <w:r>
        <w:rPr>
          <w:sz w:val="20"/>
        </w:rPr>
        <w:t xml:space="preserve">.</w:t>
      </w:r>
      <w:r>
        <w:rPr>
          <w:sz w:val="20"/>
        </w:rPr>
        <w:t xml:space="preserve"> </w:t>
      </w:r>
      <w:r>
        <w:rPr>
          <w:b/>
          <w:bCs/>
          <w:sz w:val="20"/>
        </w:rPr>
        <w:t xml:space="preserve">Einordnung:</w:t>
      </w:r>
      <w:r>
        <w:rPr>
          <w:sz w:val="20"/>
        </w:rPr>
        <w:t xml:space="preserve"> </w:t>
      </w:r>
      <w:r>
        <w:rPr>
          <w:sz w:val="20"/>
        </w:rPr>
        <w:t xml:space="preserve">Im hier untersuchten Material kein passender freigegebener Ergebnisnachweis.</w:t>
      </w:r>
    </w:p>
    <w:bookmarkEnd w:id="654"/>
    <w:bookmarkStart w:id="655" w:name="X3eb09e6bfa98cc446d627a3e70d1f9ab61fcc3c"/>
    <w:p>
      <w:pPr>
        <w:pStyle w:val="Heading3"/>
        <w:keepLines/>
        <w:spacing w:after="120"/>
        <w:jc w:val="left"/>
      </w:pPr>
      <w:r>
        <w:rPr>
          <w:sz w:val="20"/>
        </w:rPr>
        <w:t xml:space="preserve">RQ-MEM-001 - Synaptisches Speichern und gezielter Abruf</w:t>
      </w:r>
    </w:p>
    <w:p>
      <w:pPr>
        <w:pStyle w:val="FirstParagraph"/>
        <w:keepLines/>
        <w:spacing w:after="120"/>
        <w:jc w:val="left"/>
      </w:pPr>
      <w:r>
        <w:rPr>
          <w:b/>
          <w:bCs/>
          <w:sz w:val="20"/>
        </w:rPr>
        <w:t xml:space="preserve">Hypothese:</w:t>
      </w:r>
      <w:r>
        <w:rPr>
          <w:sz w:val="20"/>
        </w:rPr>
        <w:t xml:space="preserve"> </w:t>
      </w:r>
      <w:r>
        <w:rPr>
          <w:rStyle w:val="VerbatimChar"/>
          <w:sz w:val="20"/>
        </w:rPr>
        <w:t xml:space="preserve">H-MEM-001-A</w:t>
      </w:r>
      <w:r>
        <w:rPr>
          <w:sz w:val="20"/>
        </w:rPr>
        <w:t xml:space="preserve">. Brain-5D kann Informationen über synaptische Gewichte speichern und auf Input-Muster abrufen.</w:t>
      </w:r>
    </w:p>
    <w:p>
      <w:pPr>
        <w:pStyle w:val="BodyText"/>
        <w:keepLines/>
        <w:spacing w:after="120"/>
        <w:jc w:val="left"/>
      </w:pPr>
      <w:r>
        <w:rPr>
          <w:b/>
          <w:bCs/>
          <w:sz w:val="20"/>
        </w:rPr>
        <w:t xml:space="preserve">Registry:</w:t>
      </w:r>
      <w:r>
        <w:rPr>
          <w:sz w:val="20"/>
        </w:rPr>
        <w:t xml:space="preserve"> </w:t>
      </w:r>
      <w:r>
        <w:rPr>
          <w:sz w:val="20"/>
        </w:rPr>
        <w:t xml:space="preserve">Frage</w:t>
      </w:r>
      <w:r>
        <w:rPr>
          <w:sz w:val="20"/>
        </w:rPr>
        <w:t xml:space="preserve"> </w:t>
      </w:r>
      <w:r>
        <w:rPr>
          <w:rStyle w:val="VerbatimChar"/>
          <w:sz w:val="20"/>
        </w:rPr>
        <w:t xml:space="preserve">open</w:t>
      </w:r>
      <w:r>
        <w:rPr>
          <w:sz w:val="20"/>
        </w:rPr>
        <w:t xml:space="preserve">; Hypothese</w:t>
      </w:r>
      <w:r>
        <w:rPr>
          <w:sz w:val="20"/>
        </w:rPr>
        <w:t xml:space="preserve"> </w:t>
      </w:r>
      <w:r>
        <w:rPr>
          <w:rStyle w:val="VerbatimChar"/>
          <w:sz w:val="20"/>
        </w:rPr>
        <w:t xml:space="preserve">untested</w:t>
      </w:r>
      <w:r>
        <w:rPr>
          <w:sz w:val="20"/>
        </w:rPr>
        <w:t xml:space="preserve">.</w:t>
      </w:r>
      <w:r>
        <w:rPr>
          <w:sz w:val="20"/>
        </w:rPr>
        <w:t xml:space="preserve"> </w:t>
      </w:r>
      <w:r>
        <w:rPr>
          <w:b/>
          <w:bCs/>
          <w:sz w:val="20"/>
        </w:rPr>
        <w:t xml:space="preserve">Einordnung:</w:t>
      </w:r>
      <w:r>
        <w:rPr>
          <w:sz w:val="20"/>
        </w:rPr>
        <w:t xml:space="preserve"> </w:t>
      </w:r>
      <w:r>
        <w:rPr>
          <w:sz w:val="20"/>
        </w:rPr>
        <w:t xml:space="preserve">Speicherfunktion ist kein isolierter Erinnerungsabruf. Passender Funktionsnachweis offen.</w:t>
      </w:r>
    </w:p>
    <w:bookmarkEnd w:id="655"/>
    <w:bookmarkStart w:id="656" w:name="X31dedbe336f263fabd1b9d418132d3fd4356b1d"/>
    <w:p>
      <w:pPr>
        <w:pStyle w:val="Heading3"/>
        <w:keepLines/>
        <w:spacing w:after="120"/>
        <w:jc w:val="left"/>
      </w:pPr>
      <w:r>
        <w:rPr>
          <w:sz w:val="20"/>
        </w:rPr>
        <w:t xml:space="preserve">RQ-EMB-001 - Zielgerichtete Sensor-Aktor-Schleife</w:t>
      </w:r>
    </w:p>
    <w:p>
      <w:pPr>
        <w:pStyle w:val="FirstParagraph"/>
        <w:keepLines/>
        <w:spacing w:after="120"/>
        <w:jc w:val="left"/>
      </w:pPr>
      <w:r>
        <w:rPr>
          <w:b/>
          <w:bCs/>
          <w:sz w:val="20"/>
        </w:rPr>
        <w:t xml:space="preserve">Hypothese:</w:t>
      </w:r>
      <w:r>
        <w:rPr>
          <w:sz w:val="20"/>
        </w:rPr>
        <w:t xml:space="preserve"> </w:t>
      </w:r>
      <w:r>
        <w:rPr>
          <w:rStyle w:val="VerbatimChar"/>
          <w:sz w:val="20"/>
        </w:rPr>
        <w:t xml:space="preserve">H-EMB-001-A</w:t>
      </w:r>
      <w:r>
        <w:rPr>
          <w:sz w:val="20"/>
        </w:rPr>
        <w:t xml:space="preserve">. Brain-5D kann in einer geschlossenen Sensor-Aktor-Schleife zielgerichtet agieren.</w:t>
      </w:r>
    </w:p>
    <w:p>
      <w:pPr>
        <w:pStyle w:val="BodyText"/>
        <w:keepLines/>
        <w:spacing w:after="120"/>
        <w:jc w:val="left"/>
      </w:pPr>
      <w:r>
        <w:rPr>
          <w:b/>
          <w:bCs/>
          <w:sz w:val="20"/>
        </w:rPr>
        <w:t xml:space="preserve">Registry:</w:t>
      </w:r>
      <w:r>
        <w:rPr>
          <w:sz w:val="20"/>
        </w:rPr>
        <w:t xml:space="preserve"> </w:t>
      </w:r>
      <w:r>
        <w:rPr>
          <w:sz w:val="20"/>
        </w:rPr>
        <w:t xml:space="preserve">Frage</w:t>
      </w:r>
      <w:r>
        <w:rPr>
          <w:sz w:val="20"/>
        </w:rPr>
        <w:t xml:space="preserve"> </w:t>
      </w:r>
      <w:r>
        <w:rPr>
          <w:rStyle w:val="VerbatimChar"/>
          <w:sz w:val="20"/>
        </w:rPr>
        <w:t xml:space="preserve">open</w:t>
      </w:r>
      <w:r>
        <w:rPr>
          <w:sz w:val="20"/>
        </w:rPr>
        <w:t xml:space="preserve">; Hypothese</w:t>
      </w:r>
      <w:r>
        <w:rPr>
          <w:sz w:val="20"/>
        </w:rPr>
        <w:t xml:space="preserve"> </w:t>
      </w:r>
      <w:r>
        <w:rPr>
          <w:rStyle w:val="VerbatimChar"/>
          <w:sz w:val="20"/>
        </w:rPr>
        <w:t xml:space="preserve">untested</w:t>
      </w:r>
      <w:r>
        <w:rPr>
          <w:sz w:val="20"/>
        </w:rPr>
        <w:t xml:space="preserve">.</w:t>
      </w:r>
      <w:r>
        <w:rPr>
          <w:sz w:val="20"/>
        </w:rPr>
        <w:t xml:space="preserve"> </w:t>
      </w:r>
      <w:r>
        <w:rPr>
          <w:b/>
          <w:bCs/>
          <w:sz w:val="20"/>
        </w:rPr>
        <w:t xml:space="preserve">Einordnung:</w:t>
      </w:r>
      <w:r>
        <w:rPr>
          <w:sz w:val="20"/>
        </w:rPr>
        <w:t xml:space="preserve"> </w:t>
      </w:r>
      <w:r>
        <w:rPr>
          <w:sz w:val="20"/>
        </w:rPr>
        <w:t xml:space="preserve">Im hier untersuchten Material kein passender freigegebener Ergebnisnachweis.</w:t>
      </w:r>
    </w:p>
    <w:bookmarkEnd w:id="656"/>
    <w:bookmarkStart w:id="657" w:name="X095c9fc9728d43521d2f39ce960e34137744db0"/>
    <w:p>
      <w:pPr>
        <w:pStyle w:val="Heading3"/>
        <w:keepLines/>
        <w:spacing w:after="120"/>
        <w:jc w:val="left"/>
      </w:pPr>
      <w:r>
        <w:rPr>
          <w:sz w:val="20"/>
        </w:rPr>
        <w:t xml:space="preserve">RQ-LLM-001 - Kommunikation durch das Language Organ</w:t>
      </w:r>
    </w:p>
    <w:p>
      <w:pPr>
        <w:pStyle w:val="FirstParagraph"/>
        <w:keepLines/>
        <w:spacing w:after="120"/>
        <w:jc w:val="left"/>
      </w:pPr>
      <w:r>
        <w:rPr>
          <w:b/>
          <w:bCs/>
          <w:sz w:val="20"/>
        </w:rPr>
        <w:t xml:space="preserve">Hypothese:</w:t>
      </w:r>
      <w:r>
        <w:rPr>
          <w:sz w:val="20"/>
        </w:rPr>
        <w:t xml:space="preserve"> </w:t>
      </w:r>
      <w:r>
        <w:rPr>
          <w:rStyle w:val="VerbatimChar"/>
          <w:sz w:val="20"/>
        </w:rPr>
        <w:t xml:space="preserve">H-LLM-001-A</w:t>
      </w:r>
      <w:r>
        <w:rPr>
          <w:sz w:val="20"/>
        </w:rPr>
        <w:t xml:space="preserve">. Ein Language Organ kann SNN-Zustände in sinnvolle natürliche Sprache übersetzen.</w:t>
      </w:r>
    </w:p>
    <w:p>
      <w:pPr>
        <w:pStyle w:val="BodyText"/>
        <w:keepLines/>
        <w:spacing w:after="120"/>
        <w:jc w:val="left"/>
      </w:pPr>
      <w:r>
        <w:rPr>
          <w:b/>
          <w:bCs/>
          <w:sz w:val="20"/>
        </w:rPr>
        <w:t xml:space="preserve">Registry:</w:t>
      </w:r>
      <w:r>
        <w:rPr>
          <w:sz w:val="20"/>
        </w:rPr>
        <w:t xml:space="preserve"> </w:t>
      </w:r>
      <w:r>
        <w:rPr>
          <w:sz w:val="20"/>
        </w:rPr>
        <w:t xml:space="preserve">Frage</w:t>
      </w:r>
      <w:r>
        <w:rPr>
          <w:sz w:val="20"/>
        </w:rPr>
        <w:t xml:space="preserve"> </w:t>
      </w:r>
      <w:r>
        <w:rPr>
          <w:rStyle w:val="VerbatimChar"/>
          <w:sz w:val="20"/>
        </w:rPr>
        <w:t xml:space="preserve">open</w:t>
      </w:r>
      <w:r>
        <w:rPr>
          <w:sz w:val="20"/>
        </w:rPr>
        <w:t xml:space="preserve">; Hypothese</w:t>
      </w:r>
      <w:r>
        <w:rPr>
          <w:sz w:val="20"/>
        </w:rPr>
        <w:t xml:space="preserve"> </w:t>
      </w:r>
      <w:r>
        <w:rPr>
          <w:rStyle w:val="VerbatimChar"/>
          <w:sz w:val="20"/>
        </w:rPr>
        <w:t xml:space="preserve">untested</w:t>
      </w:r>
      <w:r>
        <w:rPr>
          <w:sz w:val="20"/>
        </w:rPr>
        <w:t xml:space="preserve">.</w:t>
      </w:r>
      <w:r>
        <w:rPr>
          <w:sz w:val="20"/>
        </w:rPr>
        <w:t xml:space="preserve"> </w:t>
      </w:r>
      <w:r>
        <w:rPr>
          <w:b/>
          <w:bCs/>
          <w:sz w:val="20"/>
        </w:rPr>
        <w:t xml:space="preserve">Einordnung:</w:t>
      </w:r>
      <w:r>
        <w:rPr>
          <w:sz w:val="20"/>
        </w:rPr>
        <w:t xml:space="preserve"> </w:t>
      </w:r>
      <w:r>
        <w:rPr>
          <w:sz w:val="20"/>
        </w:rPr>
        <w:t xml:space="preserve">Im hier untersuchten Material kein passender freigegebener Ergebnisnachweis.</w:t>
      </w:r>
    </w:p>
    <w:bookmarkEnd w:id="657"/>
    <w:bookmarkStart w:id="658" w:name="X3f6b636d80032e931e888554d4385d2afb72e54"/>
    <w:p>
      <w:pPr>
        <w:pStyle w:val="Heading3"/>
        <w:keepLines/>
        <w:spacing w:after="120"/>
        <w:jc w:val="left"/>
      </w:pPr>
      <w:r>
        <w:rPr>
          <w:sz w:val="20"/>
        </w:rPr>
        <w:t xml:space="preserve">RQ-ETH-001 - Autorenschaft von Brain-5D-Erkenntnissen</w:t>
      </w:r>
    </w:p>
    <w:p>
      <w:pPr>
        <w:pStyle w:val="FirstParagraph"/>
        <w:keepLines/>
        <w:spacing w:after="120"/>
        <w:jc w:val="left"/>
      </w:pPr>
      <w:r>
        <w:rPr>
          <w:b/>
          <w:bCs/>
          <w:sz w:val="20"/>
        </w:rPr>
        <w:t xml:space="preserve">Hypothese:</w:t>
      </w:r>
      <w:r>
        <w:rPr>
          <w:sz w:val="20"/>
        </w:rPr>
        <w:t xml:space="preserve"> </w:t>
      </w:r>
      <w:r>
        <w:rPr>
          <w:rStyle w:val="VerbatimChar"/>
          <w:sz w:val="20"/>
        </w:rPr>
        <w:t xml:space="preserve">H-ETH-001-A</w:t>
      </w:r>
      <w:r>
        <w:rPr>
          <w:sz w:val="20"/>
        </w:rPr>
        <w:t xml:space="preserve">. Autorenschaft ist ein verteiltes Phänomen zwischen Mensch, Modell und System.</w:t>
      </w:r>
    </w:p>
    <w:p>
      <w:pPr>
        <w:pStyle w:val="BodyText"/>
        <w:keepLines/>
        <w:spacing w:after="120"/>
        <w:jc w:val="left"/>
      </w:pPr>
      <w:r>
        <w:rPr>
          <w:b/>
          <w:bCs/>
          <w:sz w:val="20"/>
        </w:rPr>
        <w:t xml:space="preserve">Registry:</w:t>
      </w:r>
      <w:r>
        <w:rPr>
          <w:sz w:val="20"/>
        </w:rPr>
        <w:t xml:space="preserve"> </w:t>
      </w:r>
      <w:r>
        <w:rPr>
          <w:sz w:val="20"/>
        </w:rPr>
        <w:t xml:space="preserve">Frage</w:t>
      </w:r>
      <w:r>
        <w:rPr>
          <w:sz w:val="20"/>
        </w:rPr>
        <w:t xml:space="preserve"> </w:t>
      </w:r>
      <w:r>
        <w:rPr>
          <w:rStyle w:val="VerbatimChar"/>
          <w:sz w:val="20"/>
        </w:rPr>
        <w:t xml:space="preserve">open</w:t>
      </w:r>
      <w:r>
        <w:rPr>
          <w:sz w:val="20"/>
        </w:rPr>
        <w:t xml:space="preserve">; Hypothese</w:t>
      </w:r>
      <w:r>
        <w:rPr>
          <w:sz w:val="20"/>
        </w:rPr>
        <w:t xml:space="preserve"> </w:t>
      </w:r>
      <w:r>
        <w:rPr>
          <w:rStyle w:val="VerbatimChar"/>
          <w:sz w:val="20"/>
        </w:rPr>
        <w:t xml:space="preserve">untested</w:t>
      </w:r>
      <w:r>
        <w:rPr>
          <w:sz w:val="20"/>
        </w:rPr>
        <w:t xml:space="preserve">.</w:t>
      </w:r>
      <w:r>
        <w:rPr>
          <w:sz w:val="20"/>
        </w:rPr>
        <w:t xml:space="preserve"> </w:t>
      </w:r>
      <w:r>
        <w:rPr>
          <w:b/>
          <w:bCs/>
          <w:sz w:val="20"/>
        </w:rPr>
        <w:t xml:space="preserve">Einordnung:</w:t>
      </w:r>
      <w:r>
        <w:rPr>
          <w:sz w:val="20"/>
        </w:rPr>
        <w:t xml:space="preserve"> </w:t>
      </w:r>
      <w:r>
        <w:rPr>
          <w:sz w:val="20"/>
        </w:rPr>
        <w:t xml:space="preserve">Begriffliche beziehungsweise normative Untersuchung; nicht mit Spike-Metriken bestätigbar.</w:t>
      </w:r>
    </w:p>
    <w:bookmarkEnd w:id="658"/>
    <w:bookmarkStart w:id="659" w:name="rq-eth-002---kontrolle-und-verantwortung"/>
    <w:p>
      <w:pPr>
        <w:pStyle w:val="Heading3"/>
        <w:keepLines/>
        <w:spacing w:after="120"/>
        <w:jc w:val="left"/>
      </w:pPr>
      <w:r>
        <w:rPr>
          <w:sz w:val="20"/>
        </w:rPr>
        <w:t xml:space="preserve">RQ-ETH-002 - Kontrolle und Verantwortung</w:t>
      </w:r>
    </w:p>
    <w:p>
      <w:pPr>
        <w:pStyle w:val="FirstParagraph"/>
        <w:keepLines/>
        <w:spacing w:after="120"/>
        <w:jc w:val="left"/>
      </w:pPr>
      <w:r>
        <w:rPr>
          <w:b/>
          <w:bCs/>
          <w:sz w:val="20"/>
        </w:rPr>
        <w:t xml:space="preserve">Hypothese:</w:t>
      </w:r>
      <w:r>
        <w:rPr>
          <w:sz w:val="20"/>
        </w:rPr>
        <w:t xml:space="preserve"> </w:t>
      </w:r>
      <w:r>
        <w:rPr>
          <w:rStyle w:val="VerbatimChar"/>
          <w:sz w:val="20"/>
        </w:rPr>
        <w:t xml:space="preserve">H-ETH-002-A</w:t>
      </w:r>
      <w:r>
        <w:rPr>
          <w:sz w:val="20"/>
        </w:rPr>
        <w:t xml:space="preserve">. Die Kontrolle über Experimente liegt primär beim Entwickler, nicht beim automatisierten System.</w:t>
      </w:r>
    </w:p>
    <w:p>
      <w:pPr>
        <w:pStyle w:val="BodyText"/>
        <w:keepLines/>
        <w:spacing w:after="120"/>
        <w:jc w:val="left"/>
      </w:pPr>
      <w:r>
        <w:rPr>
          <w:b/>
          <w:bCs/>
          <w:sz w:val="20"/>
        </w:rPr>
        <w:t xml:space="preserve">Registry:</w:t>
      </w:r>
      <w:r>
        <w:rPr>
          <w:sz w:val="20"/>
        </w:rPr>
        <w:t xml:space="preserve"> </w:t>
      </w:r>
      <w:r>
        <w:rPr>
          <w:sz w:val="20"/>
        </w:rPr>
        <w:t xml:space="preserve">Frage</w:t>
      </w:r>
      <w:r>
        <w:rPr>
          <w:sz w:val="20"/>
        </w:rPr>
        <w:t xml:space="preserve"> </w:t>
      </w:r>
      <w:r>
        <w:rPr>
          <w:rStyle w:val="VerbatimChar"/>
          <w:sz w:val="20"/>
        </w:rPr>
        <w:t xml:space="preserve">open</w:t>
      </w:r>
      <w:r>
        <w:rPr>
          <w:sz w:val="20"/>
        </w:rPr>
        <w:t xml:space="preserve">; Hypothese</w:t>
      </w:r>
      <w:r>
        <w:rPr>
          <w:sz w:val="20"/>
        </w:rPr>
        <w:t xml:space="preserve"> </w:t>
      </w:r>
      <w:r>
        <w:rPr>
          <w:rStyle w:val="VerbatimChar"/>
          <w:sz w:val="20"/>
        </w:rPr>
        <w:t xml:space="preserve">untested</w:t>
      </w:r>
      <w:r>
        <w:rPr>
          <w:sz w:val="20"/>
        </w:rPr>
        <w:t xml:space="preserve">.</w:t>
      </w:r>
      <w:r>
        <w:rPr>
          <w:sz w:val="20"/>
        </w:rPr>
        <w:t xml:space="preserve"> </w:t>
      </w:r>
      <w:r>
        <w:rPr>
          <w:b/>
          <w:bCs/>
          <w:sz w:val="20"/>
        </w:rPr>
        <w:t xml:space="preserve">Einordnung:</w:t>
      </w:r>
      <w:r>
        <w:rPr>
          <w:sz w:val="20"/>
        </w:rPr>
        <w:t xml:space="preserve"> </w:t>
      </w:r>
      <w:r>
        <w:rPr>
          <w:sz w:val="20"/>
        </w:rPr>
        <w:t xml:space="preserve">Begriffliche beziehungsweise normative Untersuchung; nicht mit Spike-Metriken bestätigbar.</w:t>
      </w:r>
    </w:p>
    <w:bookmarkEnd w:id="659"/>
    <w:bookmarkStart w:id="660" w:name="X03d410fde1eed3dce4ed9fc2e6268010ff56fa0"/>
    <w:p>
      <w:pPr>
        <w:pStyle w:val="Heading3"/>
        <w:keepLines/>
        <w:spacing w:after="120"/>
        <w:jc w:val="left"/>
      </w:pPr>
      <w:r>
        <w:rPr>
          <w:sz w:val="20"/>
        </w:rPr>
        <w:t xml:space="preserve">RQ-EPIST-001 - Systemerkenntnis gegenüber Forschererkenntnis</w:t>
      </w:r>
    </w:p>
    <w:p>
      <w:pPr>
        <w:pStyle w:val="FirstParagraph"/>
        <w:keepLines/>
        <w:spacing w:after="120"/>
        <w:jc w:val="left"/>
      </w:pPr>
      <w:r>
        <w:rPr>
          <w:b/>
          <w:bCs/>
          <w:sz w:val="20"/>
        </w:rPr>
        <w:t xml:space="preserve">Hypothese:</w:t>
      </w:r>
      <w:r>
        <w:rPr>
          <w:sz w:val="20"/>
        </w:rPr>
        <w:t xml:space="preserve"> </w:t>
      </w:r>
      <w:r>
        <w:rPr>
          <w:rStyle w:val="VerbatimChar"/>
          <w:sz w:val="20"/>
        </w:rPr>
        <w:t xml:space="preserve">H-EPIST-001-A</w:t>
      </w:r>
      <w:r>
        <w:rPr>
          <w:sz w:val="20"/>
        </w:rPr>
        <w:t xml:space="preserve">. Systemerkenntnis und Forschererkenntnis sind kategorial unterscheidbar.</w:t>
      </w:r>
    </w:p>
    <w:p>
      <w:pPr>
        <w:pStyle w:val="BodyText"/>
        <w:keepLines/>
        <w:spacing w:after="120"/>
        <w:jc w:val="left"/>
      </w:pPr>
      <w:r>
        <w:rPr>
          <w:b/>
          <w:bCs/>
          <w:sz w:val="20"/>
        </w:rPr>
        <w:t xml:space="preserve">Registry:</w:t>
      </w:r>
      <w:r>
        <w:rPr>
          <w:sz w:val="20"/>
        </w:rPr>
        <w:t xml:space="preserve"> </w:t>
      </w:r>
      <w:r>
        <w:rPr>
          <w:sz w:val="20"/>
        </w:rPr>
        <w:t xml:space="preserve">Frage</w:t>
      </w:r>
      <w:r>
        <w:rPr>
          <w:sz w:val="20"/>
        </w:rPr>
        <w:t xml:space="preserve"> </w:t>
      </w:r>
      <w:r>
        <w:rPr>
          <w:rStyle w:val="VerbatimChar"/>
          <w:sz w:val="20"/>
        </w:rPr>
        <w:t xml:space="preserve">open</w:t>
      </w:r>
      <w:r>
        <w:rPr>
          <w:sz w:val="20"/>
        </w:rPr>
        <w:t xml:space="preserve">; Hypothese</w:t>
      </w:r>
      <w:r>
        <w:rPr>
          <w:sz w:val="20"/>
        </w:rPr>
        <w:t xml:space="preserve"> </w:t>
      </w:r>
      <w:r>
        <w:rPr>
          <w:rStyle w:val="VerbatimChar"/>
          <w:sz w:val="20"/>
        </w:rPr>
        <w:t xml:space="preserve">untested</w:t>
      </w:r>
      <w:r>
        <w:rPr>
          <w:sz w:val="20"/>
        </w:rPr>
        <w:t xml:space="preserve">.</w:t>
      </w:r>
      <w:r>
        <w:rPr>
          <w:sz w:val="20"/>
        </w:rPr>
        <w:t xml:space="preserve"> </w:t>
      </w:r>
      <w:r>
        <w:rPr>
          <w:b/>
          <w:bCs/>
          <w:sz w:val="20"/>
        </w:rPr>
        <w:t xml:space="preserve">Einordnung:</w:t>
      </w:r>
      <w:r>
        <w:rPr>
          <w:sz w:val="20"/>
        </w:rPr>
        <w:t xml:space="preserve"> </w:t>
      </w:r>
      <w:r>
        <w:rPr>
          <w:sz w:val="20"/>
        </w:rPr>
        <w:t xml:space="preserve">Begriffliche beziehungsweise normative Untersuchung; nicht mit Spike-Metriken bestätigbar.</w:t>
      </w:r>
    </w:p>
    <w:bookmarkEnd w:id="660"/>
    <w:bookmarkStart w:id="661" w:name="X7585d2b025361b9b158da7be89a24641fffaef2"/>
    <w:p>
      <w:pPr>
        <w:pStyle w:val="Heading3"/>
        <w:keepLines/>
        <w:spacing w:after="120"/>
        <w:jc w:val="left"/>
      </w:pPr>
      <w:r>
        <w:rPr>
          <w:sz w:val="20"/>
        </w:rPr>
        <w:t xml:space="preserve">RQ-AIR-001 - Methodische Fehlererkennung durch ResearchPacket</w:t>
      </w:r>
    </w:p>
    <w:p>
      <w:pPr>
        <w:pStyle w:val="FirstParagraph"/>
        <w:keepLines/>
        <w:spacing w:after="120"/>
        <w:jc w:val="left"/>
      </w:pPr>
      <w:r>
        <w:rPr>
          <w:b/>
          <w:bCs/>
          <w:sz w:val="20"/>
        </w:rPr>
        <w:t xml:space="preserve">Hypothese:</w:t>
      </w:r>
      <w:r>
        <w:rPr>
          <w:sz w:val="20"/>
        </w:rPr>
        <w:t xml:space="preserve"> </w:t>
      </w:r>
      <w:r>
        <w:rPr>
          <w:rStyle w:val="VerbatimChar"/>
          <w:sz w:val="20"/>
        </w:rPr>
        <w:t xml:space="preserve">H-AIR-001-A</w:t>
      </w:r>
      <w:r>
        <w:rPr>
          <w:sz w:val="20"/>
        </w:rPr>
        <w:t xml:space="preserve">. Ein strukturierter Scientific Research Assistant erzielt einen höheren F1-Score für vorab definierte Defekte als dasselbe Modell mit unstrukturiertem Bericht.</w:t>
      </w:r>
    </w:p>
    <w:p>
      <w:pPr>
        <w:pStyle w:val="BodyText"/>
        <w:keepLines/>
        <w:spacing w:after="120"/>
        <w:jc w:val="left"/>
      </w:pPr>
      <w:r>
        <w:rPr>
          <w:b/>
          <w:bCs/>
          <w:sz w:val="20"/>
        </w:rPr>
        <w:t xml:space="preserve">Registry:</w:t>
      </w:r>
      <w:r>
        <w:rPr>
          <w:sz w:val="20"/>
        </w:rPr>
        <w:t xml:space="preserve"> </w:t>
      </w:r>
      <w:r>
        <w:rPr>
          <w:sz w:val="20"/>
        </w:rPr>
        <w:t xml:space="preserve">Frage</w:t>
      </w:r>
      <w:r>
        <w:rPr>
          <w:sz w:val="20"/>
        </w:rPr>
        <w:t xml:space="preserve"> </w:t>
      </w:r>
      <w:r>
        <w:rPr>
          <w:rStyle w:val="VerbatimChar"/>
          <w:sz w:val="20"/>
        </w:rPr>
        <w:t xml:space="preserve">open</w:t>
      </w:r>
      <w:r>
        <w:rPr>
          <w:sz w:val="20"/>
        </w:rPr>
        <w:t xml:space="preserve">; Hypothese</w:t>
      </w:r>
      <w:r>
        <w:rPr>
          <w:sz w:val="20"/>
        </w:rPr>
        <w:t xml:space="preserve"> </w:t>
      </w:r>
      <w:r>
        <w:rPr>
          <w:rStyle w:val="VerbatimChar"/>
          <w:sz w:val="20"/>
        </w:rPr>
        <w:t xml:space="preserve">untested</w:t>
      </w:r>
      <w:r>
        <w:rPr>
          <w:sz w:val="20"/>
        </w:rPr>
        <w:t xml:space="preserve">.</w:t>
      </w:r>
      <w:r>
        <w:rPr>
          <w:sz w:val="20"/>
        </w:rPr>
        <w:t xml:space="preserve"> </w:t>
      </w:r>
      <w:r>
        <w:rPr>
          <w:b/>
          <w:bCs/>
          <w:sz w:val="20"/>
        </w:rPr>
        <w:t xml:space="preserve">Einordnung:</w:t>
      </w:r>
      <w:r>
        <w:rPr>
          <w:sz w:val="20"/>
        </w:rPr>
        <w:t xml:space="preserve"> </w:t>
      </w:r>
      <w:r>
        <w:rPr>
          <w:sz w:val="20"/>
        </w:rPr>
        <w:t xml:space="preserve">Im hier untersuchten Material kein passender freigegebener Ergebnisnachweis.</w:t>
      </w:r>
    </w:p>
    <w:bookmarkEnd w:id="661"/>
    <w:bookmarkStart w:id="662" w:name="X38b4cfd4d61e13150d47f75265771c086539990"/>
    <w:p>
      <w:pPr>
        <w:pStyle w:val="Heading3"/>
        <w:keepLines/>
        <w:spacing w:after="120"/>
        <w:jc w:val="left"/>
      </w:pPr>
      <w:r>
        <w:rPr>
          <w:sz w:val="20"/>
        </w:rPr>
        <w:t xml:space="preserve">RQ-SUITE-001 - Vollständige, konsistente Suite-Diagnostik</w:t>
      </w:r>
    </w:p>
    <w:p>
      <w:pPr>
        <w:pStyle w:val="FirstParagraph"/>
        <w:keepLines/>
        <w:spacing w:after="120"/>
        <w:jc w:val="left"/>
      </w:pPr>
      <w:r>
        <w:rPr>
          <w:b/>
          <w:bCs/>
          <w:sz w:val="20"/>
        </w:rPr>
        <w:t xml:space="preserve">Hypothese:</w:t>
      </w:r>
      <w:r>
        <w:rPr>
          <w:sz w:val="20"/>
        </w:rPr>
        <w:t xml:space="preserve"> </w:t>
      </w:r>
      <w:r>
        <w:rPr>
          <w:rStyle w:val="VerbatimChar"/>
          <w:sz w:val="20"/>
        </w:rPr>
        <w:t xml:space="preserve">H-SUITE-001-A</w:t>
      </w:r>
      <w:r>
        <w:rPr>
          <w:sz w:val="20"/>
        </w:rPr>
        <w:t xml:space="preserve">. Alle Teilprotokolle erfüllen ihre Ausführungsverträge und erzeugen auswertbare DATA-, Statistik- und Provenienzartefakte.</w:t>
      </w:r>
    </w:p>
    <w:p>
      <w:pPr>
        <w:pStyle w:val="BodyText"/>
        <w:keepLines/>
        <w:spacing w:after="120"/>
        <w:jc w:val="left"/>
      </w:pPr>
      <w:r>
        <w:rPr>
          <w:b/>
          <w:bCs/>
          <w:sz w:val="20"/>
        </w:rPr>
        <w:t xml:space="preserve">Registry:</w:t>
      </w:r>
      <w:r>
        <w:rPr>
          <w:sz w:val="20"/>
        </w:rPr>
        <w:t xml:space="preserve"> </w:t>
      </w:r>
      <w:r>
        <w:rPr>
          <w:sz w:val="20"/>
        </w:rPr>
        <w:t xml:space="preserve">Frage</w:t>
      </w:r>
      <w:r>
        <w:rPr>
          <w:sz w:val="20"/>
        </w:rPr>
        <w:t xml:space="preserve"> </w:t>
      </w:r>
      <w:r>
        <w:rPr>
          <w:rStyle w:val="VerbatimChar"/>
          <w:sz w:val="20"/>
        </w:rPr>
        <w:t xml:space="preserve">open</w:t>
      </w:r>
      <w:r>
        <w:rPr>
          <w:sz w:val="20"/>
        </w:rPr>
        <w:t xml:space="preserve">; Hypothese</w:t>
      </w:r>
      <w:r>
        <w:rPr>
          <w:sz w:val="20"/>
        </w:rPr>
        <w:t xml:space="preserve"> </w:t>
      </w:r>
      <w:r>
        <w:rPr>
          <w:rStyle w:val="VerbatimChar"/>
          <w:sz w:val="20"/>
        </w:rPr>
        <w:t xml:space="preserve">untested</w:t>
      </w:r>
      <w:r>
        <w:rPr>
          <w:sz w:val="20"/>
        </w:rPr>
        <w:t xml:space="preserve">.</w:t>
      </w:r>
      <w:r>
        <w:rPr>
          <w:sz w:val="20"/>
        </w:rPr>
        <w:t xml:space="preserve"> </w:t>
      </w:r>
      <w:r>
        <w:rPr>
          <w:b/>
          <w:bCs/>
          <w:sz w:val="20"/>
        </w:rPr>
        <w:t xml:space="preserve">Einordnung:</w:t>
      </w:r>
      <w:r>
        <w:rPr>
          <w:sz w:val="20"/>
        </w:rPr>
        <w:t xml:space="preserve"> </w:t>
      </w:r>
      <w:r>
        <w:rPr>
          <w:sz w:val="20"/>
        </w:rPr>
        <w:t xml:space="preserve">Suite-Ausführung dokumentiert; einzelne Fachhypothesen und Maximalbudgets nicht dadurch bestätigt.</w:t>
      </w:r>
    </w:p>
    <w:bookmarkEnd w:id="662"/>
    <w:bookmarkStart w:id="663" w:name="Xb07145cbbc22378522a3c8911fe9efc428b63d9"/>
    <w:p>
      <w:pPr>
        <w:pStyle w:val="Heading3"/>
        <w:keepLines/>
        <w:spacing w:after="120"/>
        <w:jc w:val="left"/>
      </w:pPr>
      <w:r>
        <w:rPr>
          <w:sz w:val="20"/>
        </w:rPr>
        <w:t xml:space="preserve">RQ-REC-001 - Rekurrenzstärke, Delay und Persistenzgrenzen</w:t>
      </w:r>
    </w:p>
    <w:p>
      <w:pPr>
        <w:pStyle w:val="FirstParagraph"/>
        <w:keepLines/>
        <w:spacing w:after="120"/>
        <w:jc w:val="left"/>
      </w:pPr>
      <w:r>
        <w:rPr>
          <w:b/>
          <w:bCs/>
          <w:sz w:val="20"/>
        </w:rPr>
        <w:t xml:space="preserve">Hypothese:</w:t>
      </w:r>
      <w:r>
        <w:rPr>
          <w:sz w:val="20"/>
        </w:rPr>
        <w:t xml:space="preserve"> </w:t>
      </w:r>
      <w:r>
        <w:rPr>
          <w:rStyle w:val="VerbatimChar"/>
          <w:sz w:val="20"/>
        </w:rPr>
        <w:t xml:space="preserve">H-REC-001-A</w:t>
      </w:r>
      <w:r>
        <w:rPr>
          <w:sz w:val="20"/>
        </w:rPr>
        <w:t xml:space="preserve">. Rekurrenzgewicht und Delay erzeugen reproduzierbare Übergänge zwischen Erlöschen, transienter Aktivität und Aktivität bis zum Beobachtungsende.</w:t>
      </w:r>
    </w:p>
    <w:p>
      <w:pPr>
        <w:pStyle w:val="BodyText"/>
        <w:keepLines/>
        <w:spacing w:after="120"/>
        <w:jc w:val="left"/>
      </w:pPr>
      <w:r>
        <w:rPr>
          <w:b/>
          <w:bCs/>
          <w:sz w:val="20"/>
        </w:rPr>
        <w:t xml:space="preserve">Registry:</w:t>
      </w:r>
      <w:r>
        <w:rPr>
          <w:sz w:val="20"/>
        </w:rPr>
        <w:t xml:space="preserve"> </w:t>
      </w:r>
      <w:r>
        <w:rPr>
          <w:sz w:val="20"/>
        </w:rPr>
        <w:t xml:space="preserve">Frage</w:t>
      </w:r>
      <w:r>
        <w:rPr>
          <w:sz w:val="20"/>
        </w:rPr>
        <w:t xml:space="preserve"> </w:t>
      </w:r>
      <w:r>
        <w:rPr>
          <w:rStyle w:val="VerbatimChar"/>
          <w:sz w:val="20"/>
        </w:rPr>
        <w:t xml:space="preserve">open</w:t>
      </w:r>
      <w:r>
        <w:rPr>
          <w:sz w:val="20"/>
        </w:rPr>
        <w:t xml:space="preserve">; Hypothese</w:t>
      </w:r>
      <w:r>
        <w:rPr>
          <w:sz w:val="20"/>
        </w:rPr>
        <w:t xml:space="preserve"> </w:t>
      </w:r>
      <w:r>
        <w:rPr>
          <w:rStyle w:val="VerbatimChar"/>
          <w:sz w:val="20"/>
        </w:rPr>
        <w:t xml:space="preserve">untested</w:t>
      </w:r>
      <w:r>
        <w:rPr>
          <w:sz w:val="20"/>
        </w:rPr>
        <w:t xml:space="preserve">.</w:t>
      </w:r>
      <w:r>
        <w:rPr>
          <w:sz w:val="20"/>
        </w:rPr>
        <w:t xml:space="preserve"> </w:t>
      </w:r>
      <w:r>
        <w:rPr>
          <w:b/>
          <w:bCs/>
          <w:sz w:val="20"/>
        </w:rPr>
        <w:t xml:space="preserve">Einordnung:</w:t>
      </w:r>
      <w:r>
        <w:rPr>
          <w:sz w:val="20"/>
        </w:rPr>
        <w:t xml:space="preserve"> </w:t>
      </w:r>
      <w:r>
        <w:rPr>
          <w:sz w:val="20"/>
        </w:rPr>
        <w:t xml:space="preserve">3 gegen 33 Spikes bei drei aktiven Neuronen; Freigabe blockiert, Initialisierungsvariation gesondert zu prüfen.</w:t>
      </w:r>
    </w:p>
    <w:bookmarkEnd w:id="663"/>
    <w:bookmarkStart w:id="664" w:name="Xe0c431cd5eaeb23fd1948f72a87228feb1dacec"/>
    <w:p>
      <w:pPr>
        <w:pStyle w:val="Heading3"/>
        <w:keepLines/>
        <w:spacing w:after="120"/>
        <w:jc w:val="left"/>
      </w:pPr>
      <w:r>
        <w:rPr>
          <w:sz w:val="20"/>
        </w:rPr>
        <w:t xml:space="preserve">RQ-GEN-001 - Lernen auf echten Holdout- und Perturbationsproben</w:t>
      </w:r>
    </w:p>
    <w:p>
      <w:pPr>
        <w:pStyle w:val="FirstParagraph"/>
        <w:keepLines/>
        <w:spacing w:after="120"/>
        <w:jc w:val="left"/>
      </w:pPr>
      <w:r>
        <w:rPr>
          <w:b/>
          <w:bCs/>
          <w:sz w:val="20"/>
        </w:rPr>
        <w:t xml:space="preserve">Hypothese:</w:t>
      </w:r>
      <w:r>
        <w:rPr>
          <w:sz w:val="20"/>
        </w:rPr>
        <w:t xml:space="preserve"> </w:t>
      </w:r>
      <w:r>
        <w:rPr>
          <w:rStyle w:val="VerbatimChar"/>
          <w:sz w:val="20"/>
        </w:rPr>
        <w:t xml:space="preserve">H-GEN-001-A</w:t>
      </w:r>
      <w:r>
        <w:rPr>
          <w:sz w:val="20"/>
        </w:rPr>
        <w:t xml:space="preserve">. Learning-on verbessert registrierte Perturbationsproben gegenüber Learning-off und Sham-Replay.</w:t>
      </w:r>
    </w:p>
    <w:p>
      <w:pPr>
        <w:pStyle w:val="BodyText"/>
        <w:keepLines/>
        <w:spacing w:after="120"/>
        <w:jc w:val="left"/>
      </w:pPr>
      <w:r>
        <w:rPr>
          <w:b/>
          <w:bCs/>
          <w:sz w:val="20"/>
        </w:rPr>
        <w:t xml:space="preserve">Registry:</w:t>
      </w:r>
      <w:r>
        <w:rPr>
          <w:sz w:val="20"/>
        </w:rPr>
        <w:t xml:space="preserve"> </w:t>
      </w:r>
      <w:r>
        <w:rPr>
          <w:sz w:val="20"/>
        </w:rPr>
        <w:t xml:space="preserve">Frage</w:t>
      </w:r>
      <w:r>
        <w:rPr>
          <w:sz w:val="20"/>
        </w:rPr>
        <w:t xml:space="preserve"> </w:t>
      </w:r>
      <w:r>
        <w:rPr>
          <w:rStyle w:val="VerbatimChar"/>
          <w:sz w:val="20"/>
        </w:rPr>
        <w:t xml:space="preserve">open</w:t>
      </w:r>
      <w:r>
        <w:rPr>
          <w:sz w:val="20"/>
        </w:rPr>
        <w:t xml:space="preserve">; Hypothese</w:t>
      </w:r>
      <w:r>
        <w:rPr>
          <w:sz w:val="20"/>
        </w:rPr>
        <w:t xml:space="preserve"> </w:t>
      </w:r>
      <w:r>
        <w:rPr>
          <w:rStyle w:val="VerbatimChar"/>
          <w:sz w:val="20"/>
        </w:rPr>
        <w:t xml:space="preserve">untested</w:t>
      </w:r>
      <w:r>
        <w:rPr>
          <w:sz w:val="20"/>
        </w:rPr>
        <w:t xml:space="preserve">.</w:t>
      </w:r>
      <w:r>
        <w:rPr>
          <w:sz w:val="20"/>
        </w:rPr>
        <w:t xml:space="preserve"> </w:t>
      </w:r>
      <w:r>
        <w:rPr>
          <w:b/>
          <w:bCs/>
          <w:sz w:val="20"/>
        </w:rPr>
        <w:t xml:space="preserve">Einordnung:</w:t>
      </w:r>
      <w:r>
        <w:rPr>
          <w:sz w:val="20"/>
        </w:rPr>
        <w:t xml:space="preserve"> </w:t>
      </w:r>
      <w:r>
        <w:rPr>
          <w:sz w:val="20"/>
        </w:rPr>
        <w:t xml:space="preserve">Im hier untersuchten Material kein passender freigegebener Ergebnisnachweis.</w:t>
      </w:r>
    </w:p>
    <w:bookmarkEnd w:id="664"/>
    <w:bookmarkStart w:id="665" w:name="X6936ff3a0103268eaef41a34214cad471a9b13c"/>
    <w:p>
      <w:pPr>
        <w:pStyle w:val="Heading3"/>
        <w:keepLines/>
        <w:spacing w:after="120"/>
        <w:jc w:val="left"/>
      </w:pPr>
      <w:r>
        <w:rPr>
          <w:sz w:val="20"/>
        </w:rPr>
        <w:t xml:space="preserve">RQ-REPL-001 - Rekurrenzeffekt unter unabhängiger Initialisierung</w:t>
      </w:r>
    </w:p>
    <w:p>
      <w:pPr>
        <w:pStyle w:val="FirstParagraph"/>
        <w:keepLines/>
        <w:spacing w:after="120"/>
        <w:jc w:val="left"/>
      </w:pPr>
      <w:r>
        <w:rPr>
          <w:b/>
          <w:bCs/>
          <w:sz w:val="20"/>
        </w:rPr>
        <w:t xml:space="preserve">Hypothese:</w:t>
      </w:r>
      <w:r>
        <w:rPr>
          <w:sz w:val="20"/>
        </w:rPr>
        <w:t xml:space="preserve"> </w:t>
      </w:r>
      <w:r>
        <w:rPr>
          <w:rStyle w:val="VerbatimChar"/>
          <w:sz w:val="20"/>
        </w:rPr>
        <w:t xml:space="preserve">H-REPL-001-A</w:t>
      </w:r>
      <w:r>
        <w:rPr>
          <w:sz w:val="20"/>
        </w:rPr>
        <w:t xml:space="preserve">. Der Rekurrenzbehandlungseffekt bleibt über mindestens 20 registrierte Initialisierungsseeds in Richtung und Größenordnung konsistent.</w:t>
      </w:r>
    </w:p>
    <w:p>
      <w:pPr>
        <w:pStyle w:val="BodyText"/>
        <w:keepLines/>
        <w:spacing w:after="120"/>
        <w:jc w:val="left"/>
      </w:pPr>
      <w:r>
        <w:rPr>
          <w:b/>
          <w:bCs/>
          <w:sz w:val="20"/>
        </w:rPr>
        <w:t xml:space="preserve">Registry:</w:t>
      </w:r>
      <w:r>
        <w:rPr>
          <w:sz w:val="20"/>
        </w:rPr>
        <w:t xml:space="preserve"> </w:t>
      </w:r>
      <w:r>
        <w:rPr>
          <w:sz w:val="20"/>
        </w:rPr>
        <w:t xml:space="preserve">Frage</w:t>
      </w:r>
      <w:r>
        <w:rPr>
          <w:sz w:val="20"/>
        </w:rPr>
        <w:t xml:space="preserve"> </w:t>
      </w:r>
      <w:r>
        <w:rPr>
          <w:rStyle w:val="VerbatimChar"/>
          <w:sz w:val="20"/>
        </w:rPr>
        <w:t xml:space="preserve">open</w:t>
      </w:r>
      <w:r>
        <w:rPr>
          <w:sz w:val="20"/>
        </w:rPr>
        <w:t xml:space="preserve">; Hypothese</w:t>
      </w:r>
      <w:r>
        <w:rPr>
          <w:sz w:val="20"/>
        </w:rPr>
        <w:t xml:space="preserve"> </w:t>
      </w:r>
      <w:r>
        <w:rPr>
          <w:rStyle w:val="VerbatimChar"/>
          <w:sz w:val="20"/>
        </w:rPr>
        <w:t xml:space="preserve">untested</w:t>
      </w:r>
      <w:r>
        <w:rPr>
          <w:sz w:val="20"/>
        </w:rPr>
        <w:t xml:space="preserve">.</w:t>
      </w:r>
      <w:r>
        <w:rPr>
          <w:sz w:val="20"/>
        </w:rPr>
        <w:t xml:space="preserve"> </w:t>
      </w:r>
      <w:r>
        <w:rPr>
          <w:b/>
          <w:bCs/>
          <w:sz w:val="20"/>
        </w:rPr>
        <w:t xml:space="preserve">Einordnung:</w:t>
      </w:r>
      <w:r>
        <w:rPr>
          <w:sz w:val="20"/>
        </w:rPr>
        <w:t xml:space="preserve"> </w:t>
      </w:r>
      <w:r>
        <w:rPr>
          <w:sz w:val="20"/>
        </w:rPr>
        <w:t xml:space="preserve">3 gegen 33 Spikes bei drei aktiven Neuronen; Freigabe blockiert, Initialisierungsvariation gesondert zu prüfen.</w:t>
      </w:r>
    </w:p>
    <w:bookmarkEnd w:id="665"/>
    <w:bookmarkStart w:id="666" w:name="X17f3cc610e79b6084894e9edbbb0d826cb96725"/>
    <w:p>
      <w:pPr>
        <w:pStyle w:val="Heading3"/>
        <w:keepLines/>
        <w:spacing w:after="120"/>
        <w:jc w:val="left"/>
      </w:pPr>
      <w:r>
        <w:rPr>
          <w:sz w:val="20"/>
        </w:rPr>
        <w:t xml:space="preserve">RQ-5D-005 - 5D unter topology-matched Kontrollen</w:t>
      </w:r>
    </w:p>
    <w:p>
      <w:pPr>
        <w:pStyle w:val="FirstParagraph"/>
        <w:keepLines/>
        <w:spacing w:after="120"/>
        <w:jc w:val="left"/>
      </w:pPr>
      <w:r>
        <w:rPr>
          <w:b/>
          <w:bCs/>
          <w:sz w:val="20"/>
        </w:rPr>
        <w:t xml:space="preserve">Hypothese:</w:t>
      </w:r>
      <w:r>
        <w:rPr>
          <w:sz w:val="20"/>
        </w:rPr>
        <w:t xml:space="preserve"> </w:t>
      </w:r>
      <w:r>
        <w:rPr>
          <w:rStyle w:val="VerbatimChar"/>
          <w:sz w:val="20"/>
        </w:rPr>
        <w:t xml:space="preserve">H-5D-005-A</w:t>
      </w:r>
      <w:r>
        <w:rPr>
          <w:sz w:val="20"/>
        </w:rPr>
        <w:t xml:space="preserve">. Mindestens eine registrierte Propagationsmetrik unterscheidet sich in 5D von topology-matched niedrigdimensionalen Einbettungen.</w:t>
      </w:r>
    </w:p>
    <w:p>
      <w:pPr>
        <w:pStyle w:val="BodyText"/>
        <w:keepLines/>
        <w:spacing w:after="120"/>
        <w:jc w:val="left"/>
      </w:pPr>
      <w:r>
        <w:rPr>
          <w:b/>
          <w:bCs/>
          <w:sz w:val="20"/>
        </w:rPr>
        <w:t xml:space="preserve">Registry:</w:t>
      </w:r>
      <w:r>
        <w:rPr>
          <w:sz w:val="20"/>
        </w:rPr>
        <w:t xml:space="preserve"> </w:t>
      </w:r>
      <w:r>
        <w:rPr>
          <w:sz w:val="20"/>
        </w:rPr>
        <w:t xml:space="preserve">Frage</w:t>
      </w:r>
      <w:r>
        <w:rPr>
          <w:sz w:val="20"/>
        </w:rPr>
        <w:t xml:space="preserve"> </w:t>
      </w:r>
      <w:r>
        <w:rPr>
          <w:rStyle w:val="VerbatimChar"/>
          <w:sz w:val="20"/>
        </w:rPr>
        <w:t xml:space="preserve">open</w:t>
      </w:r>
      <w:r>
        <w:rPr>
          <w:sz w:val="20"/>
        </w:rPr>
        <w:t xml:space="preserve">; Hypothese</w:t>
      </w:r>
      <w:r>
        <w:rPr>
          <w:sz w:val="20"/>
        </w:rPr>
        <w:t xml:space="preserve"> </w:t>
      </w:r>
      <w:r>
        <w:rPr>
          <w:rStyle w:val="VerbatimChar"/>
          <w:sz w:val="20"/>
        </w:rPr>
        <w:t xml:space="preserve">untested</w:t>
      </w:r>
      <w:r>
        <w:rPr>
          <w:sz w:val="20"/>
        </w:rPr>
        <w:t xml:space="preserve">.</w:t>
      </w:r>
      <w:r>
        <w:rPr>
          <w:sz w:val="20"/>
        </w:rPr>
        <w:t xml:space="preserve"> </w:t>
      </w:r>
      <w:r>
        <w:rPr>
          <w:b/>
          <w:bCs/>
          <w:sz w:val="20"/>
        </w:rPr>
        <w:t xml:space="preserve">Einordnung:</w:t>
      </w:r>
      <w:r>
        <w:rPr>
          <w:sz w:val="20"/>
        </w:rPr>
        <w:t xml:space="preserve"> </w:t>
      </w:r>
      <w:r>
        <w:rPr>
          <w:sz w:val="20"/>
        </w:rPr>
        <w:t xml:space="preserve">Im kleinen Impulstest gleiche Kennzahlen. Dimensionsspezifischer funktionaler Vorteil nicht gezeigt.</w:t>
      </w:r>
    </w:p>
    <w:bookmarkEnd w:id="666"/>
    <w:bookmarkStart w:id="667" w:name="X1bfd5a2b836a323f04362e93a0b119595286bf2"/>
    <w:p>
      <w:pPr>
        <w:pStyle w:val="Heading3"/>
        <w:keepLines/>
        <w:spacing w:after="120"/>
        <w:jc w:val="left"/>
      </w:pPr>
      <w:r>
        <w:rPr>
          <w:sz w:val="20"/>
        </w:rPr>
        <w:t xml:space="preserve">RQ-REG-002 - Regulation und funktionale Recovery</w:t>
      </w:r>
    </w:p>
    <w:p>
      <w:pPr>
        <w:pStyle w:val="FirstParagraph"/>
        <w:keepLines/>
        <w:spacing w:after="120"/>
        <w:jc w:val="left"/>
      </w:pPr>
      <w:r>
        <w:rPr>
          <w:b/>
          <w:bCs/>
          <w:sz w:val="20"/>
        </w:rPr>
        <w:t xml:space="preserve">Hypothese:</w:t>
      </w:r>
      <w:r>
        <w:rPr>
          <w:sz w:val="20"/>
        </w:rPr>
        <w:t xml:space="preserve"> </w:t>
      </w:r>
      <w:r>
        <w:rPr>
          <w:rStyle w:val="VerbatimChar"/>
          <w:sz w:val="20"/>
        </w:rPr>
        <w:t xml:space="preserve">H-REG-002-A</w:t>
      </w:r>
      <w:r>
        <w:rPr>
          <w:sz w:val="20"/>
        </w:rPr>
        <w:t xml:space="preserve">. Der registrierte Regulationsfeedbackpfad verbessert Recovery nach identischer Druckphase gegenüber Regulation-off.</w:t>
      </w:r>
    </w:p>
    <w:p>
      <w:pPr>
        <w:pStyle w:val="BodyText"/>
        <w:keepLines/>
        <w:spacing w:after="120"/>
        <w:jc w:val="left"/>
      </w:pPr>
      <w:r>
        <w:rPr>
          <w:b/>
          <w:bCs/>
          <w:sz w:val="20"/>
        </w:rPr>
        <w:t xml:space="preserve">Registry:</w:t>
      </w:r>
      <w:r>
        <w:rPr>
          <w:sz w:val="20"/>
        </w:rPr>
        <w:t xml:space="preserve"> </w:t>
      </w:r>
      <w:r>
        <w:rPr>
          <w:sz w:val="20"/>
        </w:rPr>
        <w:t xml:space="preserve">Frage</w:t>
      </w:r>
      <w:r>
        <w:rPr>
          <w:sz w:val="20"/>
        </w:rPr>
        <w:t xml:space="preserve"> </w:t>
      </w:r>
      <w:r>
        <w:rPr>
          <w:rStyle w:val="VerbatimChar"/>
          <w:sz w:val="20"/>
        </w:rPr>
        <w:t xml:space="preserve">open</w:t>
      </w:r>
      <w:r>
        <w:rPr>
          <w:sz w:val="20"/>
        </w:rPr>
        <w:t xml:space="preserve">; Hypothese</w:t>
      </w:r>
      <w:r>
        <w:rPr>
          <w:sz w:val="20"/>
        </w:rPr>
        <w:t xml:space="preserve"> </w:t>
      </w:r>
      <w:r>
        <w:rPr>
          <w:rStyle w:val="VerbatimChar"/>
          <w:sz w:val="20"/>
        </w:rPr>
        <w:t xml:space="preserve">untested</w:t>
      </w:r>
      <w:r>
        <w:rPr>
          <w:sz w:val="20"/>
        </w:rPr>
        <w:t xml:space="preserve">.</w:t>
      </w:r>
      <w:r>
        <w:rPr>
          <w:sz w:val="20"/>
        </w:rPr>
        <w:t xml:space="preserve"> </w:t>
      </w:r>
      <w:r>
        <w:rPr>
          <w:b/>
          <w:bCs/>
          <w:sz w:val="20"/>
        </w:rPr>
        <w:t xml:space="preserve">Einordnung:</w:t>
      </w:r>
      <w:r>
        <w:rPr>
          <w:sz w:val="20"/>
        </w:rPr>
        <w:t xml:space="preserve"> </w:t>
      </w:r>
      <w:r>
        <w:rPr>
          <w:sz w:val="20"/>
        </w:rPr>
        <w:t xml:space="preserve">Im hier untersuchten Material kein passender freigegebener Ergebnisnachweis.</w:t>
      </w:r>
    </w:p>
    <w:bookmarkEnd w:id="667"/>
    <w:bookmarkStart w:id="668" w:name="X04f9770a0fe4c7467c695286d9034e1f7547a49"/>
    <w:p>
      <w:pPr>
        <w:pStyle w:val="Heading3"/>
        <w:keepLines/>
        <w:spacing w:after="120"/>
        <w:jc w:val="left"/>
      </w:pPr>
      <w:r>
        <w:rPr>
          <w:sz w:val="20"/>
        </w:rPr>
        <w:t xml:space="preserve">RQ-TEMP-002 - Spike-getragene zeitliche Reihenfolge</w:t>
      </w:r>
    </w:p>
    <w:p>
      <w:pPr>
        <w:pStyle w:val="FirstParagraph"/>
        <w:keepLines/>
        <w:spacing w:after="120"/>
        <w:jc w:val="left"/>
      </w:pPr>
      <w:r>
        <w:rPr>
          <w:b/>
          <w:bCs/>
          <w:sz w:val="20"/>
        </w:rPr>
        <w:t xml:space="preserve">Hypothese:</w:t>
      </w:r>
      <w:r>
        <w:rPr>
          <w:sz w:val="20"/>
        </w:rPr>
        <w:t xml:space="preserve"> </w:t>
      </w:r>
      <w:r>
        <w:rPr>
          <w:rStyle w:val="VerbatimChar"/>
          <w:sz w:val="20"/>
        </w:rPr>
        <w:t xml:space="preserve">H-TEMP-002-A</w:t>
      </w:r>
      <w:r>
        <w:rPr>
          <w:sz w:val="20"/>
        </w:rPr>
        <w:t xml:space="preserve">. Forward-, Reverse- und Simultanfolgen erzeugen bei gleicher Ereignisanzahl unterscheidbare spike-basierte Antwortsignaturen.</w:t>
      </w:r>
    </w:p>
    <w:p>
      <w:pPr>
        <w:pStyle w:val="BodyText"/>
        <w:keepLines/>
        <w:spacing w:after="120"/>
        <w:jc w:val="left"/>
      </w:pPr>
      <w:r>
        <w:rPr>
          <w:b/>
          <w:bCs/>
          <w:sz w:val="20"/>
        </w:rPr>
        <w:t xml:space="preserve">Registry:</w:t>
      </w:r>
      <w:r>
        <w:rPr>
          <w:sz w:val="20"/>
        </w:rPr>
        <w:t xml:space="preserve"> </w:t>
      </w:r>
      <w:r>
        <w:rPr>
          <w:sz w:val="20"/>
        </w:rPr>
        <w:t xml:space="preserve">Frage</w:t>
      </w:r>
      <w:r>
        <w:rPr>
          <w:sz w:val="20"/>
        </w:rPr>
        <w:t xml:space="preserve"> </w:t>
      </w:r>
      <w:r>
        <w:rPr>
          <w:rStyle w:val="VerbatimChar"/>
          <w:sz w:val="20"/>
        </w:rPr>
        <w:t xml:space="preserve">open</w:t>
      </w:r>
      <w:r>
        <w:rPr>
          <w:sz w:val="20"/>
        </w:rPr>
        <w:t xml:space="preserve">; Hypothese</w:t>
      </w:r>
      <w:r>
        <w:rPr>
          <w:sz w:val="20"/>
        </w:rPr>
        <w:t xml:space="preserve"> </w:t>
      </w:r>
      <w:r>
        <w:rPr>
          <w:rStyle w:val="VerbatimChar"/>
          <w:sz w:val="20"/>
        </w:rPr>
        <w:t xml:space="preserve">untested</w:t>
      </w:r>
      <w:r>
        <w:rPr>
          <w:sz w:val="20"/>
        </w:rPr>
        <w:t xml:space="preserve">.</w:t>
      </w:r>
      <w:r>
        <w:rPr>
          <w:sz w:val="20"/>
        </w:rPr>
        <w:t xml:space="preserve"> </w:t>
      </w:r>
      <w:r>
        <w:rPr>
          <w:b/>
          <w:bCs/>
          <w:sz w:val="20"/>
        </w:rPr>
        <w:t xml:space="preserve">Einordnung:</w:t>
      </w:r>
      <w:r>
        <w:rPr>
          <w:sz w:val="20"/>
        </w:rPr>
        <w:t xml:space="preserve"> </w:t>
      </w:r>
      <w:r>
        <w:rPr>
          <w:sz w:val="20"/>
        </w:rPr>
        <w:t xml:space="preserve">Im hier untersuchten Material kein passender freigegebener Ergebnisnachweis.</w:t>
      </w:r>
    </w:p>
    <w:bookmarkEnd w:id="668"/>
    <w:bookmarkStart w:id="669" w:name="X7a4497174e8d355c7be79520f50d978a19b8172"/>
    <w:p>
      <w:pPr>
        <w:pStyle w:val="Heading3"/>
        <w:keepLines/>
        <w:spacing w:after="120"/>
        <w:jc w:val="left"/>
      </w:pPr>
      <w:r>
        <w:rPr>
          <w:sz w:val="20"/>
        </w:rPr>
        <w:t xml:space="preserve">RQ-PERF-001 - Subsystemkosten vollständiger Science-Läufe</w:t>
      </w:r>
    </w:p>
    <w:p>
      <w:pPr>
        <w:pStyle w:val="FirstParagraph"/>
        <w:keepLines/>
        <w:spacing w:after="120"/>
        <w:jc w:val="left"/>
      </w:pPr>
      <w:r>
        <w:rPr>
          <w:b/>
          <w:bCs/>
          <w:sz w:val="20"/>
        </w:rPr>
        <w:t xml:space="preserve">Hypothese:</w:t>
      </w:r>
      <w:r>
        <w:rPr>
          <w:sz w:val="20"/>
        </w:rPr>
        <w:t xml:space="preserve"> </w:t>
      </w:r>
      <w:r>
        <w:rPr>
          <w:rStyle w:val="VerbatimChar"/>
          <w:sz w:val="20"/>
        </w:rPr>
        <w:t xml:space="preserve">H-PERF-001-A</w:t>
      </w:r>
      <w:r>
        <w:rPr>
          <w:sz w:val="20"/>
        </w:rPr>
        <w:t xml:space="preserve">. Neben dem Core-Tick-Loop ist mindestens ein weiterer gemessener Subsystemanteil relevant.</w:t>
      </w:r>
    </w:p>
    <w:p>
      <w:pPr>
        <w:pStyle w:val="BodyText"/>
        <w:keepLines/>
        <w:spacing w:after="120"/>
        <w:jc w:val="left"/>
      </w:pPr>
      <w:r>
        <w:rPr>
          <w:b/>
          <w:bCs/>
          <w:sz w:val="20"/>
        </w:rPr>
        <w:t xml:space="preserve">Registry:</w:t>
      </w:r>
      <w:r>
        <w:rPr>
          <w:sz w:val="20"/>
        </w:rPr>
        <w:t xml:space="preserve"> </w:t>
      </w:r>
      <w:r>
        <w:rPr>
          <w:sz w:val="20"/>
        </w:rPr>
        <w:t xml:space="preserve">Frage</w:t>
      </w:r>
      <w:r>
        <w:rPr>
          <w:sz w:val="20"/>
        </w:rPr>
        <w:t xml:space="preserve"> </w:t>
      </w:r>
      <w:r>
        <w:rPr>
          <w:rStyle w:val="VerbatimChar"/>
          <w:sz w:val="20"/>
        </w:rPr>
        <w:t xml:space="preserve">open</w:t>
      </w:r>
      <w:r>
        <w:rPr>
          <w:sz w:val="20"/>
        </w:rPr>
        <w:t xml:space="preserve">; Hypothese</w:t>
      </w:r>
      <w:r>
        <w:rPr>
          <w:sz w:val="20"/>
        </w:rPr>
        <w:t xml:space="preserve"> </w:t>
      </w:r>
      <w:r>
        <w:rPr>
          <w:rStyle w:val="VerbatimChar"/>
          <w:sz w:val="20"/>
        </w:rPr>
        <w:t xml:space="preserve">untested</w:t>
      </w:r>
      <w:r>
        <w:rPr>
          <w:sz w:val="20"/>
        </w:rPr>
        <w:t xml:space="preserve">.</w:t>
      </w:r>
      <w:r>
        <w:rPr>
          <w:sz w:val="20"/>
        </w:rPr>
        <w:t xml:space="preserve"> </w:t>
      </w:r>
      <w:r>
        <w:rPr>
          <w:b/>
          <w:bCs/>
          <w:sz w:val="20"/>
        </w:rPr>
        <w:t xml:space="preserve">Einordnung:</w:t>
      </w:r>
      <w:r>
        <w:rPr>
          <w:sz w:val="20"/>
        </w:rPr>
        <w:t xml:space="preserve"> </w:t>
      </w:r>
      <w:r>
        <w:rPr>
          <w:sz w:val="20"/>
        </w:rPr>
        <w:t xml:space="preserve">Im hier untersuchten Material kein passender freigegebener Ergebnisnachweis.</w:t>
      </w:r>
    </w:p>
    <w:bookmarkEnd w:id="669"/>
    <w:bookmarkStart w:id="670" w:name="X066a504f7de2d12ec856da09a809a449eb446c1"/>
    <w:p>
      <w:pPr>
        <w:pStyle w:val="Heading3"/>
        <w:keepLines/>
        <w:spacing w:after="120"/>
        <w:jc w:val="left"/>
      </w:pPr>
      <w:r>
        <w:rPr>
          <w:sz w:val="20"/>
        </w:rPr>
        <w:t xml:space="preserve">RQ-REC-002 - Loop-Delay und skalierte Rekurrenz</w:t>
      </w:r>
    </w:p>
    <w:p>
      <w:pPr>
        <w:pStyle w:val="FirstParagraph"/>
        <w:keepLines/>
        <w:spacing w:after="120"/>
        <w:jc w:val="left"/>
      </w:pPr>
      <w:r>
        <w:rPr>
          <w:b/>
          <w:bCs/>
          <w:sz w:val="20"/>
        </w:rPr>
        <w:t xml:space="preserve">Hypothese:</w:t>
      </w:r>
      <w:r>
        <w:rPr>
          <w:sz w:val="20"/>
        </w:rPr>
        <w:t xml:space="preserve"> </w:t>
      </w:r>
      <w:r>
        <w:rPr>
          <w:rStyle w:val="VerbatimChar"/>
          <w:sz w:val="20"/>
        </w:rPr>
        <w:t xml:space="preserve">H-REC-002-A</w:t>
      </w:r>
      <w:r>
        <w:rPr>
          <w:sz w:val="20"/>
        </w:rPr>
        <w:t xml:space="preserve">. Größere rekurrente Delays verändern Persistenzdauer oder Propagation Depth gegenüber dem Delay-1-Kontrollarm.</w:t>
      </w:r>
    </w:p>
    <w:p>
      <w:pPr>
        <w:pStyle w:val="BodyText"/>
        <w:keepLines/>
        <w:spacing w:after="120"/>
        <w:jc w:val="left"/>
      </w:pPr>
      <w:r>
        <w:rPr>
          <w:b/>
          <w:bCs/>
          <w:sz w:val="20"/>
        </w:rPr>
        <w:t xml:space="preserve">Registry:</w:t>
      </w:r>
      <w:r>
        <w:rPr>
          <w:sz w:val="20"/>
        </w:rPr>
        <w:t xml:space="preserve"> </w:t>
      </w:r>
      <w:r>
        <w:rPr>
          <w:sz w:val="20"/>
        </w:rPr>
        <w:t xml:space="preserve">Frage</w:t>
      </w:r>
      <w:r>
        <w:rPr>
          <w:sz w:val="20"/>
        </w:rPr>
        <w:t xml:space="preserve"> </w:t>
      </w:r>
      <w:r>
        <w:rPr>
          <w:rStyle w:val="VerbatimChar"/>
          <w:sz w:val="20"/>
        </w:rPr>
        <w:t xml:space="preserve">open</w:t>
      </w:r>
      <w:r>
        <w:rPr>
          <w:sz w:val="20"/>
        </w:rPr>
        <w:t xml:space="preserve">; Hypothese</w:t>
      </w:r>
      <w:r>
        <w:rPr>
          <w:sz w:val="20"/>
        </w:rPr>
        <w:t xml:space="preserve"> </w:t>
      </w:r>
      <w:r>
        <w:rPr>
          <w:rStyle w:val="VerbatimChar"/>
          <w:sz w:val="20"/>
        </w:rPr>
        <w:t xml:space="preserve">untested</w:t>
      </w:r>
      <w:r>
        <w:rPr>
          <w:sz w:val="20"/>
        </w:rPr>
        <w:t xml:space="preserve">.</w:t>
      </w:r>
      <w:r>
        <w:rPr>
          <w:sz w:val="20"/>
        </w:rPr>
        <w:t xml:space="preserve"> </w:t>
      </w:r>
      <w:r>
        <w:rPr>
          <w:b/>
          <w:bCs/>
          <w:sz w:val="20"/>
        </w:rPr>
        <w:t xml:space="preserve">Einordnung:</w:t>
      </w:r>
      <w:r>
        <w:rPr>
          <w:sz w:val="20"/>
        </w:rPr>
        <w:t xml:space="preserve"> </w:t>
      </w:r>
      <w:r>
        <w:rPr>
          <w:sz w:val="20"/>
        </w:rPr>
        <w:t xml:space="preserve">Im hier untersuchten Material kein passender freigegebener Ergebnisnachweis.</w:t>
      </w:r>
    </w:p>
    <w:bookmarkEnd w:id="670"/>
    <w:bookmarkStart w:id="671" w:name="X980e02bd3e18054c3675ef50301086607d2306b"/>
    <w:p>
      <w:pPr>
        <w:pStyle w:val="Heading3"/>
        <w:keepLines/>
        <w:spacing w:after="120"/>
        <w:jc w:val="left"/>
      </w:pPr>
      <w:r>
        <w:rPr>
          <w:sz w:val="20"/>
        </w:rPr>
        <w:t xml:space="preserve">RQ-LIFE-001 - Retention und Interferenz sequenzieller Lernaufgaben</w:t>
      </w:r>
    </w:p>
    <w:p>
      <w:pPr>
        <w:pStyle w:val="FirstParagraph"/>
        <w:keepLines/>
        <w:spacing w:after="120"/>
        <w:jc w:val="left"/>
      </w:pPr>
      <w:r>
        <w:rPr>
          <w:b/>
          <w:bCs/>
          <w:sz w:val="20"/>
        </w:rPr>
        <w:t xml:space="preserve">Hypothese:</w:t>
      </w:r>
      <w:r>
        <w:rPr>
          <w:sz w:val="20"/>
        </w:rPr>
        <w:t xml:space="preserve"> </w:t>
      </w:r>
      <w:r>
        <w:rPr>
          <w:rStyle w:val="VerbatimChar"/>
          <w:sz w:val="20"/>
        </w:rPr>
        <w:t xml:space="preserve">H-LIFE-001-A</w:t>
      </w:r>
      <w:r>
        <w:rPr>
          <w:sz w:val="20"/>
        </w:rPr>
        <w:t xml:space="preserve">. Zu prüfen ist die Veränderung zuvor erworbener Leistung durch nachfolgende Aufgaben; erster Runner bleibt ein Vorläuferscreen.</w:t>
      </w:r>
    </w:p>
    <w:p>
      <w:pPr>
        <w:pStyle w:val="BodyText"/>
        <w:keepLines/>
        <w:spacing w:after="120"/>
        <w:jc w:val="left"/>
      </w:pPr>
      <w:r>
        <w:rPr>
          <w:b/>
          <w:bCs/>
          <w:sz w:val="20"/>
        </w:rPr>
        <w:t xml:space="preserve">Registry:</w:t>
      </w:r>
      <w:r>
        <w:rPr>
          <w:sz w:val="20"/>
        </w:rPr>
        <w:t xml:space="preserve"> </w:t>
      </w:r>
      <w:r>
        <w:rPr>
          <w:sz w:val="20"/>
        </w:rPr>
        <w:t xml:space="preserve">Frage</w:t>
      </w:r>
      <w:r>
        <w:rPr>
          <w:sz w:val="20"/>
        </w:rPr>
        <w:t xml:space="preserve"> </w:t>
      </w:r>
      <w:r>
        <w:rPr>
          <w:rStyle w:val="VerbatimChar"/>
          <w:sz w:val="20"/>
        </w:rPr>
        <w:t xml:space="preserve">open</w:t>
      </w:r>
      <w:r>
        <w:rPr>
          <w:sz w:val="20"/>
        </w:rPr>
        <w:t xml:space="preserve">; Hypothese</w:t>
      </w:r>
      <w:r>
        <w:rPr>
          <w:sz w:val="20"/>
        </w:rPr>
        <w:t xml:space="preserve"> </w:t>
      </w:r>
      <w:r>
        <w:rPr>
          <w:rStyle w:val="VerbatimChar"/>
          <w:sz w:val="20"/>
        </w:rPr>
        <w:t xml:space="preserve">untested</w:t>
      </w:r>
      <w:r>
        <w:rPr>
          <w:sz w:val="20"/>
        </w:rPr>
        <w:t xml:space="preserve">.</w:t>
      </w:r>
      <w:r>
        <w:rPr>
          <w:sz w:val="20"/>
        </w:rPr>
        <w:t xml:space="preserve"> </w:t>
      </w:r>
      <w:r>
        <w:rPr>
          <w:b/>
          <w:bCs/>
          <w:sz w:val="20"/>
        </w:rPr>
        <w:t xml:space="preserve">Einordnung:</w:t>
      </w:r>
      <w:r>
        <w:rPr>
          <w:sz w:val="20"/>
        </w:rPr>
        <w:t xml:space="preserve"> </w:t>
      </w:r>
      <w:r>
        <w:rPr>
          <w:sz w:val="20"/>
        </w:rPr>
        <w:t xml:space="preserve">Retained success fraction 1,0 im Manuskriptnachtrag; kein gemeinsames Continual-Learning-Netz nachgewiesen.</w:t>
      </w:r>
    </w:p>
    <w:bookmarkEnd w:id="671"/>
    <w:bookmarkStart w:id="672" w:name="X6b8aa64172b44f72382ef76e35f87af251ff818"/>
    <w:p>
      <w:pPr>
        <w:pStyle w:val="Heading3"/>
        <w:keepLines/>
        <w:spacing w:after="120"/>
        <w:jc w:val="left"/>
      </w:pPr>
      <w:r>
        <w:rPr>
          <w:sz w:val="20"/>
        </w:rPr>
        <w:t xml:space="preserve">RQ-MSBA-E01 - Ressourcenverbrauch von Audio-, Vision- und Digital-Gateways pro nutzbarer Information oder korrekter Entscheidung</w:t>
      </w:r>
    </w:p>
    <w:p>
      <w:pPr>
        <w:pStyle w:val="FirstParagraph"/>
        <w:keepLines/>
        <w:spacing w:after="120"/>
        <w:jc w:val="left"/>
      </w:pPr>
      <w:r>
        <w:rPr>
          <w:b/>
          <w:bCs/>
          <w:sz w:val="20"/>
        </w:rPr>
        <w:t xml:space="preserve">Hypothese:</w:t>
      </w:r>
      <w:r>
        <w:rPr>
          <w:sz w:val="20"/>
        </w:rPr>
        <w:t xml:space="preserve"> </w:t>
      </w:r>
      <w:r>
        <w:rPr>
          <w:rStyle w:val="VerbatimChar"/>
          <w:sz w:val="20"/>
        </w:rPr>
        <w:t xml:space="preserve">H-MSBA-E01-A</w:t>
      </w:r>
      <w:r>
        <w:rPr>
          <w:sz w:val="20"/>
        </w:rPr>
        <w:t xml:space="preserve">. Unter kontrollierter Aufgabeninformation unterscheiden sich Audio-, Vision- und Digital-Gateways reproduzierbar in Energie- und Synapsenkosten pro korrekter Entscheidung. [R15; Originalwortlaut des Registers.]</w:t>
      </w:r>
    </w:p>
    <w:p>
      <w:pPr>
        <w:pStyle w:val="BodyText"/>
        <w:keepLines/>
        <w:spacing w:after="120"/>
        <w:jc w:val="left"/>
      </w:pPr>
      <w:r>
        <w:rPr>
          <w:b/>
          <w:bCs/>
          <w:sz w:val="20"/>
        </w:rPr>
        <w:t xml:space="preserve">Registry:</w:t>
      </w:r>
      <w:r>
        <w:rPr>
          <w:sz w:val="20"/>
        </w:rPr>
        <w:t xml:space="preserve"> </w:t>
      </w:r>
      <w:r>
        <w:rPr>
          <w:sz w:val="20"/>
        </w:rPr>
        <w:t xml:space="preserve">Frage</w:t>
      </w:r>
      <w:r>
        <w:rPr>
          <w:sz w:val="20"/>
        </w:rPr>
        <w:t xml:space="preserve"> </w:t>
      </w:r>
      <w:r>
        <w:rPr>
          <w:rStyle w:val="VerbatimChar"/>
          <w:sz w:val="20"/>
        </w:rPr>
        <w:t xml:space="preserve">open</w:t>
      </w:r>
      <w:r>
        <w:rPr>
          <w:sz w:val="20"/>
        </w:rPr>
        <w:t xml:space="preserve">; Hypothese</w:t>
      </w:r>
      <w:r>
        <w:rPr>
          <w:sz w:val="20"/>
        </w:rPr>
        <w:t xml:space="preserve"> </w:t>
      </w:r>
      <w:r>
        <w:rPr>
          <w:rStyle w:val="VerbatimChar"/>
          <w:sz w:val="20"/>
        </w:rPr>
        <w:t xml:space="preserve">untested</w:t>
      </w:r>
      <w:r>
        <w:rPr>
          <w:sz w:val="20"/>
        </w:rPr>
        <w:t xml:space="preserve">;</w:t>
      </w:r>
      <w:r>
        <w:rPr>
          <w:sz w:val="20"/>
        </w:rPr>
        <w:t xml:space="preserve"> </w:t>
      </w:r>
      <w:r>
        <w:rPr>
          <w:rStyle w:val="VerbatimChar"/>
          <w:sz w:val="20"/>
        </w:rPr>
        <w:t xml:space="preserve">evidence: []</w:t>
      </w:r>
      <w:r>
        <w:rPr>
          <w:sz w:val="20"/>
        </w:rPr>
        <w:t xml:space="preserve">.</w:t>
      </w:r>
      <w:r>
        <w:rPr>
          <w:sz w:val="20"/>
        </w:rPr>
        <w:t xml:space="preserve"> </w:t>
      </w:r>
      <w:r>
        <w:rPr>
          <w:b/>
          <w:bCs/>
          <w:sz w:val="20"/>
        </w:rPr>
        <w:t xml:space="preserve">Einordnung:</w:t>
      </w:r>
      <w:r>
        <w:rPr>
          <w:sz w:val="20"/>
        </w:rPr>
        <w:t xml:space="preserve"> </w:t>
      </w:r>
      <w:r>
        <w:rPr>
          <w:sz w:val="20"/>
        </w:rPr>
        <w:t xml:space="preserve">Kein bestätigender Nachweis in den gelesenen Fragmenten. Adaptive Teilpfade sind teilweise noch nicht als Runner operationalisiert. [R13; R15]</w:t>
      </w:r>
    </w:p>
    <w:bookmarkEnd w:id="672"/>
    <w:bookmarkStart w:id="673" w:name="Xd1a68cff6c785403a65bb67c94a7d8e15a8d3e8"/>
    <w:p>
      <w:pPr>
        <w:pStyle w:val="Heading3"/>
        <w:keepLines/>
        <w:spacing w:after="120"/>
        <w:jc w:val="left"/>
      </w:pPr>
      <w:r>
        <w:rPr>
          <w:sz w:val="20"/>
        </w:rPr>
        <w:t xml:space="preserve">RQ-MSBA-E02 - Nutzen kostenadaptiver statt fixer oder zufälliger Allokation bei gleichem Gesamtbudget</w:t>
      </w:r>
    </w:p>
    <w:p>
      <w:pPr>
        <w:pStyle w:val="FirstParagraph"/>
        <w:keepLines/>
        <w:spacing w:after="120"/>
        <w:jc w:val="left"/>
      </w:pPr>
      <w:r>
        <w:rPr>
          <w:b/>
          <w:bCs/>
          <w:sz w:val="20"/>
        </w:rPr>
        <w:t xml:space="preserve">Hypothese:</w:t>
      </w:r>
      <w:r>
        <w:rPr>
          <w:sz w:val="20"/>
        </w:rPr>
        <w:t xml:space="preserve"> </w:t>
      </w:r>
      <w:r>
        <w:rPr>
          <w:rStyle w:val="VerbatimChar"/>
          <w:sz w:val="20"/>
        </w:rPr>
        <w:t xml:space="preserve">H-MSBA-E02-A</w:t>
      </w:r>
      <w:r>
        <w:rPr>
          <w:sz w:val="20"/>
        </w:rPr>
        <w:t xml:space="preserve">. Adaptive Utility-minus-Cost-Allokation erzielt bei gleichem Ressourcenbudget hoehere Aufgabenleistung oder laengere funktionsfaehige Laufzeit als fixe und zufaellige Kontrollen. [R15; Originalwortlaut des Registers.]</w:t>
      </w:r>
    </w:p>
    <w:p>
      <w:pPr>
        <w:pStyle w:val="BodyText"/>
        <w:keepLines/>
        <w:spacing w:after="120"/>
        <w:jc w:val="left"/>
      </w:pPr>
      <w:r>
        <w:rPr>
          <w:b/>
          <w:bCs/>
          <w:sz w:val="20"/>
        </w:rPr>
        <w:t xml:space="preserve">Registry:</w:t>
      </w:r>
      <w:r>
        <w:rPr>
          <w:sz w:val="20"/>
        </w:rPr>
        <w:t xml:space="preserve"> </w:t>
      </w:r>
      <w:r>
        <w:rPr>
          <w:sz w:val="20"/>
        </w:rPr>
        <w:t xml:space="preserve">Frage</w:t>
      </w:r>
      <w:r>
        <w:rPr>
          <w:sz w:val="20"/>
        </w:rPr>
        <w:t xml:space="preserve"> </w:t>
      </w:r>
      <w:r>
        <w:rPr>
          <w:rStyle w:val="VerbatimChar"/>
          <w:sz w:val="20"/>
        </w:rPr>
        <w:t xml:space="preserve">open</w:t>
      </w:r>
      <w:r>
        <w:rPr>
          <w:sz w:val="20"/>
        </w:rPr>
        <w:t xml:space="preserve">; Hypothese</w:t>
      </w:r>
      <w:r>
        <w:rPr>
          <w:sz w:val="20"/>
        </w:rPr>
        <w:t xml:space="preserve"> </w:t>
      </w:r>
      <w:r>
        <w:rPr>
          <w:rStyle w:val="VerbatimChar"/>
          <w:sz w:val="20"/>
        </w:rPr>
        <w:t xml:space="preserve">untested</w:t>
      </w:r>
      <w:r>
        <w:rPr>
          <w:sz w:val="20"/>
        </w:rPr>
        <w:t xml:space="preserve">;</w:t>
      </w:r>
      <w:r>
        <w:rPr>
          <w:sz w:val="20"/>
        </w:rPr>
        <w:t xml:space="preserve"> </w:t>
      </w:r>
      <w:r>
        <w:rPr>
          <w:rStyle w:val="VerbatimChar"/>
          <w:sz w:val="20"/>
        </w:rPr>
        <w:t xml:space="preserve">evidence: []</w:t>
      </w:r>
      <w:r>
        <w:rPr>
          <w:sz w:val="20"/>
        </w:rPr>
        <w:t xml:space="preserve">.</w:t>
      </w:r>
      <w:r>
        <w:rPr>
          <w:sz w:val="20"/>
        </w:rPr>
        <w:t xml:space="preserve"> </w:t>
      </w:r>
      <w:r>
        <w:rPr>
          <w:b/>
          <w:bCs/>
          <w:sz w:val="20"/>
        </w:rPr>
        <w:t xml:space="preserve">Einordnung:</w:t>
      </w:r>
      <w:r>
        <w:rPr>
          <w:sz w:val="20"/>
        </w:rPr>
        <w:t xml:space="preserve"> </w:t>
      </w:r>
      <w:r>
        <w:rPr>
          <w:sz w:val="20"/>
        </w:rPr>
        <w:t xml:space="preserve">Kein bestätigender Nachweis in den gelesenen Fragmenten. Adaptive Teilpfade sind teilweise noch nicht als Runner operationalisiert. [R13; R15]</w:t>
      </w:r>
    </w:p>
    <w:bookmarkEnd w:id="673"/>
    <w:bookmarkStart w:id="674" w:name="Xce9e4ffdc42256132ebf6f5bf6abf3d9d46e4a2"/>
    <w:p>
      <w:pPr>
        <w:pStyle w:val="Heading3"/>
        <w:keepLines/>
        <w:spacing w:after="120"/>
        <w:jc w:val="left"/>
      </w:pPr>
      <w:r>
        <w:rPr>
          <w:sz w:val="20"/>
        </w:rPr>
        <w:t xml:space="preserve">RQ-MSBA-E03 - Entwicklung nutzungsabhängiger visueller ROI/Foveation ohne hart codierte Zielregion</w:t>
      </w:r>
    </w:p>
    <w:p>
      <w:pPr>
        <w:pStyle w:val="FirstParagraph"/>
        <w:keepLines/>
        <w:spacing w:after="120"/>
        <w:jc w:val="left"/>
      </w:pPr>
      <w:r>
        <w:rPr>
          <w:b/>
          <w:bCs/>
          <w:sz w:val="20"/>
        </w:rPr>
        <w:t xml:space="preserve">Hypothese:</w:t>
      </w:r>
      <w:r>
        <w:rPr>
          <w:sz w:val="20"/>
        </w:rPr>
        <w:t xml:space="preserve"> </w:t>
      </w:r>
      <w:r>
        <w:rPr>
          <w:rStyle w:val="VerbatimChar"/>
          <w:sz w:val="20"/>
        </w:rPr>
        <w:t xml:space="preserve">H-MSBA-E03-A</w:t>
      </w:r>
      <w:r>
        <w:rPr>
          <w:sz w:val="20"/>
        </w:rPr>
        <w:t xml:space="preserve">. Adaptive visuelle ROI-Allokation konzentriert Ressourcen auf aufgabenrelevante Regionen und verbessert Leistung pro Ressourceneinheit gegenueber einer zufaelligen ROI-Kontrolle. [R15; Originalwortlaut des Registers.]</w:t>
      </w:r>
    </w:p>
    <w:p>
      <w:pPr>
        <w:pStyle w:val="BodyText"/>
        <w:keepLines/>
        <w:spacing w:after="120"/>
        <w:jc w:val="left"/>
      </w:pPr>
      <w:r>
        <w:rPr>
          <w:b/>
          <w:bCs/>
          <w:sz w:val="20"/>
        </w:rPr>
        <w:t xml:space="preserve">Registry:</w:t>
      </w:r>
      <w:r>
        <w:rPr>
          <w:sz w:val="20"/>
        </w:rPr>
        <w:t xml:space="preserve"> </w:t>
      </w:r>
      <w:r>
        <w:rPr>
          <w:sz w:val="20"/>
        </w:rPr>
        <w:t xml:space="preserve">Frage</w:t>
      </w:r>
      <w:r>
        <w:rPr>
          <w:sz w:val="20"/>
        </w:rPr>
        <w:t xml:space="preserve"> </w:t>
      </w:r>
      <w:r>
        <w:rPr>
          <w:rStyle w:val="VerbatimChar"/>
          <w:sz w:val="20"/>
        </w:rPr>
        <w:t xml:space="preserve">open</w:t>
      </w:r>
      <w:r>
        <w:rPr>
          <w:sz w:val="20"/>
        </w:rPr>
        <w:t xml:space="preserve">; Hypothese</w:t>
      </w:r>
      <w:r>
        <w:rPr>
          <w:sz w:val="20"/>
        </w:rPr>
        <w:t xml:space="preserve"> </w:t>
      </w:r>
      <w:r>
        <w:rPr>
          <w:rStyle w:val="VerbatimChar"/>
          <w:sz w:val="20"/>
        </w:rPr>
        <w:t xml:space="preserve">untested</w:t>
      </w:r>
      <w:r>
        <w:rPr>
          <w:sz w:val="20"/>
        </w:rPr>
        <w:t xml:space="preserve">;</w:t>
      </w:r>
      <w:r>
        <w:rPr>
          <w:sz w:val="20"/>
        </w:rPr>
        <w:t xml:space="preserve"> </w:t>
      </w:r>
      <w:r>
        <w:rPr>
          <w:rStyle w:val="VerbatimChar"/>
          <w:sz w:val="20"/>
        </w:rPr>
        <w:t xml:space="preserve">evidence: []</w:t>
      </w:r>
      <w:r>
        <w:rPr>
          <w:sz w:val="20"/>
        </w:rPr>
        <w:t xml:space="preserve">.</w:t>
      </w:r>
      <w:r>
        <w:rPr>
          <w:sz w:val="20"/>
        </w:rPr>
        <w:t xml:space="preserve"> </w:t>
      </w:r>
      <w:r>
        <w:rPr>
          <w:b/>
          <w:bCs/>
          <w:sz w:val="20"/>
        </w:rPr>
        <w:t xml:space="preserve">Einordnung:</w:t>
      </w:r>
      <w:r>
        <w:rPr>
          <w:sz w:val="20"/>
        </w:rPr>
        <w:t xml:space="preserve"> </w:t>
      </w:r>
      <w:r>
        <w:rPr>
          <w:sz w:val="20"/>
        </w:rPr>
        <w:t xml:space="preserve">Kein bestätigender Nachweis in den gelesenen Fragmenten. Adaptive Teilpfade sind teilweise noch nicht als Runner operationalisiert. [R13; R15]</w:t>
      </w:r>
    </w:p>
    <w:bookmarkEnd w:id="674"/>
    <w:bookmarkStart w:id="675" w:name="X1abd9810df456cd19c390bc805c419dfc04ca83"/>
    <w:p>
      <w:pPr>
        <w:pStyle w:val="Heading3"/>
        <w:keepLines/>
        <w:spacing w:after="120"/>
        <w:jc w:val="left"/>
      </w:pPr>
      <w:r>
        <w:rPr>
          <w:sz w:val="20"/>
        </w:rPr>
        <w:t xml:space="preserve">RQ-MSBA-E04 - Exakte digitale Payload-Integrität bei Drosselung; nur Durchsatz und Admission sinken</w:t>
      </w:r>
    </w:p>
    <w:p>
      <w:pPr>
        <w:pStyle w:val="FirstParagraph"/>
        <w:keepLines/>
        <w:spacing w:after="120"/>
        <w:jc w:val="left"/>
      </w:pPr>
      <w:r>
        <w:rPr>
          <w:b/>
          <w:bCs/>
          <w:sz w:val="20"/>
        </w:rPr>
        <w:t xml:space="preserve">Hypothese:</w:t>
      </w:r>
      <w:r>
        <w:rPr>
          <w:sz w:val="20"/>
        </w:rPr>
        <w:t xml:space="preserve"> </w:t>
      </w:r>
      <w:r>
        <w:rPr>
          <w:rStyle w:val="VerbatimChar"/>
          <w:sz w:val="20"/>
        </w:rPr>
        <w:t xml:space="preserve">H-MSBA-E04-A</w:t>
      </w:r>
      <w:r>
        <w:rPr>
          <w:sz w:val="20"/>
        </w:rPr>
        <w:t xml:space="preserve">. Ressourcen-Drosselung reduziert die zugelassene Symbolrate, erzeugt aber keine Mutation der digitalen Payload oder ihrer Checksumme. [R15; Originalwortlaut des Registers.]</w:t>
      </w:r>
    </w:p>
    <w:p>
      <w:pPr>
        <w:pStyle w:val="BodyText"/>
        <w:keepLines/>
        <w:spacing w:after="120"/>
        <w:jc w:val="left"/>
      </w:pPr>
      <w:r>
        <w:rPr>
          <w:b/>
          <w:bCs/>
          <w:sz w:val="20"/>
        </w:rPr>
        <w:t xml:space="preserve">Registry:</w:t>
      </w:r>
      <w:r>
        <w:rPr>
          <w:sz w:val="20"/>
        </w:rPr>
        <w:t xml:space="preserve"> </w:t>
      </w:r>
      <w:r>
        <w:rPr>
          <w:sz w:val="20"/>
        </w:rPr>
        <w:t xml:space="preserve">Frage</w:t>
      </w:r>
      <w:r>
        <w:rPr>
          <w:sz w:val="20"/>
        </w:rPr>
        <w:t xml:space="preserve"> </w:t>
      </w:r>
      <w:r>
        <w:rPr>
          <w:rStyle w:val="VerbatimChar"/>
          <w:sz w:val="20"/>
        </w:rPr>
        <w:t xml:space="preserve">open</w:t>
      </w:r>
      <w:r>
        <w:rPr>
          <w:sz w:val="20"/>
        </w:rPr>
        <w:t xml:space="preserve">; Hypothese</w:t>
      </w:r>
      <w:r>
        <w:rPr>
          <w:sz w:val="20"/>
        </w:rPr>
        <w:t xml:space="preserve"> </w:t>
      </w:r>
      <w:r>
        <w:rPr>
          <w:rStyle w:val="VerbatimChar"/>
          <w:sz w:val="20"/>
        </w:rPr>
        <w:t xml:space="preserve">untested</w:t>
      </w:r>
      <w:r>
        <w:rPr>
          <w:sz w:val="20"/>
        </w:rPr>
        <w:t xml:space="preserve">;</w:t>
      </w:r>
      <w:r>
        <w:rPr>
          <w:sz w:val="20"/>
        </w:rPr>
        <w:t xml:space="preserve"> </w:t>
      </w:r>
      <w:r>
        <w:rPr>
          <w:rStyle w:val="VerbatimChar"/>
          <w:sz w:val="20"/>
        </w:rPr>
        <w:t xml:space="preserve">evidence: []</w:t>
      </w:r>
      <w:r>
        <w:rPr>
          <w:sz w:val="20"/>
        </w:rPr>
        <w:t xml:space="preserve">.</w:t>
      </w:r>
      <w:r>
        <w:rPr>
          <w:sz w:val="20"/>
        </w:rPr>
        <w:t xml:space="preserve"> </w:t>
      </w:r>
      <w:r>
        <w:rPr>
          <w:b/>
          <w:bCs/>
          <w:sz w:val="20"/>
        </w:rPr>
        <w:t xml:space="preserve">Einordnung:</w:t>
      </w:r>
      <w:r>
        <w:rPr>
          <w:sz w:val="20"/>
        </w:rPr>
        <w:t xml:space="preserve"> </w:t>
      </w:r>
      <w:r>
        <w:rPr>
          <w:sz w:val="20"/>
        </w:rPr>
        <w:t xml:space="preserve">Kein bestätigender Nachweis in den gelesenen Fragmenten. Adaptive Teilpfade sind teilweise noch nicht als Runner operationalisiert. [R13; R15]</w:t>
      </w:r>
    </w:p>
    <w:bookmarkEnd w:id="675"/>
    <w:bookmarkStart w:id="676" w:name="Xb180a951ac00dae23810131dac675a5a8c56463"/>
    <w:p>
      <w:pPr>
        <w:pStyle w:val="Heading3"/>
        <w:keepLines/>
        <w:spacing w:after="120"/>
        <w:jc w:val="left"/>
      </w:pPr>
      <w:r>
        <w:rPr>
          <w:sz w:val="20"/>
        </w:rPr>
        <w:t xml:space="preserve">RQ-MSBA-E05 - Gezielte modalitätsübergreifende Kompensation bei Ausfall oder Degradation</w:t>
      </w:r>
    </w:p>
    <w:p>
      <w:pPr>
        <w:pStyle w:val="FirstParagraph"/>
        <w:keepLines/>
        <w:spacing w:after="120"/>
        <w:jc w:val="left"/>
      </w:pPr>
      <w:r>
        <w:rPr>
          <w:b/>
          <w:bCs/>
          <w:sz w:val="20"/>
        </w:rPr>
        <w:t xml:space="preserve">Hypothese:</w:t>
      </w:r>
      <w:r>
        <w:rPr>
          <w:sz w:val="20"/>
        </w:rPr>
        <w:t xml:space="preserve"> </w:t>
      </w:r>
      <w:r>
        <w:rPr>
          <w:rStyle w:val="VerbatimChar"/>
          <w:sz w:val="20"/>
        </w:rPr>
        <w:t xml:space="preserve">H-MSBA-E05-A</w:t>
      </w:r>
      <w:r>
        <w:rPr>
          <w:sz w:val="20"/>
        </w:rPr>
        <w:t xml:space="preserve">. Nach kontrolliertem Modalitaetsausfall steigt die alternative Gateway-Allokation nur bei guenstigem Utility-Kosten-Verhaeltnis und verbessert die Aufgaben-Recovery gegenueber fixen und No-Compensation-Kontrollen. [R15; Originalwortlaut des Registers.]</w:t>
      </w:r>
    </w:p>
    <w:p>
      <w:pPr>
        <w:pStyle w:val="BodyText"/>
        <w:keepLines/>
        <w:spacing w:after="120"/>
        <w:jc w:val="left"/>
      </w:pPr>
      <w:r>
        <w:rPr>
          <w:b/>
          <w:bCs/>
          <w:sz w:val="20"/>
        </w:rPr>
        <w:t xml:space="preserve">Registry:</w:t>
      </w:r>
      <w:r>
        <w:rPr>
          <w:sz w:val="20"/>
        </w:rPr>
        <w:t xml:space="preserve"> </w:t>
      </w:r>
      <w:r>
        <w:rPr>
          <w:sz w:val="20"/>
        </w:rPr>
        <w:t xml:space="preserve">Frage</w:t>
      </w:r>
      <w:r>
        <w:rPr>
          <w:sz w:val="20"/>
        </w:rPr>
        <w:t xml:space="preserve"> </w:t>
      </w:r>
      <w:r>
        <w:rPr>
          <w:rStyle w:val="VerbatimChar"/>
          <w:sz w:val="20"/>
        </w:rPr>
        <w:t xml:space="preserve">open</w:t>
      </w:r>
      <w:r>
        <w:rPr>
          <w:sz w:val="20"/>
        </w:rPr>
        <w:t xml:space="preserve">; Hypothese</w:t>
      </w:r>
      <w:r>
        <w:rPr>
          <w:sz w:val="20"/>
        </w:rPr>
        <w:t xml:space="preserve"> </w:t>
      </w:r>
      <w:r>
        <w:rPr>
          <w:rStyle w:val="VerbatimChar"/>
          <w:sz w:val="20"/>
        </w:rPr>
        <w:t xml:space="preserve">untested</w:t>
      </w:r>
      <w:r>
        <w:rPr>
          <w:sz w:val="20"/>
        </w:rPr>
        <w:t xml:space="preserve">;</w:t>
      </w:r>
      <w:r>
        <w:rPr>
          <w:sz w:val="20"/>
        </w:rPr>
        <w:t xml:space="preserve"> </w:t>
      </w:r>
      <w:r>
        <w:rPr>
          <w:rStyle w:val="VerbatimChar"/>
          <w:sz w:val="20"/>
        </w:rPr>
        <w:t xml:space="preserve">evidence: []</w:t>
      </w:r>
      <w:r>
        <w:rPr>
          <w:sz w:val="20"/>
        </w:rPr>
        <w:t xml:space="preserve">.</w:t>
      </w:r>
      <w:r>
        <w:rPr>
          <w:sz w:val="20"/>
        </w:rPr>
        <w:t xml:space="preserve"> </w:t>
      </w:r>
      <w:r>
        <w:rPr>
          <w:b/>
          <w:bCs/>
          <w:sz w:val="20"/>
        </w:rPr>
        <w:t xml:space="preserve">Einordnung:</w:t>
      </w:r>
      <w:r>
        <w:rPr>
          <w:sz w:val="20"/>
        </w:rPr>
        <w:t xml:space="preserve"> </w:t>
      </w:r>
      <w:r>
        <w:rPr>
          <w:sz w:val="20"/>
        </w:rPr>
        <w:t xml:space="preserve">Kein bestätigender Nachweis in den gelesenen Fragmenten. Adaptive Teilpfade sind teilweise noch nicht als Runner operationalisiert. [R13; R15]</w:t>
      </w:r>
    </w:p>
    <w:bookmarkEnd w:id="676"/>
    <w:bookmarkEnd w:id="677"/>
    <w:bookmarkEnd w:id="678"/>
    <w:bookmarkStart w:id="704" w:name="X7dc37a29dee76e6ec87ae4d158862b56af1a57c"/>
    <w:p>
      <w:bookmarkStart w:id="10042" w:name="B5D_H042"/>
      <w:pPr>
        <w:pStyle w:val="Heading1"/>
      </w:pPr>
      <w:r>
        <w:t xml:space="preserve">Anhang C - Antworten auf die übergeordneten Forschungsfragen</w:t>
      </w:r>
      <w:bookmarkEnd w:id="10042"/>
    </w:p>
    <w:bookmarkStart w:id="703" w:name="antworten-auf-f1-bis-f24"/>
    <w:p>
      <w:pPr>
        <w:pStyle w:val="Heading2"/>
      </w:pPr>
      <w:r>
        <w:t xml:space="preserve">Antworten auf F1 bis F24</w:t>
      </w:r>
    </w:p>
    <w:p>
      <w:pPr>
        <w:pStyle w:val="FirstParagraph"/>
        <w:keepLines/>
        <w:spacing w:after="120"/>
        <w:jc w:val="left"/>
      </w:pPr>
      <w:r>
        <w:rPr>
          <w:sz w:val="20"/>
        </w:rPr>
        <w:t xml:space="preserve">Die Fragen werden aus der erweiterten Vorlage wörtlich übernommen. Die Antworten sind eine qualifizierte Synthese des aktuell geprüften Materials, keine nachträgliche Bestätigung aller Arbeitshypothesen.</w:t>
      </w:r>
    </w:p>
    <w:bookmarkStart w:id="679" w:name="f1---technisch-genealogisch"/>
    <w:p>
      <w:pPr>
        <w:pStyle w:val="Heading3"/>
        <w:keepLines/>
        <w:spacing w:after="120"/>
        <w:jc w:val="left"/>
      </w:pPr>
      <w:r>
        <w:rPr>
          <w:sz w:val="20"/>
        </w:rPr>
        <w:t xml:space="preserve">F1 - technisch-genealogisch</w:t>
      </w:r>
    </w:p>
    <w:p>
      <w:pPr>
        <w:pStyle w:val="FirstParagraph"/>
        <w:keepLines/>
        <w:spacing w:after="120"/>
        <w:jc w:val="left"/>
      </w:pPr>
      <w:r>
        <w:rPr>
          <w:sz w:val="20"/>
        </w:rPr>
        <w:t xml:space="preserve">Erzeugen unterschiedliche LLMs bei gleicher Aufgabenstellung systematisch unterschiedliche SNN-Topologien?</w:t>
      </w:r>
    </w:p>
    <w:p>
      <w:pPr>
        <w:pStyle w:val="BodyText"/>
        <w:keepLines/>
        <w:spacing w:after="120"/>
        <w:jc w:val="left"/>
      </w:pPr>
      <w:r>
        <w:rPr>
          <w:sz w:val="20"/>
        </w:rPr>
        <w:t xml:space="preserve">Für modellspezifische SNN-Entwürfe fehlt im ausgewerteten Korpus ein eingefrorener Mehrmodellvergleich. Die Frage bleibt empirisch offen.</w:t>
      </w:r>
    </w:p>
    <w:bookmarkEnd w:id="679"/>
    <w:bookmarkStart w:id="680" w:name="f2---technisch-genealogisch"/>
    <w:p>
      <w:pPr>
        <w:pStyle w:val="Heading3"/>
        <w:keepLines/>
        <w:spacing w:after="120"/>
        <w:jc w:val="left"/>
      </w:pPr>
      <w:r>
        <w:rPr>
          <w:sz w:val="20"/>
        </w:rPr>
        <w:t xml:space="preserve">F2 - technisch-genealogisch</w:t>
      </w:r>
    </w:p>
    <w:p>
      <w:pPr>
        <w:pStyle w:val="FirstParagraph"/>
        <w:keepLines/>
        <w:spacing w:after="120"/>
        <w:jc w:val="left"/>
      </w:pPr>
      <w:r>
        <w:rPr>
          <w:sz w:val="20"/>
        </w:rPr>
        <w:t xml:space="preserve">Lassen sich modellspezifische Entwurfsfingerabdrücke anhand von Netzwerkdichte, Rekurrenz, Motiven, Neuronenmodellen, Plastizitätsregeln und Stabilität erkennen?</w:t>
      </w:r>
    </w:p>
    <w:p>
      <w:pPr>
        <w:pStyle w:val="BodyText"/>
        <w:keepLines/>
        <w:spacing w:after="120"/>
        <w:jc w:val="left"/>
      </w:pPr>
      <w:r>
        <w:rPr>
          <w:sz w:val="20"/>
        </w:rPr>
        <w:t xml:space="preserve">Netzwerkdichte, Motive und Rekurrenz sind geeignete Merkmale; ein stabiler modellspezifischer Fingerabdruck ist noch nicht nachgewiesen.</w:t>
      </w:r>
    </w:p>
    <w:bookmarkEnd w:id="680"/>
    <w:bookmarkStart w:id="681" w:name="f3---technisch-vergleichend"/>
    <w:p>
      <w:pPr>
        <w:pStyle w:val="Heading3"/>
        <w:keepLines/>
        <w:spacing w:after="120"/>
        <w:jc w:val="left"/>
      </w:pPr>
      <w:r>
        <w:rPr>
          <w:sz w:val="20"/>
        </w:rPr>
        <w:t xml:space="preserve">F3 - technisch-vergleichend</w:t>
      </w:r>
    </w:p>
    <w:p>
      <w:pPr>
        <w:pStyle w:val="FirstParagraph"/>
        <w:keepLines/>
        <w:spacing w:after="120"/>
        <w:jc w:val="left"/>
      </w:pPr>
      <w:r>
        <w:rPr>
          <w:sz w:val="20"/>
        </w:rPr>
        <w:t xml:space="preserve">Sind LLM-generierte Architekturen leistungsfähiger, vielfältiger oder biologisch plausibler als manuell definierte Referenzarchitekturen?</w:t>
      </w:r>
    </w:p>
    <w:p>
      <w:pPr>
        <w:pStyle w:val="BodyText"/>
        <w:keepLines/>
        <w:spacing w:after="120"/>
        <w:jc w:val="left"/>
      </w:pPr>
      <w:r>
        <w:rPr>
          <w:sz w:val="20"/>
        </w:rPr>
        <w:t xml:space="preserve">Eine generelle Überlegenheit LLM-generierter Architekturen ist nicht belegt. Referenzen müssen Ressourcen, Suchbudget und Aufgaben kontrollieren.</w:t>
      </w:r>
    </w:p>
    <w:bookmarkEnd w:id="681"/>
    <w:bookmarkStart w:id="682" w:name="f4---technisch-epistemisch"/>
    <w:p>
      <w:pPr>
        <w:pStyle w:val="Heading3"/>
        <w:keepLines/>
        <w:spacing w:after="120"/>
        <w:jc w:val="left"/>
      </w:pPr>
      <w:r>
        <w:rPr>
          <w:sz w:val="20"/>
        </w:rPr>
        <w:t xml:space="preserve">F4 - technisch-epistemisch</w:t>
      </w:r>
    </w:p>
    <w:p>
      <w:pPr>
        <w:pStyle w:val="FirstParagraph"/>
        <w:keepLines/>
        <w:spacing w:after="120"/>
        <w:jc w:val="left"/>
      </w:pPr>
      <w:r>
        <w:rPr>
          <w:sz w:val="20"/>
        </w:rPr>
        <w:t xml:space="preserve">Verbessert ein Mehrmodellverfahren die Qualität, oder reproduzieren mehrere Modelle ähnliche, aus Trainingsdaten bekannte Architekturvorstellungen?</w:t>
      </w:r>
    </w:p>
    <w:p>
      <w:pPr>
        <w:pStyle w:val="BodyText"/>
        <w:keepLines/>
        <w:spacing w:after="120"/>
        <w:jc w:val="left"/>
      </w:pPr>
      <w:r>
        <w:rPr>
          <w:sz w:val="20"/>
        </w:rPr>
        <w:t xml:space="preserve">Mehrmodellkonsens kann korrelierte Fehler erhalten. Ein Nutzen setzt messbar unterschiedliche Fehlerprofile und unabhängige Bewertung voraus; hier offen.</w:t>
      </w:r>
    </w:p>
    <w:bookmarkEnd w:id="682"/>
    <w:bookmarkStart w:id="683" w:name="f5---provenienz-und-reproduzierbarkeit"/>
    <w:p>
      <w:pPr>
        <w:pStyle w:val="Heading3"/>
        <w:keepLines/>
        <w:spacing w:after="120"/>
        <w:jc w:val="left"/>
      </w:pPr>
      <w:r>
        <w:rPr>
          <w:sz w:val="20"/>
        </w:rPr>
        <w:t xml:space="preserve">F5 - Provenienz und Reproduzierbarkeit</w:t>
      </w:r>
    </w:p>
    <w:p>
      <w:pPr>
        <w:pStyle w:val="FirstParagraph"/>
        <w:keepLines/>
        <w:spacing w:after="120"/>
        <w:jc w:val="left"/>
      </w:pPr>
      <w:r>
        <w:rPr>
          <w:sz w:val="20"/>
        </w:rPr>
        <w:t xml:space="preserve">Wie stark hängen Ergebnisse von Promptformulierung, Modellversion, Temperatur, Systemanweisung und verfügbarem Kontext ab?</w:t>
      </w:r>
    </w:p>
    <w:p>
      <w:pPr>
        <w:pStyle w:val="BodyText"/>
        <w:keepLines/>
        <w:spacing w:after="120"/>
        <w:jc w:val="left"/>
      </w:pPr>
      <w:r>
        <w:rPr>
          <w:sz w:val="20"/>
        </w:rPr>
        <w:t xml:space="preserve">Prompt, Version, Temperatur und Kontext sind dokumentationspflichtige Faktoren. Ihre Effektgrößen wurden in den hier geprüften Läufen nicht isoliert.</w:t>
      </w:r>
    </w:p>
    <w:bookmarkEnd w:id="683"/>
    <w:bookmarkStart w:id="684" w:name="f6---kontrolle-und-governance"/>
    <w:p>
      <w:pPr>
        <w:pStyle w:val="Heading3"/>
        <w:keepLines/>
        <w:spacing w:after="120"/>
        <w:jc w:val="left"/>
      </w:pPr>
      <w:r>
        <w:rPr>
          <w:sz w:val="20"/>
        </w:rPr>
        <w:t xml:space="preserve">F6 - Kontrolle und Governance</w:t>
      </w:r>
    </w:p>
    <w:p>
      <w:pPr>
        <w:pStyle w:val="FirstParagraph"/>
        <w:keepLines/>
        <w:spacing w:after="120"/>
        <w:jc w:val="left"/>
      </w:pPr>
      <w:r>
        <w:rPr>
          <w:sz w:val="20"/>
        </w:rPr>
        <w:t xml:space="preserve">Unter welchen Bedingungen ist menschliche Aufsicht tatsächlich wirksam und nicht nur formal oder symbolisch?</w:t>
      </w:r>
    </w:p>
    <w:p>
      <w:pPr>
        <w:pStyle w:val="BodyText"/>
        <w:keepLines/>
        <w:spacing w:after="120"/>
        <w:jc w:val="left"/>
      </w:pPr>
      <w:r>
        <w:rPr>
          <w:sz w:val="20"/>
        </w:rPr>
        <w:t xml:space="preserve">Wirksame Aufsicht verlangt relevante Information, Befugnis, Zeit und Eingriff. Die gefundenen Gate-/Berichtskonflikte zeigen konkrete Prüfaufgaben, keine universale Effektgröße.</w:t>
      </w:r>
    </w:p>
    <w:bookmarkEnd w:id="684"/>
    <w:bookmarkStart w:id="685" w:name="f7---hoheit-und-agency"/>
    <w:p>
      <w:pPr>
        <w:pStyle w:val="Heading3"/>
        <w:keepLines/>
        <w:spacing w:after="120"/>
        <w:jc w:val="left"/>
      </w:pPr>
      <w:r>
        <w:rPr>
          <w:sz w:val="20"/>
        </w:rPr>
        <w:t xml:space="preserve">F7 - Hoheit und Agency</w:t>
      </w:r>
    </w:p>
    <w:p>
      <w:pPr>
        <w:pStyle w:val="FirstParagraph"/>
        <w:keepLines/>
        <w:spacing w:after="120"/>
        <w:jc w:val="left"/>
      </w:pPr>
      <w:r>
        <w:rPr>
          <w:sz w:val="20"/>
        </w:rPr>
        <w:t xml:space="preserve">Ab welchem Grad maschineller Beteiligung wird technische Unterstützung zu einer Übertragung von Entscheidungshoheit?</w:t>
      </w:r>
    </w:p>
    <w:p>
      <w:pPr>
        <w:pStyle w:val="BodyText"/>
        <w:keepLines/>
        <w:spacing w:after="120"/>
        <w:jc w:val="left"/>
      </w:pPr>
      <w:r>
        <w:rPr>
          <w:sz w:val="20"/>
        </w:rPr>
        <w:t xml:space="preserve">Entscheidungshoheit wird über Zielsetzung, Bewertung, Freigabe, Selbständerung, Ressourcen und Abbruch getrennt beschrieben; kein einzelner Autonomieschwellwert ist validiert.</w:t>
      </w:r>
    </w:p>
    <w:bookmarkEnd w:id="685"/>
    <w:bookmarkStart w:id="686" w:name="f8---kontrolltheorie"/>
    <w:p>
      <w:pPr>
        <w:pStyle w:val="Heading3"/>
        <w:keepLines/>
        <w:spacing w:after="120"/>
        <w:jc w:val="left"/>
      </w:pPr>
      <w:r>
        <w:rPr>
          <w:sz w:val="20"/>
        </w:rPr>
        <w:t xml:space="preserve">F8 - Kontrolltheorie</w:t>
      </w:r>
    </w:p>
    <w:p>
      <w:pPr>
        <w:pStyle w:val="FirstParagraph"/>
        <w:keepLines/>
        <w:spacing w:after="120"/>
        <w:jc w:val="left"/>
      </w:pPr>
      <w:r>
        <w:rPr>
          <w:sz w:val="20"/>
        </w:rPr>
        <w:t xml:space="preserve">Wie kann Kontrollierbarkeit bestimmt werden, wenn vollständige Vorhersagbarkeit weder erreichbar noch erforderlich ist?</w:t>
      </w:r>
    </w:p>
    <w:p>
      <w:pPr>
        <w:pStyle w:val="BodyText"/>
        <w:keepLines/>
        <w:spacing w:after="120"/>
        <w:jc w:val="left"/>
      </w:pPr>
      <w:r>
        <w:rPr>
          <w:sz w:val="20"/>
        </w:rPr>
        <w:t xml:space="preserve">Kontrollierbarkeit kann mit Beobachtbarkeit, Begrenzung, Intervention und Reversibilität operationalisiert werden. Vollständige Vorhersage ist weder notwendig noch hinreichend.</w:t>
      </w:r>
    </w:p>
    <w:bookmarkEnd w:id="686"/>
    <w:bookmarkStart w:id="687" w:name="f9---governance-und-recht"/>
    <w:p>
      <w:pPr>
        <w:pStyle w:val="Heading3"/>
        <w:keepLines/>
        <w:spacing w:after="120"/>
        <w:jc w:val="left"/>
      </w:pPr>
      <w:r>
        <w:rPr>
          <w:sz w:val="20"/>
        </w:rPr>
        <w:t xml:space="preserve">F9 - Governance und Recht</w:t>
      </w:r>
    </w:p>
    <w:p>
      <w:pPr>
        <w:pStyle w:val="FirstParagraph"/>
        <w:keepLines/>
        <w:spacing w:after="120"/>
        <w:jc w:val="left"/>
      </w:pPr>
      <w:r>
        <w:rPr>
          <w:sz w:val="20"/>
        </w:rPr>
        <w:t xml:space="preserve">Welche Regeln, Rechte und Abbruchmöglichkeiten müssen außerhalb eines selbstverändernden Systems verbleiben, und wer legitimiert diese Ordnung?</w:t>
      </w:r>
    </w:p>
    <w:p>
      <w:pPr>
        <w:pStyle w:val="BodyText"/>
        <w:keepLines/>
        <w:spacing w:after="120"/>
        <w:jc w:val="left"/>
      </w:pPr>
      <w:r>
        <w:rPr>
          <w:sz w:val="20"/>
        </w:rPr>
        <w:t xml:space="preserve">Schutzrechte, Freigaben und Ressourcenlimits dürfen nicht vom optimierenden Pfad stillschweigend suspendiert werden. Ihre Legitimation ist institutionell und normativ zu begründen.</w:t>
      </w:r>
    </w:p>
    <w:bookmarkEnd w:id="687"/>
    <w:bookmarkStart w:id="688" w:name="f10---autorschaft"/>
    <w:p>
      <w:pPr>
        <w:pStyle w:val="Heading3"/>
        <w:keepLines/>
        <w:spacing w:after="120"/>
        <w:jc w:val="left"/>
      </w:pPr>
      <w:r>
        <w:rPr>
          <w:sz w:val="20"/>
        </w:rPr>
        <w:t xml:space="preserve">F10 - Autorschaft</w:t>
      </w:r>
    </w:p>
    <w:p>
      <w:pPr>
        <w:pStyle w:val="FirstParagraph"/>
        <w:keepLines/>
        <w:spacing w:after="120"/>
        <w:jc w:val="left"/>
      </w:pPr>
      <w:r>
        <w:rPr>
          <w:sz w:val="20"/>
        </w:rPr>
        <w:t xml:space="preserve">Ist das LLM Werkzeug, Mitgestalter, Ko-Autor oder statistischer Vorschlagsgenerator?</w:t>
      </w:r>
    </w:p>
    <w:p>
      <w:pPr>
        <w:pStyle w:val="BodyText"/>
        <w:keepLines/>
        <w:spacing w:after="120"/>
        <w:jc w:val="left"/>
      </w:pPr>
      <w:r>
        <w:rPr>
          <w:sz w:val="20"/>
        </w:rPr>
        <w:t xml:space="preserve">Das LLM ist in verschiedenen Pfaden Vorschlagsgenerator, Uebersetzer oder Mitgestalter. Rechtliche Autorschaft folgt daraus nicht automatisch.</w:t>
      </w:r>
    </w:p>
    <w:bookmarkEnd w:id="688"/>
    <w:bookmarkStart w:id="689" w:name="f11---verantwortung"/>
    <w:p>
      <w:pPr>
        <w:pStyle w:val="Heading3"/>
        <w:keepLines/>
        <w:spacing w:after="120"/>
        <w:jc w:val="left"/>
      </w:pPr>
      <w:r>
        <w:rPr>
          <w:sz w:val="20"/>
        </w:rPr>
        <w:t xml:space="preserve">F11 - Verantwortung</w:t>
      </w:r>
    </w:p>
    <w:p>
      <w:pPr>
        <w:pStyle w:val="FirstParagraph"/>
        <w:keepLines/>
        <w:spacing w:after="120"/>
        <w:jc w:val="left"/>
      </w:pPr>
      <w:r>
        <w:rPr>
          <w:sz w:val="20"/>
        </w:rPr>
        <w:t xml:space="preserve">Wer trägt Verantwortung, wenn ein LLM-generiertes SNN unerwartetes Verhalten entwickelt?</w:t>
      </w:r>
    </w:p>
    <w:p>
      <w:pPr>
        <w:pStyle w:val="BodyText"/>
        <w:keepLines/>
        <w:spacing w:after="120"/>
        <w:jc w:val="left"/>
      </w:pPr>
      <w:r>
        <w:rPr>
          <w:sz w:val="20"/>
        </w:rPr>
        <w:t xml:space="preserve">Verantwortung ist anhand konkreter Rollen, Pflichten und Eingriffsmöglichkeiten zu prüfen. Der kausale Beitrag eines Modells beseitigt menschliche Organisationsverantwortung nicht.</w:t>
      </w:r>
    </w:p>
    <w:bookmarkEnd w:id="689"/>
    <w:bookmarkStart w:id="690" w:name="f12---epistemische-verantwortung"/>
    <w:p>
      <w:pPr>
        <w:pStyle w:val="Heading3"/>
        <w:keepLines/>
        <w:spacing w:after="120"/>
        <w:jc w:val="left"/>
      </w:pPr>
      <w:r>
        <w:rPr>
          <w:sz w:val="20"/>
        </w:rPr>
        <w:t xml:space="preserve">F12 - Epistemische Verantwortung</w:t>
      </w:r>
    </w:p>
    <w:p>
      <w:pPr>
        <w:pStyle w:val="FirstParagraph"/>
        <w:keepLines/>
        <w:spacing w:after="120"/>
        <w:jc w:val="left"/>
      </w:pPr>
      <w:r>
        <w:rPr>
          <w:sz w:val="20"/>
        </w:rPr>
        <w:t xml:space="preserve">Ist menschliche Verantwortung noch real, wenn die innere Funktionsweise nicht vollständig nachvollzogen werden kann?</w:t>
      </w:r>
    </w:p>
    <w:p>
      <w:pPr>
        <w:pStyle w:val="BodyText"/>
        <w:keepLines/>
        <w:spacing w:after="120"/>
        <w:jc w:val="left"/>
      </w:pPr>
      <w:r>
        <w:rPr>
          <w:sz w:val="20"/>
        </w:rPr>
        <w:t xml:space="preserve">Vollständige Kenntnis jedes internen Zustands ist kein realistischer Massstab. Erforderlich ist entscheidungsrelevante, institutionell getragene Prüfbarkeit.</w:t>
      </w:r>
    </w:p>
    <w:bookmarkEnd w:id="690"/>
    <w:bookmarkStart w:id="691" w:name="f13---philosophie-der-agency"/>
    <w:p>
      <w:pPr>
        <w:pStyle w:val="Heading3"/>
        <w:keepLines/>
        <w:spacing w:after="120"/>
        <w:jc w:val="left"/>
      </w:pPr>
      <w:r>
        <w:rPr>
          <w:sz w:val="20"/>
        </w:rPr>
        <w:t xml:space="preserve">F13 - Philosophie der Agency</w:t>
      </w:r>
    </w:p>
    <w:p>
      <w:pPr>
        <w:pStyle w:val="FirstParagraph"/>
        <w:keepLines/>
        <w:spacing w:after="120"/>
        <w:jc w:val="left"/>
      </w:pPr>
      <w:r>
        <w:rPr>
          <w:sz w:val="20"/>
        </w:rPr>
        <w:t xml:space="preserve">Bedeutet Selbstorganisation bereits Autonomie oder sogar Selbstbestimmung?</w:t>
      </w:r>
    </w:p>
    <w:p>
      <w:pPr>
        <w:pStyle w:val="BodyText"/>
        <w:keepLines/>
        <w:spacing w:after="120"/>
        <w:jc w:val="left"/>
      </w:pPr>
      <w:r>
        <w:rPr>
          <w:sz w:val="20"/>
        </w:rPr>
        <w:t xml:space="preserve">Selbstorganisation bezeichnet eine Entstehungsweise von Ordnung. Eigene Normsetzung oder moralische Selbstbestimmung folgt daraus logisch nicht.</w:t>
      </w:r>
    </w:p>
    <w:bookmarkEnd w:id="691"/>
    <w:bookmarkStart w:id="692" w:name="f14---semantik-und-soziotechnik"/>
    <w:p>
      <w:pPr>
        <w:pStyle w:val="Heading3"/>
        <w:keepLines/>
        <w:spacing w:after="120"/>
        <w:jc w:val="left"/>
      </w:pPr>
      <w:r>
        <w:rPr>
          <w:sz w:val="20"/>
        </w:rPr>
        <w:t xml:space="preserve">F14 - Semantik und Soziotechnik</w:t>
      </w:r>
    </w:p>
    <w:p>
      <w:pPr>
        <w:pStyle w:val="FirstParagraph"/>
        <w:keepLines/>
        <w:spacing w:after="120"/>
        <w:jc w:val="left"/>
      </w:pPr>
      <w:r>
        <w:rPr>
          <w:sz w:val="20"/>
        </w:rPr>
        <w:t xml:space="preserve">Verändert anthropomorphe Sprache über KI die wahrgenommene Verantwortung beteiligter Menschen?</w:t>
      </w:r>
    </w:p>
    <w:p>
      <w:pPr>
        <w:pStyle w:val="BodyText"/>
        <w:keepLines/>
        <w:spacing w:after="120"/>
        <w:jc w:val="left"/>
      </w:pPr>
      <w:r>
        <w:rPr>
          <w:sz w:val="20"/>
        </w:rPr>
        <w:t xml:space="preserve">Eine Wirkung anthropomorpher Sprache auf menschliche Verantwortungszuschreibung wird hier nicht direkt empirisch untersucht. Dafür wäre ein eigener Studienzweig erforderlich.</w:t>
      </w:r>
    </w:p>
    <w:bookmarkEnd w:id="692"/>
    <w:bookmarkStart w:id="693" w:name="f15---ethik-und-philosophie-des-geistes"/>
    <w:p>
      <w:pPr>
        <w:pStyle w:val="Heading3"/>
        <w:keepLines/>
        <w:spacing w:after="120"/>
        <w:jc w:val="left"/>
      </w:pPr>
      <w:r>
        <w:rPr>
          <w:sz w:val="20"/>
        </w:rPr>
        <w:t xml:space="preserve">F15 - Ethik und Philosophie des Geistes</w:t>
      </w:r>
    </w:p>
    <w:p>
      <w:pPr>
        <w:pStyle w:val="FirstParagraph"/>
        <w:keepLines/>
        <w:spacing w:after="120"/>
        <w:jc w:val="left"/>
      </w:pPr>
      <w:r>
        <w:rPr>
          <w:sz w:val="20"/>
        </w:rPr>
        <w:t xml:space="preserve">Unter welchen Bedingungen müsste die Frage nach einem möglichen moralischen Status eines künstlichen Systems gestellt werden?</w:t>
      </w:r>
    </w:p>
    <w:p>
      <w:pPr>
        <w:pStyle w:val="BodyText"/>
        <w:keepLines/>
        <w:spacing w:after="120"/>
        <w:jc w:val="left"/>
      </w:pPr>
      <w:r>
        <w:rPr>
          <w:sz w:val="20"/>
        </w:rPr>
        <w:t xml:space="preserve">Moralischer Status erfordert gesonderte, begründete Kriterien. Intelligenz, Spikes, Selbsterhaltung oder sprachliche Selbstauskunft reichen nicht als Einzelindikatoren.</w:t>
      </w:r>
    </w:p>
    <w:bookmarkEnd w:id="693"/>
    <w:bookmarkStart w:id="694" w:name="f16---embodiment"/>
    <w:p>
      <w:pPr>
        <w:pStyle w:val="Heading3"/>
        <w:keepLines/>
        <w:spacing w:after="120"/>
        <w:jc w:val="left"/>
      </w:pPr>
      <w:r>
        <w:rPr>
          <w:sz w:val="20"/>
        </w:rPr>
        <w:t xml:space="preserve">F16 - Embodiment</w:t>
      </w:r>
    </w:p>
    <w:p>
      <w:pPr>
        <w:pStyle w:val="FirstParagraph"/>
        <w:keepLines/>
        <w:spacing w:after="120"/>
        <w:jc w:val="left"/>
      </w:pPr>
      <w:r>
        <w:rPr>
          <w:sz w:val="20"/>
        </w:rPr>
        <w:t xml:space="preserve">Ist Intelligenz ohne aktuelle äußere Reize möglich, oder liegt dann lediglich gespeicherte Kompetenz ohne gegenwärtige Weltbeziehung vor?</w:t>
      </w:r>
    </w:p>
    <w:p>
      <w:pPr>
        <w:pStyle w:val="BodyText"/>
        <w:keepLines/>
        <w:spacing w:after="120"/>
        <w:jc w:val="left"/>
      </w:pPr>
      <w:r>
        <w:rPr>
          <w:sz w:val="20"/>
        </w:rPr>
        <w:t xml:space="preserve">Dispositionale Kompetenz ohne aktuelle Reize ist von gegenwärtiger weltbezogener Interaktion zu trennen. Der Korpus entscheidet keinen universalen Intelligenzbegriff.</w:t>
      </w:r>
    </w:p>
    <w:bookmarkEnd w:id="694"/>
    <w:bookmarkStart w:id="695" w:name="f17---embodiment"/>
    <w:p>
      <w:pPr>
        <w:pStyle w:val="Heading3"/>
        <w:keepLines/>
        <w:spacing w:after="120"/>
        <w:jc w:val="left"/>
      </w:pPr>
      <w:r>
        <w:rPr>
          <w:sz w:val="20"/>
        </w:rPr>
        <w:t xml:space="preserve">F17 - Embodiment</w:t>
      </w:r>
    </w:p>
    <w:p>
      <w:pPr>
        <w:pStyle w:val="FirstParagraph"/>
        <w:keepLines/>
        <w:spacing w:after="120"/>
        <w:jc w:val="left"/>
      </w:pPr>
      <w:r>
        <w:rPr>
          <w:sz w:val="20"/>
        </w:rPr>
        <w:t xml:space="preserve">Ist ein physischer Körper notwendig, oder können virtuelle, sensorimotorische, soziale oder institutionelle Verkörperungen funktional genügen?</w:t>
      </w:r>
    </w:p>
    <w:p>
      <w:pPr>
        <w:pStyle w:val="BodyText"/>
        <w:keepLines/>
        <w:spacing w:after="120"/>
        <w:jc w:val="left"/>
      </w:pPr>
      <w:r>
        <w:rPr>
          <w:sz w:val="20"/>
        </w:rPr>
        <w:t xml:space="preserve">Virtuelle und infrastrukturelle Kopplung kann funktional relevante Körperbedingungen bilden. Die notwendige Form hängt von der untersuchten Fähigkeit ab.</w:t>
      </w:r>
    </w:p>
    <w:bookmarkEnd w:id="695"/>
    <w:bookmarkStart w:id="696" w:name="f18---embodied-ai"/>
    <w:p>
      <w:pPr>
        <w:pStyle w:val="Heading3"/>
        <w:keepLines/>
        <w:spacing w:after="120"/>
        <w:jc w:val="left"/>
      </w:pPr>
      <w:r>
        <w:rPr>
          <w:sz w:val="20"/>
        </w:rPr>
        <w:t xml:space="preserve">F18 - Embodied AI</w:t>
      </w:r>
    </w:p>
    <w:p>
      <w:pPr>
        <w:pStyle w:val="FirstParagraph"/>
        <w:keepLines/>
        <w:spacing w:after="120"/>
        <w:jc w:val="left"/>
      </w:pPr>
      <w:r>
        <w:rPr>
          <w:sz w:val="20"/>
        </w:rPr>
        <w:t xml:space="preserve">Wie verändert geschlossene Sensor-Aktor-Kopplung Lernen, Topologie, Homeostase, Generalisierung und Fehlerkorrektur?</w:t>
      </w:r>
    </w:p>
    <w:p>
      <w:pPr>
        <w:pStyle w:val="BodyText"/>
        <w:keepLines/>
        <w:spacing w:after="120"/>
        <w:jc w:val="left"/>
      </w:pPr>
      <w:r>
        <w:rPr>
          <w:sz w:val="20"/>
        </w:rPr>
        <w:t xml:space="preserve">Die Wirkung geschlossener Kopplung auf Lernen und Struktur benötigt Open-/Closed-Loop- und Replay-Kontrollen. Eine API-Verbindung allein genügt nicht.</w:t>
      </w:r>
    </w:p>
    <w:bookmarkEnd w:id="696"/>
    <w:bookmarkStart w:id="697" w:name="f19---grounding"/>
    <w:p>
      <w:pPr>
        <w:pStyle w:val="Heading3"/>
        <w:keepLines/>
        <w:spacing w:after="120"/>
        <w:jc w:val="left"/>
      </w:pPr>
      <w:r>
        <w:rPr>
          <w:sz w:val="20"/>
        </w:rPr>
        <w:t xml:space="preserve">F19 - Grounding</w:t>
      </w:r>
    </w:p>
    <w:p>
      <w:pPr>
        <w:pStyle w:val="FirstParagraph"/>
        <w:keepLines/>
        <w:spacing w:after="120"/>
        <w:jc w:val="left"/>
      </w:pPr>
      <w:r>
        <w:rPr>
          <w:sz w:val="20"/>
        </w:rPr>
        <w:t xml:space="preserve">Welche Embodiment-Dimensionen sind für Bedeutungsgrundierung, Selbstmodell und Agency erforderlich?</w:t>
      </w:r>
    </w:p>
    <w:p>
      <w:pPr>
        <w:pStyle w:val="BodyText"/>
        <w:keepLines/>
        <w:spacing w:after="120"/>
        <w:jc w:val="left"/>
      </w:pPr>
      <w:r>
        <w:rPr>
          <w:sz w:val="20"/>
        </w:rPr>
        <w:t xml:space="preserve">Ein Selbstmodell ist über Vorhersage und Kalibrierung eigener Kapazität prüfbar. Stabile Markierungen eines Moduls im Dashboard sind kein Nachweis.</w:t>
      </w:r>
    </w:p>
    <w:bookmarkEnd w:id="697"/>
    <w:bookmarkStart w:id="698" w:name="f20---embodiment-und-kontrolle"/>
    <w:p>
      <w:pPr>
        <w:pStyle w:val="Heading3"/>
        <w:keepLines/>
        <w:spacing w:after="120"/>
        <w:jc w:val="left"/>
      </w:pPr>
      <w:r>
        <w:rPr>
          <w:sz w:val="20"/>
        </w:rPr>
        <w:t xml:space="preserve">F20 - Embodiment und Kontrolle</w:t>
      </w:r>
    </w:p>
    <w:p>
      <w:pPr>
        <w:pStyle w:val="FirstParagraph"/>
        <w:keepLines/>
        <w:spacing w:after="120"/>
        <w:jc w:val="left"/>
      </w:pPr>
      <w:r>
        <w:rPr>
          <w:sz w:val="20"/>
        </w:rPr>
        <w:t xml:space="preserve">Erhöht Embodiment die Kontrollierbarkeit durch Beobachtbarkeit oder vermindert es sie durch reale Handlungsmacht?</w:t>
      </w:r>
    </w:p>
    <w:p>
      <w:pPr>
        <w:pStyle w:val="BodyText"/>
        <w:keepLines/>
        <w:spacing w:after="120"/>
        <w:jc w:val="left"/>
      </w:pPr>
      <w:r>
        <w:rPr>
          <w:sz w:val="20"/>
        </w:rPr>
        <w:t xml:space="preserve">Embodiment kann bessere Beobachtung und größere reale Handlungsmacht zugleich schaffen. Beide Effekte sind separat zu messen und zu begrenzen.</w:t>
      </w:r>
    </w:p>
    <w:bookmarkEnd w:id="698"/>
    <w:bookmarkStart w:id="699" w:name="f21---normative-kognition"/>
    <w:p>
      <w:pPr>
        <w:pStyle w:val="Heading3"/>
        <w:keepLines/>
        <w:spacing w:after="120"/>
        <w:jc w:val="left"/>
      </w:pPr>
      <w:r>
        <w:rPr>
          <w:sz w:val="20"/>
        </w:rPr>
        <w:t xml:space="preserve">F21 - Normative Kognition</w:t>
      </w:r>
    </w:p>
    <w:p>
      <w:pPr>
        <w:pStyle w:val="FirstParagraph"/>
        <w:keepLines/>
        <w:spacing w:after="120"/>
        <w:jc w:val="left"/>
      </w:pPr>
      <w:r>
        <w:rPr>
          <w:sz w:val="20"/>
        </w:rPr>
        <w:t xml:space="preserve">Können Interozeption, Energiehaushalt und Homeostase eine Grundlage eigener Werte oder Präferenzen bilden?</w:t>
      </w:r>
    </w:p>
    <w:p>
      <w:pPr>
        <w:pStyle w:val="BodyText"/>
        <w:keepLines/>
        <w:spacing w:after="120"/>
        <w:jc w:val="left"/>
      </w:pPr>
      <w:r>
        <w:rPr>
          <w:sz w:val="20"/>
        </w:rPr>
        <w:t xml:space="preserve">Interozeption und Homöostase können technische Präferenzfunktionen strukturieren. Eigene Werte im normativen oder erlebten Sinn sind damit nicht bewiesen.</w:t>
      </w:r>
    </w:p>
    <w:bookmarkEnd w:id="699"/>
    <w:bookmarkStart w:id="700" w:name="f22---moralischer-status"/>
    <w:p>
      <w:pPr>
        <w:pStyle w:val="Heading3"/>
        <w:keepLines/>
        <w:spacing w:after="120"/>
        <w:jc w:val="left"/>
      </w:pPr>
      <w:r>
        <w:rPr>
          <w:sz w:val="20"/>
        </w:rPr>
        <w:t xml:space="preserve">F22 - Moralischer Status</w:t>
      </w:r>
    </w:p>
    <w:p>
      <w:pPr>
        <w:pStyle w:val="FirstParagraph"/>
        <w:keepLines/>
        <w:spacing w:after="120"/>
        <w:jc w:val="left"/>
      </w:pPr>
      <w:r>
        <w:rPr>
          <w:sz w:val="20"/>
        </w:rPr>
        <w:t xml:space="preserve">Ab welchem Embodiment- und Integrationsgrad wird die Frage nach Empfindungsfähigkeit und moralischer Berücksichtigung relevant?</w:t>
      </w:r>
    </w:p>
    <w:p>
      <w:pPr>
        <w:pStyle w:val="BodyText"/>
        <w:keepLines/>
        <w:spacing w:after="120"/>
        <w:jc w:val="left"/>
      </w:pPr>
      <w:r>
        <w:rPr>
          <w:sz w:val="20"/>
        </w:rPr>
        <w:t xml:space="preserve">Es gibt im Korpus keinen validierten Embodiment-Schwellenwert für Empfindungsfähigkeit. Die Frage bleibt theoretisch und empirisch offen.</w:t>
      </w:r>
    </w:p>
    <w:bookmarkEnd w:id="700"/>
    <w:bookmarkStart w:id="701" w:name="f23---soziale-verkörperung"/>
    <w:p>
      <w:pPr>
        <w:pStyle w:val="Heading3"/>
        <w:keepLines/>
        <w:spacing w:after="120"/>
        <w:jc w:val="left"/>
      </w:pPr>
      <w:r>
        <w:rPr>
          <w:sz w:val="20"/>
        </w:rPr>
        <w:t xml:space="preserve">F23 - soziale Verkörperung</w:t>
      </w:r>
    </w:p>
    <w:p>
      <w:pPr>
        <w:pStyle w:val="FirstParagraph"/>
        <w:keepLines/>
        <w:spacing w:after="120"/>
        <w:jc w:val="left"/>
      </w:pPr>
      <w:r>
        <w:rPr>
          <w:sz w:val="20"/>
        </w:rPr>
        <w:t xml:space="preserve">Wie prägen soziale Rückkopplung, Sprache und institutionelle Praxis die Entwicklung maschineller Normen?</w:t>
      </w:r>
    </w:p>
    <w:p>
      <w:pPr>
        <w:pStyle w:val="BodyText"/>
        <w:keepLines/>
        <w:spacing w:after="120"/>
        <w:jc w:val="left"/>
      </w:pPr>
      <w:r>
        <w:rPr>
          <w:sz w:val="20"/>
        </w:rPr>
        <w:t xml:space="preserve">Soziale Rückkopplung und institutionelle Einbettung sind wichtige Hypothesen. Kein hier geprüfter Lauf isoliert die Entstehung maschineller Normen.</w:t>
      </w:r>
    </w:p>
    <w:bookmarkEnd w:id="701"/>
    <w:bookmarkStart w:id="702" w:name="f24---reflexive-wissenschaft"/>
    <w:p>
      <w:pPr>
        <w:pStyle w:val="Heading3"/>
        <w:keepLines/>
        <w:spacing w:after="120"/>
        <w:jc w:val="left"/>
      </w:pPr>
      <w:r>
        <w:rPr>
          <w:sz w:val="20"/>
        </w:rPr>
        <w:t xml:space="preserve">F24 - reflexive Wissenschaft</w:t>
      </w:r>
    </w:p>
    <w:p>
      <w:pPr>
        <w:pStyle w:val="FirstParagraph"/>
        <w:keepLines/>
        <w:spacing w:after="120"/>
        <w:jc w:val="left"/>
      </w:pPr>
      <w:r>
        <w:rPr>
          <w:sz w:val="20"/>
        </w:rPr>
        <w:t xml:space="preserve">Bleibt der Mensch Autor und verantwortlicher Teil seiner Arbeit, wenn KI seine Begriffe, Optionen und Forschungswege mitstrukturiert?</w:t>
      </w:r>
    </w:p>
    <w:p>
      <w:pPr>
        <w:pStyle w:val="BodyText"/>
        <w:keepLines/>
        <w:spacing w:after="120"/>
        <w:jc w:val="left"/>
      </w:pPr>
      <w:r>
        <w:rPr>
          <w:sz w:val="20"/>
        </w:rPr>
        <w:t xml:space="preserve">Der Mensch bleibt wissenschaftlich verantwortlich, soweit er Aussagen prüfen, begründen, korrigieren und freigeben kann. KI-Unterstützung und noch offene Freigaben werden offengelegt.</w:t>
      </w:r>
    </w:p>
    <w:bookmarkEnd w:id="702"/>
    <w:bookmarkEnd w:id="703"/>
    <w:bookmarkEnd w:id="704"/>
    <w:bookmarkStart w:id="725" w:name="Xf3b85286f883b5e3e44a4f5587fa5b27e1dad85"/>
    <w:p>
      <w:bookmarkStart w:id="10043" w:name="B5D_H043"/>
      <w:pPr>
        <w:pStyle w:val="Heading1"/>
      </w:pPr>
      <w:r>
        <w:t xml:space="preserve">Anhang D - Quellenkontrolle, Redaktion und KI-Unterstützung</w:t>
      </w:r>
      <w:bookmarkEnd w:id="10043"/>
    </w:p>
    <w:bookmarkStart w:id="705" w:name="dokumentierte-integrationsentscheidungen"/>
    <w:p>
      <w:pPr>
        <w:pStyle w:val="Heading2"/>
      </w:pPr>
      <w:r>
        <w:t xml:space="preserve">Dokumentierte Integrationsentscheidungen</w:t>
      </w:r>
    </w:p>
    <w:p>
      <w:pPr>
        <w:pStyle w:val="FirstParagraph"/>
        <w:keepLines/>
        <w:spacing w:after="120"/>
        <w:jc w:val="left"/>
      </w:pPr>
      <w:r>
        <w:rPr>
          <w:sz w:val="20"/>
        </w:rPr>
        <w:t xml:space="preserve">Die Fassung verbindet drei vollständig verfügbare Manuskripte und ausgewählte gelesene Repository-Artefakte. Nicht jeder historische Branch, jede Konversation und jede im Repository enthaltene Experimentdatei wurde neu untersucht. Alle Aussagen über den Untersuchungsumfang beziehen sich auf die dokumentierte Quellenliste.</w:t>
      </w:r>
    </w:p>
    <w:p>
      <w:pPr>
        <w:pStyle w:val="BodyText"/>
        <w:keepLines/>
        <w:spacing w:after="120"/>
        <w:jc w:val="left"/>
      </w:pPr>
      <w:r>
        <w:rPr>
          <w:sz w:val="20"/>
        </w:rPr>
        <w:t xml:space="preserve">Die ältere Fassung K2 liefert insbesondere die ausführliche Zukunftstypologie Z1 bis Z6 und die morphologische Szenariomethodik. Die erweiterte Fassung K3 trägt die Forschungsfragen F1 bis F24, die philosophischen Hypothesen, Kontroll- und Rollenmodelle, Ethik, Governance und den empirischen Nachtrag bei. K1 liefert die technische Ontologie, 5D-Geometrie, Dynamik, Plastizität, Persistenz, Invarianten und Experimentfamilien A bis J. Inhaltliche Ueberschneidungen werden nicht als unabhängige Belege gezählt.</w:t>
      </w:r>
    </w:p>
    <w:p>
      <w:pPr>
        <w:pStyle w:val="BodyText"/>
        <w:keepLines/>
        <w:spacing w:after="120"/>
        <w:jc w:val="left"/>
      </w:pPr>
      <w:r>
        <w:rPr>
          <w:sz w:val="20"/>
        </w:rPr>
        <w:t xml:space="preserve">Vier wesentliche Präzisierungen sind explizit: Der semantische SNN-Blocker bleibt sichtbar; der LIFE-Tickvertrag ist nicht anwendbar; die unterstützten Restore-/Speicherhypothesen werden mit ihren technischen DATA und dem ausgelassenen Grosstest beschrieben; mehrere Seedlabels werden nicht ohne Prüfung ihrer Verwendung als unabhängige Initialisierungen behandelt.</w:t>
      </w:r>
    </w:p>
    <w:p>
      <w:pPr>
        <w:pStyle w:val="BodyText"/>
        <w:keepLines/>
        <w:spacing w:after="120"/>
        <w:jc w:val="left"/>
      </w:pPr>
      <w:r>
        <w:rPr>
          <w:sz w:val="20"/>
        </w:rPr>
        <w:t xml:space="preserve">Die Bezeichnung des neuen Gesamtwerks lautet wissenschaftliche Abhandlung. Historische Originaldateinamen und bibliografische Originaltitel bleiben im Archiv erhalten. Vier anschauliche, aber in der Vorlage zu dicht beschriftete Diagramme wurden im Lesetext zugunsten ihrer vollständigen Tabellen- und Textdarstellung nicht erneut eingebettet. Die Originale sind unverändert zugänglich. Die übrigen Schaubilder sind konzeptionell, keine gemessenen Datengrafiken.</w:t>
      </w:r>
    </w:p>
    <w:bookmarkEnd w:id="705"/>
    <w:bookmarkStart w:id="706" w:name="mathematische-redaktion"/>
    <w:p>
      <w:pPr>
        <w:pStyle w:val="Heading2"/>
      </w:pPr>
      <w:r>
        <w:t xml:space="preserve">Mathematische Redaktion</w:t>
      </w:r>
    </w:p>
    <w:p>
      <w:pPr>
        <w:pStyle w:val="FirstParagraph"/>
        <w:keepLines/>
        <w:spacing w:after="120"/>
        <w:jc w:val="left"/>
      </w:pPr>
      <w:r>
        <w:rPr>
          <w:sz w:val="20"/>
        </w:rPr>
        <w:t xml:space="preserve">Die Formelübertragung aus der Vorlage enthält an mehreren Stellen inkonsistente Begrenzungszeichen und Akzentnotation. Offensichtlich fehlerhafte Betrags-, Kardinalitäts- und Erwartungswertklammern werden paarig gesetzt. Ableitungen erhalten die übliche Punktnotation. Der Fixpunkt wird als x-Stern und der Sollwert einer Feuerrate als r-Stern notiert; die beobachtete mittlere Rate wird als r-Quer bezeichnet. Dies ist eine erklärte symbolische Präzisierung, keine neue Messung.</w:t>
      </w:r>
    </w:p>
    <w:p>
      <w:pPr>
        <w:pStyle w:val="BodyText"/>
        <w:keepLines/>
        <w:spacing w:after="120"/>
        <w:jc w:val="left"/>
      </w:pPr>
      <w:r>
        <w:rPr>
          <w:sz w:val="20"/>
        </w:rPr>
        <w:t xml:space="preserve">Die Konvergenzvergleichsformel wird als Abstand zwischen der Beobachtung bei Delta t und bei Delta t/2 gesetzt. Lange Datenflussketten werden umgebrochen, nicht inhaltlich verändert. Definitionen, Modellgleichungen, Heuristiken und empirische Größen behalten ihre getrennten Statuskennzeichnungen. Die editierbaren Gleichungen in der DOCX-Datei ersetzen keine unabhängige mathematische Begutachtung des gesamten Modells.</w:t>
      </w:r>
    </w:p>
    <w:bookmarkEnd w:id="706"/>
    <w:bookmarkStart w:id="707" w:name="offene-nachprüfungen"/>
    <w:p>
      <w:pPr>
        <w:pStyle w:val="Heading2"/>
      </w:pPr>
      <w:r>
        <w:t xml:space="preserve">Offene Nachprüfungen</w:t>
      </w:r>
    </w:p>
    <w:p>
      <w:pPr>
        <w:pStyle w:val="FirstParagraph"/>
        <w:keepLines/>
        <w:spacing w:after="120"/>
        <w:jc w:val="left"/>
      </w:pPr>
      <w:r>
        <w:rPr>
          <w:sz w:val="20"/>
        </w:rPr>
        <w:t xml:space="preserve">Für belastbare Folgearbeiten sind insbesondere die tatsächliche Run-Codebasis einschließlich lokaler Änderungen, die Wirkung der Seeds auf Anfangszustände, die Definition der Propagationstiefe, die spezialisierten Metrikfelder des Stabilitätslaufs sowie die Task-/Resetstruktur des LIFE-Screens zu prüfen. Für externe Literatur bleiben die im annotierten Verzeichnis als Korpusmetadaten geführten Detailangaben nachzuverifizieren. Eine systematische Vollreview und ein unabhängiger Run-Replay werden durch diese Fassung nicht behauptet.</w:t>
      </w:r>
    </w:p>
    <w:bookmarkEnd w:id="707"/>
    <w:bookmarkStart w:id="708" w:name="Xfb12d6f3357117e44bf7fb8000e58859d0915a5"/>
    <w:p>
      <w:pPr>
        <w:pStyle w:val="Heading2"/>
      </w:pPr>
      <w:r>
        <w:t xml:space="preserve">KI-Unterstützung und wissenschaftliche Verantwortung</w:t>
      </w:r>
    </w:p>
    <w:p>
      <w:pPr>
        <w:pStyle w:val="FirstParagraph"/>
        <w:keepLines/>
        <w:spacing w:after="120"/>
        <w:jc w:val="left"/>
      </w:pPr>
      <w:r>
        <w:rPr>
          <w:sz w:val="20"/>
        </w:rPr>
        <w:t xml:space="preserve">Die vorliegende Zusammenführung wurde mit generativer KI erstellt. Die KI wirkte an Strukturierung, sprachlicher Integration, Quellenrecherche, redaktioneller Kritik, mathematischer Darstellung und Erzeugung der Begleitdateien mit. Eigene Gedankenexperimente, methodische Ableitungen und neue Hypothesen sind als Synthese beziehungsweise Vorschlag gekennzeichnet. Es wurden keine menschlichen Teilnehmerdaten erhoben und keine neuen Brain-5D-Läufe zur Bestätigung der Hypothesen ausgeführt.</w:t>
      </w:r>
    </w:p>
    <w:p>
      <w:pPr>
        <w:pStyle w:val="BodyText"/>
        <w:keepLines/>
        <w:spacing w:after="120"/>
        <w:jc w:val="left"/>
      </w:pPr>
      <w:r>
        <w:rPr>
          <w:sz w:val="20"/>
        </w:rPr>
        <w:t xml:space="preserve">Thomas Heisig ist als Projektinitiator und Verfasser der Ausgangsmanuskripte genannt. Eine abschließende persönliche Freigabe jeder neu formulierten Passage wird durch die Erstellung dieser Fassung nicht unterstellt. Wissenschaftliche Veröffentlichung, rechtliche Verwendung und spätere institutionelle Einreichung verlangen eine fachliche Prüfung der Aussagen, Quellen und Beitragszuordnung nach den jeweils geltenden Regeln.</w:t>
      </w:r>
    </w:p>
    <w:p>
      <w:pPr>
        <w:pStyle w:val="BodyText"/>
        <w:keepLines/>
        <w:spacing w:after="120"/>
        <w:jc w:val="left"/>
      </w:pPr>
      <w:r>
        <w:rPr>
          <w:sz w:val="20"/>
        </w:rPr>
        <w:t xml:space="preserve">Die Begleitdateien dokumentieren Quelldateien, Integrationsentscheidungen, Literaturstatus, ausgewählte Repository-Artefakte, Berichtskennzahlen und Berechnungsschritte. Sie sollen die menschliche Prüfung erleichtern. Sie ersetzen weder den Zugang zu allen originalen Run-Daten noch eine unabhängige Replikation oder ein formales Peer Review.</w:t>
      </w:r>
    </w:p>
    <w:bookmarkEnd w:id="708"/>
    <w:bookmarkStart w:id="724" w:name="gelesene-projektquellen"/>
    <w:p>
      <w:pPr>
        <w:pStyle w:val="Heading2"/>
      </w:pPr>
      <w:r>
        <w:t xml:space="preserve">Gelesene Projektquellen</w:t>
      </w:r>
    </w:p>
    <w:p>
      <w:pPr>
        <w:pStyle w:val="FirstParagraph"/>
        <w:keepLines/>
        <w:spacing w:after="120"/>
        <w:jc w:val="left"/>
      </w:pPr>
      <w:r>
        <w:rPr>
          <w:sz w:val="20"/>
        </w:rPr>
        <w:t xml:space="preserve">Alle folgenden Repository-Verweise sind auf den Snapshot</w:t>
      </w:r>
      <w:r>
        <w:rPr>
          <w:sz w:val="20"/>
        </w:rPr>
        <w:t xml:space="preserve"> </w:t>
      </w:r>
      <w:r>
        <w:rPr>
          <w:rStyle w:val="VerbatimChar"/>
          <w:sz w:val="20"/>
        </w:rPr>
        <w:t xml:space="preserve">661681981458bc69fea5fce096e27f2b85b6c9d2</w:t>
      </w:r>
      <w:r>
        <w:rPr>
          <w:sz w:val="20"/>
        </w:rPr>
        <w:t xml:space="preserve"> </w:t>
      </w:r>
      <w:r>
        <w:rPr>
          <w:sz w:val="20"/>
        </w:rPr>
        <w:t xml:space="preserve">fixiert. Run-Commits können davon abweichen. Zugriff: 7. September 2026.</w:t>
      </w:r>
    </w:p>
    <w:p>
      <w:pPr>
        <w:pStyle w:val="BodyText"/>
        <w:keepLines/>
        <w:spacing w:after="120"/>
        <w:jc w:val="left"/>
      </w:pPr>
      <w:r>
        <w:rPr>
          <w:b/>
          <w:bCs/>
          <w:sz w:val="20"/>
        </w:rPr>
        <w:t xml:space="preserve">[R1] Projektarchitektur, Instrumentierung, Kompaktierung und MSBA.</w:t>
      </w:r>
      <w:r>
        <w:rPr>
          <w:sz w:val="20"/>
        </w:rPr>
        <w:t xml:space="preserve"> </w:t>
      </w:r>
      <w:r>
        <w:rPr>
          <w:rStyle w:val="VerbatimChar"/>
          <w:sz w:val="20"/>
        </w:rPr>
        <w:t xml:space="preserve">research/README.md</w:t>
      </w:r>
      <w:r>
        <w:rPr>
          <w:sz w:val="20"/>
        </w:rPr>
        <w:t xml:space="preserve">.</w:t>
      </w:r>
      <w:r>
        <w:rPr>
          <w:sz w:val="20"/>
        </w:rPr>
        <w:t xml:space="preserve"> </w:t>
      </w:r>
      <w:hyperlink r:id="rId709">
        <w:r>
          <w:rPr>
            <w:rStyle w:val="Hyperlink"/>
          </w:rPr>
          <w:t xml:space="preserve">Versionierter Fundort</w:t>
        </w:r>
      </w:hyperlink>
      <w:r>
        <w:rPr>
          <w:sz w:val="20"/>
        </w:rPr>
        <w:t xml:space="preserve">.</w:t>
      </w:r>
    </w:p>
    <w:p>
      <w:pPr>
        <w:pStyle w:val="BodyText"/>
        <w:keepLines/>
        <w:spacing w:after="120"/>
        <w:jc w:val="left"/>
      </w:pPr>
      <w:r>
        <w:rPr>
          <w:b/>
          <w:bCs/>
          <w:sz w:val="20"/>
        </w:rPr>
        <w:t xml:space="preserve">[R2] Kanonische Forschungsfragen; Stand im gelesenen Snapshot.</w:t>
      </w:r>
      <w:r>
        <w:rPr>
          <w:sz w:val="20"/>
        </w:rPr>
        <w:t xml:space="preserve"> </w:t>
      </w:r>
      <w:r>
        <w:rPr>
          <w:rStyle w:val="VerbatimChar"/>
          <w:sz w:val="20"/>
        </w:rPr>
        <w:t xml:space="preserve">research/registry/questions.yaml</w:t>
      </w:r>
      <w:r>
        <w:rPr>
          <w:sz w:val="20"/>
        </w:rPr>
        <w:t xml:space="preserve">.</w:t>
      </w:r>
      <w:r>
        <w:rPr>
          <w:sz w:val="20"/>
        </w:rPr>
        <w:t xml:space="preserve"> </w:t>
      </w:r>
      <w:hyperlink r:id="rId710">
        <w:r>
          <w:rPr>
            <w:rStyle w:val="Hyperlink"/>
          </w:rPr>
          <w:t xml:space="preserve">Versionierter Fundort</w:t>
        </w:r>
      </w:hyperlink>
      <w:r>
        <w:rPr>
          <w:sz w:val="20"/>
        </w:rPr>
        <w:t xml:space="preserve">.</w:t>
      </w:r>
    </w:p>
    <w:p>
      <w:pPr>
        <w:pStyle w:val="BodyText"/>
        <w:keepLines/>
        <w:spacing w:after="120"/>
        <w:jc w:val="left"/>
      </w:pPr>
      <w:r>
        <w:rPr>
          <w:b/>
          <w:bCs/>
          <w:sz w:val="20"/>
        </w:rPr>
        <w:t xml:space="preserve">[R3] Stabilitätslauf; technischer Status und semantischer Konflikt.</w:t>
      </w:r>
      <w:r>
        <w:rPr>
          <w:sz w:val="20"/>
        </w:rPr>
        <w:t xml:space="preserve"> </w:t>
      </w:r>
      <w:r>
        <w:rPr>
          <w:rStyle w:val="VerbatimChar"/>
          <w:sz w:val="20"/>
        </w:rPr>
        <w:t xml:space="preserve">research/experiments/EXP-SNN-001-R2/summary.md</w:t>
      </w:r>
      <w:r>
        <w:rPr>
          <w:sz w:val="20"/>
        </w:rPr>
        <w:t xml:space="preserve">.</w:t>
      </w:r>
      <w:r>
        <w:rPr>
          <w:sz w:val="20"/>
        </w:rPr>
        <w:t xml:space="preserve"> </w:t>
      </w:r>
      <w:hyperlink r:id="rId711">
        <w:r>
          <w:rPr>
            <w:rStyle w:val="Hyperlink"/>
          </w:rPr>
          <w:t xml:space="preserve">Versionierter Fundort</w:t>
        </w:r>
      </w:hyperlink>
      <w:r>
        <w:rPr>
          <w:sz w:val="20"/>
        </w:rPr>
        <w:t xml:space="preserve">.</w:t>
      </w:r>
    </w:p>
    <w:p>
      <w:pPr>
        <w:pStyle w:val="BodyText"/>
        <w:keepLines/>
        <w:spacing w:after="120"/>
        <w:jc w:val="left"/>
      </w:pPr>
      <w:r>
        <w:rPr>
          <w:b/>
          <w:bCs/>
          <w:sz w:val="20"/>
        </w:rPr>
        <w:t xml:space="preserve">[R4] Rekurrenz-Replikationsbericht; aggregierte Kennzahlen.</w:t>
      </w:r>
      <w:r>
        <w:rPr>
          <w:sz w:val="20"/>
        </w:rPr>
        <w:t xml:space="preserve"> </w:t>
      </w:r>
      <w:r>
        <w:rPr>
          <w:rStyle w:val="VerbatimChar"/>
          <w:sz w:val="20"/>
        </w:rPr>
        <w:t xml:space="preserve">research/experiments/EXP-REPL-0001-R1/summary.md</w:t>
      </w:r>
      <w:r>
        <w:rPr>
          <w:sz w:val="20"/>
        </w:rPr>
        <w:t xml:space="preserve">.</w:t>
      </w:r>
      <w:r>
        <w:rPr>
          <w:sz w:val="20"/>
        </w:rPr>
        <w:t xml:space="preserve"> </w:t>
      </w:r>
      <w:hyperlink r:id="rId712">
        <w:r>
          <w:rPr>
            <w:rStyle w:val="Hyperlink"/>
          </w:rPr>
          <w:t xml:space="preserve">Versionierter Fundort</w:t>
        </w:r>
      </w:hyperlink>
      <w:r>
        <w:rPr>
          <w:sz w:val="20"/>
        </w:rPr>
        <w:t xml:space="preserve">.</w:t>
      </w:r>
    </w:p>
    <w:p>
      <w:pPr>
        <w:pStyle w:val="BodyText"/>
        <w:keepLines/>
        <w:spacing w:after="120"/>
        <w:jc w:val="left"/>
      </w:pPr>
      <w:r>
        <w:rPr>
          <w:b/>
          <w:bCs/>
          <w:sz w:val="20"/>
        </w:rPr>
        <w:t xml:space="preserve">[R5] Science-Suite-Diagnostik; 57 Teilruns.</w:t>
      </w:r>
      <w:r>
        <w:rPr>
          <w:sz w:val="20"/>
        </w:rPr>
        <w:t xml:space="preserve"> </w:t>
      </w:r>
      <w:r>
        <w:rPr>
          <w:rStyle w:val="VerbatimChar"/>
          <w:sz w:val="20"/>
        </w:rPr>
        <w:t xml:space="preserve">research/experiments/EXP-GEN-0033-R1/summary.md</w:t>
      </w:r>
      <w:r>
        <w:rPr>
          <w:sz w:val="20"/>
        </w:rPr>
        <w:t xml:space="preserve">.</w:t>
      </w:r>
      <w:r>
        <w:rPr>
          <w:sz w:val="20"/>
        </w:rPr>
        <w:t xml:space="preserve"> </w:t>
      </w:r>
      <w:hyperlink r:id="rId713">
        <w:r>
          <w:rPr>
            <w:rStyle w:val="Hyperlink"/>
          </w:rPr>
          <w:t xml:space="preserve">Versionierter Fundort</w:t>
        </w:r>
      </w:hyperlink>
      <w:r>
        <w:rPr>
          <w:sz w:val="20"/>
        </w:rPr>
        <w:t xml:space="preserve">.</w:t>
      </w:r>
    </w:p>
    <w:p>
      <w:pPr>
        <w:pStyle w:val="BodyText"/>
        <w:keepLines/>
        <w:spacing w:after="120"/>
        <w:jc w:val="left"/>
      </w:pPr>
      <w:r>
        <w:rPr>
          <w:b/>
          <w:bCs/>
          <w:sz w:val="20"/>
        </w:rPr>
        <w:t xml:space="preserve">[R6] Hypothesen und vorhandene supported-Einträge.</w:t>
      </w:r>
      <w:r>
        <w:rPr>
          <w:sz w:val="20"/>
        </w:rPr>
        <w:t xml:space="preserve"> </w:t>
      </w:r>
      <w:r>
        <w:rPr>
          <w:rStyle w:val="VerbatimChar"/>
          <w:sz w:val="20"/>
        </w:rPr>
        <w:t xml:space="preserve">research/registry/hypotheses.yaml</w:t>
      </w:r>
      <w:r>
        <w:rPr>
          <w:sz w:val="20"/>
        </w:rPr>
        <w:t xml:space="preserve">.</w:t>
      </w:r>
      <w:r>
        <w:rPr>
          <w:sz w:val="20"/>
        </w:rPr>
        <w:t xml:space="preserve"> </w:t>
      </w:r>
      <w:hyperlink r:id="rId714">
        <w:r>
          <w:rPr>
            <w:rStyle w:val="Hyperlink"/>
          </w:rPr>
          <w:t xml:space="preserve">Versionierter Fundort</w:t>
        </w:r>
      </w:hyperlink>
      <w:r>
        <w:rPr>
          <w:sz w:val="20"/>
        </w:rPr>
        <w:t xml:space="preserve">.</w:t>
      </w:r>
    </w:p>
    <w:p>
      <w:pPr>
        <w:pStyle w:val="BodyText"/>
        <w:keepLines/>
        <w:spacing w:after="120"/>
        <w:jc w:val="left"/>
      </w:pPr>
      <w:r>
        <w:rPr>
          <w:b/>
          <w:bCs/>
          <w:sz w:val="20"/>
        </w:rPr>
        <w:t xml:space="preserve">[R7] Registry-Evidenzrecord Restore-Determinismus.</w:t>
      </w:r>
      <w:r>
        <w:rPr>
          <w:sz w:val="20"/>
        </w:rPr>
        <w:t xml:space="preserve"> </w:t>
      </w:r>
      <w:r>
        <w:rPr>
          <w:rStyle w:val="VerbatimChar"/>
          <w:sz w:val="20"/>
        </w:rPr>
        <w:t xml:space="preserve">research/registry/evidence/EVID-2026-15.json</w:t>
      </w:r>
      <w:r>
        <w:rPr>
          <w:sz w:val="20"/>
        </w:rPr>
        <w:t xml:space="preserve">.</w:t>
      </w:r>
      <w:r>
        <w:rPr>
          <w:sz w:val="20"/>
        </w:rPr>
        <w:t xml:space="preserve"> </w:t>
      </w:r>
      <w:hyperlink r:id="rId715">
        <w:r>
          <w:rPr>
            <w:rStyle w:val="Hyperlink"/>
          </w:rPr>
          <w:t xml:space="preserve">Versionierter Fundort</w:t>
        </w:r>
      </w:hyperlink>
      <w:r>
        <w:rPr>
          <w:sz w:val="20"/>
        </w:rPr>
        <w:t xml:space="preserve">.</w:t>
      </w:r>
    </w:p>
    <w:p>
      <w:pPr>
        <w:pStyle w:val="BodyText"/>
        <w:keepLines/>
        <w:spacing w:after="120"/>
        <w:jc w:val="left"/>
      </w:pPr>
      <w:r>
        <w:rPr>
          <w:b/>
          <w:bCs/>
          <w:sz w:val="20"/>
        </w:rPr>
        <w:t xml:space="preserve">[R8] Archivierter pytest-Output: 7 bestandene Restore-Tests.</w:t>
      </w:r>
      <w:r>
        <w:rPr>
          <w:sz w:val="20"/>
        </w:rPr>
        <w:t xml:space="preserve"> </w:t>
      </w:r>
      <w:r>
        <w:rPr>
          <w:rStyle w:val="VerbatimChar"/>
          <w:sz w:val="20"/>
        </w:rPr>
        <w:t xml:space="preserve">research/generated/data/DATA-2026-15.json</w:t>
      </w:r>
      <w:r>
        <w:rPr>
          <w:sz w:val="20"/>
        </w:rPr>
        <w:t xml:space="preserve">.</w:t>
      </w:r>
      <w:r>
        <w:rPr>
          <w:sz w:val="20"/>
        </w:rPr>
        <w:t xml:space="preserve"> </w:t>
      </w:r>
      <w:hyperlink r:id="rId716">
        <w:r>
          <w:rPr>
            <w:rStyle w:val="Hyperlink"/>
          </w:rPr>
          <w:t xml:space="preserve">Versionierter Fundort</w:t>
        </w:r>
      </w:hyperlink>
      <w:r>
        <w:rPr>
          <w:sz w:val="20"/>
        </w:rPr>
        <w:t xml:space="preserve">.</w:t>
      </w:r>
    </w:p>
    <w:p>
      <w:pPr>
        <w:pStyle w:val="BodyText"/>
        <w:keepLines/>
        <w:spacing w:after="120"/>
        <w:jc w:val="left"/>
      </w:pPr>
      <w:r>
        <w:rPr>
          <w:b/>
          <w:bCs/>
          <w:sz w:val="20"/>
        </w:rPr>
        <w:t xml:space="preserve">[R9] Registry-Evidenzrecord Speicher-Roundtrip.</w:t>
      </w:r>
      <w:r>
        <w:rPr>
          <w:sz w:val="20"/>
        </w:rPr>
        <w:t xml:space="preserve"> </w:t>
      </w:r>
      <w:r>
        <w:rPr>
          <w:rStyle w:val="VerbatimChar"/>
          <w:sz w:val="20"/>
        </w:rPr>
        <w:t xml:space="preserve">research/registry/evidence/EVID-2026-16.json</w:t>
      </w:r>
      <w:r>
        <w:rPr>
          <w:sz w:val="20"/>
        </w:rPr>
        <w:t xml:space="preserve">.</w:t>
      </w:r>
      <w:r>
        <w:rPr>
          <w:sz w:val="20"/>
        </w:rPr>
        <w:t xml:space="preserve"> </w:t>
      </w:r>
      <w:hyperlink r:id="rId717">
        <w:r>
          <w:rPr>
            <w:rStyle w:val="Hyperlink"/>
          </w:rPr>
          <w:t xml:space="preserve">Versionierter Fundort</w:t>
        </w:r>
      </w:hyperlink>
      <w:r>
        <w:rPr>
          <w:sz w:val="20"/>
        </w:rPr>
        <w:t xml:space="preserve">.</w:t>
      </w:r>
    </w:p>
    <w:p>
      <w:pPr>
        <w:pStyle w:val="BodyText"/>
        <w:keepLines/>
        <w:spacing w:after="120"/>
        <w:jc w:val="left"/>
      </w:pPr>
      <w:r>
        <w:rPr>
          <w:b/>
          <w:bCs/>
          <w:sz w:val="20"/>
        </w:rPr>
        <w:t xml:space="preserve">[R10] Archivierter pytest-Output: 15 bestanden, 1 übersprungen.</w:t>
      </w:r>
      <w:r>
        <w:rPr>
          <w:sz w:val="20"/>
        </w:rPr>
        <w:t xml:space="preserve"> </w:t>
      </w:r>
      <w:r>
        <w:rPr>
          <w:rStyle w:val="VerbatimChar"/>
          <w:sz w:val="20"/>
        </w:rPr>
        <w:t xml:space="preserve">research/generated/data/DATA-2026-16.json</w:t>
      </w:r>
      <w:r>
        <w:rPr>
          <w:sz w:val="20"/>
        </w:rPr>
        <w:t xml:space="preserve">.</w:t>
      </w:r>
      <w:r>
        <w:rPr>
          <w:sz w:val="20"/>
        </w:rPr>
        <w:t xml:space="preserve"> </w:t>
      </w:r>
      <w:hyperlink r:id="rId718">
        <w:r>
          <w:rPr>
            <w:rStyle w:val="Hyperlink"/>
          </w:rPr>
          <w:t xml:space="preserve">Versionierter Fundort</w:t>
        </w:r>
      </w:hyperlink>
      <w:r>
        <w:rPr>
          <w:sz w:val="20"/>
        </w:rPr>
        <w:t xml:space="preserve">.</w:t>
      </w:r>
    </w:p>
    <w:p>
      <w:pPr>
        <w:pStyle w:val="BodyText"/>
        <w:keepLines/>
        <w:spacing w:after="120"/>
        <w:jc w:val="left"/>
      </w:pPr>
      <w:r>
        <w:rPr>
          <w:b/>
          <w:bCs/>
          <w:sz w:val="20"/>
        </w:rPr>
        <w:t xml:space="preserve">[R11] KI-gekennzeichnete Nachanalyse; interpretation_only.</w:t>
      </w:r>
      <w:r>
        <w:rPr>
          <w:sz w:val="20"/>
        </w:rPr>
        <w:t xml:space="preserve"> </w:t>
      </w:r>
      <w:r>
        <w:rPr>
          <w:rStyle w:val="VerbatimChar"/>
          <w:sz w:val="20"/>
        </w:rPr>
        <w:t xml:space="preserve">research/experiments/EXP-GEN-0021/AI_ANALYSIS_GPT-5.6-SOL.md</w:t>
      </w:r>
      <w:r>
        <w:rPr>
          <w:sz w:val="20"/>
        </w:rPr>
        <w:t xml:space="preserve">.</w:t>
      </w:r>
      <w:r>
        <w:rPr>
          <w:sz w:val="20"/>
        </w:rPr>
        <w:t xml:space="preserve"> </w:t>
      </w:r>
      <w:hyperlink r:id="rId719">
        <w:r>
          <w:rPr>
            <w:rStyle w:val="Hyperlink"/>
          </w:rPr>
          <w:t xml:space="preserve">Versionierter Fundort</w:t>
        </w:r>
      </w:hyperlink>
      <w:r>
        <w:rPr>
          <w:sz w:val="20"/>
        </w:rPr>
        <w:t xml:space="preserve">.</w:t>
      </w:r>
    </w:p>
    <w:p>
      <w:pPr>
        <w:pStyle w:val="BodyText"/>
        <w:keepLines/>
        <w:spacing w:after="120"/>
        <w:jc w:val="left"/>
      </w:pPr>
      <w:r>
        <w:rPr>
          <w:b/>
          <w:bCs/>
          <w:sz w:val="20"/>
        </w:rPr>
        <w:t xml:space="preserve">[R12] Explorativer Interferenz-Vorläuferscreen.</w:t>
      </w:r>
      <w:r>
        <w:rPr>
          <w:sz w:val="20"/>
        </w:rPr>
        <w:t xml:space="preserve"> </w:t>
      </w:r>
      <w:r>
        <w:rPr>
          <w:rStyle w:val="VerbatimChar"/>
          <w:sz w:val="20"/>
        </w:rPr>
        <w:t xml:space="preserve">research/experiments/EXP-LIFE-0001-R1/summary.md</w:t>
      </w:r>
      <w:r>
        <w:rPr>
          <w:sz w:val="20"/>
        </w:rPr>
        <w:t xml:space="preserve">.</w:t>
      </w:r>
      <w:r>
        <w:rPr>
          <w:sz w:val="20"/>
        </w:rPr>
        <w:t xml:space="preserve"> </w:t>
      </w:r>
      <w:hyperlink r:id="rId720">
        <w:r>
          <w:rPr>
            <w:rStyle w:val="Hyperlink"/>
          </w:rPr>
          <w:t xml:space="preserve">Versionierter Fundort</w:t>
        </w:r>
      </w:hyperlink>
      <w:r>
        <w:rPr>
          <w:sz w:val="20"/>
        </w:rPr>
        <w:t xml:space="preserve">.</w:t>
      </w:r>
    </w:p>
    <w:p>
      <w:pPr>
        <w:pStyle w:val="BodyText"/>
        <w:keepLines/>
        <w:spacing w:after="120"/>
        <w:jc w:val="left"/>
      </w:pPr>
      <w:r>
        <w:rPr>
          <w:b/>
          <w:bCs/>
          <w:sz w:val="20"/>
        </w:rPr>
        <w:t xml:space="preserve">[R13] Fünf offene modalitätsspezifische Forschungsfragen.</w:t>
      </w:r>
      <w:r>
        <w:rPr>
          <w:sz w:val="20"/>
        </w:rPr>
        <w:t xml:space="preserve"> </w:t>
      </w:r>
      <w:r>
        <w:rPr>
          <w:rStyle w:val="VerbatimChar"/>
          <w:sz w:val="20"/>
        </w:rPr>
        <w:t xml:space="preserve">research/registry/questions.msba.yaml</w:t>
      </w:r>
      <w:r>
        <w:rPr>
          <w:sz w:val="20"/>
        </w:rPr>
        <w:t xml:space="preserve">.</w:t>
      </w:r>
      <w:r>
        <w:rPr>
          <w:sz w:val="20"/>
        </w:rPr>
        <w:t xml:space="preserve"> </w:t>
      </w:r>
      <w:hyperlink r:id="rId721">
        <w:r>
          <w:rPr>
            <w:rStyle w:val="Hyperlink"/>
          </w:rPr>
          <w:t xml:space="preserve">Versionierter Fundort</w:t>
        </w:r>
      </w:hyperlink>
      <w:r>
        <w:rPr>
          <w:sz w:val="20"/>
        </w:rPr>
        <w:t xml:space="preserve">.</w:t>
      </w:r>
    </w:p>
    <w:p>
      <w:pPr>
        <w:pStyle w:val="BodyText"/>
        <w:keepLines/>
        <w:spacing w:after="120"/>
        <w:jc w:val="left"/>
      </w:pPr>
      <w:r>
        <w:rPr>
          <w:b/>
          <w:bCs/>
          <w:sz w:val="20"/>
        </w:rPr>
        <w:t xml:space="preserve">[R14] Raw-Pointer mit Kompressions- und Hashmetadaten.</w:t>
      </w:r>
      <w:r>
        <w:rPr>
          <w:sz w:val="20"/>
        </w:rPr>
        <w:t xml:space="preserve"> </w:t>
      </w:r>
      <w:r>
        <w:rPr>
          <w:rStyle w:val="VerbatimChar"/>
          <w:sz w:val="20"/>
        </w:rPr>
        <w:t xml:space="preserve">research/experiments/EXP-SNN-001-R2/DATA/current_run.json</w:t>
      </w:r>
      <w:r>
        <w:rPr>
          <w:sz w:val="20"/>
        </w:rPr>
        <w:t xml:space="preserve">.</w:t>
      </w:r>
      <w:r>
        <w:rPr>
          <w:sz w:val="20"/>
        </w:rPr>
        <w:t xml:space="preserve"> </w:t>
      </w:r>
      <w:hyperlink r:id="rId722">
        <w:r>
          <w:rPr>
            <w:rStyle w:val="Hyperlink"/>
          </w:rPr>
          <w:t xml:space="preserve">Versionierter Fundort</w:t>
        </w:r>
      </w:hyperlink>
      <w:r>
        <w:rPr>
          <w:sz w:val="20"/>
        </w:rPr>
        <w:t xml:space="preserve">.</w:t>
      </w:r>
    </w:p>
    <w:p>
      <w:pPr>
        <w:pStyle w:val="BodyText"/>
        <w:keepLines/>
        <w:spacing w:after="120"/>
        <w:jc w:val="left"/>
      </w:pPr>
      <w:r>
        <w:rPr>
          <w:b/>
          <w:bCs/>
          <w:sz w:val="20"/>
        </w:rPr>
        <w:t xml:space="preserve">[R15] Fünf MSBA-Hypothesen: Originalwortlaut, Status untested und leere Evidenzlisten.</w:t>
      </w:r>
      <w:r>
        <w:rPr>
          <w:sz w:val="20"/>
        </w:rPr>
        <w:t xml:space="preserve"> </w:t>
      </w:r>
      <w:r>
        <w:rPr>
          <w:rStyle w:val="VerbatimChar"/>
          <w:sz w:val="20"/>
        </w:rPr>
        <w:t xml:space="preserve">research/registry/hypotheses.msba.yaml</w:t>
      </w:r>
      <w:r>
        <w:rPr>
          <w:sz w:val="20"/>
        </w:rPr>
        <w:t xml:space="preserve">.</w:t>
      </w:r>
      <w:r>
        <w:rPr>
          <w:sz w:val="20"/>
        </w:rPr>
        <w:t xml:space="preserve"> </w:t>
      </w:r>
      <w:hyperlink r:id="rId723">
        <w:r>
          <w:rPr>
            <w:rStyle w:val="Hyperlink"/>
          </w:rPr>
          <w:t xml:space="preserve">Versionierter Fundort</w:t>
        </w:r>
      </w:hyperlink>
      <w:r>
        <w:rPr>
          <w:sz w:val="20"/>
        </w:rPr>
        <w:t xml:space="preserve">.</w:t>
      </w:r>
    </w:p>
    <w:bookmarkEnd w:id="724"/>
    <w:bookmarkEnd w:id="725"/>
    <w:bookmarkStart w:id="1038" w:name="anhang-e---literaturverzeichnis"/>
    <w:p>
      <w:bookmarkStart w:id="28000" w:name="refs"/>
      <w:bookmarkStart w:id="10044" w:name="B5D_H044"/>
      <w:pPr>
        <w:pStyle w:val="Heading1"/>
      </w:pPr>
      <w:r>
        <w:t xml:space="preserve">Anhang E - Literaturverzeichnis</w:t>
      </w:r>
      <w:bookmarkEnd w:id="10044"/>
      <w:bookmarkEnd w:id="28000"/>
    </w:p>
    <w:bookmarkStart w:id="1037" w:name="literaturstatus-und-nutzung"/>
    <w:p>
      <w:pPr>
        <w:pStyle w:val="Heading2"/>
      </w:pPr>
      <w:r>
        <w:t xml:space="preserve">Literaturstatus und Nutzung</w:t>
      </w:r>
    </w:p>
    <w:p>
      <w:pPr>
        <w:pStyle w:val="FirstParagraph"/>
        <w:keepLines/>
        <w:spacing w:after="120"/>
        <w:jc w:val="left"/>
      </w:pPr>
      <w:r>
        <w:rPr>
          <w:sz w:val="20"/>
        </w:rPr>
        <w:t xml:space="preserve">Das Verzeichnis vereint zitierte und weiterführende Literatur der drei Vorlagen mit gezielt aktualisierten Primärquellen. Die mit [W] gekennzeichneten Einträge wurden für die Aktualisierung anhand offizieller Quellen geprüft; [K] bezeichnet übernommene Korpusmetadaten. Eine bibliografische Aufnahme ist kein Gütesiegel für alle Aussagen einer Quelle. Unterschiedliche Auflagen, Übersetzungen und historische Stellenangaben werden nur zusammengeführt, soweit ihre Identität hinreichend eindeutig ist. Die Begleitdatei</w:t>
      </w:r>
      <w:r>
        <w:rPr>
          <w:sz w:val="20"/>
        </w:rPr>
        <w:t xml:space="preserve"> </w:t>
      </w:r>
      <w:r>
        <w:rPr>
          <w:rStyle w:val="VerbatimChar"/>
          <w:sz w:val="20"/>
        </w:rPr>
        <w:t xml:space="preserve">literatur_annotiert.md</w:t>
      </w:r>
      <w:r>
        <w:rPr>
          <w:sz w:val="20"/>
        </w:rPr>
        <w:t xml:space="preserve"> </w:t>
      </w:r>
      <w:r>
        <w:rPr>
          <w:sz w:val="20"/>
        </w:rPr>
        <w:t xml:space="preserve">erläutert Status und Themenanschluss pro Eintrag.</w:t>
      </w:r>
    </w:p>
    <w:p>
      <w:pPr>
        <w:pStyle w:val="BodyText"/>
        <w:keepLines/>
        <w:spacing w:after="120"/>
        <w:jc w:val="left"/>
      </w:pPr>
      <w:bookmarkStart w:id="726" w:name="ref-Adams2008"/>
      <w:bookmarkEnd w:id="726"/>
      <w:r>
        <w:rPr>
          <w:b/>
          <w:bCs/>
          <w:sz w:val="20"/>
        </w:rPr>
        <w:t xml:space="preserve">[K; Adams2008]</w:t>
      </w:r>
      <w:r>
        <w:rPr>
          <w:sz w:val="20"/>
        </w:rPr>
        <w:t xml:space="preserve"> </w:t>
      </w:r>
      <w:r>
        <w:rPr>
          <w:sz w:val="20"/>
        </w:rPr>
        <w:t xml:space="preserve">Adams, F., &amp; Aizawa, K. (2008). The bounds of cognition. Wiley-Blackwell.</w:t>
      </w:r>
    </w:p>
    <w:p>
      <w:pPr>
        <w:pStyle w:val="BodyText"/>
        <w:keepLines/>
        <w:spacing w:after="120"/>
        <w:jc w:val="left"/>
      </w:pPr>
      <w:bookmarkStart w:id="727" w:name="ref-Alur1993"/>
      <w:bookmarkEnd w:id="727"/>
      <w:r>
        <w:rPr>
          <w:b/>
          <w:bCs/>
          <w:sz w:val="20"/>
        </w:rPr>
        <w:t xml:space="preserve">[K; Alur1993]</w:t>
      </w:r>
      <w:r>
        <w:rPr>
          <w:sz w:val="20"/>
        </w:rPr>
        <w:t xml:space="preserve"> </w:t>
      </w:r>
      <w:r>
        <w:rPr>
          <w:sz w:val="20"/>
        </w:rPr>
        <w:t xml:space="preserve">Alur, R., Courcoubetis, C., Henzinger, T. A., &amp; Ho, P.-H. (1993). Hybrid Automata: An Algorithmic Approach to the Specification and Verification of Hybrid Systems. Hybrid Systems, 209–229. https://doi.org/10.1007/3-540-57318-6_30</w:t>
      </w:r>
    </w:p>
    <w:p>
      <w:pPr>
        <w:pStyle w:val="BodyText"/>
        <w:keepLines/>
        <w:spacing w:after="120"/>
        <w:jc w:val="left"/>
      </w:pPr>
      <w:bookmarkStart w:id="728" w:name="ref-Amari2016"/>
      <w:bookmarkEnd w:id="728"/>
      <w:r>
        <w:rPr>
          <w:b/>
          <w:bCs/>
          <w:sz w:val="20"/>
        </w:rPr>
        <w:t xml:space="preserve">[K; Amari2016]</w:t>
      </w:r>
      <w:r>
        <w:rPr>
          <w:sz w:val="20"/>
        </w:rPr>
        <w:t xml:space="preserve"> </w:t>
      </w:r>
      <w:r>
        <w:rPr>
          <w:sz w:val="20"/>
        </w:rPr>
        <w:t xml:space="preserve">Amari, S. (2016). Information Geometry and Its Applications. Springer. https://doi.org/10.1007/978-4-431-55978-8</w:t>
      </w:r>
    </w:p>
    <w:p>
      <w:pPr>
        <w:pStyle w:val="BodyText"/>
        <w:keepLines/>
        <w:spacing w:after="120"/>
        <w:jc w:val="left"/>
      </w:pPr>
      <w:bookmarkStart w:id="729" w:name="ref-Ames2017"/>
      <w:bookmarkEnd w:id="729"/>
      <w:r>
        <w:rPr>
          <w:b/>
          <w:bCs/>
          <w:sz w:val="20"/>
        </w:rPr>
        <w:t xml:space="preserve">[K; Ames2017]</w:t>
      </w:r>
      <w:r>
        <w:rPr>
          <w:sz w:val="20"/>
        </w:rPr>
        <w:t xml:space="preserve"> </w:t>
      </w:r>
      <w:r>
        <w:rPr>
          <w:sz w:val="20"/>
        </w:rPr>
        <w:t xml:space="preserve">Ames, A. D., Xu, X., Grizzle, J. W., &amp; Tabuada, P. (2017). Control Barrier Function Based Quadratic Programs for Safety Critical Systems. IEEE Transactions on Automatic Control, 62(8), 3861–3876. https://doi.org/10.1109/TAC.2016.2638961</w:t>
      </w:r>
    </w:p>
    <w:p>
      <w:pPr>
        <w:pStyle w:val="BodyText"/>
        <w:keepLines/>
        <w:spacing w:after="120"/>
        <w:jc w:val="left"/>
      </w:pPr>
      <w:bookmarkStart w:id="730" w:name="ref-Amodei2016"/>
      <w:bookmarkEnd w:id="730"/>
      <w:r>
        <w:rPr>
          <w:b/>
          <w:bCs/>
          <w:sz w:val="20"/>
        </w:rPr>
        <w:t xml:space="preserve">[K; Amodei2016]</w:t>
      </w:r>
      <w:r>
        <w:rPr>
          <w:sz w:val="20"/>
        </w:rPr>
        <w:t xml:space="preserve"> </w:t>
      </w:r>
      <w:r>
        <w:rPr>
          <w:sz w:val="20"/>
        </w:rPr>
        <w:t xml:space="preserve">Amodei, D., Olah, C., Steinhardt, J., Christiano, P., Schulman, J., &amp; Mané, D. (2016). Concrete Problems in AI Safety. arXiv preprint arXiv:1606.06565. https://doi.org/10.48550/arXiv.1606.06565</w:t>
      </w:r>
    </w:p>
    <w:p>
      <w:pPr>
        <w:pStyle w:val="BodyText"/>
        <w:keepLines/>
        <w:spacing w:after="120"/>
        <w:jc w:val="left"/>
      </w:pPr>
      <w:bookmarkStart w:id="731" w:name="ref-Anderson2011"/>
      <w:bookmarkEnd w:id="731"/>
      <w:r>
        <w:rPr>
          <w:b/>
          <w:bCs/>
          <w:sz w:val="20"/>
        </w:rPr>
        <w:t xml:space="preserve">[K; Anderson2011]</w:t>
      </w:r>
      <w:r>
        <w:rPr>
          <w:sz w:val="20"/>
        </w:rPr>
        <w:t xml:space="preserve"> </w:t>
      </w:r>
      <w:r>
        <w:rPr>
          <w:sz w:val="20"/>
        </w:rPr>
        <w:t xml:space="preserve">Anderson, M., &amp; Anderson, S. L. (Eds.). (2011). Machine ethics. Cambridge University Press.</w:t>
      </w:r>
    </w:p>
    <w:p>
      <w:pPr>
        <w:pStyle w:val="BodyText"/>
        <w:keepLines/>
        <w:spacing w:after="120"/>
        <w:jc w:val="left"/>
      </w:pPr>
      <w:bookmarkStart w:id="732" w:name="ref-Apollodorusnd"/>
      <w:bookmarkEnd w:id="732"/>
      <w:r>
        <w:rPr>
          <w:b/>
          <w:bCs/>
          <w:sz w:val="20"/>
        </w:rPr>
        <w:t xml:space="preserve">[K; Apollodorusnd]</w:t>
      </w:r>
      <w:r>
        <w:rPr>
          <w:sz w:val="20"/>
        </w:rPr>
        <w:t xml:space="preserve"> </w:t>
      </w:r>
      <w:r>
        <w:rPr>
          <w:sz w:val="20"/>
        </w:rPr>
        <w:t xml:space="preserve">Apollodorus. (n.d.). Bibliotheca (1.9.26).</w:t>
      </w:r>
    </w:p>
    <w:p>
      <w:pPr>
        <w:pStyle w:val="BodyText"/>
        <w:keepLines/>
        <w:spacing w:after="120"/>
        <w:jc w:val="left"/>
      </w:pPr>
      <w:bookmarkStart w:id="733" w:name="ref-ApolloniusRhodiusnd"/>
      <w:bookmarkEnd w:id="733"/>
      <w:r>
        <w:rPr>
          <w:b/>
          <w:bCs/>
          <w:sz w:val="20"/>
        </w:rPr>
        <w:t xml:space="preserve">[K; ApolloniusRhodiusnd]</w:t>
      </w:r>
      <w:r>
        <w:rPr>
          <w:sz w:val="20"/>
        </w:rPr>
        <w:t xml:space="preserve"> </w:t>
      </w:r>
      <w:r>
        <w:rPr>
          <w:sz w:val="20"/>
        </w:rPr>
        <w:t xml:space="preserve">Apollonius Rhodius. (n.d.). Argonautica (Book 4, 1638–1688).</w:t>
      </w:r>
    </w:p>
    <w:p>
      <w:pPr>
        <w:pStyle w:val="BodyText"/>
        <w:keepLines/>
        <w:spacing w:after="120"/>
        <w:jc w:val="left"/>
      </w:pPr>
      <w:bookmarkStart w:id="734" w:name="ref-Aristotlend"/>
      <w:bookmarkEnd w:id="734"/>
      <w:r>
        <w:rPr>
          <w:b/>
          <w:bCs/>
          <w:sz w:val="20"/>
        </w:rPr>
        <w:t xml:space="preserve">[K; Aristotlend]</w:t>
      </w:r>
      <w:r>
        <w:rPr>
          <w:sz w:val="20"/>
        </w:rPr>
        <w:t xml:space="preserve"> </w:t>
      </w:r>
      <w:r>
        <w:rPr>
          <w:sz w:val="20"/>
        </w:rPr>
        <w:t xml:space="preserve">Aristotle. (n.d.). Politics (Book I, Chapter 4, 1253b33–1254a1).</w:t>
      </w:r>
    </w:p>
    <w:p>
      <w:pPr>
        <w:pStyle w:val="BodyText"/>
        <w:keepLines/>
        <w:spacing w:after="120"/>
        <w:jc w:val="left"/>
      </w:pPr>
      <w:bookmarkStart w:id="735" w:name="ref-Ashby1956"/>
      <w:bookmarkEnd w:id="735"/>
      <w:r>
        <w:rPr>
          <w:b/>
          <w:bCs/>
          <w:sz w:val="20"/>
        </w:rPr>
        <w:t xml:space="preserve">[K; Ashby1956]</w:t>
      </w:r>
      <w:r>
        <w:rPr>
          <w:sz w:val="20"/>
        </w:rPr>
        <w:t xml:space="preserve"> </w:t>
      </w:r>
      <w:r>
        <w:rPr>
          <w:sz w:val="20"/>
        </w:rPr>
        <w:t xml:space="preserve">Ashby, W. R. (1956). An introduction to cybernetics. Chapman &amp; Hall.</w:t>
      </w:r>
    </w:p>
    <w:p>
      <w:pPr>
        <w:pStyle w:val="BodyText"/>
        <w:keepLines/>
        <w:spacing w:after="120"/>
        <w:jc w:val="left"/>
      </w:pPr>
      <w:bookmarkStart w:id="736" w:name="ref-Asimov1950"/>
      <w:bookmarkEnd w:id="736"/>
      <w:r>
        <w:rPr>
          <w:b/>
          <w:bCs/>
          <w:sz w:val="20"/>
        </w:rPr>
        <w:t xml:space="preserve">[K; Asimov1950]</w:t>
      </w:r>
      <w:r>
        <w:rPr>
          <w:sz w:val="20"/>
        </w:rPr>
        <w:t xml:space="preserve"> </w:t>
      </w:r>
      <w:r>
        <w:rPr>
          <w:sz w:val="20"/>
        </w:rPr>
        <w:t xml:space="preserve">Asimov, I. (1950). I, robot. Gnome Press.</w:t>
      </w:r>
    </w:p>
    <w:p>
      <w:pPr>
        <w:pStyle w:val="BodyText"/>
        <w:keepLines/>
        <w:spacing w:after="120"/>
        <w:jc w:val="left"/>
      </w:pPr>
      <w:bookmarkStart w:id="737" w:name="ref-AulusGellius"/>
      <w:bookmarkEnd w:id="737"/>
      <w:r>
        <w:rPr>
          <w:b/>
          <w:bCs/>
          <w:sz w:val="20"/>
        </w:rPr>
        <w:t xml:space="preserve">[K; AulusGellius]</w:t>
      </w:r>
      <w:r>
        <w:rPr>
          <w:sz w:val="20"/>
        </w:rPr>
        <w:t xml:space="preserve"> </w:t>
      </w:r>
      <w:r>
        <w:rPr>
          <w:sz w:val="20"/>
        </w:rPr>
        <w:t xml:space="preserve">Aulus Gellius. Noctes Atticae, 10.12. Bericht über die mechanische Taube des Archytas.</w:t>
      </w:r>
    </w:p>
    <w:p>
      <w:pPr>
        <w:pStyle w:val="BodyText"/>
        <w:keepLines/>
        <w:spacing w:after="120"/>
        <w:jc w:val="left"/>
      </w:pPr>
      <w:bookmarkStart w:id="738" w:name="ref-Baars1988"/>
      <w:bookmarkEnd w:id="738"/>
      <w:r>
        <w:rPr>
          <w:b/>
          <w:bCs/>
          <w:sz w:val="20"/>
        </w:rPr>
        <w:t xml:space="preserve">[K; Baars1988]</w:t>
      </w:r>
      <w:r>
        <w:rPr>
          <w:sz w:val="20"/>
        </w:rPr>
        <w:t xml:space="preserve"> </w:t>
      </w:r>
      <w:r>
        <w:rPr>
          <w:sz w:val="20"/>
        </w:rPr>
        <w:t xml:space="preserve">Baars, B. J. (1988). A cognitive theory of consciousness. Cambridge University Press.</w:t>
      </w:r>
    </w:p>
    <w:p>
      <w:pPr>
        <w:pStyle w:val="BodyText"/>
        <w:keepLines/>
        <w:spacing w:after="120"/>
        <w:jc w:val="left"/>
      </w:pPr>
      <w:bookmarkStart w:id="739" w:name="ref-Babbage1832"/>
      <w:bookmarkEnd w:id="739"/>
      <w:r>
        <w:rPr>
          <w:b/>
          <w:bCs/>
          <w:sz w:val="20"/>
        </w:rPr>
        <w:t xml:space="preserve">[K; Babbage1832]</w:t>
      </w:r>
      <w:r>
        <w:rPr>
          <w:sz w:val="20"/>
        </w:rPr>
        <w:t xml:space="preserve"> </w:t>
      </w:r>
      <w:r>
        <w:rPr>
          <w:sz w:val="20"/>
        </w:rPr>
        <w:t xml:space="preserve">Babbage, C. (1832). On the economy of machinery and manufactures. Charles Knight.</w:t>
      </w:r>
    </w:p>
    <w:p>
      <w:pPr>
        <w:pStyle w:val="BodyText"/>
        <w:keepLines/>
        <w:spacing w:after="120"/>
        <w:jc w:val="left"/>
      </w:pPr>
      <w:bookmarkStart w:id="740" w:name="ref-Bai2022"/>
      <w:bookmarkEnd w:id="740"/>
      <w:r>
        <w:rPr>
          <w:b/>
          <w:bCs/>
          <w:sz w:val="20"/>
        </w:rPr>
        <w:t xml:space="preserve">[K; Bai2022]</w:t>
      </w:r>
      <w:r>
        <w:rPr>
          <w:sz w:val="20"/>
        </w:rPr>
        <w:t xml:space="preserve"> </w:t>
      </w:r>
      <w:r>
        <w:rPr>
          <w:sz w:val="20"/>
        </w:rPr>
        <w:t xml:space="preserve">Bai, Y., Kadavath, S., Kundu, S., Askell, A., Kernion, J., Jones, A., et al. (2022). Constitutional AI: Harmlessness from AI feedback. arXiv. https://doi.org/10.48550/arXiv.2212.08073</w:t>
      </w:r>
    </w:p>
    <w:p>
      <w:pPr>
        <w:pStyle w:val="BodyText"/>
        <w:keepLines/>
        <w:spacing w:after="120"/>
        <w:jc w:val="left"/>
      </w:pPr>
      <w:bookmarkStart w:id="741" w:name="ref-Bainbridge1983"/>
      <w:bookmarkEnd w:id="741"/>
      <w:r>
        <w:rPr>
          <w:b/>
          <w:bCs/>
          <w:sz w:val="20"/>
        </w:rPr>
        <w:t xml:space="preserve">[K; Bainbridge1983]</w:t>
      </w:r>
      <w:r>
        <w:rPr>
          <w:sz w:val="20"/>
        </w:rPr>
        <w:t xml:space="preserve"> </w:t>
      </w:r>
      <w:r>
        <w:rPr>
          <w:sz w:val="20"/>
        </w:rPr>
        <w:t xml:space="preserve">Bainbridge, L. (1983). Ironies of automation. Automatica, 19(6), 775–779. https://doi.org/10.1016/0005-1098(83)90046-8</w:t>
      </w:r>
    </w:p>
    <w:p>
      <w:pPr>
        <w:pStyle w:val="BodyText"/>
        <w:keepLines/>
        <w:spacing w:after="120"/>
        <w:jc w:val="left"/>
      </w:pPr>
      <w:bookmarkStart w:id="742" w:name="ref-Barabasi1999"/>
      <w:bookmarkEnd w:id="742"/>
      <w:r>
        <w:rPr>
          <w:b/>
          <w:bCs/>
          <w:sz w:val="20"/>
        </w:rPr>
        <w:t xml:space="preserve">[K; Barabasi1999]</w:t>
      </w:r>
      <w:r>
        <w:rPr>
          <w:sz w:val="20"/>
        </w:rPr>
        <w:t xml:space="preserve"> </w:t>
      </w:r>
      <w:r>
        <w:rPr>
          <w:sz w:val="20"/>
        </w:rPr>
        <w:t xml:space="preserve">Barabási, A.-L., &amp; Albert, R. (1999). Emergence of Scaling in Random Networks. Science, 286(5439), 509–512. https://doi.org/10.1126/science.286.5439.509</w:t>
      </w:r>
    </w:p>
    <w:p>
      <w:pPr>
        <w:pStyle w:val="BodyText"/>
        <w:keepLines/>
        <w:spacing w:after="120"/>
        <w:jc w:val="left"/>
      </w:pPr>
      <w:bookmarkStart w:id="743" w:name="ref-Barad2007"/>
      <w:bookmarkEnd w:id="743"/>
      <w:r>
        <w:rPr>
          <w:b/>
          <w:bCs/>
          <w:sz w:val="20"/>
        </w:rPr>
        <w:t xml:space="preserve">[K; Barad2007]</w:t>
      </w:r>
      <w:r>
        <w:rPr>
          <w:sz w:val="20"/>
        </w:rPr>
        <w:t xml:space="preserve"> </w:t>
      </w:r>
      <w:r>
        <w:rPr>
          <w:sz w:val="20"/>
        </w:rPr>
        <w:t xml:space="preserve">Barad, K. (2007). Meeting the universe halfway. Duke University Press.</w:t>
      </w:r>
    </w:p>
    <w:p>
      <w:pPr>
        <w:pStyle w:val="BodyText"/>
        <w:keepLines/>
        <w:spacing w:after="120"/>
        <w:jc w:val="left"/>
      </w:pPr>
      <w:bookmarkStart w:id="744" w:name="ref-Barsalou2008"/>
      <w:bookmarkEnd w:id="744"/>
      <w:r>
        <w:rPr>
          <w:b/>
          <w:bCs/>
          <w:sz w:val="20"/>
        </w:rPr>
        <w:t xml:space="preserve">[K; Barsalou2008]</w:t>
      </w:r>
      <w:r>
        <w:rPr>
          <w:sz w:val="20"/>
        </w:rPr>
        <w:t xml:space="preserve"> </w:t>
      </w:r>
      <w:r>
        <w:rPr>
          <w:sz w:val="20"/>
        </w:rPr>
        <w:t xml:space="preserve">Barsalou, L. W. (2008). Grounded cognition. Annual Review of Psychology, 59, 617–645. https://doi.org/10.1146/annurev.psych.59.103006.093639</w:t>
      </w:r>
    </w:p>
    <w:p>
      <w:pPr>
        <w:pStyle w:val="BodyText"/>
        <w:keepLines/>
        <w:spacing w:after="120"/>
        <w:jc w:val="left"/>
      </w:pPr>
      <w:bookmarkStart w:id="745" w:name="ref-Bassett2017"/>
      <w:bookmarkEnd w:id="745"/>
      <w:r>
        <w:rPr>
          <w:b/>
          <w:bCs/>
          <w:sz w:val="20"/>
        </w:rPr>
        <w:t xml:space="preserve">[K; Bassett2017]</w:t>
      </w:r>
      <w:r>
        <w:rPr>
          <w:sz w:val="20"/>
        </w:rPr>
        <w:t xml:space="preserve"> </w:t>
      </w:r>
      <w:r>
        <w:rPr>
          <w:sz w:val="20"/>
        </w:rPr>
        <w:t xml:space="preserve">Bassett, D. S., &amp; Sporns, O. (2017). Network Neuroscience. Nature Neuroscience, 20, 353–364. https://doi.org/10.1038/nn.4502</w:t>
      </w:r>
    </w:p>
    <w:p>
      <w:pPr>
        <w:pStyle w:val="BodyText"/>
        <w:keepLines/>
        <w:spacing w:after="120"/>
        <w:jc w:val="left"/>
      </w:pPr>
      <w:bookmarkStart w:id="746" w:name="ref-Bedau1997"/>
      <w:bookmarkEnd w:id="746"/>
      <w:r>
        <w:rPr>
          <w:b/>
          <w:bCs/>
          <w:sz w:val="20"/>
        </w:rPr>
        <w:t xml:space="preserve">[K; Bedau1997]</w:t>
      </w:r>
      <w:r>
        <w:rPr>
          <w:sz w:val="20"/>
        </w:rPr>
        <w:t xml:space="preserve"> </w:t>
      </w:r>
      <w:r>
        <w:rPr>
          <w:sz w:val="20"/>
        </w:rPr>
        <w:t xml:space="preserve">Bedau, M. A. (1997). Weak Emergence. Philosophical Perspectives, 11, 375–399. https://doi.org/10.1111/0029-4624.31.s11.17</w:t>
      </w:r>
    </w:p>
    <w:p>
      <w:pPr>
        <w:pStyle w:val="BodyText"/>
        <w:keepLines/>
        <w:spacing w:after="120"/>
        <w:jc w:val="left"/>
      </w:pPr>
      <w:bookmarkStart w:id="747" w:name="ref-Beer1990"/>
      <w:bookmarkEnd w:id="747"/>
      <w:r>
        <w:rPr>
          <w:b/>
          <w:bCs/>
          <w:sz w:val="20"/>
        </w:rPr>
        <w:t xml:space="preserve">[K; Beer1990]</w:t>
      </w:r>
      <w:r>
        <w:rPr>
          <w:sz w:val="20"/>
        </w:rPr>
        <w:t xml:space="preserve"> </w:t>
      </w:r>
      <w:r>
        <w:rPr>
          <w:sz w:val="20"/>
        </w:rPr>
        <w:t xml:space="preserve">Beer, R. D. (1990). Intelligence as adaptive behavior. Academic Press.</w:t>
      </w:r>
    </w:p>
    <w:p>
      <w:pPr>
        <w:pStyle w:val="BodyText"/>
        <w:keepLines/>
        <w:spacing w:after="120"/>
        <w:jc w:val="left"/>
      </w:pPr>
      <w:bookmarkStart w:id="748" w:name="ref-Beer1995"/>
      <w:bookmarkEnd w:id="748"/>
      <w:r>
        <w:rPr>
          <w:b/>
          <w:bCs/>
          <w:sz w:val="20"/>
        </w:rPr>
        <w:t xml:space="preserve">[K; Beer1995]</w:t>
      </w:r>
      <w:r>
        <w:rPr>
          <w:sz w:val="20"/>
        </w:rPr>
        <w:t xml:space="preserve"> </w:t>
      </w:r>
      <w:r>
        <w:rPr>
          <w:sz w:val="20"/>
        </w:rPr>
        <w:t xml:space="preserve">Beer, R. D. (1995). A Dynamical Systems Perspective on Agent-Environment Interaction. Artificial Intelligence, 72(1–2), 173–215. https://doi.org/10.1016/0004-3702(94)00005-L</w:t>
      </w:r>
    </w:p>
    <w:p>
      <w:pPr>
        <w:pStyle w:val="BodyText"/>
        <w:keepLines/>
        <w:spacing w:after="120"/>
        <w:jc w:val="left"/>
      </w:pPr>
      <w:bookmarkStart w:id="749" w:name="ref-Beggs2003"/>
      <w:bookmarkEnd w:id="749"/>
      <w:r>
        <w:rPr>
          <w:b/>
          <w:bCs/>
          <w:sz w:val="20"/>
        </w:rPr>
        <w:t xml:space="preserve">[K; Beggs2003]</w:t>
      </w:r>
      <w:r>
        <w:rPr>
          <w:sz w:val="20"/>
        </w:rPr>
        <w:t xml:space="preserve"> </w:t>
      </w:r>
      <w:r>
        <w:rPr>
          <w:sz w:val="20"/>
        </w:rPr>
        <w:t xml:space="preserve">Beggs, J. M., &amp; Plenz, D. (2003). Neuronal Avalanches in Neocortical Circuits. The Journal of Neuroscience, 23(35), 11167–11177. https://doi.org/10.1523/JNEUROSCI.23-35-11167.2003</w:t>
      </w:r>
    </w:p>
    <w:p>
      <w:pPr>
        <w:pStyle w:val="BodyText"/>
        <w:keepLines/>
        <w:spacing w:after="120"/>
        <w:jc w:val="left"/>
      </w:pPr>
      <w:bookmarkStart w:id="750" w:name="ref-Belkin2003"/>
      <w:bookmarkEnd w:id="750"/>
      <w:r>
        <w:rPr>
          <w:b/>
          <w:bCs/>
          <w:sz w:val="20"/>
        </w:rPr>
        <w:t xml:space="preserve">[K; Belkin2003]</w:t>
      </w:r>
      <w:r>
        <w:rPr>
          <w:sz w:val="20"/>
        </w:rPr>
        <w:t xml:space="preserve"> </w:t>
      </w:r>
      <w:r>
        <w:rPr>
          <w:sz w:val="20"/>
        </w:rPr>
        <w:t xml:space="preserve">Belkin, M., &amp; Niyogi, P. (2003). Laplacian Eigenmaps for Dimensionality Reduction and Data Representation. Neural Computation, 15(6), 1373–1396. https://doi.org/10.1162/089976603321780317</w:t>
      </w:r>
    </w:p>
    <w:p>
      <w:pPr>
        <w:pStyle w:val="BodyText"/>
        <w:keepLines/>
        <w:spacing w:after="120"/>
        <w:jc w:val="left"/>
      </w:pPr>
      <w:bookmarkStart w:id="751" w:name="ref-Bender2020"/>
      <w:bookmarkEnd w:id="751"/>
      <w:r>
        <w:rPr>
          <w:b/>
          <w:bCs/>
          <w:sz w:val="20"/>
        </w:rPr>
        <w:t xml:space="preserve">[K; Bender2020]</w:t>
      </w:r>
      <w:r>
        <w:rPr>
          <w:sz w:val="20"/>
        </w:rPr>
        <w:t xml:space="preserve"> </w:t>
      </w:r>
      <w:r>
        <w:rPr>
          <w:sz w:val="20"/>
        </w:rPr>
        <w:t xml:space="preserve">Bender, E. M., &amp; Koller, A. (2020). Climbing towards NLU: On meaning, form, and understanding in the age of data. In Proceedings of ACL 2020 (pp. 5185–5198). https://doi.org/10.18653/v1/2020.acl-main.463</w:t>
      </w:r>
    </w:p>
    <w:p>
      <w:pPr>
        <w:pStyle w:val="BodyText"/>
        <w:keepLines/>
        <w:spacing w:after="120"/>
        <w:jc w:val="left"/>
      </w:pPr>
      <w:bookmarkStart w:id="752" w:name="ref-Bender2021"/>
      <w:bookmarkEnd w:id="752"/>
      <w:r>
        <w:rPr>
          <w:b/>
          <w:bCs/>
          <w:sz w:val="20"/>
        </w:rPr>
        <w:t xml:space="preserve">[K; Bender2021]</w:t>
      </w:r>
      <w:r>
        <w:rPr>
          <w:sz w:val="20"/>
        </w:rPr>
        <w:t xml:space="preserve"> </w:t>
      </w:r>
      <w:r>
        <w:rPr>
          <w:sz w:val="20"/>
        </w:rPr>
        <w:t xml:space="preserve">Bender, E. M., Gebru, T., McMillan-Major, A., &amp; Shmitchell, S. (2021). On the Dangers of Stochastic Parrots: Can Language Models Be Too Big? Proceedings of the 2021 ACM Conference on Fairness, Accountability, and Transparency, 610–623. https://doi.org/10.1145/3442188.3445922</w:t>
      </w:r>
    </w:p>
    <w:p>
      <w:pPr>
        <w:pStyle w:val="BodyText"/>
        <w:keepLines/>
        <w:spacing w:after="120"/>
        <w:jc w:val="left"/>
      </w:pPr>
      <w:bookmarkStart w:id="753" w:name="ref-Benna2016"/>
      <w:bookmarkEnd w:id="753"/>
      <w:r>
        <w:rPr>
          <w:b/>
          <w:bCs/>
          <w:sz w:val="20"/>
        </w:rPr>
        <w:t xml:space="preserve">[K; Benna2016]</w:t>
      </w:r>
      <w:r>
        <w:rPr>
          <w:sz w:val="20"/>
        </w:rPr>
        <w:t xml:space="preserve"> </w:t>
      </w:r>
      <w:r>
        <w:rPr>
          <w:sz w:val="20"/>
        </w:rPr>
        <w:t xml:space="preserve">Benna, M. K., &amp; Fusi, S. (2016). Computational Principles of Synaptic Memory Consolidation. Nature Neuroscience, 19, 1697–1706. https://doi.org/10.1038/nn.4401</w:t>
      </w:r>
    </w:p>
    <w:p>
      <w:pPr>
        <w:pStyle w:val="BodyText"/>
        <w:keepLines/>
        <w:spacing w:after="120"/>
        <w:jc w:val="left"/>
      </w:pPr>
      <w:bookmarkStart w:id="754" w:name="ref-Bi1998"/>
      <w:bookmarkEnd w:id="754"/>
      <w:r>
        <w:rPr>
          <w:b/>
          <w:bCs/>
          <w:sz w:val="20"/>
        </w:rPr>
        <w:t xml:space="preserve">[K; Bi1998]</w:t>
      </w:r>
      <w:r>
        <w:rPr>
          <w:sz w:val="20"/>
        </w:rPr>
        <w:t xml:space="preserve"> </w:t>
      </w:r>
      <w:r>
        <w:rPr>
          <w:sz w:val="20"/>
        </w:rPr>
        <w:t xml:space="preserve">Bi, G.-Q., &amp; Poo, M.-M. (1998). Synaptic Modifications in Cultured Hippocampal Neurons: Dependence on Spike Timing, Synaptic Strength, and Postsynaptic Cell Type. The Journal of Neuroscience, 18(24), 10464–10472. https://doi.org/10.1523/JNEUROSCI.18-24-10464.1998</w:t>
      </w:r>
    </w:p>
    <w:p>
      <w:pPr>
        <w:pStyle w:val="BodyText"/>
        <w:keepLines/>
        <w:spacing w:after="120"/>
        <w:jc w:val="left"/>
      </w:pPr>
      <w:bookmarkStart w:id="755" w:name="ref-Bienenstock1982"/>
      <w:bookmarkEnd w:id="755"/>
      <w:r>
        <w:rPr>
          <w:b/>
          <w:bCs/>
          <w:sz w:val="20"/>
        </w:rPr>
        <w:t xml:space="preserve">[K; Bienenstock1982]</w:t>
      </w:r>
      <w:r>
        <w:rPr>
          <w:sz w:val="20"/>
        </w:rPr>
        <w:t xml:space="preserve"> </w:t>
      </w:r>
      <w:r>
        <w:rPr>
          <w:sz w:val="20"/>
        </w:rPr>
        <w:t xml:space="preserve">Bienenstock, E. L., Cooper, L. N., &amp; Munro, P. W. (1982). Theory for the Development of Neuron Selectivity: Orientation Specificity and Binocular Interaction in Visual Cortex. The Journal of Neuroscience, 2(1), 32–48. https://doi.org/10.1523/JNEUROSCI.02-01-00032.1982</w:t>
      </w:r>
    </w:p>
    <w:p>
      <w:pPr>
        <w:pStyle w:val="BodyText"/>
        <w:keepLines/>
        <w:spacing w:after="120"/>
        <w:jc w:val="left"/>
      </w:pPr>
      <w:bookmarkStart w:id="756" w:name="ref-Bisk2020"/>
      <w:bookmarkEnd w:id="756"/>
      <w:r>
        <w:rPr>
          <w:b/>
          <w:bCs/>
          <w:sz w:val="20"/>
        </w:rPr>
        <w:t xml:space="preserve">[K; Bisk2020]</w:t>
      </w:r>
      <w:r>
        <w:rPr>
          <w:sz w:val="20"/>
        </w:rPr>
        <w:t xml:space="preserve"> </w:t>
      </w:r>
      <w:r>
        <w:rPr>
          <w:sz w:val="20"/>
        </w:rPr>
        <w:t xml:space="preserve">Bisk, Y., Holtzman, A., Thomason, J., Andreas, J., Bengio, Y., Chai, J., Lapata, M., Lazaridou, A., May, J., Nisnevich, A., Pinto, N., &amp; Turian, J. (2020). Experience grounds language. In Proceedings of the 2020 Conference on Empirical Methods in Natural Language Processing (pp. 8718–8735). Association for Computational Linguistics. https://doi.org/10.18653/v1/2020.emnlp-main.703</w:t>
      </w:r>
    </w:p>
    <w:p>
      <w:pPr>
        <w:pStyle w:val="BodyText"/>
        <w:keepLines/>
        <w:spacing w:after="120"/>
        <w:jc w:val="left"/>
      </w:pPr>
      <w:bookmarkStart w:id="757" w:name="ref-Block1995"/>
      <w:bookmarkEnd w:id="757"/>
      <w:r>
        <w:rPr>
          <w:b/>
          <w:bCs/>
          <w:sz w:val="20"/>
        </w:rPr>
        <w:t xml:space="preserve">[K; Block1995]</w:t>
      </w:r>
      <w:r>
        <w:rPr>
          <w:sz w:val="20"/>
        </w:rPr>
        <w:t xml:space="preserve"> </w:t>
      </w:r>
      <w:r>
        <w:rPr>
          <w:sz w:val="20"/>
        </w:rPr>
        <w:t xml:space="preserve">Block, N. (1995). On a confusion about a function of consciousness. Behavioral and Brain Sciences, 18(2), 227–247. https://doi.org/10.1017/S0140525X00038188</w:t>
      </w:r>
    </w:p>
    <w:p>
      <w:pPr>
        <w:pStyle w:val="BodyText"/>
        <w:keepLines/>
        <w:spacing w:after="120"/>
        <w:jc w:val="left"/>
      </w:pPr>
      <w:bookmarkStart w:id="758" w:name="ref-Boden2016"/>
      <w:bookmarkEnd w:id="758"/>
      <w:r>
        <w:rPr>
          <w:b/>
          <w:bCs/>
          <w:sz w:val="20"/>
        </w:rPr>
        <w:t xml:space="preserve">[K; Boden2016]</w:t>
      </w:r>
      <w:r>
        <w:rPr>
          <w:sz w:val="20"/>
        </w:rPr>
        <w:t xml:space="preserve"> </w:t>
      </w:r>
      <w:r>
        <w:rPr>
          <w:sz w:val="20"/>
        </w:rPr>
        <w:t xml:space="preserve">Boden, M. A. (2016). AI: Its nature and future. Oxford University Press.</w:t>
      </w:r>
    </w:p>
    <w:p>
      <w:pPr>
        <w:pStyle w:val="BodyText"/>
        <w:keepLines/>
        <w:spacing w:after="120"/>
        <w:jc w:val="left"/>
      </w:pPr>
      <w:bookmarkStart w:id="759" w:name="ref-Bommasani2021"/>
      <w:bookmarkEnd w:id="759"/>
      <w:r>
        <w:rPr>
          <w:b/>
          <w:bCs/>
          <w:sz w:val="20"/>
        </w:rPr>
        <w:t xml:space="preserve">[K; Bommasani2021]</w:t>
      </w:r>
      <w:r>
        <w:rPr>
          <w:sz w:val="20"/>
        </w:rPr>
        <w:t xml:space="preserve"> </w:t>
      </w:r>
      <w:r>
        <w:rPr>
          <w:sz w:val="20"/>
        </w:rPr>
        <w:t xml:space="preserve">Bommasani, R., Hudson, D. A., Adeli, E., Altman, R., Arora, S., von Arx, S., et al. (2021). On the opportunities and risks of foundation models. arXiv. https://doi.org/10.48550/arXiv.2108.07258</w:t>
      </w:r>
    </w:p>
    <w:p>
      <w:pPr>
        <w:pStyle w:val="BodyText"/>
        <w:keepLines/>
        <w:spacing w:after="120"/>
        <w:jc w:val="left"/>
      </w:pPr>
      <w:bookmarkStart w:id="760" w:name="ref-Bostrom2014"/>
      <w:bookmarkEnd w:id="760"/>
      <w:r>
        <w:rPr>
          <w:b/>
          <w:bCs/>
          <w:sz w:val="20"/>
        </w:rPr>
        <w:t xml:space="preserve">[K; Bostrom2014]</w:t>
      </w:r>
      <w:r>
        <w:rPr>
          <w:sz w:val="20"/>
        </w:rPr>
        <w:t xml:space="preserve"> </w:t>
      </w:r>
      <w:r>
        <w:rPr>
          <w:sz w:val="20"/>
        </w:rPr>
        <w:t xml:space="preserve">Bostrom, N. (2014). Superintelligence: Paths, dangers, strategies. Oxford University Press.</w:t>
      </w:r>
    </w:p>
    <w:p>
      <w:pPr>
        <w:pStyle w:val="BodyText"/>
        <w:keepLines/>
        <w:spacing w:after="120"/>
        <w:jc w:val="left"/>
      </w:pPr>
      <w:bookmarkStart w:id="761" w:name="ref-Bostrom2014_2"/>
      <w:bookmarkEnd w:id="761"/>
      <w:r>
        <w:rPr>
          <w:b/>
          <w:bCs/>
          <w:sz w:val="20"/>
        </w:rPr>
        <w:t xml:space="preserve">[K; Bostrom2014_2]</w:t>
      </w:r>
      <w:r>
        <w:rPr>
          <w:sz w:val="20"/>
        </w:rPr>
        <w:t xml:space="preserve"> </w:t>
      </w:r>
      <w:r>
        <w:rPr>
          <w:sz w:val="20"/>
        </w:rPr>
        <w:t xml:space="preserve">Bostrom, N., &amp; Yudkowsky, E. (2014). The ethics of artificial intelligence. In K. Frankish &amp; W. M. Ramsey (Eds.), The Cambridge handbook of artificial intelligence (pp. 316–334). Cambridge University Press.</w:t>
      </w:r>
    </w:p>
    <w:p>
      <w:pPr>
        <w:pStyle w:val="BodyText"/>
        <w:keepLines/>
        <w:spacing w:after="120"/>
        <w:jc w:val="left"/>
      </w:pPr>
      <w:bookmarkStart w:id="762" w:name="ref-Bratman1987"/>
      <w:bookmarkEnd w:id="762"/>
      <w:r>
        <w:rPr>
          <w:b/>
          <w:bCs/>
          <w:sz w:val="20"/>
        </w:rPr>
        <w:t xml:space="preserve">[K; Bratman1987]</w:t>
      </w:r>
      <w:r>
        <w:rPr>
          <w:sz w:val="20"/>
        </w:rPr>
        <w:t xml:space="preserve"> </w:t>
      </w:r>
      <w:r>
        <w:rPr>
          <w:sz w:val="20"/>
        </w:rPr>
        <w:t xml:space="preserve">Bratman, M. E. (1987). Intention, plans, and practical reason. Harvard University Press.</w:t>
      </w:r>
    </w:p>
    <w:p>
      <w:pPr>
        <w:pStyle w:val="BodyText"/>
        <w:keepLines/>
        <w:spacing w:after="120"/>
        <w:jc w:val="left"/>
      </w:pPr>
      <w:bookmarkStart w:id="763" w:name="ref-Breakspear2017"/>
      <w:bookmarkEnd w:id="763"/>
      <w:r>
        <w:rPr>
          <w:b/>
          <w:bCs/>
          <w:sz w:val="20"/>
        </w:rPr>
        <w:t xml:space="preserve">[K; Breakspear2017]</w:t>
      </w:r>
      <w:r>
        <w:rPr>
          <w:sz w:val="20"/>
        </w:rPr>
        <w:t xml:space="preserve"> </w:t>
      </w:r>
      <w:r>
        <w:rPr>
          <w:sz w:val="20"/>
        </w:rPr>
        <w:t xml:space="preserve">Breakspear, M. (2017). Dynamic Models of Large-Scale Brain Activity. Nature Neuroscience, 20, 340–352. https://doi.org/10.1038/nn.4497</w:t>
      </w:r>
    </w:p>
    <w:p>
      <w:pPr>
        <w:pStyle w:val="BodyText"/>
        <w:keepLines/>
        <w:spacing w:after="120"/>
        <w:jc w:val="left"/>
      </w:pPr>
      <w:bookmarkStart w:id="764" w:name="ref-Brette2005"/>
      <w:bookmarkEnd w:id="764"/>
      <w:r>
        <w:rPr>
          <w:b/>
          <w:bCs/>
          <w:sz w:val="20"/>
        </w:rPr>
        <w:t xml:space="preserve">[K; Brette2005]</w:t>
      </w:r>
      <w:r>
        <w:rPr>
          <w:sz w:val="20"/>
        </w:rPr>
        <w:t xml:space="preserve"> </w:t>
      </w:r>
      <w:r>
        <w:rPr>
          <w:sz w:val="20"/>
        </w:rPr>
        <w:t xml:space="preserve">Brette, R., &amp; Gerstner, W. (2005). Adaptive Exponential Integrate-and-Fire Model as an Effective Description of Neuronal Activity. Journal of Neurophysiology, 94(5), 3637–3642. https://doi.org/10.1152/jn.00686.2005</w:t>
      </w:r>
    </w:p>
    <w:p>
      <w:pPr>
        <w:pStyle w:val="BodyText"/>
        <w:keepLines/>
        <w:spacing w:after="120"/>
        <w:jc w:val="left"/>
      </w:pPr>
      <w:bookmarkStart w:id="765" w:name="ref-Brohan2023"/>
      <w:bookmarkEnd w:id="765"/>
      <w:r>
        <w:rPr>
          <w:b/>
          <w:bCs/>
          <w:sz w:val="20"/>
        </w:rPr>
        <w:t xml:space="preserve">[K; Brohan2023]</w:t>
      </w:r>
      <w:r>
        <w:rPr>
          <w:sz w:val="20"/>
        </w:rPr>
        <w:t xml:space="preserve"> </w:t>
      </w:r>
      <w:r>
        <w:rPr>
          <w:sz w:val="20"/>
        </w:rPr>
        <w:t xml:space="preserve">Brohan, A., Brown, N., Carbajal, J., Chebotar, Y., Dabis, X., Finn, C., et al. (2023). RT-2: Vision-language-action models transfer web knowledge to robotic control. arXiv. https://doi.org/10.48550/arXiv.2307.15818</w:t>
      </w:r>
    </w:p>
    <w:p>
      <w:pPr>
        <w:pStyle w:val="BodyText"/>
        <w:keepLines/>
        <w:spacing w:after="120"/>
        <w:jc w:val="left"/>
      </w:pPr>
      <w:bookmarkStart w:id="766" w:name="ref-Bronstein2017"/>
      <w:bookmarkEnd w:id="766"/>
      <w:r>
        <w:rPr>
          <w:b/>
          <w:bCs/>
          <w:sz w:val="20"/>
        </w:rPr>
        <w:t xml:space="preserve">[K; Bronstein2017]</w:t>
      </w:r>
      <w:r>
        <w:rPr>
          <w:sz w:val="20"/>
        </w:rPr>
        <w:t xml:space="preserve"> </w:t>
      </w:r>
      <w:r>
        <w:rPr>
          <w:sz w:val="20"/>
        </w:rPr>
        <w:t xml:space="preserve">Bronstein, M. M., Bruna, J., LeCun, Y., Szlam, A., &amp; Vandergheynst, P. (2017). Geometric Deep Learning: Going Beyond Euclidean Data. IEEE Signal Processing Magazine, 34(4), 18–42. https://doi.org/10.1109/MSP.2017.2693418</w:t>
      </w:r>
    </w:p>
    <w:p>
      <w:pPr>
        <w:pStyle w:val="BodyText"/>
        <w:keepLines/>
        <w:spacing w:after="120"/>
        <w:jc w:val="left"/>
      </w:pPr>
      <w:bookmarkStart w:id="767" w:name="ref-Brooks1991"/>
      <w:bookmarkEnd w:id="767"/>
      <w:r>
        <w:rPr>
          <w:b/>
          <w:bCs/>
          <w:sz w:val="20"/>
        </w:rPr>
        <w:t xml:space="preserve">[K; Brooks1991]</w:t>
      </w:r>
      <w:r>
        <w:rPr>
          <w:sz w:val="20"/>
        </w:rPr>
        <w:t xml:space="preserve"> </w:t>
      </w:r>
      <w:r>
        <w:rPr>
          <w:sz w:val="20"/>
        </w:rPr>
        <w:t xml:space="preserve">Brooks, R. A. (1991). Intelligence without Representation. Artificial Intelligence, 47(1–3), 139–159. https://doi.org/10.1016/0004-3702(91)90053-M</w:t>
      </w:r>
    </w:p>
    <w:p>
      <w:pPr>
        <w:pStyle w:val="BodyText"/>
        <w:keepLines/>
        <w:spacing w:after="120"/>
        <w:jc w:val="left"/>
      </w:pPr>
      <w:bookmarkStart w:id="768" w:name="ref-Brown2020"/>
      <w:bookmarkEnd w:id="768"/>
      <w:r>
        <w:rPr>
          <w:b/>
          <w:bCs/>
          <w:sz w:val="20"/>
        </w:rPr>
        <w:t xml:space="preserve">[K; Brown2020]</w:t>
      </w:r>
      <w:r>
        <w:rPr>
          <w:sz w:val="20"/>
        </w:rPr>
        <w:t xml:space="preserve"> </w:t>
      </w:r>
      <w:r>
        <w:rPr>
          <w:sz w:val="20"/>
        </w:rPr>
        <w:t xml:space="preserve">Brown, T. B., Mann, B., Ryder, N., Subbiah, M., Kaplan, J., Dhariwal, P., et al. (2020). Language models are few-shot learners. Advances in Neural Information Processing Systems, 33, 1877–1901.</w:t>
      </w:r>
    </w:p>
    <w:p>
      <w:pPr>
        <w:pStyle w:val="BodyText"/>
        <w:keepLines/>
        <w:spacing w:after="120"/>
        <w:jc w:val="left"/>
      </w:pPr>
      <w:bookmarkStart w:id="769" w:name="ref-Brunel2000"/>
      <w:bookmarkEnd w:id="769"/>
      <w:r>
        <w:rPr>
          <w:b/>
          <w:bCs/>
          <w:sz w:val="20"/>
        </w:rPr>
        <w:t xml:space="preserve">[K; Brunel2000]</w:t>
      </w:r>
      <w:r>
        <w:rPr>
          <w:sz w:val="20"/>
        </w:rPr>
        <w:t xml:space="preserve"> </w:t>
      </w:r>
      <w:r>
        <w:rPr>
          <w:sz w:val="20"/>
        </w:rPr>
        <w:t xml:space="preserve">Brunel, N. (2000). Dynamics of Sparsely Connected Networks of Excitatory and Inhibitory Spiking Neurons. Journal of Computational Neuroscience, 8, 183–208. https://doi.org/10.1023/A:1008925309027</w:t>
      </w:r>
    </w:p>
    <w:p>
      <w:pPr>
        <w:pStyle w:val="BodyText"/>
        <w:keepLines/>
        <w:spacing w:after="120"/>
        <w:jc w:val="left"/>
      </w:pPr>
      <w:bookmarkStart w:id="770" w:name="ref-Bryson2010"/>
      <w:bookmarkEnd w:id="770"/>
      <w:r>
        <w:rPr>
          <w:b/>
          <w:bCs/>
          <w:sz w:val="20"/>
        </w:rPr>
        <w:t xml:space="preserve">[K; Bryson2010]</w:t>
      </w:r>
      <w:r>
        <w:rPr>
          <w:sz w:val="20"/>
        </w:rPr>
        <w:t xml:space="preserve"> </w:t>
      </w:r>
      <w:r>
        <w:rPr>
          <w:sz w:val="20"/>
        </w:rPr>
        <w:t xml:space="preserve">Bryson, J. J. (2010). Robots should be slaves. In Y. Wilks (Ed.), Close engagements with artificial companions (pp. 63–74). John Benjamins.</w:t>
      </w:r>
    </w:p>
    <w:p>
      <w:pPr>
        <w:pStyle w:val="BodyText"/>
        <w:keepLines/>
        <w:spacing w:after="120"/>
        <w:jc w:val="left"/>
      </w:pPr>
      <w:bookmarkStart w:id="771" w:name="ref-Bullmore2009"/>
      <w:bookmarkEnd w:id="771"/>
      <w:r>
        <w:rPr>
          <w:b/>
          <w:bCs/>
          <w:sz w:val="20"/>
        </w:rPr>
        <w:t xml:space="preserve">[K; Bullmore2009]</w:t>
      </w:r>
      <w:r>
        <w:rPr>
          <w:sz w:val="20"/>
        </w:rPr>
        <w:t xml:space="preserve"> </w:t>
      </w:r>
      <w:r>
        <w:rPr>
          <w:sz w:val="20"/>
        </w:rPr>
        <w:t xml:space="preserve">Bullmore, E., &amp; Sporns, O. (2009). Complex Brain Networks: Graph Theoretical Analysis of Structural and Functional Systems. Nature Reviews Neuroscience, 10, 186–198. https://doi.org/10.1038/nrn2575</w:t>
      </w:r>
    </w:p>
    <w:p>
      <w:pPr>
        <w:pStyle w:val="BodyText"/>
        <w:keepLines/>
        <w:spacing w:after="120"/>
        <w:jc w:val="left"/>
      </w:pPr>
      <w:bookmarkStart w:id="772" w:name="ref-BundesrepublikDeutschland2026"/>
      <w:bookmarkEnd w:id="772"/>
      <w:r>
        <w:rPr>
          <w:b/>
          <w:bCs/>
          <w:sz w:val="20"/>
        </w:rPr>
        <w:t xml:space="preserve">[W; BundesrepublikDeutschland2026; W07]</w:t>
      </w:r>
      <w:r>
        <w:rPr>
          <w:sz w:val="20"/>
        </w:rPr>
        <w:t xml:space="preserve"> </w:t>
      </w:r>
      <w:r>
        <w:rPr>
          <w:sz w:val="20"/>
        </w:rPr>
        <w:t xml:space="preserve">Bundesrepublik Deutschland (2026). Gesetz über Urheberrecht und verwandte Schutzrechte (Urheberrechtsgesetz). Konsolidierte amtliche Fassung; insbesondere Paragrafen 2 und 7. https://www.gesetze-im-internet.de/urhg/BJNR012730965.html</w:t>
      </w:r>
    </w:p>
    <w:p>
      <w:pPr>
        <w:pStyle w:val="BodyText"/>
        <w:keepLines/>
        <w:spacing w:after="120"/>
        <w:jc w:val="left"/>
      </w:pPr>
      <w:bookmarkStart w:id="773" w:name="ref-Buneman2001"/>
      <w:bookmarkEnd w:id="773"/>
      <w:r>
        <w:rPr>
          <w:b/>
          <w:bCs/>
          <w:sz w:val="20"/>
        </w:rPr>
        <w:t xml:space="preserve">[K; Buneman2001]</w:t>
      </w:r>
      <w:r>
        <w:rPr>
          <w:sz w:val="20"/>
        </w:rPr>
        <w:t xml:space="preserve"> </w:t>
      </w:r>
      <w:r>
        <w:rPr>
          <w:sz w:val="20"/>
        </w:rPr>
        <w:t xml:space="preserve">Buneman, P., Khanna, S., &amp; Tan, W.-C. (2001). Why and Where: A Characterization of Data Provenance. Database Theory – ICDT 2001, 316–330. https://doi.org/10.1007/3-540-44503-X_20</w:t>
      </w:r>
    </w:p>
    <w:p>
      <w:pPr>
        <w:pStyle w:val="BodyText"/>
        <w:keepLines/>
        <w:spacing w:after="120"/>
        <w:jc w:val="left"/>
      </w:pPr>
      <w:bookmarkStart w:id="774" w:name="ref-Burrell2016"/>
      <w:bookmarkEnd w:id="774"/>
      <w:r>
        <w:rPr>
          <w:b/>
          <w:bCs/>
          <w:sz w:val="20"/>
        </w:rPr>
        <w:t xml:space="preserve">[K; Burrell2016]</w:t>
      </w:r>
      <w:r>
        <w:rPr>
          <w:sz w:val="20"/>
        </w:rPr>
        <w:t xml:space="preserve"> </w:t>
      </w:r>
      <w:r>
        <w:rPr>
          <w:sz w:val="20"/>
        </w:rPr>
        <w:t xml:space="preserve">Burrell, J. (2016). How the machine</w:t>
      </w:r>
      <w:r>
        <w:rPr>
          <w:sz w:val="20"/>
        </w:rPr>
        <w:t xml:space="preserve"> </w:t>
      </w:r>
      <w:r>
        <w:rPr>
          <w:sz w:val="20"/>
        </w:rPr>
        <w:t xml:space="preserve">‘</w:t>
      </w:r>
      <w:r>
        <w:rPr>
          <w:sz w:val="20"/>
        </w:rPr>
        <w:t xml:space="preserve">thinks</w:t>
      </w:r>
      <w:r>
        <w:rPr>
          <w:sz w:val="20"/>
        </w:rPr>
        <w:t xml:space="preserve">’</w:t>
      </w:r>
      <w:r>
        <w:rPr>
          <w:sz w:val="20"/>
        </w:rPr>
        <w:t xml:space="preserve">: Understanding opacity in machine learning algorithms. Big Data &amp; Society, 3(1). https://doi.org/10.1177/2053951715622512</w:t>
      </w:r>
    </w:p>
    <w:p>
      <w:pPr>
        <w:pStyle w:val="BodyText"/>
        <w:keepLines/>
        <w:spacing w:after="120"/>
        <w:jc w:val="left"/>
      </w:pPr>
      <w:bookmarkStart w:id="775" w:name="ref-Butler1863"/>
      <w:bookmarkEnd w:id="775"/>
      <w:r>
        <w:rPr>
          <w:b/>
          <w:bCs/>
          <w:sz w:val="20"/>
        </w:rPr>
        <w:t xml:space="preserve">[K; Butler1863]</w:t>
      </w:r>
      <w:r>
        <w:rPr>
          <w:sz w:val="20"/>
        </w:rPr>
        <w:t xml:space="preserve"> </w:t>
      </w:r>
      <w:r>
        <w:rPr>
          <w:sz w:val="20"/>
        </w:rPr>
        <w:t xml:space="preserve">Butler, S. (1863, June 13). Darwin among the machines. The Press.</w:t>
      </w:r>
    </w:p>
    <w:p>
      <w:pPr>
        <w:pStyle w:val="BodyText"/>
        <w:keepLines/>
        <w:spacing w:after="120"/>
        <w:jc w:val="left"/>
      </w:pPr>
      <w:bookmarkStart w:id="776" w:name="ref-Butlin2023"/>
      <w:bookmarkEnd w:id="776"/>
      <w:r>
        <w:rPr>
          <w:b/>
          <w:bCs/>
          <w:sz w:val="20"/>
        </w:rPr>
        <w:t xml:space="preserve">[K; Butlin2023]</w:t>
      </w:r>
      <w:r>
        <w:rPr>
          <w:sz w:val="20"/>
        </w:rPr>
        <w:t xml:space="preserve"> </w:t>
      </w:r>
      <w:r>
        <w:rPr>
          <w:sz w:val="20"/>
        </w:rPr>
        <w:t xml:space="preserve">Butlin, P., Long, R., Elmoznino, E., Bengio, Y., Birch, J., Constant, A., et al. (2023). Consciousness in artificial intelligence: Insights from the science of consciousness. arXiv. https://doi.org/10.48550/arXiv.2308.08708</w:t>
      </w:r>
    </w:p>
    <w:p>
      <w:pPr>
        <w:pStyle w:val="BodyText"/>
        <w:keepLines/>
        <w:spacing w:after="120"/>
        <w:jc w:val="left"/>
      </w:pPr>
      <w:bookmarkStart w:id="777" w:name="ref-Butz2009"/>
      <w:bookmarkEnd w:id="777"/>
      <w:r>
        <w:rPr>
          <w:b/>
          <w:bCs/>
          <w:sz w:val="20"/>
        </w:rPr>
        <w:t xml:space="preserve">[K; Butz2009]</w:t>
      </w:r>
      <w:r>
        <w:rPr>
          <w:sz w:val="20"/>
        </w:rPr>
        <w:t xml:space="preserve"> </w:t>
      </w:r>
      <w:r>
        <w:rPr>
          <w:sz w:val="20"/>
        </w:rPr>
        <w:t xml:space="preserve">Butz, M., Wörgötter, F., &amp; Ooyen, A. van. (2009). Activity-Dependent Structural Plasticity. Brain Research Reviews, 60(2), 287–305. https://doi.org/10.1016/j.brainresrev.2008.12.023</w:t>
      </w:r>
    </w:p>
    <w:p>
      <w:pPr>
        <w:pStyle w:val="BodyText"/>
        <w:keepLines/>
        <w:spacing w:after="120"/>
        <w:jc w:val="left"/>
      </w:pPr>
      <w:bookmarkStart w:id="778" w:name="ref-Canty2026"/>
      <w:bookmarkEnd w:id="778"/>
      <w:r>
        <w:rPr>
          <w:b/>
          <w:bCs/>
          <w:sz w:val="20"/>
        </w:rPr>
        <w:t xml:space="preserve">[K; Canty2026]</w:t>
      </w:r>
      <w:r>
        <w:rPr>
          <w:sz w:val="20"/>
        </w:rPr>
        <w:t xml:space="preserve"> </w:t>
      </w:r>
      <w:r>
        <w:rPr>
          <w:sz w:val="20"/>
        </w:rPr>
        <w:t xml:space="preserve">Canty, R. B., &amp; Abolhasani, M. (2026). The past, present and future of self-driving laboratories. Nature Reviews Chemistry.</w:t>
      </w:r>
    </w:p>
    <w:p>
      <w:pPr>
        <w:pStyle w:val="BodyText"/>
        <w:keepLines/>
        <w:spacing w:after="120"/>
        <w:jc w:val="left"/>
      </w:pPr>
      <w:bookmarkStart w:id="779" w:name="ref-Capek19201921"/>
      <w:bookmarkEnd w:id="779"/>
      <w:r>
        <w:rPr>
          <w:b/>
          <w:bCs/>
          <w:sz w:val="20"/>
        </w:rPr>
        <w:t xml:space="preserve">[K; Capek19201921]</w:t>
      </w:r>
      <w:r>
        <w:rPr>
          <w:sz w:val="20"/>
        </w:rPr>
        <w:t xml:space="preserve"> </w:t>
      </w:r>
      <w:r>
        <w:rPr>
          <w:sz w:val="20"/>
        </w:rPr>
        <w:t xml:space="preserve">Čapek, K. (1920/1921). R.U.R. (Rossum’s Universal Robots).</w:t>
      </w:r>
    </w:p>
    <w:p>
      <w:pPr>
        <w:pStyle w:val="BodyText"/>
        <w:keepLines/>
        <w:spacing w:after="120"/>
        <w:jc w:val="left"/>
      </w:pPr>
      <w:bookmarkStart w:id="780" w:name="ref-Capek1921"/>
      <w:bookmarkEnd w:id="780"/>
      <w:r>
        <w:rPr>
          <w:b/>
          <w:bCs/>
          <w:sz w:val="20"/>
        </w:rPr>
        <w:t xml:space="preserve">[K; Capek1921]</w:t>
      </w:r>
      <w:r>
        <w:rPr>
          <w:sz w:val="20"/>
        </w:rPr>
        <w:t xml:space="preserve"> </w:t>
      </w:r>
      <w:r>
        <w:rPr>
          <w:sz w:val="20"/>
        </w:rPr>
        <w:t xml:space="preserve">Čapek, K. (1921). R.U.R. (Rossum’s universal robots). Aventinum.</w:t>
      </w:r>
    </w:p>
    <w:p>
      <w:pPr>
        <w:pStyle w:val="BodyText"/>
        <w:keepLines/>
        <w:spacing w:after="120"/>
        <w:jc w:val="left"/>
      </w:pPr>
      <w:bookmarkStart w:id="781" w:name="ref-Carnevale2006"/>
      <w:bookmarkEnd w:id="781"/>
      <w:r>
        <w:rPr>
          <w:b/>
          <w:bCs/>
          <w:sz w:val="20"/>
        </w:rPr>
        <w:t xml:space="preserve">[K; Carnevale2006]</w:t>
      </w:r>
      <w:r>
        <w:rPr>
          <w:sz w:val="20"/>
        </w:rPr>
        <w:t xml:space="preserve"> </w:t>
      </w:r>
      <w:r>
        <w:rPr>
          <w:sz w:val="20"/>
        </w:rPr>
        <w:t xml:space="preserve">Carnevale, N. T., &amp; Hines, M. L. (2006). The NEURON Book. Cambridge University Press. https://doi.org/10.1017/CBO9780511541612</w:t>
      </w:r>
    </w:p>
    <w:p>
      <w:pPr>
        <w:pStyle w:val="BodyText"/>
        <w:keepLines/>
        <w:spacing w:after="120"/>
        <w:jc w:val="left"/>
      </w:pPr>
      <w:bookmarkStart w:id="782" w:name="ref-Chalmers1996"/>
      <w:bookmarkEnd w:id="782"/>
      <w:r>
        <w:rPr>
          <w:b/>
          <w:bCs/>
          <w:sz w:val="20"/>
        </w:rPr>
        <w:t xml:space="preserve">[K; Chalmers1996]</w:t>
      </w:r>
      <w:r>
        <w:rPr>
          <w:sz w:val="20"/>
        </w:rPr>
        <w:t xml:space="preserve"> </w:t>
      </w:r>
      <w:r>
        <w:rPr>
          <w:sz w:val="20"/>
        </w:rPr>
        <w:t xml:space="preserve">Chalmers, D. J. (1996). The conscious mind. Oxford University Press.</w:t>
      </w:r>
    </w:p>
    <w:p>
      <w:pPr>
        <w:pStyle w:val="BodyText"/>
        <w:keepLines/>
        <w:spacing w:after="120"/>
        <w:jc w:val="left"/>
      </w:pPr>
      <w:bookmarkStart w:id="783" w:name="ref-Chalmers2023"/>
      <w:bookmarkEnd w:id="783"/>
      <w:r>
        <w:rPr>
          <w:b/>
          <w:bCs/>
          <w:sz w:val="20"/>
        </w:rPr>
        <w:t xml:space="preserve">[K; Chalmers2023]</w:t>
      </w:r>
      <w:r>
        <w:rPr>
          <w:sz w:val="20"/>
        </w:rPr>
        <w:t xml:space="preserve"> </w:t>
      </w:r>
      <w:r>
        <w:rPr>
          <w:sz w:val="20"/>
        </w:rPr>
        <w:t xml:space="preserve">Chalmers, D. J. (2023). Could a large language model be conscious? Boston Review.</w:t>
      </w:r>
    </w:p>
    <w:p>
      <w:pPr>
        <w:pStyle w:val="BodyText"/>
        <w:keepLines/>
        <w:spacing w:after="120"/>
        <w:jc w:val="left"/>
      </w:pPr>
      <w:bookmarkStart w:id="784" w:name="ref-Chandy1985"/>
      <w:bookmarkEnd w:id="784"/>
      <w:r>
        <w:rPr>
          <w:b/>
          <w:bCs/>
          <w:sz w:val="20"/>
        </w:rPr>
        <w:t xml:space="preserve">[K; Chandy1985]</w:t>
      </w:r>
      <w:r>
        <w:rPr>
          <w:sz w:val="20"/>
        </w:rPr>
        <w:t xml:space="preserve"> </w:t>
      </w:r>
      <w:r>
        <w:rPr>
          <w:sz w:val="20"/>
        </w:rPr>
        <w:t xml:space="preserve">Chandy, K. M., &amp; Lamport, L. (1985). Distributed Snapshots: Determining Global States of Distributed Systems. ACM Transactions on Computer Systems, 3(1), 63–75. https://doi.org/10.1145/214451.214456</w:t>
      </w:r>
    </w:p>
    <w:p>
      <w:pPr>
        <w:pStyle w:val="BodyText"/>
        <w:keepLines/>
        <w:spacing w:after="120"/>
        <w:jc w:val="left"/>
      </w:pPr>
      <w:bookmarkStart w:id="785" w:name="ref-Che2024"/>
      <w:bookmarkEnd w:id="785"/>
      <w:r>
        <w:rPr>
          <w:b/>
          <w:bCs/>
          <w:sz w:val="20"/>
        </w:rPr>
        <w:t xml:space="preserve">[K; Che2024]</w:t>
      </w:r>
      <w:r>
        <w:rPr>
          <w:sz w:val="20"/>
        </w:rPr>
        <w:t xml:space="preserve"> </w:t>
      </w:r>
      <w:r>
        <w:rPr>
          <w:sz w:val="20"/>
        </w:rPr>
        <w:t xml:space="preserve">Che, K., Zhou, Z., Niu, J., Ma, Z., Fang, W., Chen, Y., et al. (2024). Auto-Spikformer: Spikformer architecture search. Frontiers in Neuroscience, 18, 1372257. https://doi.org/10.3389/fnins.2024.1372257</w:t>
      </w:r>
    </w:p>
    <w:p>
      <w:pPr>
        <w:pStyle w:val="BodyText"/>
        <w:keepLines/>
        <w:spacing w:after="120"/>
        <w:jc w:val="left"/>
      </w:pPr>
      <w:bookmarkStart w:id="786" w:name="ref-Chemero2009"/>
      <w:bookmarkEnd w:id="786"/>
      <w:r>
        <w:rPr>
          <w:b/>
          <w:bCs/>
          <w:sz w:val="20"/>
        </w:rPr>
        <w:t xml:space="preserve">[K; Chemero2009]</w:t>
      </w:r>
      <w:r>
        <w:rPr>
          <w:sz w:val="20"/>
        </w:rPr>
        <w:t xml:space="preserve"> </w:t>
      </w:r>
      <w:r>
        <w:rPr>
          <w:sz w:val="20"/>
        </w:rPr>
        <w:t xml:space="preserve">Chemero, A. (2009). Radical embodied cognitive science. MIT Press.</w:t>
      </w:r>
    </w:p>
    <w:p>
      <w:pPr>
        <w:pStyle w:val="BodyText"/>
        <w:keepLines/>
        <w:spacing w:after="120"/>
        <w:jc w:val="left"/>
      </w:pPr>
      <w:bookmarkStart w:id="787" w:name="ref-Christiano2017"/>
      <w:bookmarkEnd w:id="787"/>
      <w:r>
        <w:rPr>
          <w:b/>
          <w:bCs/>
          <w:sz w:val="20"/>
        </w:rPr>
        <w:t xml:space="preserve">[K; Christiano2017]</w:t>
      </w:r>
      <w:r>
        <w:rPr>
          <w:sz w:val="20"/>
        </w:rPr>
        <w:t xml:space="preserve"> </w:t>
      </w:r>
      <w:r>
        <w:rPr>
          <w:sz w:val="20"/>
        </w:rPr>
        <w:t xml:space="preserve">Christiano, P. F., Leike, J., Brown, T., Martic, M., Legg, S., &amp; Amodei, D. (2017). Deep reinforcement learning from human preferences. Advances in Neural Information Processing Systems, 30.</w:t>
      </w:r>
    </w:p>
    <w:p>
      <w:pPr>
        <w:pStyle w:val="BodyText"/>
        <w:keepLines/>
        <w:spacing w:after="120"/>
        <w:jc w:val="left"/>
      </w:pPr>
      <w:bookmarkStart w:id="788" w:name="ref-Chung1997"/>
      <w:bookmarkEnd w:id="788"/>
      <w:r>
        <w:rPr>
          <w:b/>
          <w:bCs/>
          <w:sz w:val="20"/>
        </w:rPr>
        <w:t xml:space="preserve">[K; Chung1997]</w:t>
      </w:r>
      <w:r>
        <w:rPr>
          <w:sz w:val="20"/>
        </w:rPr>
        <w:t xml:space="preserve"> </w:t>
      </w:r>
      <w:r>
        <w:rPr>
          <w:sz w:val="20"/>
        </w:rPr>
        <w:t xml:space="preserve">Chung, F. R. K. (1997). Spectral Graph Theory. American Mathematical Society.</w:t>
      </w:r>
    </w:p>
    <w:p>
      <w:pPr>
        <w:pStyle w:val="BodyText"/>
        <w:keepLines/>
        <w:spacing w:after="120"/>
        <w:jc w:val="left"/>
      </w:pPr>
      <w:bookmarkStart w:id="789" w:name="ref-Clark1997"/>
      <w:bookmarkEnd w:id="789"/>
      <w:r>
        <w:rPr>
          <w:b/>
          <w:bCs/>
          <w:sz w:val="20"/>
        </w:rPr>
        <w:t xml:space="preserve">[K; Clark1997]</w:t>
      </w:r>
      <w:r>
        <w:rPr>
          <w:sz w:val="20"/>
        </w:rPr>
        <w:t xml:space="preserve"> </w:t>
      </w:r>
      <w:r>
        <w:rPr>
          <w:sz w:val="20"/>
        </w:rPr>
        <w:t xml:space="preserve">Clark, A. (1997). Being there: Putting brain, body, and world together again. MIT Press.</w:t>
      </w:r>
    </w:p>
    <w:p>
      <w:pPr>
        <w:pStyle w:val="BodyText"/>
        <w:keepLines/>
        <w:spacing w:after="120"/>
        <w:jc w:val="left"/>
      </w:pPr>
      <w:bookmarkStart w:id="790" w:name="ref-Clark1998"/>
      <w:bookmarkEnd w:id="790"/>
      <w:r>
        <w:rPr>
          <w:b/>
          <w:bCs/>
          <w:sz w:val="20"/>
        </w:rPr>
        <w:t xml:space="preserve">[K; Clark1998]</w:t>
      </w:r>
      <w:r>
        <w:rPr>
          <w:sz w:val="20"/>
        </w:rPr>
        <w:t xml:space="preserve"> </w:t>
      </w:r>
      <w:r>
        <w:rPr>
          <w:sz w:val="20"/>
        </w:rPr>
        <w:t xml:space="preserve">Clark, A., &amp; Chalmers, D. J. (1998). The extended mind. Analysis, 58(1), 7–19. https://doi.org/10.1093/analys/58.1.7</w:t>
      </w:r>
    </w:p>
    <w:p>
      <w:pPr>
        <w:pStyle w:val="BodyText"/>
        <w:keepLines/>
        <w:spacing w:after="120"/>
        <w:jc w:val="left"/>
      </w:pPr>
      <w:bookmarkStart w:id="791" w:name="ref-Clark2013"/>
      <w:bookmarkEnd w:id="791"/>
      <w:r>
        <w:rPr>
          <w:b/>
          <w:bCs/>
          <w:sz w:val="20"/>
        </w:rPr>
        <w:t xml:space="preserve">[K; Clark2013]</w:t>
      </w:r>
      <w:r>
        <w:rPr>
          <w:sz w:val="20"/>
        </w:rPr>
        <w:t xml:space="preserve"> </w:t>
      </w:r>
      <w:r>
        <w:rPr>
          <w:sz w:val="20"/>
        </w:rPr>
        <w:t xml:space="preserve">Clark, A. (2013). Whatever next? Predictive brains, situated agents, and the future of cognitive science. Behavioral and Brain Sciences, 36(3), 181–204. https://doi.org/10.1017/S0140525X12000477</w:t>
      </w:r>
    </w:p>
    <w:p>
      <w:pPr>
        <w:pStyle w:val="BodyText"/>
        <w:keepLines/>
        <w:spacing w:after="120"/>
        <w:jc w:val="left"/>
      </w:pPr>
      <w:bookmarkStart w:id="792" w:name="ref-Clopath2010"/>
      <w:bookmarkEnd w:id="792"/>
      <w:r>
        <w:rPr>
          <w:b/>
          <w:bCs/>
          <w:sz w:val="20"/>
        </w:rPr>
        <w:t xml:space="preserve">[K; Clopath2010]</w:t>
      </w:r>
      <w:r>
        <w:rPr>
          <w:sz w:val="20"/>
        </w:rPr>
        <w:t xml:space="preserve"> </w:t>
      </w:r>
      <w:r>
        <w:rPr>
          <w:sz w:val="20"/>
        </w:rPr>
        <w:t xml:space="preserve">Clopath, C., Büsing, L., Vasilaki, E., &amp; Gerstner, W. (2010). Connectivity Reflects Coding: A Model of Voltage-Based STDP with Homeostasis. Nature Neuroscience, 13, 344–352. https://doi.org/10.1038/nn.2479</w:t>
      </w:r>
    </w:p>
    <w:p>
      <w:pPr>
        <w:pStyle w:val="BodyText"/>
        <w:keepLines/>
        <w:spacing w:after="120"/>
        <w:jc w:val="left"/>
      </w:pPr>
      <w:bookmarkStart w:id="793" w:name="ref-Coeckelbergh2020"/>
      <w:bookmarkEnd w:id="793"/>
      <w:r>
        <w:rPr>
          <w:b/>
          <w:bCs/>
          <w:sz w:val="20"/>
        </w:rPr>
        <w:t xml:space="preserve">[K; Coeckelbergh2020]</w:t>
      </w:r>
      <w:r>
        <w:rPr>
          <w:sz w:val="20"/>
        </w:rPr>
        <w:t xml:space="preserve"> </w:t>
      </w:r>
      <w:r>
        <w:rPr>
          <w:sz w:val="20"/>
        </w:rPr>
        <w:t xml:space="preserve">Coeckelbergh, M. (2020). AI ethics. MIT Press.</w:t>
      </w:r>
    </w:p>
    <w:p>
      <w:pPr>
        <w:pStyle w:val="BodyText"/>
        <w:keepLines/>
        <w:spacing w:after="120"/>
        <w:jc w:val="left"/>
      </w:pPr>
      <w:bookmarkStart w:id="794" w:name="ref-Coifman2006"/>
      <w:bookmarkEnd w:id="794"/>
      <w:r>
        <w:rPr>
          <w:b/>
          <w:bCs/>
          <w:sz w:val="20"/>
        </w:rPr>
        <w:t xml:space="preserve">[K; Coifman2006]</w:t>
      </w:r>
      <w:r>
        <w:rPr>
          <w:sz w:val="20"/>
        </w:rPr>
        <w:t xml:space="preserve"> </w:t>
      </w:r>
      <w:r>
        <w:rPr>
          <w:sz w:val="20"/>
        </w:rPr>
        <w:t xml:space="preserve">Coifman, R. R., &amp; Lafon, S. (2006). Diffusion Maps. Applied and Computational Harmonic Analysis, 21(1), 5–30. https://doi.org/10.1016/j.acha.2006.04.006</w:t>
      </w:r>
    </w:p>
    <w:p>
      <w:pPr>
        <w:pStyle w:val="BodyText"/>
        <w:keepLines/>
        <w:spacing w:after="120"/>
        <w:jc w:val="left"/>
      </w:pPr>
      <w:bookmarkStart w:id="795" w:name="ref-CouncilofEurope2024"/>
      <w:bookmarkEnd w:id="795"/>
      <w:r>
        <w:rPr>
          <w:b/>
          <w:bCs/>
          <w:sz w:val="20"/>
        </w:rPr>
        <w:t xml:space="preserve">[K; CouncilofEurope2024]</w:t>
      </w:r>
      <w:r>
        <w:rPr>
          <w:sz w:val="20"/>
        </w:rPr>
        <w:t xml:space="preserve"> </w:t>
      </w:r>
      <w:r>
        <w:rPr>
          <w:sz w:val="20"/>
        </w:rPr>
        <w:t xml:space="preserve">Council of Europe. (2024). Framework Convention on Artificial Intelligence and Human Rights, Democracy and the Rule of Law (CETS No. 225).</w:t>
      </w:r>
    </w:p>
    <w:p>
      <w:pPr>
        <w:pStyle w:val="BodyText"/>
        <w:keepLines/>
        <w:spacing w:after="120"/>
        <w:jc w:val="left"/>
      </w:pPr>
      <w:bookmarkStart w:id="796" w:name="ref-CouncilofEurope2026"/>
      <w:bookmarkEnd w:id="796"/>
      <w:r>
        <w:rPr>
          <w:b/>
          <w:bCs/>
          <w:sz w:val="20"/>
        </w:rPr>
        <w:t xml:space="preserve">[K; CouncilofEurope2026]</w:t>
      </w:r>
      <w:r>
        <w:rPr>
          <w:sz w:val="20"/>
        </w:rPr>
        <w:t xml:space="preserve"> </w:t>
      </w:r>
      <w:r>
        <w:rPr>
          <w:sz w:val="20"/>
        </w:rPr>
        <w:t xml:space="preserve">Council of Europe. (2026, May 15). European Union ratifies the Council of Europe Framework Convention on Artificial Intelligence. Council of Europe.</w:t>
      </w:r>
    </w:p>
    <w:p>
      <w:pPr>
        <w:pStyle w:val="BodyText"/>
        <w:keepLines/>
        <w:spacing w:after="120"/>
        <w:jc w:val="left"/>
      </w:pPr>
      <w:bookmarkStart w:id="797" w:name="ref-CouncilofEuropeTreatyOffice2026"/>
      <w:bookmarkEnd w:id="797"/>
      <w:r>
        <w:rPr>
          <w:b/>
          <w:bCs/>
          <w:sz w:val="20"/>
        </w:rPr>
        <w:t xml:space="preserve">[K; CouncilofEuropeTreatyOffice2026]</w:t>
      </w:r>
      <w:r>
        <w:rPr>
          <w:sz w:val="20"/>
        </w:rPr>
        <w:t xml:space="preserve"> </w:t>
      </w:r>
      <w:r>
        <w:rPr>
          <w:sz w:val="20"/>
        </w:rPr>
        <w:t xml:space="preserve">Council of Europe Treaty Office (2026). Status and declarations concerning CETS No. 225, status August 2026.</w:t>
      </w:r>
    </w:p>
    <w:p>
      <w:pPr>
        <w:pStyle w:val="BodyText"/>
        <w:keepLines/>
        <w:spacing w:after="120"/>
        <w:jc w:val="left"/>
      </w:pPr>
      <w:bookmarkStart w:id="798" w:name="ref-Cover2006"/>
      <w:bookmarkEnd w:id="798"/>
      <w:r>
        <w:rPr>
          <w:b/>
          <w:bCs/>
          <w:sz w:val="20"/>
        </w:rPr>
        <w:t xml:space="preserve">[K; Cover2006]</w:t>
      </w:r>
      <w:r>
        <w:rPr>
          <w:sz w:val="20"/>
        </w:rPr>
        <w:t xml:space="preserve"> </w:t>
      </w:r>
      <w:r>
        <w:rPr>
          <w:sz w:val="20"/>
        </w:rPr>
        <w:t xml:space="preserve">Cover, T. M., &amp; Thomas, J. A. (2006). Elements of Information Theory (2. Aufl.). Wiley. https://doi.org/10.1002/047174882X</w:t>
      </w:r>
    </w:p>
    <w:p>
      <w:pPr>
        <w:pStyle w:val="BodyText"/>
        <w:keepLines/>
        <w:spacing w:after="120"/>
        <w:jc w:val="left"/>
      </w:pPr>
      <w:bookmarkStart w:id="799" w:name="ref-Crawford2021"/>
      <w:bookmarkEnd w:id="799"/>
      <w:r>
        <w:rPr>
          <w:b/>
          <w:bCs/>
          <w:sz w:val="20"/>
        </w:rPr>
        <w:t xml:space="preserve">[K; Crawford2021]</w:t>
      </w:r>
      <w:r>
        <w:rPr>
          <w:sz w:val="20"/>
        </w:rPr>
        <w:t xml:space="preserve"> </w:t>
      </w:r>
      <w:r>
        <w:rPr>
          <w:sz w:val="20"/>
        </w:rPr>
        <w:t xml:space="preserve">Crawford, K. (2021). Atlas of AI. Yale University Press.</w:t>
      </w:r>
    </w:p>
    <w:p>
      <w:pPr>
        <w:pStyle w:val="BodyText"/>
        <w:keepLines/>
        <w:spacing w:after="120"/>
        <w:jc w:val="left"/>
      </w:pPr>
      <w:bookmarkStart w:id="800" w:name="ref-Damasio1994"/>
      <w:bookmarkEnd w:id="800"/>
      <w:r>
        <w:rPr>
          <w:b/>
          <w:bCs/>
          <w:sz w:val="20"/>
        </w:rPr>
        <w:t xml:space="preserve">[K; Damasio1994]</w:t>
      </w:r>
      <w:r>
        <w:rPr>
          <w:sz w:val="20"/>
        </w:rPr>
        <w:t xml:space="preserve"> </w:t>
      </w:r>
      <w:r>
        <w:rPr>
          <w:sz w:val="20"/>
        </w:rPr>
        <w:t xml:space="preserve">Damasio, A. R. (1994). Descartes’ error. Putnam.</w:t>
      </w:r>
    </w:p>
    <w:p>
      <w:pPr>
        <w:pStyle w:val="BodyText"/>
        <w:keepLines/>
        <w:spacing w:after="120"/>
        <w:jc w:val="left"/>
      </w:pPr>
      <w:bookmarkStart w:id="801" w:name="ref-Davies2018"/>
      <w:bookmarkEnd w:id="801"/>
      <w:r>
        <w:rPr>
          <w:b/>
          <w:bCs/>
          <w:sz w:val="20"/>
        </w:rPr>
        <w:t xml:space="preserve">[K; Davies2018]</w:t>
      </w:r>
      <w:r>
        <w:rPr>
          <w:sz w:val="20"/>
        </w:rPr>
        <w:t xml:space="preserve"> </w:t>
      </w:r>
      <w:r>
        <w:rPr>
          <w:sz w:val="20"/>
        </w:rPr>
        <w:t xml:space="preserve">Davies, M., Srinivasa, N., Lin, T.-H., Chinya, G., Cao, Y., Choday, S. H., Dimou, G., Joshi, P., Imam, N., Jain, S., Liao, Y., Lin, C.-K., Lines, A., Liu, R., Mathaikutty, D., McCoy, S., Paul, A., Tse, J., Venkataramanan, G., … Wang, H. (2018). Loihi: A Neuromorphic Manycore Processor with On-Chip Learning. IEEE Micro, 38(1), 82–99. https://doi.org/10.1109/MM.2018.112130359</w:t>
      </w:r>
    </w:p>
    <w:p>
      <w:pPr>
        <w:pStyle w:val="BodyText"/>
        <w:keepLines/>
        <w:spacing w:after="120"/>
        <w:jc w:val="left"/>
      </w:pPr>
      <w:bookmarkStart w:id="802" w:name="ref-Deco2011"/>
      <w:bookmarkEnd w:id="802"/>
      <w:r>
        <w:rPr>
          <w:b/>
          <w:bCs/>
          <w:sz w:val="20"/>
        </w:rPr>
        <w:t xml:space="preserve">[K; Deco2011]</w:t>
      </w:r>
      <w:r>
        <w:rPr>
          <w:sz w:val="20"/>
        </w:rPr>
        <w:t xml:space="preserve"> </w:t>
      </w:r>
      <w:r>
        <w:rPr>
          <w:sz w:val="20"/>
        </w:rPr>
        <w:t xml:space="preserve">Deco, G., Jirsa, V. K., &amp; McIntosh, A. R. (2011). Emerging Concepts for the Dynamical Organization of Resting-State Activity in the Brain. Nature Reviews Neuroscience, 12, 43–56. https://doi.org/10.1038/nrn2961</w:t>
      </w:r>
    </w:p>
    <w:p>
      <w:pPr>
        <w:pStyle w:val="BodyText"/>
        <w:keepLines/>
        <w:spacing w:after="120"/>
        <w:jc w:val="left"/>
      </w:pPr>
      <w:bookmarkStart w:id="803" w:name="ref-Dehaene2014"/>
      <w:bookmarkEnd w:id="803"/>
      <w:r>
        <w:rPr>
          <w:b/>
          <w:bCs/>
          <w:sz w:val="20"/>
        </w:rPr>
        <w:t xml:space="preserve">[K; Dehaene2014]</w:t>
      </w:r>
      <w:r>
        <w:rPr>
          <w:sz w:val="20"/>
        </w:rPr>
        <w:t xml:space="preserve"> </w:t>
      </w:r>
      <w:r>
        <w:rPr>
          <w:sz w:val="20"/>
        </w:rPr>
        <w:t xml:space="preserve">Dehaene, S. (2014). Consciousness and the brain. Viking.</w:t>
      </w:r>
    </w:p>
    <w:p>
      <w:pPr>
        <w:pStyle w:val="BodyText"/>
        <w:keepLines/>
        <w:spacing w:after="120"/>
        <w:jc w:val="left"/>
      </w:pPr>
      <w:bookmarkStart w:id="804" w:name="ref-Dennett1987"/>
      <w:bookmarkEnd w:id="804"/>
      <w:r>
        <w:rPr>
          <w:b/>
          <w:bCs/>
          <w:sz w:val="20"/>
        </w:rPr>
        <w:t xml:space="preserve">[K; Dennett1987]</w:t>
      </w:r>
      <w:r>
        <w:rPr>
          <w:sz w:val="20"/>
        </w:rPr>
        <w:t xml:space="preserve"> </w:t>
      </w:r>
      <w:r>
        <w:rPr>
          <w:sz w:val="20"/>
        </w:rPr>
        <w:t xml:space="preserve">Dennett, D. C. (1987). The intentional stance. MIT Press.</w:t>
      </w:r>
    </w:p>
    <w:p>
      <w:pPr>
        <w:pStyle w:val="BodyText"/>
        <w:keepLines/>
        <w:spacing w:after="120"/>
        <w:jc w:val="left"/>
      </w:pPr>
      <w:bookmarkStart w:id="805" w:name="ref-Descartes1637"/>
      <w:bookmarkEnd w:id="805"/>
      <w:r>
        <w:rPr>
          <w:b/>
          <w:bCs/>
          <w:sz w:val="20"/>
        </w:rPr>
        <w:t xml:space="preserve">[K; Descartes1637]</w:t>
      </w:r>
      <w:r>
        <w:rPr>
          <w:sz w:val="20"/>
        </w:rPr>
        <w:t xml:space="preserve"> </w:t>
      </w:r>
      <w:r>
        <w:rPr>
          <w:sz w:val="20"/>
        </w:rPr>
        <w:t xml:space="preserve">Descartes, R. (1637). Discours de la méthode. Jan Maire.</w:t>
      </w:r>
    </w:p>
    <w:p>
      <w:pPr>
        <w:pStyle w:val="BodyText"/>
        <w:keepLines/>
        <w:spacing w:after="120"/>
        <w:jc w:val="left"/>
      </w:pPr>
      <w:bookmarkStart w:id="806" w:name="ref-Dignum2019"/>
      <w:bookmarkEnd w:id="806"/>
      <w:r>
        <w:rPr>
          <w:b/>
          <w:bCs/>
          <w:sz w:val="20"/>
        </w:rPr>
        <w:t xml:space="preserve">[K; Dignum2019]</w:t>
      </w:r>
      <w:r>
        <w:rPr>
          <w:sz w:val="20"/>
        </w:rPr>
        <w:t xml:space="preserve"> </w:t>
      </w:r>
      <w:r>
        <w:rPr>
          <w:sz w:val="20"/>
        </w:rPr>
        <w:t xml:space="preserve">Dignum, V. (2019). Responsible artificial intelligence. Springer. https://doi.org/10.1007/978-3-030-30371-6</w:t>
      </w:r>
    </w:p>
    <w:p>
      <w:pPr>
        <w:pStyle w:val="BodyText"/>
        <w:keepLines/>
        <w:spacing w:after="120"/>
        <w:jc w:val="left"/>
      </w:pPr>
      <w:bookmarkStart w:id="807" w:name="ref-DiPaolo2017"/>
      <w:bookmarkEnd w:id="807"/>
      <w:r>
        <w:rPr>
          <w:b/>
          <w:bCs/>
          <w:sz w:val="20"/>
        </w:rPr>
        <w:t xml:space="preserve">[K; DiPaolo2017]</w:t>
      </w:r>
      <w:r>
        <w:rPr>
          <w:sz w:val="20"/>
        </w:rPr>
        <w:t xml:space="preserve"> </w:t>
      </w:r>
      <w:r>
        <w:rPr>
          <w:sz w:val="20"/>
        </w:rPr>
        <w:t xml:space="preserve">Di Paolo, E. A., Buhrmann, T., &amp; Barandiaran, X. E. (2017). Sensorimotor life. Oxford University Press.</w:t>
      </w:r>
    </w:p>
    <w:p>
      <w:pPr>
        <w:pStyle w:val="BodyText"/>
        <w:keepLines/>
        <w:spacing w:after="120"/>
        <w:jc w:val="left"/>
      </w:pPr>
      <w:bookmarkStart w:id="808" w:name="ref-DoshiVelez2017"/>
      <w:bookmarkEnd w:id="808"/>
      <w:r>
        <w:rPr>
          <w:b/>
          <w:bCs/>
          <w:sz w:val="20"/>
        </w:rPr>
        <w:t xml:space="preserve">[K; DoshiVelez2017]</w:t>
      </w:r>
      <w:r>
        <w:rPr>
          <w:sz w:val="20"/>
        </w:rPr>
        <w:t xml:space="preserve"> </w:t>
      </w:r>
      <w:r>
        <w:rPr>
          <w:sz w:val="20"/>
        </w:rPr>
        <w:t xml:space="preserve">Doshi-Velez, F., &amp; Kim, B. (2017). Towards a rigorous science of interpretable machine learning. arXiv. https://doi.org/10.48550/arXiv.1702.08608</w:t>
      </w:r>
    </w:p>
    <w:p>
      <w:pPr>
        <w:pStyle w:val="BodyText"/>
        <w:keepLines/>
        <w:spacing w:after="120"/>
        <w:jc w:val="left"/>
      </w:pPr>
      <w:bookmarkStart w:id="809" w:name="ref-Dreyfus1972"/>
      <w:bookmarkEnd w:id="809"/>
      <w:r>
        <w:rPr>
          <w:b/>
          <w:bCs/>
          <w:sz w:val="20"/>
        </w:rPr>
        <w:t xml:space="preserve">[K; Dreyfus1972]</w:t>
      </w:r>
      <w:r>
        <w:rPr>
          <w:sz w:val="20"/>
        </w:rPr>
        <w:t xml:space="preserve"> </w:t>
      </w:r>
      <w:r>
        <w:rPr>
          <w:sz w:val="20"/>
        </w:rPr>
        <w:t xml:space="preserve">Dreyfus, H. L. (1972). What computers can’t do. Harper &amp; Row.</w:t>
      </w:r>
    </w:p>
    <w:p>
      <w:pPr>
        <w:pStyle w:val="BodyText"/>
        <w:keepLines/>
        <w:spacing w:after="120"/>
        <w:jc w:val="left"/>
      </w:pPr>
      <w:bookmarkStart w:id="810" w:name="ref-Dreyfus1992"/>
      <w:bookmarkEnd w:id="810"/>
      <w:r>
        <w:rPr>
          <w:b/>
          <w:bCs/>
          <w:sz w:val="20"/>
        </w:rPr>
        <w:t xml:space="preserve">[K; Dreyfus1992]</w:t>
      </w:r>
      <w:r>
        <w:rPr>
          <w:sz w:val="20"/>
        </w:rPr>
        <w:t xml:space="preserve"> </w:t>
      </w:r>
      <w:r>
        <w:rPr>
          <w:sz w:val="20"/>
        </w:rPr>
        <w:t xml:space="preserve">Dreyfus, H. L. (1992). What computers still can’t do. MIT Press.</w:t>
      </w:r>
    </w:p>
    <w:p>
      <w:pPr>
        <w:pStyle w:val="BodyText"/>
        <w:keepLines/>
        <w:spacing w:after="120"/>
        <w:jc w:val="left"/>
      </w:pPr>
      <w:bookmarkStart w:id="811" w:name="ref-Driess2023"/>
      <w:bookmarkEnd w:id="811"/>
      <w:r>
        <w:rPr>
          <w:b/>
          <w:bCs/>
          <w:sz w:val="20"/>
        </w:rPr>
        <w:t xml:space="preserve">[K; Driess2023]</w:t>
      </w:r>
      <w:r>
        <w:rPr>
          <w:sz w:val="20"/>
        </w:rPr>
        <w:t xml:space="preserve"> </w:t>
      </w:r>
      <w:r>
        <w:rPr>
          <w:sz w:val="20"/>
        </w:rPr>
        <w:t xml:space="preserve">Driess, D., Xia, F., Sajjadi, M. S. M., Lynch, C., Chowdhery, A., Ichter, B., et al. (2023). PaLM-E: An embodied multimodal language model. arXiv. https://doi.org/10.48550/arXiv.2303.03378</w:t>
      </w:r>
    </w:p>
    <w:p>
      <w:pPr>
        <w:pStyle w:val="BodyText"/>
        <w:keepLines/>
        <w:spacing w:after="120"/>
        <w:jc w:val="left"/>
      </w:pPr>
      <w:bookmarkStart w:id="812" w:name="ref-Ellul19541964"/>
      <w:bookmarkEnd w:id="812"/>
      <w:r>
        <w:rPr>
          <w:b/>
          <w:bCs/>
          <w:sz w:val="20"/>
        </w:rPr>
        <w:t xml:space="preserve">[K; Ellul19541964]</w:t>
      </w:r>
      <w:r>
        <w:rPr>
          <w:sz w:val="20"/>
        </w:rPr>
        <w:t xml:space="preserve"> </w:t>
      </w:r>
      <w:r>
        <w:rPr>
          <w:sz w:val="20"/>
        </w:rPr>
        <w:t xml:space="preserve">Ellul, J. (1954/1964). The Technological Society. Vintage.</w:t>
      </w:r>
    </w:p>
    <w:p>
      <w:pPr>
        <w:pStyle w:val="BodyText"/>
        <w:keepLines/>
        <w:spacing w:after="120"/>
        <w:jc w:val="left"/>
      </w:pPr>
      <w:bookmarkStart w:id="813" w:name="ref-Ellul1964"/>
      <w:bookmarkEnd w:id="813"/>
      <w:r>
        <w:rPr>
          <w:b/>
          <w:bCs/>
          <w:sz w:val="20"/>
        </w:rPr>
        <w:t xml:space="preserve">[K; Ellul1964]</w:t>
      </w:r>
      <w:r>
        <w:rPr>
          <w:sz w:val="20"/>
        </w:rPr>
        <w:t xml:space="preserve"> </w:t>
      </w:r>
      <w:r>
        <w:rPr>
          <w:sz w:val="20"/>
        </w:rPr>
        <w:t xml:space="preserve">Ellul, J. (1964). The technological society. Vintage. (Original work published 1954)</w:t>
      </w:r>
    </w:p>
    <w:p>
      <w:pPr>
        <w:pStyle w:val="BodyText"/>
        <w:keepLines/>
        <w:spacing w:after="120"/>
        <w:jc w:val="left"/>
      </w:pPr>
      <w:bookmarkStart w:id="814" w:name="ref-Elsken2019"/>
      <w:bookmarkEnd w:id="814"/>
      <w:r>
        <w:rPr>
          <w:b/>
          <w:bCs/>
          <w:sz w:val="20"/>
        </w:rPr>
        <w:t xml:space="preserve">[K; Elsken2019]</w:t>
      </w:r>
      <w:r>
        <w:rPr>
          <w:sz w:val="20"/>
        </w:rPr>
        <w:t xml:space="preserve"> </w:t>
      </w:r>
      <w:r>
        <w:rPr>
          <w:sz w:val="20"/>
        </w:rPr>
        <w:t xml:space="preserve">Elsken, T., Metzen, J. H., &amp; Hutter, F. (2019). Neural architecture search: A survey. Journal of Machine Learning Research, 20(55), 1–21.</w:t>
      </w:r>
    </w:p>
    <w:p>
      <w:pPr>
        <w:pStyle w:val="BodyText"/>
        <w:keepLines/>
        <w:spacing w:after="120"/>
        <w:jc w:val="left"/>
      </w:pPr>
      <w:bookmarkStart w:id="815" w:name="ref-Ermentrout2010"/>
      <w:bookmarkEnd w:id="815"/>
      <w:r>
        <w:rPr>
          <w:b/>
          <w:bCs/>
          <w:sz w:val="20"/>
        </w:rPr>
        <w:t xml:space="preserve">[K; Ermentrout2010]</w:t>
      </w:r>
      <w:r>
        <w:rPr>
          <w:sz w:val="20"/>
        </w:rPr>
        <w:t xml:space="preserve"> </w:t>
      </w:r>
      <w:r>
        <w:rPr>
          <w:sz w:val="20"/>
        </w:rPr>
        <w:t xml:space="preserve">Ermentrout, G. B., &amp; Terman, D. H. (2010). Mathematical Foundations of Neuroscience. Springer. https://doi.org/10.1007/978-0-387-87708-2</w:t>
      </w:r>
    </w:p>
    <w:p>
      <w:pPr>
        <w:pStyle w:val="BodyText"/>
        <w:keepLines/>
        <w:spacing w:after="120"/>
        <w:jc w:val="left"/>
      </w:pPr>
      <w:bookmarkStart w:id="816" w:name="ref-Eshraghian2023"/>
      <w:bookmarkEnd w:id="816"/>
      <w:r>
        <w:rPr>
          <w:b/>
          <w:bCs/>
          <w:sz w:val="20"/>
        </w:rPr>
        <w:t xml:space="preserve">[K; Eshraghian2023]</w:t>
      </w:r>
      <w:r>
        <w:rPr>
          <w:sz w:val="20"/>
        </w:rPr>
        <w:t xml:space="preserve"> </w:t>
      </w:r>
      <w:r>
        <w:rPr>
          <w:sz w:val="20"/>
        </w:rPr>
        <w:t xml:space="preserve">Eshraghian, J. K., Ward, M., Neftci, E. O., Wang, X., Lenz, G., Dwivedi, G., Bennamoun, M., Jeong, D. S., &amp; Lu, W. D. (2023). Training Spiking Neural Networks Using Lessons From Deep Learning. Proceedings of the IEEE, 111(9), 1016–1054. https://doi.org/10.1109/JPROC.2023.3308088</w:t>
      </w:r>
    </w:p>
    <w:p>
      <w:pPr>
        <w:pStyle w:val="BodyText"/>
        <w:keepLines/>
        <w:spacing w:after="120"/>
        <w:jc w:val="left"/>
      </w:pPr>
      <w:bookmarkStart w:id="817" w:name="ref-EuropeanCommission2026"/>
      <w:bookmarkEnd w:id="817"/>
      <w:r>
        <w:rPr>
          <w:b/>
          <w:bCs/>
          <w:sz w:val="20"/>
        </w:rPr>
        <w:t xml:space="preserve">[W; EuropeanCommission2026; W05]</w:t>
      </w:r>
      <w:r>
        <w:rPr>
          <w:sz w:val="20"/>
        </w:rPr>
        <w:t xml:space="preserve"> </w:t>
      </w:r>
      <w:r>
        <w:rPr>
          <w:sz w:val="20"/>
        </w:rPr>
        <w:t xml:space="preserve">European Commission (2026). AI Omnibus enters into force. 27 July 2026; updated 31 July 2026. https://digital-strategy.ec.europa.eu/en/news/ai-omnibus-enters-force</w:t>
      </w:r>
    </w:p>
    <w:p>
      <w:pPr>
        <w:pStyle w:val="BodyText"/>
        <w:keepLines/>
        <w:spacing w:after="120"/>
        <w:jc w:val="left"/>
      </w:pPr>
      <w:bookmarkStart w:id="818" w:name="ref-EuropeanCommission2026_2"/>
      <w:bookmarkEnd w:id="818"/>
      <w:r>
        <w:rPr>
          <w:b/>
          <w:bCs/>
          <w:sz w:val="20"/>
        </w:rPr>
        <w:t xml:space="preserve">[W; EuropeanCommission2026_2; W06]</w:t>
      </w:r>
      <w:r>
        <w:rPr>
          <w:sz w:val="20"/>
        </w:rPr>
        <w:t xml:space="preserve"> </w:t>
      </w:r>
      <w:r>
        <w:rPr>
          <w:sz w:val="20"/>
        </w:rPr>
        <w:t xml:space="preserve">European Commission, AI Act Service Desk (2026). Article 14: Human oversight. AI Act Explorer; underlying Regulation (EU) 2024/1689. https://ai-act-service-desk.ec.europa.eu/en/ai-act/article-14</w:t>
      </w:r>
    </w:p>
    <w:p>
      <w:pPr>
        <w:pStyle w:val="BodyText"/>
        <w:keepLines/>
        <w:spacing w:after="120"/>
        <w:jc w:val="left"/>
      </w:pPr>
      <w:bookmarkStart w:id="819" w:name="ref-EuropeanUnion2024"/>
      <w:bookmarkEnd w:id="819"/>
      <w:r>
        <w:rPr>
          <w:b/>
          <w:bCs/>
          <w:sz w:val="20"/>
        </w:rPr>
        <w:t xml:space="preserve">[K; EuropeanUnion2024]</w:t>
      </w:r>
      <w:r>
        <w:rPr>
          <w:sz w:val="20"/>
        </w:rPr>
        <w:t xml:space="preserve"> </w:t>
      </w:r>
      <w:r>
        <w:rPr>
          <w:sz w:val="20"/>
        </w:rPr>
        <w:t xml:space="preserve">European Union (2024). Regulation (EU) 2024/1689 laying down harmonised rules on artificial intelligence (Artificial Intelligence Act), especially Art. 14. EUR-Lex.</w:t>
      </w:r>
    </w:p>
    <w:p>
      <w:pPr>
        <w:pStyle w:val="BodyText"/>
        <w:keepLines/>
        <w:spacing w:after="120"/>
        <w:jc w:val="left"/>
      </w:pPr>
      <w:bookmarkStart w:id="820" w:name="ref-EuropeanParliamentCouncilofthe2016"/>
      <w:bookmarkEnd w:id="820"/>
      <w:r>
        <w:rPr>
          <w:b/>
          <w:bCs/>
          <w:sz w:val="20"/>
        </w:rPr>
        <w:t xml:space="preserve">[K; EuropeanParliamentCouncilofthe2016]</w:t>
      </w:r>
      <w:r>
        <w:rPr>
          <w:sz w:val="20"/>
        </w:rPr>
        <w:t xml:space="preserve"> </w:t>
      </w:r>
      <w:r>
        <w:rPr>
          <w:sz w:val="20"/>
        </w:rPr>
        <w:t xml:space="preserve">European Parliament &amp; Council of the European Union. (2016). Regulation (EU) 2016/679 (General Data Protection Regulation). Official Journal of the European Union.</w:t>
      </w:r>
    </w:p>
    <w:p>
      <w:pPr>
        <w:pStyle w:val="BodyText"/>
        <w:keepLines/>
        <w:spacing w:after="120"/>
        <w:jc w:val="left"/>
      </w:pPr>
      <w:bookmarkStart w:id="821" w:name="ref-EuropeanParliamentCouncilofthe2024a"/>
      <w:bookmarkEnd w:id="821"/>
      <w:r>
        <w:rPr>
          <w:b/>
          <w:bCs/>
          <w:sz w:val="20"/>
        </w:rPr>
        <w:t xml:space="preserve">[K; EuropeanParliamentCouncilofthe2024a]</w:t>
      </w:r>
      <w:r>
        <w:rPr>
          <w:sz w:val="20"/>
        </w:rPr>
        <w:t xml:space="preserve"> </w:t>
      </w:r>
      <w:r>
        <w:rPr>
          <w:sz w:val="20"/>
        </w:rPr>
        <w:t xml:space="preserve">European Parliament &amp; Council of the European Union. (2024a). Regulation (EU) 2024/1689 laying down harmonised rules on artificial intelligence (Artificial Intelligence Act). Official Journal of the European Union.</w:t>
      </w:r>
    </w:p>
    <w:p>
      <w:pPr>
        <w:pStyle w:val="BodyText"/>
        <w:keepLines/>
        <w:spacing w:after="120"/>
        <w:jc w:val="left"/>
      </w:pPr>
      <w:bookmarkStart w:id="822" w:name="ref-EuropeanParliamentCouncilofthe2024b"/>
      <w:bookmarkEnd w:id="822"/>
      <w:r>
        <w:rPr>
          <w:b/>
          <w:bCs/>
          <w:sz w:val="20"/>
        </w:rPr>
        <w:t xml:space="preserve">[K; EuropeanParliamentCouncilofthe2024b]</w:t>
      </w:r>
      <w:r>
        <w:rPr>
          <w:sz w:val="20"/>
        </w:rPr>
        <w:t xml:space="preserve"> </w:t>
      </w:r>
      <w:r>
        <w:rPr>
          <w:sz w:val="20"/>
        </w:rPr>
        <w:t xml:space="preserve">European Parliament &amp; Council of the European Union. (2024b). Directive (EU) 2024/2853 on liability for defective products. Official Journal of the European Union.</w:t>
      </w:r>
    </w:p>
    <w:p>
      <w:pPr>
        <w:pStyle w:val="BodyText"/>
        <w:keepLines/>
        <w:spacing w:after="120"/>
        <w:jc w:val="left"/>
      </w:pPr>
      <w:bookmarkStart w:id="823" w:name="ref-EuropeanParliamentCouncilofthe2026"/>
      <w:bookmarkEnd w:id="823"/>
      <w:r>
        <w:rPr>
          <w:b/>
          <w:bCs/>
          <w:sz w:val="20"/>
        </w:rPr>
        <w:t xml:space="preserve">[K; EuropeanParliamentCouncilofthe2026]</w:t>
      </w:r>
      <w:r>
        <w:rPr>
          <w:sz w:val="20"/>
        </w:rPr>
        <w:t xml:space="preserve"> </w:t>
      </w:r>
      <w:r>
        <w:rPr>
          <w:sz w:val="20"/>
        </w:rPr>
        <w:t xml:space="preserve">European Parliament &amp; Council of the European Union. (2026). Regulation (EU) 2026/1744 of 8 July 2026 amending Regulation (EU) 2024/1689. Official Journal of the European Union.</w:t>
      </w:r>
    </w:p>
    <w:p>
      <w:pPr>
        <w:pStyle w:val="BodyText"/>
        <w:keepLines/>
        <w:spacing w:after="120"/>
        <w:jc w:val="left"/>
      </w:pPr>
      <w:bookmarkStart w:id="824" w:name="ref-EuropeanPatentOffice2021"/>
      <w:bookmarkEnd w:id="824"/>
      <w:r>
        <w:rPr>
          <w:b/>
          <w:bCs/>
          <w:sz w:val="20"/>
        </w:rPr>
        <w:t xml:space="preserve">[W; EuropeanPatentOffice2021; W11]</w:t>
      </w:r>
      <w:r>
        <w:rPr>
          <w:sz w:val="20"/>
        </w:rPr>
        <w:t xml:space="preserve"> </w:t>
      </w:r>
      <w:r>
        <w:rPr>
          <w:sz w:val="20"/>
        </w:rPr>
        <w:t xml:space="preserve">European Patent Office, Boards of Appeal (2021). J 0008/20: Designation of inventor / DABUS. Decision of 21 December 2021; ECLI:EP:BA:2021:J000820.20211221. https://www.epo.org/en/boards-of-appeal/decisions/j200008eu1</w:t>
      </w:r>
    </w:p>
    <w:p>
      <w:pPr>
        <w:pStyle w:val="BodyText"/>
        <w:keepLines/>
        <w:spacing w:after="120"/>
        <w:jc w:val="left"/>
      </w:pPr>
      <w:bookmarkStart w:id="825" w:name="ref-EuropeanPatentOffice2021_2"/>
      <w:bookmarkEnd w:id="825"/>
      <w:r>
        <w:rPr>
          <w:b/>
          <w:bCs/>
          <w:sz w:val="20"/>
        </w:rPr>
        <w:t xml:space="preserve">[K; EuropeanPatentOffice2021_2]</w:t>
      </w:r>
      <w:r>
        <w:rPr>
          <w:sz w:val="20"/>
        </w:rPr>
        <w:t xml:space="preserve"> </w:t>
      </w:r>
      <w:r>
        <w:rPr>
          <w:sz w:val="20"/>
        </w:rPr>
        <w:t xml:space="preserve">European Patent Office, Legal Board of Appeal. (2021). J 0009/20 (Designation of inventor/DABUS II), decision of 21 December 2021.</w:t>
      </w:r>
    </w:p>
    <w:p>
      <w:pPr>
        <w:pStyle w:val="BodyText"/>
        <w:keepLines/>
        <w:spacing w:after="120"/>
        <w:jc w:val="left"/>
      </w:pPr>
      <w:bookmarkStart w:id="826" w:name="ref-EuropeanPatentOffice2026"/>
      <w:bookmarkEnd w:id="826"/>
      <w:r>
        <w:rPr>
          <w:b/>
          <w:bCs/>
          <w:sz w:val="20"/>
        </w:rPr>
        <w:t xml:space="preserve">[W; EuropeanPatentOffice2026; W08]</w:t>
      </w:r>
      <w:r>
        <w:rPr>
          <w:sz w:val="20"/>
        </w:rPr>
        <w:t xml:space="preserve"> </w:t>
      </w:r>
      <w:r>
        <w:rPr>
          <w:sz w:val="20"/>
        </w:rPr>
        <w:t xml:space="preserve">European Patent Office, Boards of Appeal (2026). T 0528/25: Designation of inventor / DABUS. Decision of 5 February 2026; ECLI:EP:BA:2026:T052825.20260205. https://www.epo.org/en/boards-of-appeal/decisions/t250528eu1</w:t>
      </w:r>
    </w:p>
    <w:p>
      <w:pPr>
        <w:pStyle w:val="BodyText"/>
        <w:keepLines/>
        <w:spacing w:after="120"/>
        <w:jc w:val="left"/>
      </w:pPr>
      <w:bookmarkStart w:id="827" w:name="ref-Floridi2004"/>
      <w:bookmarkEnd w:id="827"/>
      <w:r>
        <w:rPr>
          <w:b/>
          <w:bCs/>
          <w:sz w:val="20"/>
        </w:rPr>
        <w:t xml:space="preserve">[K; Floridi2004]</w:t>
      </w:r>
      <w:r>
        <w:rPr>
          <w:sz w:val="20"/>
        </w:rPr>
        <w:t xml:space="preserve"> </w:t>
      </w:r>
      <w:r>
        <w:rPr>
          <w:sz w:val="20"/>
        </w:rPr>
        <w:t xml:space="preserve">Floridi, L., &amp; Sanders, J. W. (2004). On the morality of artificial agents. Minds and Machines, 14, 349–379. https://doi.org/10.1023/B:MIND.0000035461.63578.9d</w:t>
      </w:r>
    </w:p>
    <w:p>
      <w:pPr>
        <w:pStyle w:val="BodyText"/>
        <w:keepLines/>
        <w:spacing w:after="120"/>
        <w:jc w:val="left"/>
      </w:pPr>
      <w:bookmarkStart w:id="828" w:name="ref-Floridi2013"/>
      <w:bookmarkEnd w:id="828"/>
      <w:r>
        <w:rPr>
          <w:b/>
          <w:bCs/>
          <w:sz w:val="20"/>
        </w:rPr>
        <w:t xml:space="preserve">[K; Floridi2013]</w:t>
      </w:r>
      <w:r>
        <w:rPr>
          <w:sz w:val="20"/>
        </w:rPr>
        <w:t xml:space="preserve"> </w:t>
      </w:r>
      <w:r>
        <w:rPr>
          <w:sz w:val="20"/>
        </w:rPr>
        <w:t xml:space="preserve">Floridi, L. (2013). The ethics of information. Oxford University Press.</w:t>
      </w:r>
    </w:p>
    <w:p>
      <w:pPr>
        <w:pStyle w:val="BodyText"/>
        <w:keepLines/>
        <w:spacing w:after="120"/>
        <w:jc w:val="left"/>
      </w:pPr>
      <w:bookmarkStart w:id="829" w:name="ref-Floridi2018"/>
      <w:bookmarkEnd w:id="829"/>
      <w:r>
        <w:rPr>
          <w:b/>
          <w:bCs/>
          <w:sz w:val="20"/>
        </w:rPr>
        <w:t xml:space="preserve">[K; Floridi2018]</w:t>
      </w:r>
      <w:r>
        <w:rPr>
          <w:sz w:val="20"/>
        </w:rPr>
        <w:t xml:space="preserve"> </w:t>
      </w:r>
      <w:r>
        <w:rPr>
          <w:sz w:val="20"/>
        </w:rPr>
        <w:t xml:space="preserve">Floridi, L., Cowls, J., Beltrametti, M., Chatila, R., Chazerand, P., Dignum, V., et al. (2018). AI4People—An ethical framework for a good AI society. Minds and Machines, 28, 689–707. https://doi.org/10.1007/s11023-018-9482-5</w:t>
      </w:r>
    </w:p>
    <w:p>
      <w:pPr>
        <w:pStyle w:val="BodyText"/>
        <w:keepLines/>
        <w:spacing w:after="120"/>
        <w:jc w:val="left"/>
      </w:pPr>
      <w:bookmarkStart w:id="830" w:name="ref-Floridi2019"/>
      <w:bookmarkEnd w:id="830"/>
      <w:r>
        <w:rPr>
          <w:b/>
          <w:bCs/>
          <w:sz w:val="20"/>
        </w:rPr>
        <w:t xml:space="preserve">[K; Floridi2019]</w:t>
      </w:r>
      <w:r>
        <w:rPr>
          <w:sz w:val="20"/>
        </w:rPr>
        <w:t xml:space="preserve"> </w:t>
      </w:r>
      <w:r>
        <w:rPr>
          <w:sz w:val="20"/>
        </w:rPr>
        <w:t xml:space="preserve">Floridi, L., &amp; Cowls, J. (2019). A unified framework of five principles for AI in society. Harvard Data Science Review, 1(1). https://doi.org/10.1162/99608f92.8cd550d1</w:t>
      </w:r>
    </w:p>
    <w:p>
      <w:pPr>
        <w:pStyle w:val="BodyText"/>
        <w:keepLines/>
        <w:spacing w:after="120"/>
        <w:jc w:val="left"/>
      </w:pPr>
      <w:bookmarkStart w:id="831" w:name="ref-Fodor1983"/>
      <w:bookmarkEnd w:id="831"/>
      <w:r>
        <w:rPr>
          <w:b/>
          <w:bCs/>
          <w:sz w:val="20"/>
        </w:rPr>
        <w:t xml:space="preserve">[K; Fodor1983]</w:t>
      </w:r>
      <w:r>
        <w:rPr>
          <w:sz w:val="20"/>
        </w:rPr>
        <w:t xml:space="preserve"> </w:t>
      </w:r>
      <w:r>
        <w:rPr>
          <w:sz w:val="20"/>
        </w:rPr>
        <w:t xml:space="preserve">Fodor, J. A. (1983). The modularity of mind. MIT Press.</w:t>
      </w:r>
    </w:p>
    <w:p>
      <w:pPr>
        <w:pStyle w:val="BodyText"/>
        <w:keepLines/>
        <w:spacing w:after="120"/>
        <w:jc w:val="left"/>
      </w:pPr>
      <w:bookmarkStart w:id="832" w:name="ref-Folk2011"/>
      <w:bookmarkEnd w:id="832"/>
      <w:r>
        <w:rPr>
          <w:b/>
          <w:bCs/>
          <w:sz w:val="20"/>
        </w:rPr>
        <w:t xml:space="preserve">[K; Folk2011]</w:t>
      </w:r>
      <w:r>
        <w:rPr>
          <w:sz w:val="20"/>
        </w:rPr>
        <w:t xml:space="preserve"> </w:t>
      </w:r>
      <w:r>
        <w:rPr>
          <w:sz w:val="20"/>
        </w:rPr>
        <w:t xml:space="preserve">Folk, M., Heber, G., Koziol, Q., Pourmal, E., &amp; Robinson, D. (2011). An Overview of the HDF5 Technology Suite and Its Applications. Proceedings of the EDBT/ICDT 2011 Workshop on Array Databases, 36–47. https://doi.org/10.1145/1966895.1966900</w:t>
      </w:r>
    </w:p>
    <w:p>
      <w:pPr>
        <w:pStyle w:val="BodyText"/>
        <w:keepLines/>
        <w:spacing w:after="120"/>
        <w:jc w:val="left"/>
      </w:pPr>
      <w:bookmarkStart w:id="833" w:name="ref-Fortunato2010"/>
      <w:bookmarkEnd w:id="833"/>
      <w:r>
        <w:rPr>
          <w:b/>
          <w:bCs/>
          <w:sz w:val="20"/>
        </w:rPr>
        <w:t xml:space="preserve">[K; Fortunato2010]</w:t>
      </w:r>
      <w:r>
        <w:rPr>
          <w:sz w:val="20"/>
        </w:rPr>
        <w:t xml:space="preserve"> </w:t>
      </w:r>
      <w:r>
        <w:rPr>
          <w:sz w:val="20"/>
        </w:rPr>
        <w:t xml:space="preserve">Fortunato, S. (2010). Community Detection in Graphs. Physics Reports, 486(3–5), 75–174. https://doi.org/10.1016/j.physrep.2009.11.002</w:t>
      </w:r>
    </w:p>
    <w:p>
      <w:pPr>
        <w:pStyle w:val="BodyText"/>
        <w:keepLines/>
        <w:spacing w:after="120"/>
        <w:jc w:val="left"/>
      </w:pPr>
      <w:bookmarkStart w:id="834" w:name="ref-Fremaux2016"/>
      <w:bookmarkEnd w:id="834"/>
      <w:r>
        <w:rPr>
          <w:b/>
          <w:bCs/>
          <w:sz w:val="20"/>
        </w:rPr>
        <w:t xml:space="preserve">[K; Fremaux2016]</w:t>
      </w:r>
      <w:r>
        <w:rPr>
          <w:sz w:val="20"/>
        </w:rPr>
        <w:t xml:space="preserve"> </w:t>
      </w:r>
      <w:r>
        <w:rPr>
          <w:sz w:val="20"/>
        </w:rPr>
        <w:t xml:space="preserve">Frémaux, N., &amp; Gerstner, W. (2016). Neuromodulated Spike-Timing-Dependent Plasticity, and Theory of Three-Factor Learning Rules. Frontiers in Neural Circuits, 9, 85. https://doi.org/10.3389/fncir.2015.00085</w:t>
      </w:r>
    </w:p>
    <w:p>
      <w:pPr>
        <w:pStyle w:val="BodyText"/>
        <w:keepLines/>
        <w:spacing w:after="120"/>
        <w:jc w:val="left"/>
      </w:pPr>
      <w:bookmarkStart w:id="835" w:name="ref-French1999"/>
      <w:bookmarkEnd w:id="835"/>
      <w:r>
        <w:rPr>
          <w:b/>
          <w:bCs/>
          <w:sz w:val="20"/>
        </w:rPr>
        <w:t xml:space="preserve">[K; French1999]</w:t>
      </w:r>
      <w:r>
        <w:rPr>
          <w:sz w:val="20"/>
        </w:rPr>
        <w:t xml:space="preserve"> </w:t>
      </w:r>
      <w:r>
        <w:rPr>
          <w:sz w:val="20"/>
        </w:rPr>
        <w:t xml:space="preserve">French, R. M. (1999). Catastrophic Forgetting in Connectionist Networks. Trends in Cognitive Sciences, 3(4), 128–135. https://doi.org/10.1016/S1364-6613(99)01294-2</w:t>
      </w:r>
    </w:p>
    <w:p>
      <w:pPr>
        <w:pStyle w:val="BodyText"/>
        <w:keepLines/>
        <w:spacing w:after="120"/>
        <w:jc w:val="left"/>
      </w:pPr>
      <w:bookmarkStart w:id="836" w:name="ref-Friedman2019"/>
      <w:bookmarkEnd w:id="836"/>
      <w:r>
        <w:rPr>
          <w:b/>
          <w:bCs/>
          <w:sz w:val="20"/>
        </w:rPr>
        <w:t xml:space="preserve">[K; Friedman2019]</w:t>
      </w:r>
      <w:r>
        <w:rPr>
          <w:sz w:val="20"/>
        </w:rPr>
        <w:t xml:space="preserve"> </w:t>
      </w:r>
      <w:r>
        <w:rPr>
          <w:sz w:val="20"/>
        </w:rPr>
        <w:t xml:space="preserve">Friedman, B., &amp; Hendry, D. G. (2019). Value sensitive design. MIT Press.</w:t>
      </w:r>
    </w:p>
    <w:p>
      <w:pPr>
        <w:pStyle w:val="BodyText"/>
        <w:keepLines/>
        <w:spacing w:after="120"/>
        <w:jc w:val="left"/>
      </w:pPr>
      <w:bookmarkStart w:id="837" w:name="ref-Friston2010"/>
      <w:bookmarkEnd w:id="837"/>
      <w:r>
        <w:rPr>
          <w:b/>
          <w:bCs/>
          <w:sz w:val="20"/>
        </w:rPr>
        <w:t xml:space="preserve">[K; Friston2010]</w:t>
      </w:r>
      <w:r>
        <w:rPr>
          <w:sz w:val="20"/>
        </w:rPr>
        <w:t xml:space="preserve"> </w:t>
      </w:r>
      <w:r>
        <w:rPr>
          <w:sz w:val="20"/>
        </w:rPr>
        <w:t xml:space="preserve">Friston, K. (2010). The Free-Energy Principle: A Unified Brain Theory? Nature Reviews Neuroscience, 11, 127–138. https://doi.org/10.1038/nrn2787</w:t>
      </w:r>
    </w:p>
    <w:p>
      <w:pPr>
        <w:pStyle w:val="BodyText"/>
        <w:keepLines/>
        <w:spacing w:after="120"/>
        <w:jc w:val="left"/>
      </w:pPr>
      <w:bookmarkStart w:id="838" w:name="ref-Fuller2020"/>
      <w:bookmarkEnd w:id="838"/>
      <w:r>
        <w:rPr>
          <w:b/>
          <w:bCs/>
          <w:sz w:val="20"/>
        </w:rPr>
        <w:t xml:space="preserve">[K; Fuller2020]</w:t>
      </w:r>
      <w:r>
        <w:rPr>
          <w:sz w:val="20"/>
        </w:rPr>
        <w:t xml:space="preserve"> </w:t>
      </w:r>
      <w:r>
        <w:rPr>
          <w:sz w:val="20"/>
        </w:rPr>
        <w:t xml:space="preserve">Fuller, A., Fan, Z., Day, C., &amp; Barlow, C. (2020). Digital Twin: Enabling Technologies, Challenges and Open Research. IEEE Access, 8, 108952–108971. https://doi.org/10.1109/ACCESS.2020.2998358</w:t>
      </w:r>
    </w:p>
    <w:p>
      <w:pPr>
        <w:pStyle w:val="BodyText"/>
        <w:keepLines/>
        <w:spacing w:after="120"/>
        <w:jc w:val="left"/>
      </w:pPr>
      <w:bookmarkStart w:id="839" w:name="ref-Furber2016"/>
      <w:bookmarkEnd w:id="839"/>
      <w:r>
        <w:rPr>
          <w:b/>
          <w:bCs/>
          <w:sz w:val="20"/>
        </w:rPr>
        <w:t xml:space="preserve">[K; Furber2016]</w:t>
      </w:r>
      <w:r>
        <w:rPr>
          <w:sz w:val="20"/>
        </w:rPr>
        <w:t xml:space="preserve"> </w:t>
      </w:r>
      <w:r>
        <w:rPr>
          <w:sz w:val="20"/>
        </w:rPr>
        <w:t xml:space="preserve">Furber, S. (2016). Large-Scale Neuromorphic Computing Systems. Journal of Neural Engineering, 13(5), 051001. https://doi.org/10.1088/1741-2560/13/5/051001</w:t>
      </w:r>
    </w:p>
    <w:p>
      <w:pPr>
        <w:pStyle w:val="BodyText"/>
        <w:keepLines/>
        <w:spacing w:after="120"/>
        <w:jc w:val="left"/>
      </w:pPr>
      <w:bookmarkStart w:id="840" w:name="ref-Fusi2005"/>
      <w:bookmarkEnd w:id="840"/>
      <w:r>
        <w:rPr>
          <w:b/>
          <w:bCs/>
          <w:sz w:val="20"/>
        </w:rPr>
        <w:t xml:space="preserve">[K; Fusi2005]</w:t>
      </w:r>
      <w:r>
        <w:rPr>
          <w:sz w:val="20"/>
        </w:rPr>
        <w:t xml:space="preserve"> </w:t>
      </w:r>
      <w:r>
        <w:rPr>
          <w:sz w:val="20"/>
        </w:rPr>
        <w:t xml:space="preserve">Fusi, S., Drew, P. J., &amp; Abbott, L. F. (2005). Cascade Models of Synaptically Stored Memories. Neuron, 45(4), 599–611. https://doi.org/10.1016/j.neuron.2005.02.001</w:t>
      </w:r>
    </w:p>
    <w:p>
      <w:pPr>
        <w:pStyle w:val="BodyText"/>
        <w:keepLines/>
        <w:spacing w:after="120"/>
        <w:jc w:val="left"/>
      </w:pPr>
      <w:bookmarkStart w:id="841" w:name="ref-Gabriel2020"/>
      <w:bookmarkEnd w:id="841"/>
      <w:r>
        <w:rPr>
          <w:b/>
          <w:bCs/>
          <w:sz w:val="20"/>
        </w:rPr>
        <w:t xml:space="preserve">[K; Gabriel2020]</w:t>
      </w:r>
      <w:r>
        <w:rPr>
          <w:sz w:val="20"/>
        </w:rPr>
        <w:t xml:space="preserve"> </w:t>
      </w:r>
      <w:r>
        <w:rPr>
          <w:sz w:val="20"/>
        </w:rPr>
        <w:t xml:space="preserve">Gabriel, I. (2020). Artificial intelligence, values, and alignment. Minds and Machines, 30, 411–437. https://doi.org/10.1007/s11023-020-09539-2</w:t>
      </w:r>
    </w:p>
    <w:p>
      <w:pPr>
        <w:pStyle w:val="BodyText"/>
        <w:keepLines/>
        <w:spacing w:after="120"/>
        <w:jc w:val="left"/>
      </w:pPr>
      <w:bookmarkStart w:id="842" w:name="ref-Gallagher2005"/>
      <w:bookmarkEnd w:id="842"/>
      <w:r>
        <w:rPr>
          <w:b/>
          <w:bCs/>
          <w:sz w:val="20"/>
        </w:rPr>
        <w:t xml:space="preserve">[K; Gallagher2005]</w:t>
      </w:r>
      <w:r>
        <w:rPr>
          <w:sz w:val="20"/>
        </w:rPr>
        <w:t xml:space="preserve"> </w:t>
      </w:r>
      <w:r>
        <w:rPr>
          <w:sz w:val="20"/>
        </w:rPr>
        <w:t xml:space="preserve">Gallagher, S. (2005). How the body shapes the mind. Oxford University Press.</w:t>
      </w:r>
    </w:p>
    <w:p>
      <w:pPr>
        <w:pStyle w:val="BodyText"/>
        <w:keepLines/>
        <w:spacing w:after="120"/>
        <w:jc w:val="left"/>
      </w:pPr>
      <w:bookmarkStart w:id="843" w:name="ref-Garcez2009"/>
      <w:bookmarkEnd w:id="843"/>
      <w:r>
        <w:rPr>
          <w:b/>
          <w:bCs/>
          <w:sz w:val="20"/>
        </w:rPr>
        <w:t xml:space="preserve">[K; Garcez2009]</w:t>
      </w:r>
      <w:r>
        <w:rPr>
          <w:sz w:val="20"/>
        </w:rPr>
        <w:t xml:space="preserve"> </w:t>
      </w:r>
      <w:r>
        <w:rPr>
          <w:sz w:val="20"/>
        </w:rPr>
        <w:t xml:space="preserve">Garcez, A. S. d’Avila, Lamb, L. C., &amp; Gabbay, D. M. (2009). Neural-Symbolic Cognitive Reasoning. Springer. https://doi.org/10.1007/978-3-540-73246-4</w:t>
      </w:r>
    </w:p>
    <w:p>
      <w:pPr>
        <w:pStyle w:val="BodyText"/>
        <w:keepLines/>
        <w:spacing w:after="120"/>
        <w:jc w:val="left"/>
      </w:pPr>
      <w:bookmarkStart w:id="844" w:name="ref-Gebru2021"/>
      <w:bookmarkEnd w:id="844"/>
      <w:r>
        <w:rPr>
          <w:b/>
          <w:bCs/>
          <w:sz w:val="20"/>
        </w:rPr>
        <w:t xml:space="preserve">[K; Gebru2021]</w:t>
      </w:r>
      <w:r>
        <w:rPr>
          <w:sz w:val="20"/>
        </w:rPr>
        <w:t xml:space="preserve"> </w:t>
      </w:r>
      <w:r>
        <w:rPr>
          <w:sz w:val="20"/>
        </w:rPr>
        <w:t xml:space="preserve">Gebru, T., Morgenstern, J., Vecchione, B., Vaughan, J. W., Wallach, H., Daumé III, H., &amp; Crawford, K. (2021). Datasheets for Datasets. Communications of the ACM, 64(12), 86–92. https://doi.org/10.1145/3458723</w:t>
      </w:r>
    </w:p>
    <w:p>
      <w:pPr>
        <w:pStyle w:val="BodyText"/>
        <w:keepLines/>
        <w:spacing w:after="120"/>
        <w:jc w:val="left"/>
      </w:pPr>
      <w:bookmarkStart w:id="845" w:name="ref-Gerstner2014"/>
      <w:bookmarkEnd w:id="845"/>
      <w:r>
        <w:rPr>
          <w:b/>
          <w:bCs/>
          <w:sz w:val="20"/>
        </w:rPr>
        <w:t xml:space="preserve">[K; Gerstner2014]</w:t>
      </w:r>
      <w:r>
        <w:rPr>
          <w:sz w:val="20"/>
        </w:rPr>
        <w:t xml:space="preserve"> </w:t>
      </w:r>
      <w:r>
        <w:rPr>
          <w:sz w:val="20"/>
        </w:rPr>
        <w:t xml:space="preserve">Gerstner, W., Kistler, W. M., Naud, R., &amp; Paninski, L. (2014). Neuronal Dynamics: From Single Neurons to Networks and Models of Cognition. Cambridge University Press. https://doi.org/10.1017/CBO9781107447615</w:t>
      </w:r>
    </w:p>
    <w:p>
      <w:pPr>
        <w:pStyle w:val="BodyText"/>
        <w:keepLines/>
        <w:spacing w:after="120"/>
        <w:jc w:val="left"/>
      </w:pPr>
      <w:bookmarkStart w:id="846" w:name="ref-Gerstner2018eligibility"/>
      <w:bookmarkEnd w:id="846"/>
      <w:r>
        <w:rPr>
          <w:b/>
          <w:bCs/>
          <w:sz w:val="20"/>
        </w:rPr>
        <w:t xml:space="preserve">[K; Gerstner2018eligibility]</w:t>
      </w:r>
      <w:r>
        <w:rPr>
          <w:sz w:val="20"/>
        </w:rPr>
        <w:t xml:space="preserve"> </w:t>
      </w:r>
      <w:r>
        <w:rPr>
          <w:sz w:val="20"/>
        </w:rPr>
        <w:t xml:space="preserve">Gerstner, W., Lehmann, M., Liakoni, V., Corneil, D., &amp; Brea, J. (2018). Eligibility Traces and Plasticity on Behavioral Time Scales: Experimental Support of NeoHebbian Three-Factor Learning Rules. Neuron, 100(2), 276–293. https://doi.org/10.1016/j.neuron.2018.10.020</w:t>
      </w:r>
    </w:p>
    <w:p>
      <w:pPr>
        <w:pStyle w:val="BodyText"/>
        <w:keepLines/>
        <w:spacing w:after="120"/>
        <w:jc w:val="left"/>
      </w:pPr>
      <w:bookmarkStart w:id="847" w:name="ref-Gewaltig2007"/>
      <w:bookmarkEnd w:id="847"/>
      <w:r>
        <w:rPr>
          <w:b/>
          <w:bCs/>
          <w:sz w:val="20"/>
        </w:rPr>
        <w:t xml:space="preserve">[K; Gewaltig2007]</w:t>
      </w:r>
      <w:r>
        <w:rPr>
          <w:sz w:val="20"/>
        </w:rPr>
        <w:t xml:space="preserve"> </w:t>
      </w:r>
      <w:r>
        <w:rPr>
          <w:sz w:val="20"/>
        </w:rPr>
        <w:t xml:space="preserve">Gewaltig, M.-O., &amp; Diesmann, M. (2007). NEST (Neural Simulation Tool). Scholarpedia, 2(4), 1430. https://doi.org/10.4249/scholarpedia.1430</w:t>
      </w:r>
    </w:p>
    <w:p>
      <w:pPr>
        <w:pStyle w:val="BodyText"/>
        <w:keepLines/>
        <w:spacing w:after="120"/>
        <w:jc w:val="left"/>
      </w:pPr>
      <w:bookmarkStart w:id="848" w:name="ref-Ghareeb2026"/>
      <w:bookmarkEnd w:id="848"/>
      <w:r>
        <w:rPr>
          <w:b/>
          <w:bCs/>
          <w:sz w:val="20"/>
        </w:rPr>
        <w:t xml:space="preserve">[W; Ghareeb2026; W02]</w:t>
      </w:r>
      <w:r>
        <w:rPr>
          <w:sz w:val="20"/>
        </w:rPr>
        <w:t xml:space="preserve"> </w:t>
      </w:r>
      <w:r>
        <w:rPr>
          <w:sz w:val="20"/>
        </w:rPr>
        <w:t xml:space="preserve">Ghareeb, A. E., Chang, B., Mitchener, L., Yiu, A., Szostkiewicz, C. J., Shved, D., Gyimesi, G. J., Laurent, J. M., Wright, S. M., Razzak, M. T., White, A. D., Finnemann, S. C., Hinks, M. M., &amp; Rodriques, S. G. (2026). A multi-agent system for automating scientific discovery. Nature, 655, 497-505. https://doi.org/10.1038/s41586-026-10652-y</w:t>
      </w:r>
    </w:p>
    <w:p>
      <w:pPr>
        <w:pStyle w:val="BodyText"/>
        <w:keepLines/>
        <w:spacing w:after="120"/>
        <w:jc w:val="left"/>
      </w:pPr>
      <w:bookmarkStart w:id="849" w:name="ref-GodfreySmith2016"/>
      <w:bookmarkEnd w:id="849"/>
      <w:r>
        <w:rPr>
          <w:b/>
          <w:bCs/>
          <w:sz w:val="20"/>
        </w:rPr>
        <w:t xml:space="preserve">[K; GodfreySmith2016]</w:t>
      </w:r>
      <w:r>
        <w:rPr>
          <w:sz w:val="20"/>
        </w:rPr>
        <w:t xml:space="preserve"> </w:t>
      </w:r>
      <w:r>
        <w:rPr>
          <w:sz w:val="20"/>
        </w:rPr>
        <w:t xml:space="preserve">Godfrey-Smith, P. (2016). Other minds. Farrar, Straus and Giroux.</w:t>
      </w:r>
    </w:p>
    <w:p>
      <w:pPr>
        <w:pStyle w:val="BodyText"/>
        <w:keepLines/>
        <w:spacing w:after="120"/>
        <w:jc w:val="left"/>
      </w:pPr>
      <w:bookmarkStart w:id="850" w:name="ref-Goebel2012Hybrid"/>
      <w:bookmarkEnd w:id="850"/>
      <w:r>
        <w:rPr>
          <w:b/>
          <w:bCs/>
          <w:sz w:val="20"/>
        </w:rPr>
        <w:t xml:space="preserve">[K; Goebel2012Hybrid]</w:t>
      </w:r>
      <w:r>
        <w:rPr>
          <w:sz w:val="20"/>
        </w:rPr>
        <w:t xml:space="preserve"> </w:t>
      </w:r>
      <w:r>
        <w:rPr>
          <w:sz w:val="20"/>
        </w:rPr>
        <w:t xml:space="preserve">Goebel, R., Sanfelice, R. G., &amp; Teel, A. R. (2012). Hybrid Dynamical Systems: Modeling, Stability, and Robustness. Princeton University Press. https://doi.org/10.1515/9781400842636</w:t>
      </w:r>
    </w:p>
    <w:p>
      <w:pPr>
        <w:pStyle w:val="BodyText"/>
        <w:keepLines/>
        <w:spacing w:after="120"/>
        <w:jc w:val="left"/>
      </w:pPr>
      <w:bookmarkStart w:id="851" w:name="ref-GoogleDeepMind2025"/>
      <w:bookmarkEnd w:id="851"/>
      <w:r>
        <w:rPr>
          <w:b/>
          <w:bCs/>
          <w:sz w:val="20"/>
        </w:rPr>
        <w:t xml:space="preserve">[W; GoogleDeepMind2025; W03]</w:t>
      </w:r>
      <w:r>
        <w:rPr>
          <w:sz w:val="20"/>
        </w:rPr>
        <w:t xml:space="preserve"> </w:t>
      </w:r>
      <w:r>
        <w:rPr>
          <w:sz w:val="20"/>
        </w:rPr>
        <w:t xml:space="preserve">Google DeepMind (2025). AlphaEvolve: A Gemini-powered coding agent for designing advanced algorithms. Technical blog, 14 May 2025. https://deepmind.google/blog/alphaevolve-a-gemini-powered-coding-agent-for-designing-advanced-algorithms/</w:t>
      </w:r>
    </w:p>
    <w:p>
      <w:pPr>
        <w:pStyle w:val="BodyText"/>
        <w:keepLines/>
        <w:spacing w:after="120"/>
        <w:jc w:val="left"/>
      </w:pPr>
      <w:bookmarkStart w:id="852" w:name="ref-Graupner2012"/>
      <w:bookmarkEnd w:id="852"/>
      <w:r>
        <w:rPr>
          <w:b/>
          <w:bCs/>
          <w:sz w:val="20"/>
        </w:rPr>
        <w:t xml:space="preserve">[K; Graupner2012]</w:t>
      </w:r>
      <w:r>
        <w:rPr>
          <w:sz w:val="20"/>
        </w:rPr>
        <w:t xml:space="preserve"> </w:t>
      </w:r>
      <w:r>
        <w:rPr>
          <w:sz w:val="20"/>
        </w:rPr>
        <w:t xml:space="preserve">Graupner, M., &amp; Brunel, N. (2012). Calcium-Based Plasticity Model Explains Sensitivity of Synaptic Changes to Spike Pattern, Rate, and Dendritic Location. Proceedings of the National Academy of Sciences, 109(10), 3991–3996. https://doi.org/10.1073/pnas.1109359109</w:t>
      </w:r>
    </w:p>
    <w:p>
      <w:pPr>
        <w:pStyle w:val="BodyText"/>
        <w:keepLines/>
        <w:spacing w:after="120"/>
        <w:jc w:val="left"/>
      </w:pPr>
      <w:bookmarkStart w:id="853" w:name="ref-Grieves2017"/>
      <w:bookmarkEnd w:id="853"/>
      <w:r>
        <w:rPr>
          <w:b/>
          <w:bCs/>
          <w:sz w:val="20"/>
        </w:rPr>
        <w:t xml:space="preserve">[K; Grieves2017]</w:t>
      </w:r>
      <w:r>
        <w:rPr>
          <w:sz w:val="20"/>
        </w:rPr>
        <w:t xml:space="preserve"> </w:t>
      </w:r>
      <w:r>
        <w:rPr>
          <w:sz w:val="20"/>
        </w:rPr>
        <w:t xml:space="preserve">Grieves, M., &amp; Vickers, J. (2017). Digital Twin: Mitigating Unpredictable, Undesirable Emergent Behavior in Complex Systems. In F.-J. Kahlen, S. Flumerfelt, &amp; A. Alves (Hrsg.), Transdisciplinary Perspectives on Complex Systems (S. 85–113). Springer. https://doi.org/10.1007/978-3-319-38756-7_4</w:t>
      </w:r>
    </w:p>
    <w:p>
      <w:pPr>
        <w:pStyle w:val="BodyText"/>
        <w:keepLines/>
        <w:spacing w:after="120"/>
        <w:jc w:val="left"/>
      </w:pPr>
      <w:bookmarkStart w:id="854" w:name="ref-Gunkel2012"/>
      <w:bookmarkEnd w:id="854"/>
      <w:r>
        <w:rPr>
          <w:b/>
          <w:bCs/>
          <w:sz w:val="20"/>
        </w:rPr>
        <w:t xml:space="preserve">[K; Gunkel2012]</w:t>
      </w:r>
      <w:r>
        <w:rPr>
          <w:sz w:val="20"/>
        </w:rPr>
        <w:t xml:space="preserve"> </w:t>
      </w:r>
      <w:r>
        <w:rPr>
          <w:sz w:val="20"/>
        </w:rPr>
        <w:t xml:space="preserve">Gunkel, D. J. (2012). The machine question. MIT Press.</w:t>
      </w:r>
    </w:p>
    <w:p>
      <w:pPr>
        <w:pStyle w:val="BodyText"/>
        <w:keepLines/>
        <w:spacing w:after="120"/>
        <w:jc w:val="left"/>
      </w:pPr>
      <w:bookmarkStart w:id="855" w:name="ref-Gunkel2018"/>
      <w:bookmarkEnd w:id="855"/>
      <w:r>
        <w:rPr>
          <w:b/>
          <w:bCs/>
          <w:sz w:val="20"/>
        </w:rPr>
        <w:t xml:space="preserve">[K; Gunkel2018]</w:t>
      </w:r>
      <w:r>
        <w:rPr>
          <w:sz w:val="20"/>
        </w:rPr>
        <w:t xml:space="preserve"> </w:t>
      </w:r>
      <w:r>
        <w:rPr>
          <w:sz w:val="20"/>
        </w:rPr>
        <w:t xml:space="preserve">Gunkel, D. J. (2018). Robot rights. MIT Press.</w:t>
      </w:r>
    </w:p>
    <w:p>
      <w:pPr>
        <w:pStyle w:val="BodyText"/>
        <w:keepLines/>
        <w:spacing w:after="120"/>
        <w:jc w:val="left"/>
      </w:pPr>
      <w:bookmarkStart w:id="856" w:name="ref-Ha2018"/>
      <w:bookmarkEnd w:id="856"/>
      <w:r>
        <w:rPr>
          <w:b/>
          <w:bCs/>
          <w:sz w:val="20"/>
        </w:rPr>
        <w:t xml:space="preserve">[K; Ha2018]</w:t>
      </w:r>
      <w:r>
        <w:rPr>
          <w:sz w:val="20"/>
        </w:rPr>
        <w:t xml:space="preserve"> </w:t>
      </w:r>
      <w:r>
        <w:rPr>
          <w:sz w:val="20"/>
        </w:rPr>
        <w:t xml:space="preserve">Ha, D., &amp; Schmidhuber, J. (2018). World Models. arXiv preprint arXiv:1803.10122. https://doi.org/10.48550/arXiv.1803.10122</w:t>
      </w:r>
    </w:p>
    <w:p>
      <w:pPr>
        <w:pStyle w:val="BodyText"/>
        <w:keepLines/>
        <w:spacing w:after="120"/>
        <w:jc w:val="left"/>
      </w:pPr>
      <w:bookmarkStart w:id="857" w:name="ref-Habermas1991"/>
      <w:bookmarkEnd w:id="857"/>
      <w:r>
        <w:rPr>
          <w:b/>
          <w:bCs/>
          <w:sz w:val="20"/>
        </w:rPr>
        <w:t xml:space="preserve">[K; Habermas1991]</w:t>
      </w:r>
      <w:r>
        <w:rPr>
          <w:sz w:val="20"/>
        </w:rPr>
        <w:t xml:space="preserve"> </w:t>
      </w:r>
      <w:r>
        <w:rPr>
          <w:sz w:val="20"/>
        </w:rPr>
        <w:t xml:space="preserve">Habermas, J. (1991). Erläuterungen zur Diskursethik. Suhrkamp.</w:t>
      </w:r>
    </w:p>
    <w:p>
      <w:pPr>
        <w:pStyle w:val="BodyText"/>
        <w:keepLines/>
        <w:spacing w:after="120"/>
        <w:jc w:val="left"/>
      </w:pPr>
      <w:bookmarkStart w:id="858" w:name="ref-Hafner2020"/>
      <w:bookmarkEnd w:id="858"/>
      <w:r>
        <w:rPr>
          <w:b/>
          <w:bCs/>
          <w:sz w:val="20"/>
        </w:rPr>
        <w:t xml:space="preserve">[K; Hafner2020]</w:t>
      </w:r>
      <w:r>
        <w:rPr>
          <w:sz w:val="20"/>
        </w:rPr>
        <w:t xml:space="preserve"> </w:t>
      </w:r>
      <w:r>
        <w:rPr>
          <w:sz w:val="20"/>
        </w:rPr>
        <w:t xml:space="preserve">Hafner, D., Lillicrap, T., Ba, J., &amp; Norouzi, M. (2020). Dream to Control: Learning Behaviors by Latent Imagination. International Conference on Learning Representations.</w:t>
      </w:r>
    </w:p>
    <w:p>
      <w:pPr>
        <w:pStyle w:val="BodyText"/>
        <w:keepLines/>
        <w:spacing w:after="120"/>
        <w:jc w:val="left"/>
      </w:pPr>
      <w:bookmarkStart w:id="859" w:name="ref-Haraway19851991"/>
      <w:bookmarkEnd w:id="859"/>
      <w:r>
        <w:rPr>
          <w:b/>
          <w:bCs/>
          <w:sz w:val="20"/>
        </w:rPr>
        <w:t xml:space="preserve">[K; Haraway19851991]</w:t>
      </w:r>
      <w:r>
        <w:rPr>
          <w:sz w:val="20"/>
        </w:rPr>
        <w:t xml:space="preserve"> </w:t>
      </w:r>
      <w:r>
        <w:rPr>
          <w:sz w:val="20"/>
        </w:rPr>
        <w:t xml:space="preserve">Haraway, D. (1985/1991). A Cyborg Manifesto. In Simians, Cyborgs, and Women. Routledge.</w:t>
      </w:r>
    </w:p>
    <w:p>
      <w:pPr>
        <w:pStyle w:val="BodyText"/>
        <w:keepLines/>
        <w:spacing w:after="120"/>
        <w:jc w:val="left"/>
      </w:pPr>
      <w:bookmarkStart w:id="860" w:name="ref-Haraway1991"/>
      <w:bookmarkEnd w:id="860"/>
      <w:r>
        <w:rPr>
          <w:b/>
          <w:bCs/>
          <w:sz w:val="20"/>
        </w:rPr>
        <w:t xml:space="preserve">[K; Haraway1991]</w:t>
      </w:r>
      <w:r>
        <w:rPr>
          <w:sz w:val="20"/>
        </w:rPr>
        <w:t xml:space="preserve"> </w:t>
      </w:r>
      <w:r>
        <w:rPr>
          <w:sz w:val="20"/>
        </w:rPr>
        <w:t xml:space="preserve">Haraway, D. (1991). A cyborg manifesto. In Simians, cyborgs, and women (pp. 149–181). Routledge. (Original work published 1985)</w:t>
      </w:r>
    </w:p>
    <w:p>
      <w:pPr>
        <w:pStyle w:val="BodyText"/>
        <w:keepLines/>
        <w:spacing w:after="120"/>
        <w:jc w:val="left"/>
      </w:pPr>
      <w:bookmarkStart w:id="861" w:name="ref-Harnad1990"/>
      <w:bookmarkEnd w:id="861"/>
      <w:r>
        <w:rPr>
          <w:b/>
          <w:bCs/>
          <w:sz w:val="20"/>
        </w:rPr>
        <w:t xml:space="preserve">[K; Harnad1990]</w:t>
      </w:r>
      <w:r>
        <w:rPr>
          <w:sz w:val="20"/>
        </w:rPr>
        <w:t xml:space="preserve"> </w:t>
      </w:r>
      <w:r>
        <w:rPr>
          <w:sz w:val="20"/>
        </w:rPr>
        <w:t xml:space="preserve">Harnad, S. (1990). The symbol grounding problem. Physica D, 42(1–3), 335–346. https://doi.org/10.1016/0167-2789(90)90087-6</w:t>
      </w:r>
    </w:p>
    <w:p>
      <w:pPr>
        <w:pStyle w:val="BodyText"/>
        <w:keepLines/>
        <w:spacing w:after="120"/>
        <w:jc w:val="left"/>
      </w:pPr>
      <w:bookmarkStart w:id="862" w:name="ref-Hayles1999"/>
      <w:bookmarkEnd w:id="862"/>
      <w:r>
        <w:rPr>
          <w:b/>
          <w:bCs/>
          <w:sz w:val="20"/>
        </w:rPr>
        <w:t xml:space="preserve">[K; Hayles1999]</w:t>
      </w:r>
      <w:r>
        <w:rPr>
          <w:sz w:val="20"/>
        </w:rPr>
        <w:t xml:space="preserve"> </w:t>
      </w:r>
      <w:r>
        <w:rPr>
          <w:sz w:val="20"/>
        </w:rPr>
        <w:t xml:space="preserve">Hayles, N. K. (1999). How we became posthuman. University of Chicago Press.</w:t>
      </w:r>
    </w:p>
    <w:p>
      <w:pPr>
        <w:pStyle w:val="BodyText"/>
        <w:keepLines/>
        <w:spacing w:after="120"/>
        <w:jc w:val="left"/>
      </w:pPr>
      <w:bookmarkStart w:id="863" w:name="ref-Hebb1949"/>
      <w:bookmarkEnd w:id="863"/>
      <w:r>
        <w:rPr>
          <w:b/>
          <w:bCs/>
          <w:sz w:val="20"/>
        </w:rPr>
        <w:t xml:space="preserve">[K; Hebb1949]</w:t>
      </w:r>
      <w:r>
        <w:rPr>
          <w:sz w:val="20"/>
        </w:rPr>
        <w:t xml:space="preserve"> </w:t>
      </w:r>
      <w:r>
        <w:rPr>
          <w:sz w:val="20"/>
        </w:rPr>
        <w:t xml:space="preserve">Hebb, D. O. (1949). The organization of behavior. Wiley.</w:t>
      </w:r>
    </w:p>
    <w:p>
      <w:pPr>
        <w:pStyle w:val="BodyText"/>
        <w:keepLines/>
        <w:spacing w:after="120"/>
        <w:jc w:val="left"/>
      </w:pPr>
      <w:bookmarkStart w:id="864" w:name="ref-Heidegger1954"/>
      <w:bookmarkEnd w:id="864"/>
      <w:r>
        <w:rPr>
          <w:b/>
          <w:bCs/>
          <w:sz w:val="20"/>
        </w:rPr>
        <w:t xml:space="preserve">[K; Heidegger1954]</w:t>
      </w:r>
      <w:r>
        <w:rPr>
          <w:sz w:val="20"/>
        </w:rPr>
        <w:t xml:space="preserve"> </w:t>
      </w:r>
      <w:r>
        <w:rPr>
          <w:sz w:val="20"/>
        </w:rPr>
        <w:t xml:space="preserve">Heidegger, M. (1954). Die Frage nach der Technik. In Vorträge und Aufsätze. Neske.</w:t>
      </w:r>
    </w:p>
    <w:p>
      <w:pPr>
        <w:pStyle w:val="BodyText"/>
        <w:keepLines/>
        <w:spacing w:after="120"/>
        <w:jc w:val="left"/>
      </w:pPr>
      <w:bookmarkStart w:id="865" w:name="ref-HeronofAlexandriand"/>
      <w:bookmarkEnd w:id="865"/>
      <w:r>
        <w:rPr>
          <w:b/>
          <w:bCs/>
          <w:sz w:val="20"/>
        </w:rPr>
        <w:t xml:space="preserve">[K; HeronofAlexandriand]</w:t>
      </w:r>
      <w:r>
        <w:rPr>
          <w:sz w:val="20"/>
        </w:rPr>
        <w:t xml:space="preserve"> </w:t>
      </w:r>
      <w:r>
        <w:rPr>
          <w:sz w:val="20"/>
        </w:rPr>
        <w:t xml:space="preserve">Heron of Alexandria. (n.d.). Pneumatica and Automata.</w:t>
      </w:r>
    </w:p>
    <w:p>
      <w:pPr>
        <w:pStyle w:val="BodyText"/>
        <w:keepLines/>
        <w:spacing w:after="120"/>
        <w:jc w:val="left"/>
      </w:pPr>
      <w:bookmarkStart w:id="866" w:name="ref-HeronvonAlexandria"/>
      <w:bookmarkEnd w:id="866"/>
      <w:r>
        <w:rPr>
          <w:b/>
          <w:bCs/>
          <w:sz w:val="20"/>
        </w:rPr>
        <w:t xml:space="preserve">[K; HeronvonAlexandria]</w:t>
      </w:r>
      <w:r>
        <w:rPr>
          <w:sz w:val="20"/>
        </w:rPr>
        <w:t xml:space="preserve"> </w:t>
      </w:r>
      <w:r>
        <w:rPr>
          <w:sz w:val="20"/>
        </w:rPr>
        <w:t xml:space="preserve">Heron von Alexandria. Pneumatika / Automata. Antike technische Quellen zu pneumatischen und mechanischen Automaten.</w:t>
      </w:r>
    </w:p>
    <w:p>
      <w:pPr>
        <w:pStyle w:val="BodyText"/>
        <w:keepLines/>
        <w:spacing w:after="120"/>
        <w:jc w:val="left"/>
      </w:pPr>
      <w:bookmarkStart w:id="867" w:name="ref-Hobbes1651"/>
      <w:bookmarkEnd w:id="867"/>
      <w:r>
        <w:rPr>
          <w:b/>
          <w:bCs/>
          <w:sz w:val="20"/>
        </w:rPr>
        <w:t xml:space="preserve">[K; Hobbes1651]</w:t>
      </w:r>
      <w:r>
        <w:rPr>
          <w:sz w:val="20"/>
        </w:rPr>
        <w:t xml:space="preserve"> </w:t>
      </w:r>
      <w:r>
        <w:rPr>
          <w:sz w:val="20"/>
        </w:rPr>
        <w:t xml:space="preserve">Hobbes, T. (1651). Leviathan. Andrew Crooke.</w:t>
      </w:r>
    </w:p>
    <w:p>
      <w:pPr>
        <w:pStyle w:val="BodyText"/>
        <w:keepLines/>
        <w:spacing w:after="120"/>
        <w:jc w:val="left"/>
      </w:pPr>
      <w:bookmarkStart w:id="868" w:name="ref-Hodgkin1952"/>
      <w:bookmarkEnd w:id="868"/>
      <w:r>
        <w:rPr>
          <w:b/>
          <w:bCs/>
          <w:sz w:val="20"/>
        </w:rPr>
        <w:t xml:space="preserve">[K; Hodgkin1952]</w:t>
      </w:r>
      <w:r>
        <w:rPr>
          <w:sz w:val="20"/>
        </w:rPr>
        <w:t xml:space="preserve"> </w:t>
      </w:r>
      <w:r>
        <w:rPr>
          <w:sz w:val="20"/>
        </w:rPr>
        <w:t xml:space="preserve">Hodgkin, A. L., &amp; Huxley, A. F. (1952). A Quantitative Description of Membrane Current and Its Application to Conduction and Excitation in Nerve. The Journal of Physiology, 117(4), 500–544. https://doi.org/10.1113/jphysiol.1952.sp004764</w:t>
      </w:r>
    </w:p>
    <w:p>
      <w:pPr>
        <w:pStyle w:val="BodyText"/>
        <w:keepLines/>
        <w:spacing w:after="120"/>
        <w:jc w:val="left"/>
      </w:pPr>
      <w:bookmarkStart w:id="869" w:name="ref-Hoel2013"/>
      <w:bookmarkEnd w:id="869"/>
      <w:r>
        <w:rPr>
          <w:b/>
          <w:bCs/>
          <w:sz w:val="20"/>
        </w:rPr>
        <w:t xml:space="preserve">[K; Hoel2013]</w:t>
      </w:r>
      <w:r>
        <w:rPr>
          <w:sz w:val="20"/>
        </w:rPr>
        <w:t xml:space="preserve"> </w:t>
      </w:r>
      <w:r>
        <w:rPr>
          <w:sz w:val="20"/>
        </w:rPr>
        <w:t xml:space="preserve">Hoel, E. P., Albantakis, L., &amp; Tononi, G. (2013). Quantifying Causal Emergence Shows That Macro Can Beat Micro. Proceedings of the National Academy of Sciences, 110(49), 19790–19795. https://doi.org/10.1073/pnas.1314922110</w:t>
      </w:r>
    </w:p>
    <w:p>
      <w:pPr>
        <w:pStyle w:val="BodyText"/>
        <w:keepLines/>
        <w:spacing w:after="120"/>
        <w:jc w:val="left"/>
      </w:pPr>
      <w:bookmarkStart w:id="870" w:name="ref-Holtmaat2009"/>
      <w:bookmarkEnd w:id="870"/>
      <w:r>
        <w:rPr>
          <w:b/>
          <w:bCs/>
          <w:sz w:val="20"/>
        </w:rPr>
        <w:t xml:space="preserve">[K; Holtmaat2009]</w:t>
      </w:r>
      <w:r>
        <w:rPr>
          <w:sz w:val="20"/>
        </w:rPr>
        <w:t xml:space="preserve"> </w:t>
      </w:r>
      <w:r>
        <w:rPr>
          <w:sz w:val="20"/>
        </w:rPr>
        <w:t xml:space="preserve">Holtmaat, A., &amp; Svoboda, K. (2009). Experience-Dependent Structural Synaptic Plasticity in the Mammalian Brain. Nature Reviews Neuroscience, 10(9), 647–658. https://doi.org/10.1038/nrn2699</w:t>
      </w:r>
    </w:p>
    <w:p>
      <w:pPr>
        <w:pStyle w:val="BodyText"/>
        <w:keepLines/>
        <w:spacing w:after="120"/>
        <w:jc w:val="left"/>
      </w:pPr>
      <w:bookmarkStart w:id="871" w:name="ref-Homernd"/>
      <w:bookmarkEnd w:id="871"/>
      <w:r>
        <w:rPr>
          <w:b/>
          <w:bCs/>
          <w:sz w:val="20"/>
        </w:rPr>
        <w:t xml:space="preserve">[K; Homernd]</w:t>
      </w:r>
      <w:r>
        <w:rPr>
          <w:sz w:val="20"/>
        </w:rPr>
        <w:t xml:space="preserve"> </w:t>
      </w:r>
      <w:r>
        <w:rPr>
          <w:sz w:val="20"/>
        </w:rPr>
        <w:t xml:space="preserve">Homer. (n.d.). Iliad (Book 18, 369–420).</w:t>
      </w:r>
    </w:p>
    <w:p>
      <w:pPr>
        <w:pStyle w:val="BodyText"/>
        <w:keepLines/>
        <w:spacing w:after="120"/>
        <w:jc w:val="left"/>
      </w:pPr>
      <w:bookmarkStart w:id="872" w:name="ref-Hopfield1982"/>
      <w:bookmarkEnd w:id="872"/>
      <w:r>
        <w:rPr>
          <w:b/>
          <w:bCs/>
          <w:sz w:val="20"/>
        </w:rPr>
        <w:t xml:space="preserve">[K; Hopfield1982]</w:t>
      </w:r>
      <w:r>
        <w:rPr>
          <w:sz w:val="20"/>
        </w:rPr>
        <w:t xml:space="preserve"> </w:t>
      </w:r>
      <w:r>
        <w:rPr>
          <w:sz w:val="20"/>
        </w:rPr>
        <w:t xml:space="preserve">Hopfield, J. J. (1982). Neural Networks and Physical Systems with Emergent Collective Computational Abilities. Proceedings of the National Academy of Sciences, 79(8), 2554–2558. https://doi.org/10.1073/pnas.79.8.2554</w:t>
      </w:r>
    </w:p>
    <w:p>
      <w:pPr>
        <w:pStyle w:val="BodyText"/>
        <w:keepLines/>
        <w:spacing w:after="120"/>
        <w:jc w:val="left"/>
      </w:pPr>
      <w:bookmarkStart w:id="873" w:name="ref-Hutchins1995"/>
      <w:bookmarkEnd w:id="873"/>
      <w:r>
        <w:rPr>
          <w:b/>
          <w:bCs/>
          <w:sz w:val="20"/>
        </w:rPr>
        <w:t xml:space="preserve">[K; Hutchins1995]</w:t>
      </w:r>
      <w:r>
        <w:rPr>
          <w:sz w:val="20"/>
        </w:rPr>
        <w:t xml:space="preserve"> </w:t>
      </w:r>
      <w:r>
        <w:rPr>
          <w:sz w:val="20"/>
        </w:rPr>
        <w:t xml:space="preserve">Hutchins, E. (1995). Cognition in the wild. MIT Press.</w:t>
      </w:r>
    </w:p>
    <w:p>
      <w:pPr>
        <w:pStyle w:val="BodyText"/>
        <w:keepLines/>
        <w:spacing w:after="120"/>
        <w:jc w:val="left"/>
      </w:pPr>
      <w:bookmarkStart w:id="874" w:name="ref-Hutto2013"/>
      <w:bookmarkEnd w:id="874"/>
      <w:r>
        <w:rPr>
          <w:b/>
          <w:bCs/>
          <w:sz w:val="20"/>
        </w:rPr>
        <w:t xml:space="preserve">[K; Hutto2013]</w:t>
      </w:r>
      <w:r>
        <w:rPr>
          <w:sz w:val="20"/>
        </w:rPr>
        <w:t xml:space="preserve"> </w:t>
      </w:r>
      <w:r>
        <w:rPr>
          <w:sz w:val="20"/>
        </w:rPr>
        <w:t xml:space="preserve">Hutto, D. D., &amp; Myin, E. (2013). Radicalizing enactivism. MIT Press.</w:t>
      </w:r>
    </w:p>
    <w:p>
      <w:pPr>
        <w:pStyle w:val="BodyText"/>
        <w:keepLines/>
        <w:spacing w:after="120"/>
        <w:jc w:val="left"/>
      </w:pPr>
      <w:bookmarkStart w:id="875" w:name="ref-Izhikevich2003"/>
      <w:bookmarkEnd w:id="875"/>
      <w:r>
        <w:rPr>
          <w:b/>
          <w:bCs/>
          <w:sz w:val="20"/>
        </w:rPr>
        <w:t xml:space="preserve">[K; Izhikevich2003]</w:t>
      </w:r>
      <w:r>
        <w:rPr>
          <w:sz w:val="20"/>
        </w:rPr>
        <w:t xml:space="preserve"> </w:t>
      </w:r>
      <w:r>
        <w:rPr>
          <w:sz w:val="20"/>
        </w:rPr>
        <w:t xml:space="preserve">Izhikevich, E. M. (2003). Simple Model of Spiking Neurons. IEEE Transactions on Neural Networks, 14(6), 1569–1572. https://doi.org/10.1109/TNN.2003.820440</w:t>
      </w:r>
    </w:p>
    <w:p>
      <w:pPr>
        <w:pStyle w:val="BodyText"/>
        <w:keepLines/>
        <w:spacing w:after="120"/>
        <w:jc w:val="left"/>
      </w:pPr>
      <w:bookmarkStart w:id="876" w:name="ref-Izhikevich2007book"/>
      <w:bookmarkEnd w:id="876"/>
      <w:r>
        <w:rPr>
          <w:b/>
          <w:bCs/>
          <w:sz w:val="20"/>
        </w:rPr>
        <w:t xml:space="preserve">[K; Izhikevich2007book]</w:t>
      </w:r>
      <w:r>
        <w:rPr>
          <w:sz w:val="20"/>
        </w:rPr>
        <w:t xml:space="preserve"> </w:t>
      </w:r>
      <w:r>
        <w:rPr>
          <w:sz w:val="20"/>
        </w:rPr>
        <w:t xml:space="preserve">Izhikevich, E. M. (2007a). Dynamical Systems in Neuroscience: The Geometry of Excitability and Bursting. MIT Press.</w:t>
      </w:r>
    </w:p>
    <w:p>
      <w:pPr>
        <w:pStyle w:val="BodyText"/>
        <w:keepLines/>
        <w:spacing w:after="120"/>
        <w:jc w:val="left"/>
      </w:pPr>
      <w:bookmarkStart w:id="877" w:name="ref-Izhikevich2007reward"/>
      <w:bookmarkEnd w:id="877"/>
      <w:r>
        <w:rPr>
          <w:b/>
          <w:bCs/>
          <w:sz w:val="20"/>
        </w:rPr>
        <w:t xml:space="preserve">[K; Izhikevich2007reward]</w:t>
      </w:r>
      <w:r>
        <w:rPr>
          <w:sz w:val="20"/>
        </w:rPr>
        <w:t xml:space="preserve"> </w:t>
      </w:r>
      <w:r>
        <w:rPr>
          <w:sz w:val="20"/>
        </w:rPr>
        <w:t xml:space="preserve">Izhikevich, E. M. (2007b). Solving the Distal Reward Problem through Linkage of STDP and Dopamine Signaling. Cerebral Cortex, 17(10), 2443–2452. https://doi.org/10.1093/cercor/bhl152</w:t>
      </w:r>
    </w:p>
    <w:p>
      <w:pPr>
        <w:pStyle w:val="BodyText"/>
        <w:keepLines/>
        <w:spacing w:after="120"/>
        <w:jc w:val="left"/>
      </w:pPr>
      <w:bookmarkStart w:id="878" w:name="ref-Jobin2019"/>
      <w:bookmarkEnd w:id="878"/>
      <w:r>
        <w:rPr>
          <w:b/>
          <w:bCs/>
          <w:sz w:val="20"/>
        </w:rPr>
        <w:t xml:space="preserve">[K; Jobin2019]</w:t>
      </w:r>
      <w:r>
        <w:rPr>
          <w:sz w:val="20"/>
        </w:rPr>
        <w:t xml:space="preserve"> </w:t>
      </w:r>
      <w:r>
        <w:rPr>
          <w:sz w:val="20"/>
        </w:rPr>
        <w:t xml:space="preserve">Jobin, A., Ienca, M., &amp; Vayena, E. (2019). The global landscape of AI ethics guidelines. Nature Machine Intelligence, 1, 389–399. https://doi.org/10.1038/s42256-019-0088-2</w:t>
      </w:r>
    </w:p>
    <w:p>
      <w:pPr>
        <w:pStyle w:val="BodyText"/>
        <w:keepLines/>
        <w:spacing w:after="120"/>
        <w:jc w:val="left"/>
      </w:pPr>
      <w:bookmarkStart w:id="879" w:name="ref-Jonas1979"/>
      <w:bookmarkEnd w:id="879"/>
      <w:r>
        <w:rPr>
          <w:b/>
          <w:bCs/>
          <w:sz w:val="20"/>
        </w:rPr>
        <w:t xml:space="preserve">[K; Jonas1979]</w:t>
      </w:r>
      <w:r>
        <w:rPr>
          <w:sz w:val="20"/>
        </w:rPr>
        <w:t xml:space="preserve"> </w:t>
      </w:r>
      <w:r>
        <w:rPr>
          <w:sz w:val="20"/>
        </w:rPr>
        <w:t xml:space="preserve">Jonas, H. (1979). Das Prinzip Verantwortung. Insel.</w:t>
      </w:r>
    </w:p>
    <w:p>
      <w:pPr>
        <w:pStyle w:val="BodyText"/>
        <w:keepLines/>
        <w:spacing w:after="120"/>
        <w:jc w:val="left"/>
      </w:pPr>
      <w:bookmarkStart w:id="880" w:name="ref-Jonas2017"/>
      <w:bookmarkEnd w:id="880"/>
      <w:r>
        <w:rPr>
          <w:b/>
          <w:bCs/>
          <w:sz w:val="20"/>
        </w:rPr>
        <w:t xml:space="preserve">[K; Jonas2017]</w:t>
      </w:r>
      <w:r>
        <w:rPr>
          <w:sz w:val="20"/>
        </w:rPr>
        <w:t xml:space="preserve"> </w:t>
      </w:r>
      <w:r>
        <w:rPr>
          <w:sz w:val="20"/>
        </w:rPr>
        <w:t xml:space="preserve">Jonas, E., &amp; Kording, K. P. (2017). Could a Neuroscientist Understand a Microprocessor? PLOS Computational Biology, 13(1), e1005268. https://doi.org/10.1371/journal.pcbi.1005268</w:t>
      </w:r>
    </w:p>
    <w:p>
      <w:pPr>
        <w:pStyle w:val="BodyText"/>
        <w:keepLines/>
        <w:spacing w:after="120"/>
        <w:jc w:val="left"/>
      </w:pPr>
      <w:bookmarkStart w:id="881" w:name="ref-Jones2020"/>
      <w:bookmarkEnd w:id="881"/>
      <w:r>
        <w:rPr>
          <w:b/>
          <w:bCs/>
          <w:sz w:val="20"/>
        </w:rPr>
        <w:t xml:space="preserve">[K; Jones2020]</w:t>
      </w:r>
      <w:r>
        <w:rPr>
          <w:sz w:val="20"/>
        </w:rPr>
        <w:t xml:space="preserve"> </w:t>
      </w:r>
      <w:r>
        <w:rPr>
          <w:sz w:val="20"/>
        </w:rPr>
        <w:t xml:space="preserve">Jones, D., Snider, C., Nassehi, A., Yon, J., &amp; Hicks, B. (2020). Characterising the Digital Twin: A Systematic Literature Review. CIRP Journal of Manufacturing Science and Technology, 29, 36–52. https://doi.org/10.1016/j.cirpj.2020.02.002</w:t>
      </w:r>
    </w:p>
    <w:p>
      <w:pPr>
        <w:pStyle w:val="BodyText"/>
        <w:keepLines/>
        <w:spacing w:after="120"/>
        <w:jc w:val="left"/>
      </w:pPr>
      <w:bookmarkStart w:id="882" w:name="ref-Kant1785"/>
      <w:bookmarkEnd w:id="882"/>
      <w:r>
        <w:rPr>
          <w:b/>
          <w:bCs/>
          <w:sz w:val="20"/>
        </w:rPr>
        <w:t xml:space="preserve">[K; Kant1785]</w:t>
      </w:r>
      <w:r>
        <w:rPr>
          <w:sz w:val="20"/>
        </w:rPr>
        <w:t xml:space="preserve"> </w:t>
      </w:r>
      <w:r>
        <w:rPr>
          <w:sz w:val="20"/>
        </w:rPr>
        <w:t xml:space="preserve">Kant, I. (1785). Grundlegung zur Metaphysik der Sitten.</w:t>
      </w:r>
    </w:p>
    <w:p>
      <w:pPr>
        <w:pStyle w:val="BodyText"/>
        <w:keepLines/>
        <w:spacing w:after="120"/>
        <w:jc w:val="left"/>
      </w:pPr>
      <w:bookmarkStart w:id="883" w:name="ref-Kaster2024"/>
      <w:bookmarkEnd w:id="883"/>
      <w:r>
        <w:rPr>
          <w:b/>
          <w:bCs/>
          <w:sz w:val="20"/>
        </w:rPr>
        <w:t xml:space="preserve">[K; Kaster2024]</w:t>
      </w:r>
      <w:r>
        <w:rPr>
          <w:sz w:val="20"/>
        </w:rPr>
        <w:t xml:space="preserve"> </w:t>
      </w:r>
      <w:r>
        <w:rPr>
          <w:sz w:val="20"/>
        </w:rPr>
        <w:t xml:space="preserve">Kaster, M., Czappa, F., Butz-Ostendorf, M., &amp; Wolf, F. (2024). Building a Realistic, Scalable Memory Model with Independent Engrams Using a Homeostatic Mechanism. Frontiers in Neuroinformatics, 18, 1323203. https://doi.org/10.3389/fninf.2024.1323203</w:t>
      </w:r>
    </w:p>
    <w:p>
      <w:pPr>
        <w:pStyle w:val="BodyText"/>
        <w:keepLines/>
        <w:spacing w:after="120"/>
        <w:jc w:val="left"/>
      </w:pPr>
      <w:bookmarkStart w:id="884" w:name="ref-King2014"/>
      <w:bookmarkEnd w:id="884"/>
      <w:r>
        <w:rPr>
          <w:b/>
          <w:bCs/>
          <w:sz w:val="20"/>
        </w:rPr>
        <w:t xml:space="preserve">[K; King2014]</w:t>
      </w:r>
      <w:r>
        <w:rPr>
          <w:sz w:val="20"/>
        </w:rPr>
        <w:t xml:space="preserve"> </w:t>
      </w:r>
      <w:r>
        <w:rPr>
          <w:sz w:val="20"/>
        </w:rPr>
        <w:t xml:space="preserve">King, J.-R., &amp; Dehaene, S. (2014). Characterizing the Dynamics of Mental Representations: The Temporal Generalization Method. Trends in Cognitive Sciences, 18(4), 203–210. https://doi.org/10.1016/j.tics.2014.01.002</w:t>
      </w:r>
    </w:p>
    <w:p>
      <w:pPr>
        <w:pStyle w:val="BodyText"/>
        <w:keepLines/>
        <w:spacing w:after="120"/>
        <w:jc w:val="left"/>
      </w:pPr>
      <w:bookmarkStart w:id="885" w:name="ref-Kirkpatrick2017"/>
      <w:bookmarkEnd w:id="885"/>
      <w:r>
        <w:rPr>
          <w:b/>
          <w:bCs/>
          <w:sz w:val="20"/>
        </w:rPr>
        <w:t xml:space="preserve">[K; Kirkpatrick2017]</w:t>
      </w:r>
      <w:r>
        <w:rPr>
          <w:sz w:val="20"/>
        </w:rPr>
        <w:t xml:space="preserve"> </w:t>
      </w:r>
      <w:r>
        <w:rPr>
          <w:sz w:val="20"/>
        </w:rPr>
        <w:t xml:space="preserve">Kirkpatrick, J., Pascanu, R., Rabinowitz, N., Veness, J., Desjardins, G., Rusu, A. A., Milan, K., Quan, J., Ramalho, T., Grabska-Barwinska, A., Hassabis, D., Clopath, C., Kumaran, D., &amp; Hadsell, R. (2017). Overcoming Catastrophic Forgetting in Neural Networks. Proceedings of the National Academy of Sciences, 114(13), 3521–3526. https://doi.org/10.1073/pnas.1611835114</w:t>
      </w:r>
    </w:p>
    <w:p>
      <w:pPr>
        <w:pStyle w:val="BodyText"/>
        <w:keepLines/>
        <w:spacing w:after="120"/>
        <w:jc w:val="left"/>
      </w:pPr>
      <w:bookmarkStart w:id="886" w:name="ref-Kosow2008"/>
      <w:bookmarkEnd w:id="886"/>
      <w:r>
        <w:rPr>
          <w:b/>
          <w:bCs/>
          <w:sz w:val="20"/>
        </w:rPr>
        <w:t xml:space="preserve">[K; Kosow2008]</w:t>
      </w:r>
      <w:r>
        <w:rPr>
          <w:sz w:val="20"/>
        </w:rPr>
        <w:t xml:space="preserve"> </w:t>
      </w:r>
      <w:r>
        <w:rPr>
          <w:sz w:val="20"/>
        </w:rPr>
        <w:t xml:space="preserve">Kosow, H., &amp; Gaßner, R. (2008). Methoden der Zukunfts- und Szenarioanalyse. Institut für Zukunftsstudien und Technologiebewertung.</w:t>
      </w:r>
    </w:p>
    <w:p>
      <w:pPr>
        <w:pStyle w:val="BodyText"/>
        <w:keepLines/>
        <w:spacing w:after="120"/>
        <w:jc w:val="left"/>
      </w:pPr>
      <w:bookmarkStart w:id="887" w:name="ref-Kriegeskorte2008"/>
      <w:bookmarkEnd w:id="887"/>
      <w:r>
        <w:rPr>
          <w:b/>
          <w:bCs/>
          <w:sz w:val="20"/>
        </w:rPr>
        <w:t xml:space="preserve">[K; Kriegeskorte2008]</w:t>
      </w:r>
      <w:r>
        <w:rPr>
          <w:sz w:val="20"/>
        </w:rPr>
        <w:t xml:space="preserve"> </w:t>
      </w:r>
      <w:r>
        <w:rPr>
          <w:sz w:val="20"/>
        </w:rPr>
        <w:t xml:space="preserve">Kriegeskorte, N., Mur, M., &amp; Bandettini, P. A. (2008). Representational Similarity Analysis: Connecting the Branches of Systems Neuroscience. Frontiers in Systems Neuroscience, 2, 4. https://doi.org/10.3389/neuro.06.004.2008</w:t>
      </w:r>
    </w:p>
    <w:p>
      <w:pPr>
        <w:pStyle w:val="BodyText"/>
        <w:keepLines/>
        <w:spacing w:after="120"/>
        <w:jc w:val="left"/>
      </w:pPr>
      <w:bookmarkStart w:id="888" w:name="ref-Kritzinger2018"/>
      <w:bookmarkEnd w:id="888"/>
      <w:r>
        <w:rPr>
          <w:b/>
          <w:bCs/>
          <w:sz w:val="20"/>
        </w:rPr>
        <w:t xml:space="preserve">[K; Kritzinger2018]</w:t>
      </w:r>
      <w:r>
        <w:rPr>
          <w:sz w:val="20"/>
        </w:rPr>
        <w:t xml:space="preserve"> </w:t>
      </w:r>
      <w:r>
        <w:rPr>
          <w:sz w:val="20"/>
        </w:rPr>
        <w:t xml:space="preserve">Kritzinger, W., Karner, M., Traar, G., Henjes, J., &amp; Sihn, W. (2018). Digital Twin in Manufacturing: A Categorical Literature Review and Classification. IFAC-PapersOnLine, 51(11), 1016–1022. https://doi.org/10.1016/j.ifacol.2018.08.474</w:t>
      </w:r>
    </w:p>
    <w:p>
      <w:pPr>
        <w:pStyle w:val="BodyText"/>
        <w:keepLines/>
        <w:spacing w:after="120"/>
        <w:jc w:val="left"/>
      </w:pPr>
      <w:bookmarkStart w:id="889" w:name="ref-Kroll2017"/>
      <w:bookmarkEnd w:id="889"/>
      <w:r>
        <w:rPr>
          <w:b/>
          <w:bCs/>
          <w:sz w:val="20"/>
        </w:rPr>
        <w:t xml:space="preserve">[K; Kroll2017]</w:t>
      </w:r>
      <w:r>
        <w:rPr>
          <w:sz w:val="20"/>
        </w:rPr>
        <w:t xml:space="preserve"> </w:t>
      </w:r>
      <w:r>
        <w:rPr>
          <w:sz w:val="20"/>
        </w:rPr>
        <w:t xml:space="preserve">Kroll, J. A., Huey, J., Barocas, S., Felten, E. W., Reidenberg, J. R., Robinson, D. G., &amp; Yu, H. (2017). Accountable algorithms. University of Pennsylvania Law Review, 165, 633–705.</w:t>
      </w:r>
    </w:p>
    <w:p>
      <w:pPr>
        <w:pStyle w:val="BodyText"/>
        <w:keepLines/>
        <w:spacing w:after="120"/>
        <w:jc w:val="left"/>
      </w:pPr>
      <w:bookmarkStart w:id="890" w:name="ref-Kuhn1962"/>
      <w:bookmarkEnd w:id="890"/>
      <w:r>
        <w:rPr>
          <w:b/>
          <w:bCs/>
          <w:sz w:val="20"/>
        </w:rPr>
        <w:t xml:space="preserve">[K; Kuhn1962]</w:t>
      </w:r>
      <w:r>
        <w:rPr>
          <w:sz w:val="20"/>
        </w:rPr>
        <w:t xml:space="preserve"> </w:t>
      </w:r>
      <w:r>
        <w:rPr>
          <w:sz w:val="20"/>
        </w:rPr>
        <w:t xml:space="preserve">Kuhn, T. S. (1962). The structure of scientific revolutions. University of Chicago Press.</w:t>
      </w:r>
    </w:p>
    <w:p>
      <w:pPr>
        <w:pStyle w:val="BodyText"/>
        <w:keepLines/>
        <w:spacing w:after="120"/>
        <w:jc w:val="left"/>
      </w:pPr>
      <w:bookmarkStart w:id="891" w:name="ref-Kumaran2016"/>
      <w:bookmarkEnd w:id="891"/>
      <w:r>
        <w:rPr>
          <w:b/>
          <w:bCs/>
          <w:sz w:val="20"/>
        </w:rPr>
        <w:t xml:space="preserve">[K; Kumaran2016]</w:t>
      </w:r>
      <w:r>
        <w:rPr>
          <w:sz w:val="20"/>
        </w:rPr>
        <w:t xml:space="preserve"> </w:t>
      </w:r>
      <w:r>
        <w:rPr>
          <w:sz w:val="20"/>
        </w:rPr>
        <w:t xml:space="preserve">Kumaran, D., Hassabis, D., &amp; McClelland, J. L. (2016). What Learning Systems Do Intelligent Agents Need? Complementary Learning Systems Theory Updated. Trends in Cognitive Sciences, 20(7), 512–534. https://doi.org/10.1016/j.tics.2016.05.004</w:t>
      </w:r>
    </w:p>
    <w:p>
      <w:pPr>
        <w:pStyle w:val="BodyText"/>
        <w:keepLines/>
        <w:spacing w:after="120"/>
        <w:jc w:val="left"/>
      </w:pPr>
      <w:bookmarkStart w:id="892" w:name="ref-Kuznetsov2004"/>
      <w:bookmarkEnd w:id="892"/>
      <w:r>
        <w:rPr>
          <w:b/>
          <w:bCs/>
          <w:sz w:val="20"/>
        </w:rPr>
        <w:t xml:space="preserve">[K; Kuznetsov2004]</w:t>
      </w:r>
      <w:r>
        <w:rPr>
          <w:sz w:val="20"/>
        </w:rPr>
        <w:t xml:space="preserve"> </w:t>
      </w:r>
      <w:r>
        <w:rPr>
          <w:sz w:val="20"/>
        </w:rPr>
        <w:t xml:space="preserve">Kuznetsov, Y. A. (2004). Elements of Applied Bifurcation Theory (3. Aufl.). Springer. https://doi.org/10.1007/978-1-4757-3978-7</w:t>
      </w:r>
    </w:p>
    <w:p>
      <w:pPr>
        <w:pStyle w:val="BodyText"/>
        <w:keepLines/>
        <w:spacing w:after="120"/>
        <w:jc w:val="left"/>
      </w:pPr>
      <w:bookmarkStart w:id="893" w:name="ref-Lakatos1978"/>
      <w:bookmarkEnd w:id="893"/>
      <w:r>
        <w:rPr>
          <w:b/>
          <w:bCs/>
          <w:sz w:val="20"/>
        </w:rPr>
        <w:t xml:space="preserve">[K; Lakatos1978]</w:t>
      </w:r>
      <w:r>
        <w:rPr>
          <w:sz w:val="20"/>
        </w:rPr>
        <w:t xml:space="preserve"> </w:t>
      </w:r>
      <w:r>
        <w:rPr>
          <w:sz w:val="20"/>
        </w:rPr>
        <w:t xml:space="preserve">Lakatos, I. (1978). The methodology of scientific research programmes. Cambridge University Press.</w:t>
      </w:r>
    </w:p>
    <w:p>
      <w:pPr>
        <w:pStyle w:val="BodyText"/>
        <w:keepLines/>
        <w:spacing w:after="120"/>
        <w:jc w:val="left"/>
      </w:pPr>
      <w:bookmarkStart w:id="894" w:name="ref-LaMettrie1748"/>
      <w:bookmarkEnd w:id="894"/>
      <w:r>
        <w:rPr>
          <w:b/>
          <w:bCs/>
          <w:sz w:val="20"/>
        </w:rPr>
        <w:t xml:space="preserve">[K; LaMettrie1748]</w:t>
      </w:r>
      <w:r>
        <w:rPr>
          <w:sz w:val="20"/>
        </w:rPr>
        <w:t xml:space="preserve"> </w:t>
      </w:r>
      <w:r>
        <w:rPr>
          <w:sz w:val="20"/>
        </w:rPr>
        <w:t xml:space="preserve">La Mettrie, J. O. de. (1748). L’homme machine. Elie Luzac.</w:t>
      </w:r>
    </w:p>
    <w:p>
      <w:pPr>
        <w:pStyle w:val="BodyText"/>
        <w:keepLines/>
        <w:spacing w:after="120"/>
        <w:jc w:val="left"/>
      </w:pPr>
      <w:bookmarkStart w:id="895" w:name="ref-Lamport1978"/>
      <w:bookmarkEnd w:id="895"/>
      <w:r>
        <w:rPr>
          <w:b/>
          <w:bCs/>
          <w:sz w:val="20"/>
        </w:rPr>
        <w:t xml:space="preserve">[K; Lamport1978]</w:t>
      </w:r>
      <w:r>
        <w:rPr>
          <w:sz w:val="20"/>
        </w:rPr>
        <w:t xml:space="preserve"> </w:t>
      </w:r>
      <w:r>
        <w:rPr>
          <w:sz w:val="20"/>
        </w:rPr>
        <w:t xml:space="preserve">Lamport, L. (1978). Time, Clocks, and the Ordering of Events in a Distributed System. Communications of the ACM, 21(7), 558–565. https://doi.org/10.1145/359545.359563</w:t>
      </w:r>
    </w:p>
    <w:p>
      <w:pPr>
        <w:pStyle w:val="BodyText"/>
        <w:keepLines/>
        <w:spacing w:after="120"/>
        <w:jc w:val="left"/>
      </w:pPr>
      <w:bookmarkStart w:id="896" w:name="ref-Latour2005"/>
      <w:bookmarkEnd w:id="896"/>
      <w:r>
        <w:rPr>
          <w:b/>
          <w:bCs/>
          <w:sz w:val="20"/>
        </w:rPr>
        <w:t xml:space="preserve">[K; Latour2005]</w:t>
      </w:r>
      <w:r>
        <w:rPr>
          <w:sz w:val="20"/>
        </w:rPr>
        <w:t xml:space="preserve"> </w:t>
      </w:r>
      <w:r>
        <w:rPr>
          <w:sz w:val="20"/>
        </w:rPr>
        <w:t xml:space="preserve">Latour, B. (2005). Reassembling the social. Oxford University Press.</w:t>
      </w:r>
    </w:p>
    <w:p>
      <w:pPr>
        <w:pStyle w:val="BodyText"/>
        <w:keepLines/>
        <w:spacing w:after="120"/>
        <w:jc w:val="left"/>
      </w:pPr>
      <w:bookmarkStart w:id="897" w:name="ref-LeCun2015"/>
      <w:bookmarkEnd w:id="897"/>
      <w:r>
        <w:rPr>
          <w:b/>
          <w:bCs/>
          <w:sz w:val="20"/>
        </w:rPr>
        <w:t xml:space="preserve">[K; LeCun2015]</w:t>
      </w:r>
      <w:r>
        <w:rPr>
          <w:sz w:val="20"/>
        </w:rPr>
        <w:t xml:space="preserve"> </w:t>
      </w:r>
      <w:r>
        <w:rPr>
          <w:sz w:val="20"/>
        </w:rPr>
        <w:t xml:space="preserve">LeCun, Y., Bengio, Y., &amp; Hinton, G. (2015). Deep learning. Nature, 521, 436–444. https://doi.org/10.1038/nature14539</w:t>
      </w:r>
    </w:p>
    <w:p>
      <w:pPr>
        <w:pStyle w:val="BodyText"/>
        <w:keepLines/>
        <w:spacing w:after="120"/>
        <w:jc w:val="left"/>
      </w:pPr>
      <w:bookmarkStart w:id="898" w:name="ref-Lee2024"/>
      <w:bookmarkEnd w:id="898"/>
      <w:r>
        <w:rPr>
          <w:b/>
          <w:bCs/>
          <w:sz w:val="20"/>
        </w:rPr>
        <w:t xml:space="preserve">[K; Lee2024]</w:t>
      </w:r>
      <w:r>
        <w:rPr>
          <w:sz w:val="20"/>
        </w:rPr>
        <w:t xml:space="preserve"> </w:t>
      </w:r>
      <w:r>
        <w:rPr>
          <w:sz w:val="20"/>
        </w:rPr>
        <w:t xml:space="preserve">Lee, H., Joo, S. J., Kim, C., Jang, J., Kim, D., On, K.-W., &amp; Seo, M. (2024). How well do large language models truly ground? In Proceedings of the 2024 Conference of the North American Chapter of the Association for Computational Linguistics: Human Language Technologies (Vol. 1, pp. 2437–2465). Association for Computational Linguistics. https://doi.org/10.18653/v1/2024.naacl-long.135</w:t>
      </w:r>
    </w:p>
    <w:p>
      <w:pPr>
        <w:pStyle w:val="BodyText"/>
        <w:keepLines/>
        <w:spacing w:after="120"/>
        <w:jc w:val="left"/>
      </w:pPr>
      <w:bookmarkStart w:id="899" w:name="ref-Leibniz"/>
      <w:bookmarkEnd w:id="899"/>
      <w:r>
        <w:rPr>
          <w:b/>
          <w:bCs/>
          <w:sz w:val="20"/>
        </w:rPr>
        <w:t xml:space="preserve">[K; Leibniz]</w:t>
      </w:r>
      <w:r>
        <w:rPr>
          <w:sz w:val="20"/>
        </w:rPr>
        <w:t xml:space="preserve"> </w:t>
      </w:r>
      <w:r>
        <w:rPr>
          <w:sz w:val="20"/>
        </w:rPr>
        <w:t xml:space="preserve">Leibniz, G. W. (versch. Schriften). Characteristica universalis und calculus ratiocinator; vgl. Couturat-Ausgaben.</w:t>
      </w:r>
    </w:p>
    <w:p>
      <w:pPr>
        <w:pStyle w:val="BodyText"/>
        <w:keepLines/>
        <w:spacing w:after="120"/>
        <w:jc w:val="left"/>
      </w:pPr>
      <w:bookmarkStart w:id="900" w:name="ref-Leibniznd"/>
      <w:bookmarkEnd w:id="900"/>
      <w:r>
        <w:rPr>
          <w:b/>
          <w:bCs/>
          <w:sz w:val="20"/>
        </w:rPr>
        <w:t xml:space="preserve">[K; Leibniznd]</w:t>
      </w:r>
      <w:r>
        <w:rPr>
          <w:sz w:val="20"/>
        </w:rPr>
        <w:t xml:space="preserve"> </w:t>
      </w:r>
      <w:r>
        <w:rPr>
          <w:sz w:val="20"/>
        </w:rPr>
        <w:t xml:space="preserve">Leibniz, G. W. (n.d.). Writings on characteristica universalis and calculus ratiocinator.</w:t>
      </w:r>
    </w:p>
    <w:p>
      <w:pPr>
        <w:pStyle w:val="BodyText"/>
        <w:keepLines/>
        <w:spacing w:after="120"/>
        <w:jc w:val="left"/>
      </w:pPr>
      <w:bookmarkStart w:id="901" w:name="ref-Leike2018"/>
      <w:bookmarkEnd w:id="901"/>
      <w:r>
        <w:rPr>
          <w:b/>
          <w:bCs/>
          <w:sz w:val="20"/>
        </w:rPr>
        <w:t xml:space="preserve">[K; Leike2018]</w:t>
      </w:r>
      <w:r>
        <w:rPr>
          <w:sz w:val="20"/>
        </w:rPr>
        <w:t xml:space="preserve"> </w:t>
      </w:r>
      <w:r>
        <w:rPr>
          <w:sz w:val="20"/>
        </w:rPr>
        <w:t xml:space="preserve">Leike, J., Krueger, D., Everitt, T., Martic, M., Maini, V., &amp; Legg, S. (2018). Scalable agent alignment via reward modeling. arXiv. https://doi.org/10.48550/arXiv.1811.07871</w:t>
      </w:r>
    </w:p>
    <w:p>
      <w:pPr>
        <w:pStyle w:val="BodyText"/>
        <w:keepLines/>
        <w:spacing w:after="120"/>
        <w:jc w:val="left"/>
      </w:pPr>
      <w:bookmarkStart w:id="902" w:name="ref-Lewis2020"/>
      <w:bookmarkEnd w:id="902"/>
      <w:r>
        <w:rPr>
          <w:b/>
          <w:bCs/>
          <w:sz w:val="20"/>
        </w:rPr>
        <w:t xml:space="preserve">[K; Lewis2020]</w:t>
      </w:r>
      <w:r>
        <w:rPr>
          <w:sz w:val="20"/>
        </w:rPr>
        <w:t xml:space="preserve"> </w:t>
      </w:r>
      <w:r>
        <w:rPr>
          <w:sz w:val="20"/>
        </w:rPr>
        <w:t xml:space="preserve">Lewis, P., Perez, E., Piktus, A., Petroni, F., Karpukhin, V., Goyal, N., Küttler, H., Lewis, M., Yih, W., Rocktäschel, T., Riedel, S., &amp; Kiela, D. (2020). Retrieval-Augmented Generation for Knowledge-Intensive NLP Tasks. Advances in Neural Information Processing Systems 33, 9459–9474.</w:t>
      </w:r>
    </w:p>
    <w:p>
      <w:pPr>
        <w:pStyle w:val="BodyText"/>
        <w:keepLines/>
        <w:spacing w:after="120"/>
        <w:jc w:val="left"/>
      </w:pPr>
      <w:bookmarkStart w:id="903" w:name="ref-Li2024rewiring"/>
      <w:bookmarkEnd w:id="903"/>
      <w:r>
        <w:rPr>
          <w:b/>
          <w:bCs/>
          <w:sz w:val="20"/>
        </w:rPr>
        <w:t xml:space="preserve">[K; Li2024rewiring]</w:t>
      </w:r>
      <w:r>
        <w:rPr>
          <w:sz w:val="20"/>
        </w:rPr>
        <w:t xml:space="preserve"> </w:t>
      </w:r>
      <w:r>
        <w:rPr>
          <w:sz w:val="20"/>
        </w:rPr>
        <w:t xml:space="preserve">Li, J., Bauer, R., Rentzeperis, I., &amp; Leeuwen, C. van. (2024). Adaptive Rewiring: A General Principle for Neural Network Development. Frontiers in Network Physiology, 4, 1410092. https://doi.org/10.3389/fnetp.2024.1410092</w:t>
      </w:r>
    </w:p>
    <w:p>
      <w:pPr>
        <w:pStyle w:val="BodyText"/>
        <w:keepLines/>
        <w:spacing w:after="120"/>
        <w:jc w:val="left"/>
      </w:pPr>
      <w:bookmarkStart w:id="904" w:name="ref-Lipton2018"/>
      <w:bookmarkEnd w:id="904"/>
      <w:r>
        <w:rPr>
          <w:b/>
          <w:bCs/>
          <w:sz w:val="20"/>
        </w:rPr>
        <w:t xml:space="preserve">[K; Lipton2018]</w:t>
      </w:r>
      <w:r>
        <w:rPr>
          <w:sz w:val="20"/>
        </w:rPr>
        <w:t xml:space="preserve"> </w:t>
      </w:r>
      <w:r>
        <w:rPr>
          <w:sz w:val="20"/>
        </w:rPr>
        <w:t xml:space="preserve">Lipton, Z. C. (2018). The mythos of model interpretability. Communications of the ACM, 61(10), 36–43. https://doi.org/10.1145/3233231</w:t>
      </w:r>
    </w:p>
    <w:p>
      <w:pPr>
        <w:pStyle w:val="BodyText"/>
        <w:keepLines/>
        <w:spacing w:after="120"/>
        <w:jc w:val="left"/>
      </w:pPr>
      <w:bookmarkStart w:id="905" w:name="ref-Littman2001"/>
      <w:bookmarkEnd w:id="905"/>
      <w:r>
        <w:rPr>
          <w:b/>
          <w:bCs/>
          <w:sz w:val="20"/>
        </w:rPr>
        <w:t xml:space="preserve">[K; Littman2001]</w:t>
      </w:r>
      <w:r>
        <w:rPr>
          <w:sz w:val="20"/>
        </w:rPr>
        <w:t xml:space="preserve"> </w:t>
      </w:r>
      <w:r>
        <w:rPr>
          <w:sz w:val="20"/>
        </w:rPr>
        <w:t xml:space="preserve">Littman, M. L., Sutton, R. S., &amp; Singh, S. (2001). Predictive Representations of State. Advances in Neural Information Processing Systems 14, 1555–1561.</w:t>
      </w:r>
    </w:p>
    <w:p>
      <w:pPr>
        <w:pStyle w:val="BodyText"/>
        <w:keepLines/>
        <w:spacing w:after="120"/>
        <w:jc w:val="left"/>
      </w:pPr>
      <w:bookmarkStart w:id="906" w:name="ref-LitwinKumar2014"/>
      <w:bookmarkEnd w:id="906"/>
      <w:r>
        <w:rPr>
          <w:b/>
          <w:bCs/>
          <w:sz w:val="20"/>
        </w:rPr>
        <w:t xml:space="preserve">[K; LitwinKumar2014]</w:t>
      </w:r>
      <w:r>
        <w:rPr>
          <w:sz w:val="20"/>
        </w:rPr>
        <w:t xml:space="preserve"> </w:t>
      </w:r>
      <w:r>
        <w:rPr>
          <w:sz w:val="20"/>
        </w:rPr>
        <w:t xml:space="preserve">Litwin-Kumar, A., &amp; Doiron, B. (2014). Formation and Maintenance of Neuronal Assemblies through Synaptic Plasticity. Nature Communications, 5, 5319. https://doi.org/10.1038/ncomms6319</w:t>
      </w:r>
    </w:p>
    <w:p>
      <w:pPr>
        <w:pStyle w:val="BodyText"/>
        <w:keepLines/>
        <w:spacing w:after="120"/>
        <w:jc w:val="left"/>
      </w:pPr>
      <w:bookmarkStart w:id="907" w:name="ref-LopezPaz2017"/>
      <w:bookmarkEnd w:id="907"/>
      <w:r>
        <w:rPr>
          <w:b/>
          <w:bCs/>
          <w:sz w:val="20"/>
        </w:rPr>
        <w:t xml:space="preserve">[K; LopezPaz2017]</w:t>
      </w:r>
      <w:r>
        <w:rPr>
          <w:sz w:val="20"/>
        </w:rPr>
        <w:t xml:space="preserve"> </w:t>
      </w:r>
      <w:r>
        <w:rPr>
          <w:sz w:val="20"/>
        </w:rPr>
        <w:t xml:space="preserve">Lopez-Paz, D., &amp; Ranzato, M. (2017). Gradient Episodic Memory for Continual Learning. Advances in Neural Information Processing Systems 30.</w:t>
      </w:r>
    </w:p>
    <w:p>
      <w:pPr>
        <w:pStyle w:val="BodyText"/>
        <w:keepLines/>
        <w:spacing w:after="120"/>
        <w:jc w:val="left"/>
      </w:pPr>
      <w:bookmarkStart w:id="908" w:name="ref-Lovelace1843"/>
      <w:bookmarkEnd w:id="908"/>
      <w:r>
        <w:rPr>
          <w:b/>
          <w:bCs/>
          <w:sz w:val="20"/>
        </w:rPr>
        <w:t xml:space="preserve">[K; Lovelace1843]</w:t>
      </w:r>
      <w:r>
        <w:rPr>
          <w:sz w:val="20"/>
        </w:rPr>
        <w:t xml:space="preserve"> </w:t>
      </w:r>
      <w:r>
        <w:rPr>
          <w:sz w:val="20"/>
        </w:rPr>
        <w:t xml:space="preserve">Lovelace, A. A. (1843). Notes on L. F. Menabrea’s sketch of the analytical engine. Scientific Memoirs, 3, 666–731.</w:t>
      </w:r>
    </w:p>
    <w:p>
      <w:pPr>
        <w:pStyle w:val="BodyText"/>
        <w:keepLines/>
        <w:spacing w:after="120"/>
        <w:jc w:val="left"/>
      </w:pPr>
      <w:bookmarkStart w:id="909" w:name="ref-Lu2026"/>
      <w:bookmarkEnd w:id="909"/>
      <w:r>
        <w:rPr>
          <w:b/>
          <w:bCs/>
          <w:sz w:val="20"/>
        </w:rPr>
        <w:t xml:space="preserve">[W; Lu2026; W01]</w:t>
      </w:r>
      <w:r>
        <w:rPr>
          <w:sz w:val="20"/>
        </w:rPr>
        <w:t xml:space="preserve"> </w:t>
      </w:r>
      <w:r>
        <w:rPr>
          <w:sz w:val="20"/>
        </w:rPr>
        <w:t xml:space="preserve">Lu, C., Lu, C., Lange, R. T., Yamada, Y., Hu, S., Foerster, J., Ha, D., &amp; Clune, J. (2026). Towards end-to-end automation of AI research. Nature, 651, 914-919. https://doi.org/10.1038/s41586-026-10265-5</w:t>
      </w:r>
    </w:p>
    <w:p>
      <w:pPr>
        <w:pStyle w:val="BodyText"/>
        <w:keepLines/>
        <w:spacing w:after="120"/>
        <w:jc w:val="left"/>
      </w:pPr>
      <w:bookmarkStart w:id="910" w:name="ref-Lukosevicius2009"/>
      <w:bookmarkEnd w:id="910"/>
      <w:r>
        <w:rPr>
          <w:b/>
          <w:bCs/>
          <w:sz w:val="20"/>
        </w:rPr>
        <w:t xml:space="preserve">[K; Lukosevicius2009]</w:t>
      </w:r>
      <w:r>
        <w:rPr>
          <w:sz w:val="20"/>
        </w:rPr>
        <w:t xml:space="preserve"> </w:t>
      </w:r>
      <w:r>
        <w:rPr>
          <w:sz w:val="20"/>
        </w:rPr>
        <w:t xml:space="preserve">Lukoševičius, M., &amp; Jaeger, H. (2009). Reservoir Computing Approaches to Recurrent Neural Network Training. Computer Science Review, 3(3), 127–149. https://doi.org/10.1016/j.cosrev.2009.03.005</w:t>
      </w:r>
    </w:p>
    <w:p>
      <w:pPr>
        <w:pStyle w:val="BodyText"/>
        <w:keepLines/>
        <w:spacing w:after="120"/>
        <w:jc w:val="left"/>
      </w:pPr>
      <w:bookmarkStart w:id="911" w:name="ref-Maass1997"/>
      <w:bookmarkEnd w:id="911"/>
      <w:r>
        <w:rPr>
          <w:b/>
          <w:bCs/>
          <w:sz w:val="20"/>
        </w:rPr>
        <w:t xml:space="preserve">[K; Maass1997]</w:t>
      </w:r>
      <w:r>
        <w:rPr>
          <w:sz w:val="20"/>
        </w:rPr>
        <w:t xml:space="preserve"> </w:t>
      </w:r>
      <w:r>
        <w:rPr>
          <w:sz w:val="20"/>
        </w:rPr>
        <w:t xml:space="preserve">Maass, W. (1997). Networks of Spiking Neurons: The Third Generation of Neural Network Models. Neural Networks, 10(9), 1659–1671. https://doi.org/10.1016/S0893-6080(97)00011-7</w:t>
      </w:r>
    </w:p>
    <w:p>
      <w:pPr>
        <w:pStyle w:val="BodyText"/>
        <w:keepLines/>
        <w:spacing w:after="120"/>
        <w:jc w:val="left"/>
      </w:pPr>
      <w:bookmarkStart w:id="912" w:name="ref-Maass2002LSM"/>
      <w:bookmarkEnd w:id="912"/>
      <w:r>
        <w:rPr>
          <w:b/>
          <w:bCs/>
          <w:sz w:val="20"/>
        </w:rPr>
        <w:t xml:space="preserve">[K; Maass2002LSM]</w:t>
      </w:r>
      <w:r>
        <w:rPr>
          <w:sz w:val="20"/>
        </w:rPr>
        <w:t xml:space="preserve"> </w:t>
      </w:r>
      <w:r>
        <w:rPr>
          <w:sz w:val="20"/>
        </w:rPr>
        <w:t xml:space="preserve">Maass, W., Natschläger, T., &amp; Markram, H. (2002). Real-Time Computing without Stable States: A New Framework for Neural Computation Based on Perturbations. Neural Computation, 14(11), 2531–2560. https://doi.org/10.1162/089976602760407955</w:t>
      </w:r>
    </w:p>
    <w:p>
      <w:pPr>
        <w:pStyle w:val="BodyText"/>
        <w:keepLines/>
        <w:spacing w:after="120"/>
        <w:jc w:val="left"/>
      </w:pPr>
      <w:bookmarkStart w:id="913" w:name="ref-Mahowald2024"/>
      <w:bookmarkEnd w:id="913"/>
      <w:r>
        <w:rPr>
          <w:b/>
          <w:bCs/>
          <w:sz w:val="20"/>
        </w:rPr>
        <w:t xml:space="preserve">[K; Mahowald2024]</w:t>
      </w:r>
      <w:r>
        <w:rPr>
          <w:sz w:val="20"/>
        </w:rPr>
        <w:t xml:space="preserve"> </w:t>
      </w:r>
      <w:r>
        <w:rPr>
          <w:sz w:val="20"/>
        </w:rPr>
        <w:t xml:space="preserve">Mahowald, K., Ivanova, A. A., Blank, I. A., Kanwisher, N., Tenenbaum, J. B., &amp; Fedorenko, E. (2024). Dissociating language and thought in large language models. Trends in Cognitive Sciences, 28(6), 517–540. https://doi.org/10.1016/j.tics.2024.01.011</w:t>
      </w:r>
    </w:p>
    <w:p>
      <w:pPr>
        <w:pStyle w:val="BodyText"/>
        <w:keepLines/>
        <w:spacing w:after="120"/>
        <w:jc w:val="left"/>
      </w:pPr>
      <w:bookmarkStart w:id="914" w:name="ref-Markram1997"/>
      <w:bookmarkEnd w:id="914"/>
      <w:r>
        <w:rPr>
          <w:b/>
          <w:bCs/>
          <w:sz w:val="20"/>
        </w:rPr>
        <w:t xml:space="preserve">[K; Markram1997]</w:t>
      </w:r>
      <w:r>
        <w:rPr>
          <w:sz w:val="20"/>
        </w:rPr>
        <w:t xml:space="preserve"> </w:t>
      </w:r>
      <w:r>
        <w:rPr>
          <w:sz w:val="20"/>
        </w:rPr>
        <w:t xml:space="preserve">Markram, H., Lübke, J., Frotscher, M., &amp; Sakmann, B. (1997). Regulation of Synaptic Efficacy by Coincidence of Postsynaptic APs and EPSPs. Science, 275(5297), 213–215. https://doi.org/10.1126/science.275.5297.213</w:t>
      </w:r>
    </w:p>
    <w:p>
      <w:pPr>
        <w:pStyle w:val="BodyText"/>
        <w:keepLines/>
        <w:spacing w:after="120"/>
        <w:jc w:val="left"/>
      </w:pPr>
      <w:bookmarkStart w:id="915" w:name="ref-Marr1971"/>
      <w:bookmarkEnd w:id="915"/>
      <w:r>
        <w:rPr>
          <w:b/>
          <w:bCs/>
          <w:sz w:val="20"/>
        </w:rPr>
        <w:t xml:space="preserve">[K; Marr1971]</w:t>
      </w:r>
      <w:r>
        <w:rPr>
          <w:sz w:val="20"/>
        </w:rPr>
        <w:t xml:space="preserve"> </w:t>
      </w:r>
      <w:r>
        <w:rPr>
          <w:sz w:val="20"/>
        </w:rPr>
        <w:t xml:space="preserve">Marr, D. (1971). Simple Memory: A Theory for Archicortex. Philosophical Transactions of the Royal Society B, 262(841), 23–81. https://doi.org/10.1098/rstb.1971.0078</w:t>
      </w:r>
    </w:p>
    <w:p>
      <w:pPr>
        <w:pStyle w:val="BodyText"/>
        <w:keepLines/>
        <w:spacing w:after="120"/>
        <w:jc w:val="left"/>
      </w:pPr>
      <w:bookmarkStart w:id="916" w:name="ref-Maslov2002"/>
      <w:bookmarkEnd w:id="916"/>
      <w:r>
        <w:rPr>
          <w:b/>
          <w:bCs/>
          <w:sz w:val="20"/>
        </w:rPr>
        <w:t xml:space="preserve">[K; Maslov2002]</w:t>
      </w:r>
      <w:r>
        <w:rPr>
          <w:sz w:val="20"/>
        </w:rPr>
        <w:t xml:space="preserve"> </w:t>
      </w:r>
      <w:r>
        <w:rPr>
          <w:sz w:val="20"/>
        </w:rPr>
        <w:t xml:space="preserve">Maslov, S., &amp; Sneppen, K. (2002). Specificity and Stability in Topology of Protein Networks. Science, 296(5569), 910–913. https://doi.org/10.1126/science.1065103</w:t>
      </w:r>
    </w:p>
    <w:p>
      <w:pPr>
        <w:pStyle w:val="BodyText"/>
        <w:keepLines/>
        <w:spacing w:after="120"/>
        <w:jc w:val="left"/>
      </w:pPr>
      <w:bookmarkStart w:id="917" w:name="ref-Matthias2004"/>
      <w:bookmarkEnd w:id="917"/>
      <w:r>
        <w:rPr>
          <w:b/>
          <w:bCs/>
          <w:sz w:val="20"/>
        </w:rPr>
        <w:t xml:space="preserve">[K; Matthias2004]</w:t>
      </w:r>
      <w:r>
        <w:rPr>
          <w:sz w:val="20"/>
        </w:rPr>
        <w:t xml:space="preserve"> </w:t>
      </w:r>
      <w:r>
        <w:rPr>
          <w:sz w:val="20"/>
        </w:rPr>
        <w:t xml:space="preserve">Matthias, A. (2004). The responsibility gap. Ethics and Information Technology, 6, 175–183. https://doi.org/10.1007/s10676-004-3422-1</w:t>
      </w:r>
    </w:p>
    <w:p>
      <w:pPr>
        <w:pStyle w:val="BodyText"/>
        <w:keepLines/>
        <w:spacing w:after="120"/>
        <w:jc w:val="left"/>
      </w:pPr>
      <w:bookmarkStart w:id="918" w:name="ref-Maturana1980"/>
      <w:bookmarkEnd w:id="918"/>
      <w:r>
        <w:rPr>
          <w:b/>
          <w:bCs/>
          <w:sz w:val="20"/>
        </w:rPr>
        <w:t xml:space="preserve">[K; Maturana1980]</w:t>
      </w:r>
      <w:r>
        <w:rPr>
          <w:sz w:val="20"/>
        </w:rPr>
        <w:t xml:space="preserve"> </w:t>
      </w:r>
      <w:r>
        <w:rPr>
          <w:sz w:val="20"/>
        </w:rPr>
        <w:t xml:space="preserve">Maturana, H. R., &amp; Varela, F. J. (1980). Autopoiesis and cognition. Reidel.</w:t>
      </w:r>
    </w:p>
    <w:p>
      <w:pPr>
        <w:pStyle w:val="BodyText"/>
        <w:keepLines/>
        <w:spacing w:after="120"/>
        <w:jc w:val="left"/>
      </w:pPr>
      <w:bookmarkStart w:id="919" w:name="ref-Mayor2018"/>
      <w:bookmarkEnd w:id="919"/>
      <w:r>
        <w:rPr>
          <w:b/>
          <w:bCs/>
          <w:sz w:val="20"/>
        </w:rPr>
        <w:t xml:space="preserve">[K; Mayor2018]</w:t>
      </w:r>
      <w:r>
        <w:rPr>
          <w:sz w:val="20"/>
        </w:rPr>
        <w:t xml:space="preserve"> </w:t>
      </w:r>
      <w:r>
        <w:rPr>
          <w:sz w:val="20"/>
        </w:rPr>
        <w:t xml:space="preserve">Mayor, A. (2018). Gods and robots. Princeton University Press.</w:t>
      </w:r>
    </w:p>
    <w:p>
      <w:pPr>
        <w:pStyle w:val="BodyText"/>
        <w:keepLines/>
        <w:spacing w:after="120"/>
        <w:jc w:val="left"/>
      </w:pPr>
      <w:bookmarkStart w:id="920" w:name="ref-McCarthy1955"/>
      <w:bookmarkEnd w:id="920"/>
      <w:r>
        <w:rPr>
          <w:b/>
          <w:bCs/>
          <w:sz w:val="20"/>
        </w:rPr>
        <w:t xml:space="preserve">[K; McCarthy1955]</w:t>
      </w:r>
      <w:r>
        <w:rPr>
          <w:sz w:val="20"/>
        </w:rPr>
        <w:t xml:space="preserve"> </w:t>
      </w:r>
      <w:r>
        <w:rPr>
          <w:sz w:val="20"/>
        </w:rPr>
        <w:t xml:space="preserve">McCarthy, J., Minsky, M. L., Rochester, N., &amp; Shannon, C. E. (1955). A proposal for the Dartmouth Summer Research Project on Artificial Intelligence.</w:t>
      </w:r>
    </w:p>
    <w:p>
      <w:pPr>
        <w:pStyle w:val="BodyText"/>
        <w:keepLines/>
        <w:spacing w:after="120"/>
        <w:jc w:val="left"/>
      </w:pPr>
      <w:bookmarkStart w:id="921" w:name="ref-McClelland1995"/>
      <w:bookmarkEnd w:id="921"/>
      <w:r>
        <w:rPr>
          <w:b/>
          <w:bCs/>
          <w:sz w:val="20"/>
        </w:rPr>
        <w:t xml:space="preserve">[K; McClelland1995]</w:t>
      </w:r>
      <w:r>
        <w:rPr>
          <w:sz w:val="20"/>
        </w:rPr>
        <w:t xml:space="preserve"> </w:t>
      </w:r>
      <w:r>
        <w:rPr>
          <w:sz w:val="20"/>
        </w:rPr>
        <w:t xml:space="preserve">McClelland, J. L., McNaughton, B. L., &amp; O’Reilly, R. C. (1995). Why There Are Complementary Learning Systems in the Hippocampus and Neocortex: Insights from the Successes and Failures of Connectionist Models of Learning and Memory. Psychological Review, 102(3), 419–457. https://doi.org/10.1037/0033-295X.102.3.419</w:t>
      </w:r>
    </w:p>
    <w:p>
      <w:pPr>
        <w:pStyle w:val="BodyText"/>
        <w:keepLines/>
        <w:spacing w:after="120"/>
        <w:jc w:val="left"/>
      </w:pPr>
      <w:bookmarkStart w:id="922" w:name="ref-McCloskey1989"/>
      <w:bookmarkEnd w:id="922"/>
      <w:r>
        <w:rPr>
          <w:b/>
          <w:bCs/>
          <w:sz w:val="20"/>
        </w:rPr>
        <w:t xml:space="preserve">[K; McCloskey1989]</w:t>
      </w:r>
      <w:r>
        <w:rPr>
          <w:sz w:val="20"/>
        </w:rPr>
        <w:t xml:space="preserve"> </w:t>
      </w:r>
      <w:r>
        <w:rPr>
          <w:sz w:val="20"/>
        </w:rPr>
        <w:t xml:space="preserve">McCloskey, M., &amp; Cohen, N. J. (1989). Catastrophic Interference in Connectionist Networks: The Sequential Learning Problem. In G. H. Bower (Hrsg.), Psychology of Learning and Motivation (Bd. 24, S. 109–165). Academic Press. https://doi.org/10.1016/S0079-7421(08)60536-8</w:t>
      </w:r>
    </w:p>
    <w:p>
      <w:pPr>
        <w:pStyle w:val="BodyText"/>
        <w:keepLines/>
        <w:spacing w:after="120"/>
        <w:jc w:val="left"/>
      </w:pPr>
      <w:bookmarkStart w:id="923" w:name="ref-McCulloch1943"/>
      <w:bookmarkEnd w:id="923"/>
      <w:r>
        <w:rPr>
          <w:b/>
          <w:bCs/>
          <w:sz w:val="20"/>
        </w:rPr>
        <w:t xml:space="preserve">[K; McCulloch1943]</w:t>
      </w:r>
      <w:r>
        <w:rPr>
          <w:sz w:val="20"/>
        </w:rPr>
        <w:t xml:space="preserve"> </w:t>
      </w:r>
      <w:r>
        <w:rPr>
          <w:sz w:val="20"/>
        </w:rPr>
        <w:t xml:space="preserve">McCulloch, W. S., &amp; Pitts, W. (1943). A logical calculus of the ideas immanent in nervous activity. Bulletin of Mathematical Biophysics, 5, 115–133. https://doi.org/10.1007/BF02478259</w:t>
      </w:r>
    </w:p>
    <w:p>
      <w:pPr>
        <w:pStyle w:val="BodyText"/>
        <w:keepLines/>
        <w:spacing w:after="120"/>
        <w:jc w:val="left"/>
      </w:pPr>
      <w:bookmarkStart w:id="924" w:name="ref-Minsky1967"/>
      <w:bookmarkEnd w:id="924"/>
      <w:r>
        <w:rPr>
          <w:b/>
          <w:bCs/>
          <w:sz w:val="20"/>
        </w:rPr>
        <w:t xml:space="preserve">[K; Minsky1967]</w:t>
      </w:r>
      <w:r>
        <w:rPr>
          <w:sz w:val="20"/>
        </w:rPr>
        <w:t xml:space="preserve"> </w:t>
      </w:r>
      <w:r>
        <w:rPr>
          <w:sz w:val="20"/>
        </w:rPr>
        <w:t xml:space="preserve">Minsky, M. (1967). Computation: Finite and infinite machines. Prentice-Hall.</w:t>
      </w:r>
    </w:p>
    <w:p>
      <w:pPr>
        <w:pStyle w:val="BodyText"/>
        <w:keepLines/>
        <w:spacing w:after="120"/>
        <w:jc w:val="left"/>
      </w:pPr>
      <w:bookmarkStart w:id="925" w:name="ref-Minsky1969"/>
      <w:bookmarkEnd w:id="925"/>
      <w:r>
        <w:rPr>
          <w:b/>
          <w:bCs/>
          <w:sz w:val="20"/>
        </w:rPr>
        <w:t xml:space="preserve">[K; Minsky1969]</w:t>
      </w:r>
      <w:r>
        <w:rPr>
          <w:sz w:val="20"/>
        </w:rPr>
        <w:t xml:space="preserve"> </w:t>
      </w:r>
      <w:r>
        <w:rPr>
          <w:sz w:val="20"/>
        </w:rPr>
        <w:t xml:space="preserve">Minsky, M., &amp; Papert, S. (1969). Perceptrons. MIT Press.</w:t>
      </w:r>
    </w:p>
    <w:p>
      <w:pPr>
        <w:pStyle w:val="BodyText"/>
        <w:keepLines/>
        <w:spacing w:after="120"/>
        <w:jc w:val="left"/>
      </w:pPr>
      <w:bookmarkStart w:id="926" w:name="ref-Mitchell2019"/>
      <w:bookmarkEnd w:id="926"/>
      <w:r>
        <w:rPr>
          <w:b/>
          <w:bCs/>
          <w:sz w:val="20"/>
        </w:rPr>
        <w:t xml:space="preserve">[K; Mitchell2019]</w:t>
      </w:r>
      <w:r>
        <w:rPr>
          <w:sz w:val="20"/>
        </w:rPr>
        <w:t xml:space="preserve"> </w:t>
      </w:r>
      <w:r>
        <w:rPr>
          <w:sz w:val="20"/>
        </w:rPr>
        <w:t xml:space="preserve">Mitchell, M., Wu, S., Zaldivar, A., Barnes, P., Vasserman, L., Hutchinson, B., Spitzer, E., Raji, I. D., &amp; Gebru, T. (2019). Model Cards for Model Reporting. Proceedings of the Conference on Fairness, Accountability, and Transparency, 220–229. https://doi.org/10.1145/3287560.3287596</w:t>
      </w:r>
    </w:p>
    <w:p>
      <w:pPr>
        <w:pStyle w:val="BodyText"/>
        <w:keepLines/>
        <w:spacing w:after="120"/>
        <w:jc w:val="left"/>
      </w:pPr>
      <w:bookmarkStart w:id="927" w:name="ref-Mittelstadt2016"/>
      <w:bookmarkEnd w:id="927"/>
      <w:r>
        <w:rPr>
          <w:b/>
          <w:bCs/>
          <w:sz w:val="20"/>
        </w:rPr>
        <w:t xml:space="preserve">[K; Mittelstadt2016]</w:t>
      </w:r>
      <w:r>
        <w:rPr>
          <w:sz w:val="20"/>
        </w:rPr>
        <w:t xml:space="preserve"> </w:t>
      </w:r>
      <w:r>
        <w:rPr>
          <w:sz w:val="20"/>
        </w:rPr>
        <w:t xml:space="preserve">Mittelstadt, B. D., Allo, P., Taddeo, M., Wachter, S., &amp; Floridi, L. (2016). The ethics of algorithms. Big Data &amp; Society, 3(2). https://doi.org/10.1177/2053951716679679</w:t>
      </w:r>
    </w:p>
    <w:p>
      <w:pPr>
        <w:pStyle w:val="BodyText"/>
        <w:keepLines/>
        <w:spacing w:after="120"/>
        <w:jc w:val="left"/>
      </w:pPr>
      <w:bookmarkStart w:id="928" w:name="ref-Mittelstadt2019"/>
      <w:bookmarkEnd w:id="928"/>
      <w:r>
        <w:rPr>
          <w:b/>
          <w:bCs/>
          <w:sz w:val="20"/>
        </w:rPr>
        <w:t xml:space="preserve">[K; Mittelstadt2019]</w:t>
      </w:r>
      <w:r>
        <w:rPr>
          <w:sz w:val="20"/>
        </w:rPr>
        <w:t xml:space="preserve"> </w:t>
      </w:r>
      <w:r>
        <w:rPr>
          <w:sz w:val="20"/>
        </w:rPr>
        <w:t xml:space="preserve">Mittelstadt, B. D. (2019). Principles alone cannot guarantee ethical AI. Nature Machine Intelligence, 1, 501–507. https://doi.org/10.1038/s42256-019-0114-4</w:t>
      </w:r>
    </w:p>
    <w:p>
      <w:pPr>
        <w:pStyle w:val="BodyText"/>
        <w:keepLines/>
        <w:spacing w:after="120"/>
        <w:jc w:val="left"/>
      </w:pPr>
      <w:bookmarkStart w:id="929" w:name="ref-Mongillo2008"/>
      <w:bookmarkEnd w:id="929"/>
      <w:r>
        <w:rPr>
          <w:b/>
          <w:bCs/>
          <w:sz w:val="20"/>
        </w:rPr>
        <w:t xml:space="preserve">[K; Mongillo2008]</w:t>
      </w:r>
      <w:r>
        <w:rPr>
          <w:sz w:val="20"/>
        </w:rPr>
        <w:t xml:space="preserve"> </w:t>
      </w:r>
      <w:r>
        <w:rPr>
          <w:sz w:val="20"/>
        </w:rPr>
        <w:t xml:space="preserve">Mongillo, G., Barak, O., &amp; Tsodyks, M. (2008). Synaptic Theory of Working Memory. Science, 319(5869), 1543–1546. https://doi.org/10.1126/science.1150769</w:t>
      </w:r>
    </w:p>
    <w:p>
      <w:pPr>
        <w:pStyle w:val="BodyText"/>
        <w:keepLines/>
        <w:spacing w:after="120"/>
        <w:jc w:val="left"/>
      </w:pPr>
      <w:bookmarkStart w:id="930" w:name="ref-Moor2006"/>
      <w:bookmarkEnd w:id="930"/>
      <w:r>
        <w:rPr>
          <w:b/>
          <w:bCs/>
          <w:sz w:val="20"/>
        </w:rPr>
        <w:t xml:space="preserve">[K; Moor2006]</w:t>
      </w:r>
      <w:r>
        <w:rPr>
          <w:sz w:val="20"/>
        </w:rPr>
        <w:t xml:space="preserve"> </w:t>
      </w:r>
      <w:r>
        <w:rPr>
          <w:sz w:val="20"/>
        </w:rPr>
        <w:t xml:space="preserve">Moor, J. H. (2006). The nature, importance, and difficulty of machine ethics. IEEE Intelligent Systems, 21(4), 18–21. https://doi.org/10.1109/MIS.2006.80</w:t>
      </w:r>
    </w:p>
    <w:p>
      <w:pPr>
        <w:pStyle w:val="BodyText"/>
        <w:keepLines/>
        <w:spacing w:after="120"/>
        <w:jc w:val="left"/>
      </w:pPr>
      <w:bookmarkStart w:id="931" w:name="ref-Moreau2013"/>
      <w:bookmarkEnd w:id="931"/>
      <w:r>
        <w:rPr>
          <w:b/>
          <w:bCs/>
          <w:sz w:val="20"/>
        </w:rPr>
        <w:t xml:space="preserve">[K; Moreau2013]</w:t>
      </w:r>
      <w:r>
        <w:rPr>
          <w:sz w:val="20"/>
        </w:rPr>
        <w:t xml:space="preserve"> </w:t>
      </w:r>
      <w:r>
        <w:rPr>
          <w:sz w:val="20"/>
        </w:rPr>
        <w:t xml:space="preserve">Moreau, L., Missier, P., et al. (2013). PROV-DM: The PROV Data Model. https://www.w3.org/TR/prov-dm/</w:t>
      </w:r>
    </w:p>
    <w:p>
      <w:pPr>
        <w:pStyle w:val="BodyText"/>
        <w:keepLines/>
        <w:spacing w:after="120"/>
        <w:jc w:val="left"/>
      </w:pPr>
      <w:bookmarkStart w:id="932" w:name="ref-Munafo2017"/>
      <w:bookmarkEnd w:id="932"/>
      <w:r>
        <w:rPr>
          <w:b/>
          <w:bCs/>
          <w:sz w:val="20"/>
        </w:rPr>
        <w:t xml:space="preserve">[K; Munafo2017]</w:t>
      </w:r>
      <w:r>
        <w:rPr>
          <w:sz w:val="20"/>
        </w:rPr>
        <w:t xml:space="preserve"> </w:t>
      </w:r>
      <w:r>
        <w:rPr>
          <w:sz w:val="20"/>
        </w:rPr>
        <w:t xml:space="preserve">Munafò, M. R., Nosek, B. A., Bishop, D. V. M., et al. (2017). A Manifesto for Reproducible Science. Nature Human Behaviour, 1, 0021. https://doi.org/10.1038/s41562-016-0021</w:t>
      </w:r>
    </w:p>
    <w:p>
      <w:pPr>
        <w:pStyle w:val="BodyText"/>
        <w:keepLines/>
        <w:spacing w:after="120"/>
        <w:jc w:val="left"/>
      </w:pPr>
      <w:bookmarkStart w:id="933" w:name="ref-NationalInstituteofStandardsan2026"/>
      <w:bookmarkEnd w:id="933"/>
      <w:r>
        <w:rPr>
          <w:b/>
          <w:bCs/>
          <w:sz w:val="20"/>
        </w:rPr>
        <w:t xml:space="preserve">[W; NationalInstituteofStandardsan2026; W09]</w:t>
      </w:r>
      <w:r>
        <w:rPr>
          <w:sz w:val="20"/>
        </w:rPr>
        <w:t xml:space="preserve"> </w:t>
      </w:r>
      <w:r>
        <w:rPr>
          <w:sz w:val="20"/>
        </w:rPr>
        <w:t xml:space="preserve">National Institute of Standards and Technology (2026). AI Risk Management Framework. Official framework portal; AI RMF 1.0 and revision context. https://www.nist.gov/itl/ai-risk-management-framework</w:t>
      </w:r>
    </w:p>
    <w:p>
      <w:pPr>
        <w:pStyle w:val="BodyText"/>
        <w:keepLines/>
        <w:spacing w:after="120"/>
        <w:jc w:val="left"/>
      </w:pPr>
      <w:bookmarkStart w:id="934" w:name="ref-Neftci2019"/>
      <w:bookmarkEnd w:id="934"/>
      <w:r>
        <w:rPr>
          <w:b/>
          <w:bCs/>
          <w:sz w:val="20"/>
        </w:rPr>
        <w:t xml:space="preserve">[K; Neftci2019]</w:t>
      </w:r>
      <w:r>
        <w:rPr>
          <w:sz w:val="20"/>
        </w:rPr>
        <w:t xml:space="preserve"> </w:t>
      </w:r>
      <w:r>
        <w:rPr>
          <w:sz w:val="20"/>
        </w:rPr>
        <w:t xml:space="preserve">Neftci, E. O., Mostafa, H., &amp; Zenke, F. (2019). Surrogate gradient learning in spiking neural networks. IEEE Signal Processing Magazine, 36(6), 51–63. https://doi.org/10.1109/MSP.2019.2931595</w:t>
      </w:r>
    </w:p>
    <w:p>
      <w:pPr>
        <w:pStyle w:val="BodyText"/>
        <w:keepLines/>
        <w:spacing w:after="120"/>
        <w:jc w:val="left"/>
      </w:pPr>
      <w:bookmarkStart w:id="935" w:name="ref-Newell1976"/>
      <w:bookmarkEnd w:id="935"/>
      <w:r>
        <w:rPr>
          <w:b/>
          <w:bCs/>
          <w:sz w:val="20"/>
        </w:rPr>
        <w:t xml:space="preserve">[K; Newell1976]</w:t>
      </w:r>
      <w:r>
        <w:rPr>
          <w:sz w:val="20"/>
        </w:rPr>
        <w:t xml:space="preserve"> </w:t>
      </w:r>
      <w:r>
        <w:rPr>
          <w:sz w:val="20"/>
        </w:rPr>
        <w:t xml:space="preserve">Newell, A., &amp; Simon, H. A. (1976). Computer science as empirical inquiry. Communications of the ACM, 19(3), 113–126. https://doi.org/10.1145/360018.360022</w:t>
      </w:r>
    </w:p>
    <w:p>
      <w:pPr>
        <w:pStyle w:val="BodyText"/>
        <w:keepLines/>
        <w:spacing w:after="120"/>
        <w:jc w:val="left"/>
      </w:pPr>
      <w:bookmarkStart w:id="936" w:name="ref-Newman2003"/>
      <w:bookmarkEnd w:id="936"/>
      <w:r>
        <w:rPr>
          <w:b/>
          <w:bCs/>
          <w:sz w:val="20"/>
        </w:rPr>
        <w:t xml:space="preserve">[K; Newman2003]</w:t>
      </w:r>
      <w:r>
        <w:rPr>
          <w:sz w:val="20"/>
        </w:rPr>
        <w:t xml:space="preserve"> </w:t>
      </w:r>
      <w:r>
        <w:rPr>
          <w:sz w:val="20"/>
        </w:rPr>
        <w:t xml:space="preserve">Newman, M. E. J. (2003). The Structure and Function of Complex Networks. SIAM Review, 45(2), 167–256. https://doi.org/10.1137/S003614450342480</w:t>
      </w:r>
    </w:p>
    <w:p>
      <w:pPr>
        <w:pStyle w:val="BodyText"/>
        <w:keepLines/>
        <w:spacing w:after="120"/>
        <w:jc w:val="left"/>
      </w:pPr>
      <w:bookmarkStart w:id="937" w:name="ref-NewmanGirvan2004"/>
      <w:bookmarkEnd w:id="937"/>
      <w:r>
        <w:rPr>
          <w:b/>
          <w:bCs/>
          <w:sz w:val="20"/>
        </w:rPr>
        <w:t xml:space="preserve">[K; NewmanGirvan2004]</w:t>
      </w:r>
      <w:r>
        <w:rPr>
          <w:sz w:val="20"/>
        </w:rPr>
        <w:t xml:space="preserve"> </w:t>
      </w:r>
      <w:r>
        <w:rPr>
          <w:sz w:val="20"/>
        </w:rPr>
        <w:t xml:space="preserve">Newman, M. E. J., &amp; Girvan, M. (2004). Finding and Evaluating Community Structure in Networks. Physical Review E, 69, 026113. https://doi.org/10.1103/PhysRevE.69.026113</w:t>
      </w:r>
    </w:p>
    <w:p>
      <w:pPr>
        <w:pStyle w:val="BodyText"/>
        <w:keepLines/>
        <w:spacing w:after="120"/>
        <w:jc w:val="left"/>
      </w:pPr>
      <w:bookmarkStart w:id="938" w:name="ref-Newman2010"/>
      <w:bookmarkEnd w:id="938"/>
      <w:r>
        <w:rPr>
          <w:b/>
          <w:bCs/>
          <w:sz w:val="20"/>
        </w:rPr>
        <w:t xml:space="preserve">[K; Newman2010]</w:t>
      </w:r>
      <w:r>
        <w:rPr>
          <w:sz w:val="20"/>
        </w:rPr>
        <w:t xml:space="preserve"> </w:t>
      </w:r>
      <w:r>
        <w:rPr>
          <w:sz w:val="20"/>
        </w:rPr>
        <w:t xml:space="preserve">Newman, M. E. J. (2010). Networks: An Introduction. Oxford University Press. https://doi.org/10.1093/acprof:oso/9780199206650.001.0001</w:t>
      </w:r>
    </w:p>
    <w:p>
      <w:pPr>
        <w:pStyle w:val="BodyText"/>
        <w:keepLines/>
        <w:spacing w:after="120"/>
        <w:jc w:val="left"/>
      </w:pPr>
      <w:bookmarkStart w:id="939" w:name="ref-NIST2023"/>
      <w:bookmarkEnd w:id="939"/>
      <w:r>
        <w:rPr>
          <w:b/>
          <w:bCs/>
          <w:sz w:val="20"/>
        </w:rPr>
        <w:t xml:space="preserve">[K; NIST2023]</w:t>
      </w:r>
      <w:r>
        <w:rPr>
          <w:sz w:val="20"/>
        </w:rPr>
        <w:t xml:space="preserve"> </w:t>
      </w:r>
      <w:r>
        <w:rPr>
          <w:sz w:val="20"/>
        </w:rPr>
        <w:t xml:space="preserve">NIST. (2023). Artificial Intelligence Risk Management Framework (AI RMF 1.0) (NIST AI 100-1). https://doi.org/10.6028/NIST.AI.100-1</w:t>
      </w:r>
    </w:p>
    <w:p>
      <w:pPr>
        <w:pStyle w:val="BodyText"/>
        <w:keepLines/>
        <w:spacing w:after="120"/>
        <w:jc w:val="left"/>
      </w:pPr>
      <w:bookmarkStart w:id="940" w:name="ref-NIST2024"/>
      <w:bookmarkEnd w:id="940"/>
      <w:r>
        <w:rPr>
          <w:b/>
          <w:bCs/>
          <w:sz w:val="20"/>
        </w:rPr>
        <w:t xml:space="preserve">[K; NIST2024]</w:t>
      </w:r>
      <w:r>
        <w:rPr>
          <w:sz w:val="20"/>
        </w:rPr>
        <w:t xml:space="preserve"> </w:t>
      </w:r>
      <w:r>
        <w:rPr>
          <w:sz w:val="20"/>
        </w:rPr>
        <w:t xml:space="preserve">NIST. (2024). Artificial Intelligence Risk Management Framework: Generative Artificial Intelligence Profile (NIST AI 600-1). https://doi.org/10.6028/NIST.AI.600-1</w:t>
      </w:r>
    </w:p>
    <w:p>
      <w:pPr>
        <w:pStyle w:val="BodyText"/>
        <w:keepLines/>
        <w:spacing w:after="120"/>
        <w:jc w:val="left"/>
      </w:pPr>
      <w:bookmarkStart w:id="941" w:name="ref-Noe2004"/>
      <w:bookmarkEnd w:id="941"/>
      <w:r>
        <w:rPr>
          <w:b/>
          <w:bCs/>
          <w:sz w:val="20"/>
        </w:rPr>
        <w:t xml:space="preserve">[K; Noe2004]</w:t>
      </w:r>
      <w:r>
        <w:rPr>
          <w:sz w:val="20"/>
        </w:rPr>
        <w:t xml:space="preserve"> </w:t>
      </w:r>
      <w:r>
        <w:rPr>
          <w:sz w:val="20"/>
        </w:rPr>
        <w:t xml:space="preserve">Noë, A. (2004). Action in perception. MIT Press.</w:t>
      </w:r>
    </w:p>
    <w:p>
      <w:pPr>
        <w:pStyle w:val="BodyText"/>
        <w:keepLines/>
        <w:spacing w:after="120"/>
        <w:jc w:val="left"/>
      </w:pPr>
      <w:bookmarkStart w:id="942" w:name="ref-Nosek2018"/>
      <w:bookmarkEnd w:id="942"/>
      <w:r>
        <w:rPr>
          <w:b/>
          <w:bCs/>
          <w:sz w:val="20"/>
        </w:rPr>
        <w:t xml:space="preserve">[K; Nosek2018]</w:t>
      </w:r>
      <w:r>
        <w:rPr>
          <w:sz w:val="20"/>
        </w:rPr>
        <w:t xml:space="preserve"> </w:t>
      </w:r>
      <w:r>
        <w:rPr>
          <w:sz w:val="20"/>
        </w:rPr>
        <w:t xml:space="preserve">Nosek, B. A., Ebersole, C. R., DeHaven, A. C., &amp; Mellor, D. T. (2018). The Preregistration Revolution. Proceedings of the National Academy of Sciences, 115(11), 2600–2606. https://doi.org/10.1073/pnas.1708274114</w:t>
      </w:r>
    </w:p>
    <w:p>
      <w:pPr>
        <w:pStyle w:val="BodyText"/>
        <w:keepLines/>
        <w:spacing w:after="120"/>
        <w:jc w:val="left"/>
      </w:pPr>
      <w:bookmarkStart w:id="943" w:name="ref-Nunes2022"/>
      <w:bookmarkEnd w:id="943"/>
      <w:r>
        <w:rPr>
          <w:b/>
          <w:bCs/>
          <w:sz w:val="20"/>
        </w:rPr>
        <w:t xml:space="preserve">[K; Nunes2022]</w:t>
      </w:r>
      <w:r>
        <w:rPr>
          <w:sz w:val="20"/>
        </w:rPr>
        <w:t xml:space="preserve"> </w:t>
      </w:r>
      <w:r>
        <w:rPr>
          <w:sz w:val="20"/>
        </w:rPr>
        <w:t xml:space="preserve">Nunes, J. D., Carvalho, M., Carneiro, D., &amp; Cardoso, J. S. (2022). Spiking neural networks: A survey. IEEE Access, 10, 60738–60764. https://doi.org/10.1109/ACCESS.2022.3179968</w:t>
      </w:r>
    </w:p>
    <w:p>
      <w:pPr>
        <w:pStyle w:val="BodyText"/>
        <w:keepLines/>
        <w:spacing w:after="120"/>
        <w:jc w:val="left"/>
      </w:pPr>
      <w:bookmarkStart w:id="944" w:name="ref-Nussbaum2011"/>
      <w:bookmarkEnd w:id="944"/>
      <w:r>
        <w:rPr>
          <w:b/>
          <w:bCs/>
          <w:sz w:val="20"/>
        </w:rPr>
        <w:t xml:space="preserve">[K; Nussbaum2011]</w:t>
      </w:r>
      <w:r>
        <w:rPr>
          <w:sz w:val="20"/>
        </w:rPr>
        <w:t xml:space="preserve"> </w:t>
      </w:r>
      <w:r>
        <w:rPr>
          <w:sz w:val="20"/>
        </w:rPr>
        <w:t xml:space="preserve">Nussbaum, M. C. (2011). Creating capabilities. Harvard University Press.</w:t>
      </w:r>
    </w:p>
    <w:p>
      <w:pPr>
        <w:pStyle w:val="BodyText"/>
        <w:keepLines/>
        <w:spacing w:after="120"/>
        <w:jc w:val="left"/>
      </w:pPr>
      <w:bookmarkStart w:id="945" w:name="ref-Ocker2015"/>
      <w:bookmarkEnd w:id="945"/>
      <w:r>
        <w:rPr>
          <w:b/>
          <w:bCs/>
          <w:sz w:val="20"/>
        </w:rPr>
        <w:t xml:space="preserve">[K; Ocker2015]</w:t>
      </w:r>
      <w:r>
        <w:rPr>
          <w:sz w:val="20"/>
        </w:rPr>
        <w:t xml:space="preserve"> </w:t>
      </w:r>
      <w:r>
        <w:rPr>
          <w:sz w:val="20"/>
        </w:rPr>
        <w:t xml:space="preserve">Ocker, G. K., Litwin-Kumar, A., &amp; Doiron, B. (2015). Self-Organization of Microcircuits in Networks of Spiking Neurons with Plastic Synapses. PLOS Computational Biology, 11(8), e1004458. https://doi.org/10.1371/journal.pcbi.1004458</w:t>
      </w:r>
    </w:p>
    <w:p>
      <w:pPr>
        <w:pStyle w:val="BodyText"/>
        <w:keepLines/>
        <w:spacing w:after="120"/>
        <w:jc w:val="left"/>
      </w:pPr>
      <w:bookmarkStart w:id="946" w:name="ref-OECD2024"/>
      <w:bookmarkEnd w:id="946"/>
      <w:r>
        <w:rPr>
          <w:b/>
          <w:bCs/>
          <w:sz w:val="20"/>
        </w:rPr>
        <w:t xml:space="preserve">[K; OECD2024]</w:t>
      </w:r>
      <w:r>
        <w:rPr>
          <w:sz w:val="20"/>
        </w:rPr>
        <w:t xml:space="preserve"> </w:t>
      </w:r>
      <w:r>
        <w:rPr>
          <w:sz w:val="20"/>
        </w:rPr>
        <w:t xml:space="preserve">OECD. (2024). OECD principles on artificial intelligence. OECD.</w:t>
      </w:r>
    </w:p>
    <w:p>
      <w:pPr>
        <w:pStyle w:val="BodyText"/>
        <w:keepLines/>
        <w:spacing w:after="120"/>
        <w:jc w:val="left"/>
      </w:pPr>
      <w:bookmarkStart w:id="947" w:name="ref-ORegan2001"/>
      <w:bookmarkEnd w:id="947"/>
      <w:r>
        <w:rPr>
          <w:b/>
          <w:bCs/>
          <w:sz w:val="20"/>
        </w:rPr>
        <w:t xml:space="preserve">[K; ORegan2001]</w:t>
      </w:r>
      <w:r>
        <w:rPr>
          <w:sz w:val="20"/>
        </w:rPr>
        <w:t xml:space="preserve"> </w:t>
      </w:r>
      <w:r>
        <w:rPr>
          <w:sz w:val="20"/>
        </w:rPr>
        <w:t xml:space="preserve">O’Regan, J. K., &amp; Noë, A. (2001). A Sensorimotor Account of Vision and Visual Consciousness. Behavioral and Brain Sciences, 24(5), 939–973. https://doi.org/10.1017/S0140525X01000115</w:t>
      </w:r>
    </w:p>
    <w:p>
      <w:pPr>
        <w:pStyle w:val="BodyText"/>
        <w:keepLines/>
        <w:spacing w:after="120"/>
        <w:jc w:val="left"/>
      </w:pPr>
      <w:bookmarkStart w:id="948" w:name="ref-Ovidnd"/>
      <w:bookmarkEnd w:id="948"/>
      <w:r>
        <w:rPr>
          <w:b/>
          <w:bCs/>
          <w:sz w:val="20"/>
        </w:rPr>
        <w:t xml:space="preserve">[K; Ovidnd]</w:t>
      </w:r>
      <w:r>
        <w:rPr>
          <w:sz w:val="20"/>
        </w:rPr>
        <w:t xml:space="preserve"> </w:t>
      </w:r>
      <w:r>
        <w:rPr>
          <w:sz w:val="20"/>
        </w:rPr>
        <w:t xml:space="preserve">Ovid. (n.d.). Metamorphoses (Book 10, 243–297).</w:t>
      </w:r>
    </w:p>
    <w:p>
      <w:pPr>
        <w:pStyle w:val="BodyText"/>
        <w:keepLines/>
        <w:spacing w:after="120"/>
        <w:jc w:val="left"/>
      </w:pPr>
      <w:bookmarkStart w:id="949" w:name="ref-Page2021"/>
      <w:bookmarkEnd w:id="949"/>
      <w:r>
        <w:rPr>
          <w:b/>
          <w:bCs/>
          <w:sz w:val="20"/>
        </w:rPr>
        <w:t xml:space="preserve">[K; Page2021]</w:t>
      </w:r>
      <w:r>
        <w:rPr>
          <w:sz w:val="20"/>
        </w:rPr>
        <w:t xml:space="preserve"> </w:t>
      </w:r>
      <w:r>
        <w:rPr>
          <w:sz w:val="20"/>
        </w:rPr>
        <w:t xml:space="preserve">Page, M. J., McKenzie, J. E., Bossuyt, P. M., et al. (2021). The PRISMA 2020 Statement: An Updated Guideline for Reporting Systematic Reviews. BMJ, 372, n71. https://doi.org/10.1136/bmj.n71</w:t>
      </w:r>
    </w:p>
    <w:p>
      <w:pPr>
        <w:pStyle w:val="BodyText"/>
        <w:keepLines/>
        <w:spacing w:after="120"/>
        <w:jc w:val="left"/>
      </w:pPr>
      <w:bookmarkStart w:id="950" w:name="ref-Panzeri2007"/>
      <w:bookmarkEnd w:id="950"/>
      <w:r>
        <w:rPr>
          <w:b/>
          <w:bCs/>
          <w:sz w:val="20"/>
        </w:rPr>
        <w:t xml:space="preserve">[K; Panzeri2007]</w:t>
      </w:r>
      <w:r>
        <w:rPr>
          <w:sz w:val="20"/>
        </w:rPr>
        <w:t xml:space="preserve"> </w:t>
      </w:r>
      <w:r>
        <w:rPr>
          <w:sz w:val="20"/>
        </w:rPr>
        <w:t xml:space="preserve">Panzeri, S., Senatore, R., Montemurro, M. A., &amp; Petersen, R. S. (2007). Correcting for the Sampling Bias Problem in Spike Train Information Measures. Journal of Neurophysiology, 98(3), 1064–1072. https://doi.org/10.1152/jn.00559.2007</w:t>
      </w:r>
    </w:p>
    <w:p>
      <w:pPr>
        <w:pStyle w:val="BodyText"/>
        <w:keepLines/>
        <w:spacing w:after="120"/>
        <w:jc w:val="left"/>
      </w:pPr>
      <w:bookmarkStart w:id="951" w:name="ref-Parasuraman1997"/>
      <w:bookmarkEnd w:id="951"/>
      <w:r>
        <w:rPr>
          <w:b/>
          <w:bCs/>
          <w:sz w:val="20"/>
        </w:rPr>
        <w:t xml:space="preserve">[K; Parasuraman1997]</w:t>
      </w:r>
      <w:r>
        <w:rPr>
          <w:sz w:val="20"/>
        </w:rPr>
        <w:t xml:space="preserve"> </w:t>
      </w:r>
      <w:r>
        <w:rPr>
          <w:sz w:val="20"/>
        </w:rPr>
        <w:t xml:space="preserve">Parasuraman, R., &amp; Riley, V. (1997). Humans and automation: Use, misuse, disuse, abuse. Human Factors, 39(2), 230–253. https://doi.org/10.1518/001872097778543886</w:t>
      </w:r>
    </w:p>
    <w:p>
      <w:pPr>
        <w:pStyle w:val="BodyText"/>
        <w:keepLines/>
        <w:spacing w:after="120"/>
        <w:jc w:val="left"/>
      </w:pPr>
      <w:bookmarkStart w:id="952" w:name="ref-Parisi2019"/>
      <w:bookmarkEnd w:id="952"/>
      <w:r>
        <w:rPr>
          <w:b/>
          <w:bCs/>
          <w:sz w:val="20"/>
        </w:rPr>
        <w:t xml:space="preserve">[K; Parisi2019]</w:t>
      </w:r>
      <w:r>
        <w:rPr>
          <w:sz w:val="20"/>
        </w:rPr>
        <w:t xml:space="preserve"> </w:t>
      </w:r>
      <w:r>
        <w:rPr>
          <w:sz w:val="20"/>
        </w:rPr>
        <w:t xml:space="preserve">Parisi, G. I., Kemker, R., Part, J. L., Kanan, C., &amp; Wermter, S. (2019). Continual Lifelong Learning with Neural Networks: A Review. Neural Networks, 113, 54–71. https://doi.org/10.1016/j.neunet.2019.01.012</w:t>
      </w:r>
    </w:p>
    <w:p>
      <w:pPr>
        <w:pStyle w:val="BodyText"/>
        <w:keepLines/>
        <w:spacing w:after="120"/>
        <w:jc w:val="left"/>
      </w:pPr>
      <w:bookmarkStart w:id="953" w:name="ref-Pasquale2015"/>
      <w:bookmarkEnd w:id="953"/>
      <w:r>
        <w:rPr>
          <w:b/>
          <w:bCs/>
          <w:sz w:val="20"/>
        </w:rPr>
        <w:t xml:space="preserve">[K; Pasquale2015]</w:t>
      </w:r>
      <w:r>
        <w:rPr>
          <w:sz w:val="20"/>
        </w:rPr>
        <w:t xml:space="preserve"> </w:t>
      </w:r>
      <w:r>
        <w:rPr>
          <w:sz w:val="20"/>
        </w:rPr>
        <w:t xml:space="preserve">Pasquale, F. (2015). The black box society. Harvard University Press.</w:t>
      </w:r>
    </w:p>
    <w:p>
      <w:pPr>
        <w:pStyle w:val="BodyText"/>
        <w:keepLines/>
        <w:spacing w:after="120"/>
        <w:jc w:val="left"/>
      </w:pPr>
      <w:bookmarkStart w:id="954" w:name="ref-Pearl2009"/>
      <w:bookmarkEnd w:id="954"/>
      <w:r>
        <w:rPr>
          <w:b/>
          <w:bCs/>
          <w:sz w:val="20"/>
        </w:rPr>
        <w:t xml:space="preserve">[K; Pearl2009]</w:t>
      </w:r>
      <w:r>
        <w:rPr>
          <w:sz w:val="20"/>
        </w:rPr>
        <w:t xml:space="preserve"> </w:t>
      </w:r>
      <w:r>
        <w:rPr>
          <w:sz w:val="20"/>
        </w:rPr>
        <w:t xml:space="preserve">Pearl, J. (2009). Causality: Models, Reasoning, and Inference (2. Aufl.). Cambridge University Press.</w:t>
      </w:r>
    </w:p>
    <w:p>
      <w:pPr>
        <w:pStyle w:val="BodyText"/>
        <w:keepLines/>
        <w:spacing w:after="120"/>
        <w:jc w:val="left"/>
      </w:pPr>
      <w:bookmarkStart w:id="955" w:name="ref-Penrose2003"/>
      <w:bookmarkEnd w:id="955"/>
      <w:r>
        <w:rPr>
          <w:b/>
          <w:bCs/>
          <w:sz w:val="20"/>
        </w:rPr>
        <w:t xml:space="preserve">[K; Penrose2003]</w:t>
      </w:r>
      <w:r>
        <w:rPr>
          <w:sz w:val="20"/>
        </w:rPr>
        <w:t xml:space="preserve"> </w:t>
      </w:r>
      <w:r>
        <w:rPr>
          <w:sz w:val="20"/>
        </w:rPr>
        <w:t xml:space="preserve">Penrose, M. (2003). Random Geometric Graphs. Oxford University Press. https://doi.org/10.1093/acprof:oso/9780198506263.001.0001</w:t>
      </w:r>
    </w:p>
    <w:p>
      <w:pPr>
        <w:pStyle w:val="BodyText"/>
        <w:keepLines/>
        <w:spacing w:after="120"/>
        <w:jc w:val="left"/>
      </w:pPr>
      <w:bookmarkStart w:id="956" w:name="ref-Pfeifer1999"/>
      <w:bookmarkEnd w:id="956"/>
      <w:r>
        <w:rPr>
          <w:b/>
          <w:bCs/>
          <w:sz w:val="20"/>
        </w:rPr>
        <w:t xml:space="preserve">[K; Pfeifer1999]</w:t>
      </w:r>
      <w:r>
        <w:rPr>
          <w:sz w:val="20"/>
        </w:rPr>
        <w:t xml:space="preserve"> </w:t>
      </w:r>
      <w:r>
        <w:rPr>
          <w:sz w:val="20"/>
        </w:rPr>
        <w:t xml:space="preserve">Pfeifer, R., &amp; Scheier, C. (1999). Understanding intelligence. MIT Press.</w:t>
      </w:r>
    </w:p>
    <w:p>
      <w:pPr>
        <w:pStyle w:val="BodyText"/>
        <w:keepLines/>
        <w:spacing w:after="120"/>
        <w:jc w:val="left"/>
      </w:pPr>
      <w:bookmarkStart w:id="957" w:name="ref-Pfeifer2006"/>
      <w:bookmarkEnd w:id="957"/>
      <w:r>
        <w:rPr>
          <w:b/>
          <w:bCs/>
          <w:sz w:val="20"/>
        </w:rPr>
        <w:t xml:space="preserve">[K; Pfeifer2006]</w:t>
      </w:r>
      <w:r>
        <w:rPr>
          <w:sz w:val="20"/>
        </w:rPr>
        <w:t xml:space="preserve"> </w:t>
      </w:r>
      <w:r>
        <w:rPr>
          <w:sz w:val="20"/>
        </w:rPr>
        <w:t xml:space="preserve">Pfeifer, R., &amp; Bongard, J. (2006). How the Body Shapes the Way We Think: A New View of Intelligence. MIT Press.</w:t>
      </w:r>
    </w:p>
    <w:p>
      <w:pPr>
        <w:pStyle w:val="BodyText"/>
        <w:keepLines/>
        <w:spacing w:after="120"/>
        <w:jc w:val="left"/>
      </w:pPr>
      <w:bookmarkStart w:id="958" w:name="ref-Pfister2006"/>
      <w:bookmarkEnd w:id="958"/>
      <w:r>
        <w:rPr>
          <w:b/>
          <w:bCs/>
          <w:sz w:val="20"/>
        </w:rPr>
        <w:t xml:space="preserve">[K; Pfister2006]</w:t>
      </w:r>
      <w:r>
        <w:rPr>
          <w:sz w:val="20"/>
        </w:rPr>
        <w:t xml:space="preserve"> </w:t>
      </w:r>
      <w:r>
        <w:rPr>
          <w:sz w:val="20"/>
        </w:rPr>
        <w:t xml:space="preserve">Pfister, J.-P., &amp; Gerstner, W. (2006). Triplets of Spikes in a Model of Spike Timing-Dependent Plasticity. The Journal of Neuroscience, 26(38), 9673–9682. https://doi.org/10.1523/JNEUROSCI.1425-06.2006</w:t>
      </w:r>
    </w:p>
    <w:p>
      <w:pPr>
        <w:pStyle w:val="BodyText"/>
        <w:keepLines/>
        <w:spacing w:after="120"/>
        <w:jc w:val="left"/>
      </w:pPr>
      <w:bookmarkStart w:id="959" w:name="ref-Poldrack2006"/>
      <w:bookmarkEnd w:id="959"/>
      <w:r>
        <w:rPr>
          <w:b/>
          <w:bCs/>
          <w:sz w:val="20"/>
        </w:rPr>
        <w:t xml:space="preserve">[K; Poldrack2006]</w:t>
      </w:r>
      <w:r>
        <w:rPr>
          <w:sz w:val="20"/>
        </w:rPr>
        <w:t xml:space="preserve"> </w:t>
      </w:r>
      <w:r>
        <w:rPr>
          <w:sz w:val="20"/>
        </w:rPr>
        <w:t xml:space="preserve">Poldrack, R. A. (2006). Can Cognitive Processes Be Inferred from Neuroimaging Data? Trends in Cognitive Sciences, 10(2), 59–63. https://doi.org/10.1016/j.tics.2005.12.004</w:t>
      </w:r>
    </w:p>
    <w:p>
      <w:pPr>
        <w:pStyle w:val="BodyText"/>
        <w:keepLines/>
        <w:spacing w:after="120"/>
        <w:jc w:val="left"/>
      </w:pPr>
      <w:bookmarkStart w:id="960" w:name="ref-Popper19341959"/>
      <w:bookmarkEnd w:id="960"/>
      <w:r>
        <w:rPr>
          <w:b/>
          <w:bCs/>
          <w:sz w:val="20"/>
        </w:rPr>
        <w:t xml:space="preserve">[K; Popper19341959]</w:t>
      </w:r>
      <w:r>
        <w:rPr>
          <w:sz w:val="20"/>
        </w:rPr>
        <w:t xml:space="preserve"> </w:t>
      </w:r>
      <w:r>
        <w:rPr>
          <w:sz w:val="20"/>
        </w:rPr>
        <w:t xml:space="preserve">Popper, K. R. (1934/1959). The Logic of Scientific Discovery. Hutchinson.</w:t>
      </w:r>
    </w:p>
    <w:p>
      <w:pPr>
        <w:pStyle w:val="BodyText"/>
        <w:keepLines/>
        <w:spacing w:after="120"/>
        <w:jc w:val="left"/>
      </w:pPr>
      <w:bookmarkStart w:id="961" w:name="ref-Popper1959"/>
      <w:bookmarkEnd w:id="961"/>
      <w:r>
        <w:rPr>
          <w:b/>
          <w:bCs/>
          <w:sz w:val="20"/>
        </w:rPr>
        <w:t xml:space="preserve">[K; Popper1959]</w:t>
      </w:r>
      <w:r>
        <w:rPr>
          <w:sz w:val="20"/>
        </w:rPr>
        <w:t xml:space="preserve"> </w:t>
      </w:r>
      <w:r>
        <w:rPr>
          <w:sz w:val="20"/>
        </w:rPr>
        <w:t xml:space="preserve">Popper, K. R. (1959). The logic of scientific discovery. Hutchinson. (Original work published 1934)</w:t>
      </w:r>
    </w:p>
    <w:p>
      <w:pPr>
        <w:pStyle w:val="BodyText"/>
        <w:keepLines/>
        <w:spacing w:after="120"/>
        <w:jc w:val="left"/>
      </w:pPr>
      <w:bookmarkStart w:id="962" w:name="ref-Putnam1967"/>
      <w:bookmarkEnd w:id="962"/>
      <w:r>
        <w:rPr>
          <w:b/>
          <w:bCs/>
          <w:sz w:val="20"/>
        </w:rPr>
        <w:t xml:space="preserve">[K; Putnam1967]</w:t>
      </w:r>
      <w:r>
        <w:rPr>
          <w:sz w:val="20"/>
        </w:rPr>
        <w:t xml:space="preserve"> </w:t>
      </w:r>
      <w:r>
        <w:rPr>
          <w:sz w:val="20"/>
        </w:rPr>
        <w:t xml:space="preserve">Putnam, H. (1967). Psychological predicates. In W. H. Capitan &amp; D. D. Merrill (Eds.), Art, mind, and religion. University of Pittsburgh Press.</w:t>
      </w:r>
    </w:p>
    <w:p>
      <w:pPr>
        <w:pStyle w:val="BodyText"/>
        <w:keepLines/>
        <w:spacing w:after="120"/>
        <w:jc w:val="left"/>
      </w:pPr>
      <w:bookmarkStart w:id="963" w:name="ref-Quiroga2009"/>
      <w:bookmarkEnd w:id="963"/>
      <w:r>
        <w:rPr>
          <w:b/>
          <w:bCs/>
          <w:sz w:val="20"/>
        </w:rPr>
        <w:t xml:space="preserve">[K; Quiroga2009]</w:t>
      </w:r>
      <w:r>
        <w:rPr>
          <w:sz w:val="20"/>
        </w:rPr>
        <w:t xml:space="preserve"> </w:t>
      </w:r>
      <w:r>
        <w:rPr>
          <w:sz w:val="20"/>
        </w:rPr>
        <w:t xml:space="preserve">Quiroga, R. Q., &amp; Panzeri, S. (2009). Extracting Information from Neuronal Populations: Information Theory and Decoding Approaches. Nature Reviews Neuroscience, 10, 173–185. https://doi.org/10.1038/nrn2578</w:t>
      </w:r>
    </w:p>
    <w:p>
      <w:pPr>
        <w:pStyle w:val="BodyText"/>
        <w:keepLines/>
        <w:spacing w:after="120"/>
        <w:jc w:val="left"/>
      </w:pPr>
      <w:bookmarkStart w:id="964" w:name="ref-Rabinovich2008"/>
      <w:bookmarkEnd w:id="964"/>
      <w:r>
        <w:rPr>
          <w:b/>
          <w:bCs/>
          <w:sz w:val="20"/>
        </w:rPr>
        <w:t xml:space="preserve">[K; Rabinovich2008]</w:t>
      </w:r>
      <w:r>
        <w:rPr>
          <w:sz w:val="20"/>
        </w:rPr>
        <w:t xml:space="preserve"> </w:t>
      </w:r>
      <w:r>
        <w:rPr>
          <w:sz w:val="20"/>
        </w:rPr>
        <w:t xml:space="preserve">Rabinovich, M. I., Huerta, R., Varona, P., &amp; Afraimovich, V. S. (2008). Transient Cognitive Dynamics, Metastability, and Decision Making. Reviews of Modern Physics, 80(4), 1213–1265. https://doi.org/10.1103/RevModPhys.80.1213</w:t>
      </w:r>
    </w:p>
    <w:p>
      <w:pPr>
        <w:pStyle w:val="BodyText"/>
        <w:keepLines/>
        <w:spacing w:after="120"/>
        <w:jc w:val="left"/>
      </w:pPr>
      <w:bookmarkStart w:id="965" w:name="ref-Rahman2025"/>
      <w:bookmarkEnd w:id="965"/>
      <w:r>
        <w:rPr>
          <w:b/>
          <w:bCs/>
          <w:sz w:val="20"/>
        </w:rPr>
        <w:t xml:space="preserve">[K; Rahman2025]</w:t>
      </w:r>
      <w:r>
        <w:rPr>
          <w:sz w:val="20"/>
        </w:rPr>
        <w:t xml:space="preserve"> </w:t>
      </w:r>
      <w:r>
        <w:rPr>
          <w:sz w:val="20"/>
        </w:rPr>
        <w:t xml:space="preserve">Rahman, M. H., Haider, Z., &amp; Chakraborty, P. (2025). An automated multi parameter neural architecture discovery framework using ChatGPT in the backend. Scientific Reports, 15, 16871. https://doi.org/10.1038/s41598-025-97378-5</w:t>
      </w:r>
    </w:p>
    <w:p>
      <w:pPr>
        <w:pStyle w:val="BodyText"/>
        <w:keepLines/>
        <w:spacing w:after="120"/>
        <w:jc w:val="left"/>
      </w:pPr>
      <w:bookmarkStart w:id="966" w:name="ref-Rahwan2018"/>
      <w:bookmarkEnd w:id="966"/>
      <w:r>
        <w:rPr>
          <w:b/>
          <w:bCs/>
          <w:sz w:val="20"/>
        </w:rPr>
        <w:t xml:space="preserve">[K; Rahwan2018]</w:t>
      </w:r>
      <w:r>
        <w:rPr>
          <w:sz w:val="20"/>
        </w:rPr>
        <w:t xml:space="preserve"> </w:t>
      </w:r>
      <w:r>
        <w:rPr>
          <w:sz w:val="20"/>
        </w:rPr>
        <w:t xml:space="preserve">Rahwan, I. (2018). Society-in-the-loop. Ethics and Information Technology, 20, 5–14. https://doi.org/10.1007/s10676-017-9430-8</w:t>
      </w:r>
    </w:p>
    <w:p>
      <w:pPr>
        <w:pStyle w:val="BodyText"/>
        <w:keepLines/>
        <w:spacing w:after="120"/>
        <w:jc w:val="left"/>
      </w:pPr>
      <w:bookmarkStart w:id="967" w:name="ref-Raji2020"/>
      <w:bookmarkEnd w:id="967"/>
      <w:r>
        <w:rPr>
          <w:b/>
          <w:bCs/>
          <w:sz w:val="20"/>
        </w:rPr>
        <w:t xml:space="preserve">[K; Raji2020]</w:t>
      </w:r>
      <w:r>
        <w:rPr>
          <w:sz w:val="20"/>
        </w:rPr>
        <w:t xml:space="preserve"> </w:t>
      </w:r>
      <w:r>
        <w:rPr>
          <w:sz w:val="20"/>
        </w:rPr>
        <w:t xml:space="preserve">Raji, I. D., Smart, A., White, R. N., Mitchell, M., Gebru, T., Hutchinson, B., et al. (2020). Closing the AI accountability gap. In Proceedings of FAccT ’20 (pp. 33–44). https://doi.org/10.1145/3351095.3372873</w:t>
      </w:r>
    </w:p>
    <w:p>
      <w:pPr>
        <w:pStyle w:val="BodyText"/>
        <w:keepLines/>
        <w:spacing w:after="120"/>
        <w:jc w:val="left"/>
      </w:pPr>
      <w:bookmarkStart w:id="968" w:name="ref-Rawls1971"/>
      <w:bookmarkEnd w:id="968"/>
      <w:r>
        <w:rPr>
          <w:b/>
          <w:bCs/>
          <w:sz w:val="20"/>
        </w:rPr>
        <w:t xml:space="preserve">[K; Rawls1971]</w:t>
      </w:r>
      <w:r>
        <w:rPr>
          <w:sz w:val="20"/>
        </w:rPr>
        <w:t xml:space="preserve"> </w:t>
      </w:r>
      <w:r>
        <w:rPr>
          <w:sz w:val="20"/>
        </w:rPr>
        <w:t xml:space="preserve">Rawls, J. (1971). A theory of justice. Harvard University Press.</w:t>
      </w:r>
    </w:p>
    <w:p>
      <w:pPr>
        <w:pStyle w:val="BodyText"/>
        <w:keepLines/>
        <w:spacing w:after="120"/>
        <w:jc w:val="left"/>
      </w:pPr>
      <w:bookmarkStart w:id="969" w:name="ref-Ren2021"/>
      <w:bookmarkEnd w:id="969"/>
      <w:r>
        <w:rPr>
          <w:b/>
          <w:bCs/>
          <w:sz w:val="20"/>
        </w:rPr>
        <w:t xml:space="preserve">[K; Ren2021]</w:t>
      </w:r>
      <w:r>
        <w:rPr>
          <w:sz w:val="20"/>
        </w:rPr>
        <w:t xml:space="preserve"> </w:t>
      </w:r>
      <w:r>
        <w:rPr>
          <w:sz w:val="20"/>
        </w:rPr>
        <w:t xml:space="preserve">Ren, P., Xiao, Y., Chang, X., Huang, P.-Y., Li, Z., Gupta, B. B., Chen, X., &amp; Wang, X. (2021). A comprehensive survey of neural architecture search. ACM Computing Surveys, 54(4). https://doi.org/10.1145/3447582</w:t>
      </w:r>
    </w:p>
    <w:p>
      <w:pPr>
        <w:pStyle w:val="BodyText"/>
        <w:keepLines/>
        <w:spacing w:after="120"/>
        <w:jc w:val="left"/>
      </w:pPr>
      <w:bookmarkStart w:id="970" w:name="ref-Ribeiro2016"/>
      <w:bookmarkEnd w:id="970"/>
      <w:r>
        <w:rPr>
          <w:b/>
          <w:bCs/>
          <w:sz w:val="20"/>
        </w:rPr>
        <w:t xml:space="preserve">[K; Ribeiro2016]</w:t>
      </w:r>
      <w:r>
        <w:rPr>
          <w:sz w:val="20"/>
        </w:rPr>
        <w:t xml:space="preserve"> </w:t>
      </w:r>
      <w:r>
        <w:rPr>
          <w:sz w:val="20"/>
        </w:rPr>
        <w:t xml:space="preserve">Ribeiro, M. T., Singh, S., &amp; Guestrin, C. (2016).</w:t>
      </w:r>
      <w:r>
        <w:rPr>
          <w:sz w:val="20"/>
        </w:rPr>
        <w:t xml:space="preserve"> </w:t>
      </w:r>
      <w:r>
        <w:rPr>
          <w:sz w:val="20"/>
        </w:rPr>
        <w:t xml:space="preserve">‘</w:t>
      </w:r>
      <w:r>
        <w:rPr>
          <w:sz w:val="20"/>
        </w:rPr>
        <w:t xml:space="preserve">Why should I trust you?</w:t>
      </w:r>
      <w:r>
        <w:rPr>
          <w:sz w:val="20"/>
        </w:rPr>
        <w:t xml:space="preserve">’</w:t>
      </w:r>
      <w:r>
        <w:rPr>
          <w:sz w:val="20"/>
        </w:rPr>
        <w:t xml:space="preserve"> </w:t>
      </w:r>
      <w:r>
        <w:rPr>
          <w:sz w:val="20"/>
        </w:rPr>
        <w:t xml:space="preserve">In Proceedings of KDD ’16 (pp. 1135–1144). https://doi.org/10.1145/2939672.2939778</w:t>
      </w:r>
    </w:p>
    <w:p>
      <w:pPr>
        <w:pStyle w:val="BodyText"/>
        <w:keepLines/>
        <w:spacing w:after="120"/>
        <w:jc w:val="left"/>
      </w:pPr>
      <w:bookmarkStart w:id="971" w:name="ref-Riskin2016"/>
      <w:bookmarkEnd w:id="971"/>
      <w:r>
        <w:rPr>
          <w:b/>
          <w:bCs/>
          <w:sz w:val="20"/>
        </w:rPr>
        <w:t xml:space="preserve">[K; Riskin2016]</w:t>
      </w:r>
      <w:r>
        <w:rPr>
          <w:sz w:val="20"/>
        </w:rPr>
        <w:t xml:space="preserve"> </w:t>
      </w:r>
      <w:r>
        <w:rPr>
          <w:sz w:val="20"/>
        </w:rPr>
        <w:t xml:space="preserve">Riskin, J. (2016). The restless clock. University of Chicago Press.</w:t>
      </w:r>
    </w:p>
    <w:p>
      <w:pPr>
        <w:pStyle w:val="BodyText"/>
        <w:keepLines/>
        <w:spacing w:after="120"/>
        <w:jc w:val="left"/>
      </w:pPr>
      <w:bookmarkStart w:id="972" w:name="ref-Rosenblatt1958"/>
      <w:bookmarkEnd w:id="972"/>
      <w:r>
        <w:rPr>
          <w:b/>
          <w:bCs/>
          <w:sz w:val="20"/>
        </w:rPr>
        <w:t xml:space="preserve">[K; Rosenblatt1958]</w:t>
      </w:r>
      <w:r>
        <w:rPr>
          <w:sz w:val="20"/>
        </w:rPr>
        <w:t xml:space="preserve"> </w:t>
      </w:r>
      <w:r>
        <w:rPr>
          <w:sz w:val="20"/>
        </w:rPr>
        <w:t xml:space="preserve">Rosenblatt, F. (1958). The perceptron. Psychological Review, 65(6), 386–408. https://doi.org/10.1037/h0042519</w:t>
      </w:r>
    </w:p>
    <w:p>
      <w:pPr>
        <w:pStyle w:val="BodyText"/>
        <w:keepLines/>
        <w:spacing w:after="120"/>
        <w:jc w:val="left"/>
      </w:pPr>
      <w:bookmarkStart w:id="973" w:name="ref-Roy2019"/>
      <w:bookmarkEnd w:id="973"/>
      <w:r>
        <w:rPr>
          <w:b/>
          <w:bCs/>
          <w:sz w:val="20"/>
        </w:rPr>
        <w:t xml:space="preserve">[K; Roy2019]</w:t>
      </w:r>
      <w:r>
        <w:rPr>
          <w:sz w:val="20"/>
        </w:rPr>
        <w:t xml:space="preserve"> </w:t>
      </w:r>
      <w:r>
        <w:rPr>
          <w:sz w:val="20"/>
        </w:rPr>
        <w:t xml:space="preserve">Roy, K., Jaiswal, A., &amp; Panda, P. (2019). Towards Spike-Based Machine Intelligence with Neuromorphic Computing. Nature, 575, 607–617. https://doi.org/10.1038/s41586-019-1677-2</w:t>
      </w:r>
    </w:p>
    <w:p>
      <w:pPr>
        <w:pStyle w:val="BodyText"/>
        <w:keepLines/>
        <w:spacing w:after="120"/>
        <w:jc w:val="left"/>
      </w:pPr>
      <w:bookmarkStart w:id="974" w:name="ref-Rubinov2010"/>
      <w:bookmarkEnd w:id="974"/>
      <w:r>
        <w:rPr>
          <w:b/>
          <w:bCs/>
          <w:sz w:val="20"/>
        </w:rPr>
        <w:t xml:space="preserve">[K; Rubinov2010]</w:t>
      </w:r>
      <w:r>
        <w:rPr>
          <w:sz w:val="20"/>
        </w:rPr>
        <w:t xml:space="preserve"> </w:t>
      </w:r>
      <w:r>
        <w:rPr>
          <w:sz w:val="20"/>
        </w:rPr>
        <w:t xml:space="preserve">Rubinov, M., &amp; Sporns, O. (2010). Complex Network Measures of Brain Connectivity: Uses and Interpretations. NeuroImage, 52(3), 1059–1069. https://doi.org/10.1016/j.neuroimage.2009.10.003</w:t>
      </w:r>
    </w:p>
    <w:p>
      <w:pPr>
        <w:pStyle w:val="BodyText"/>
        <w:keepLines/>
        <w:spacing w:after="120"/>
        <w:jc w:val="left"/>
      </w:pPr>
      <w:bookmarkStart w:id="975" w:name="ref-Rumelhart1986"/>
      <w:bookmarkEnd w:id="975"/>
      <w:r>
        <w:rPr>
          <w:b/>
          <w:bCs/>
          <w:sz w:val="20"/>
        </w:rPr>
        <w:t xml:space="preserve">[K; Rumelhart1986]</w:t>
      </w:r>
      <w:r>
        <w:rPr>
          <w:sz w:val="20"/>
        </w:rPr>
        <w:t xml:space="preserve"> </w:t>
      </w:r>
      <w:r>
        <w:rPr>
          <w:sz w:val="20"/>
        </w:rPr>
        <w:t xml:space="preserve">Rumelhart, D. E., Hinton, G. E., &amp; Williams, R. J. (1986). Learning representations by back-propagating errors. Nature, 323, 533–536. https://doi.org/10.1038/323533a0</w:t>
      </w:r>
    </w:p>
    <w:p>
      <w:pPr>
        <w:pStyle w:val="BodyText"/>
        <w:keepLines/>
        <w:spacing w:after="120"/>
        <w:jc w:val="left"/>
      </w:pPr>
      <w:bookmarkStart w:id="976" w:name="ref-Russell2015"/>
      <w:bookmarkEnd w:id="976"/>
      <w:r>
        <w:rPr>
          <w:b/>
          <w:bCs/>
          <w:sz w:val="20"/>
        </w:rPr>
        <w:t xml:space="preserve">[K; Russell2015]</w:t>
      </w:r>
      <w:r>
        <w:rPr>
          <w:sz w:val="20"/>
        </w:rPr>
        <w:t xml:space="preserve"> </w:t>
      </w:r>
      <w:r>
        <w:rPr>
          <w:sz w:val="20"/>
        </w:rPr>
        <w:t xml:space="preserve">Russell, S., Dewey, D., &amp; Tegmark, M. (2015). Research priorities for robust and beneficial artificial intelligence. AI Magazine, 36(4), 105–114. https://doi.org/10.1609/aimag.v36i4.2577</w:t>
      </w:r>
    </w:p>
    <w:p>
      <w:pPr>
        <w:pStyle w:val="BodyText"/>
        <w:keepLines/>
        <w:spacing w:after="120"/>
        <w:jc w:val="left"/>
      </w:pPr>
      <w:bookmarkStart w:id="977" w:name="ref-Russell2019"/>
      <w:bookmarkEnd w:id="977"/>
      <w:r>
        <w:rPr>
          <w:b/>
          <w:bCs/>
          <w:sz w:val="20"/>
        </w:rPr>
        <w:t xml:space="preserve">[K; Russell2019]</w:t>
      </w:r>
      <w:r>
        <w:rPr>
          <w:sz w:val="20"/>
        </w:rPr>
        <w:t xml:space="preserve"> </w:t>
      </w:r>
      <w:r>
        <w:rPr>
          <w:sz w:val="20"/>
        </w:rPr>
        <w:t xml:space="preserve">Russell, S. (2019). Human compatible. Viking.</w:t>
      </w:r>
    </w:p>
    <w:p>
      <w:pPr>
        <w:pStyle w:val="BodyText"/>
        <w:keepLines/>
        <w:spacing w:after="120"/>
        <w:jc w:val="left"/>
      </w:pPr>
      <w:bookmarkStart w:id="978" w:name="ref-Russell2021"/>
      <w:bookmarkEnd w:id="978"/>
      <w:r>
        <w:rPr>
          <w:b/>
          <w:bCs/>
          <w:sz w:val="20"/>
        </w:rPr>
        <w:t xml:space="preserve">[K; Russell2021]</w:t>
      </w:r>
      <w:r>
        <w:rPr>
          <w:sz w:val="20"/>
        </w:rPr>
        <w:t xml:space="preserve"> </w:t>
      </w:r>
      <w:r>
        <w:rPr>
          <w:sz w:val="20"/>
        </w:rPr>
        <w:t xml:space="preserve">Russell, S., &amp; Norvig, P. (2021). Artificial intelligence: A modern approach (4th ed.). Pearson.</w:t>
      </w:r>
    </w:p>
    <w:p>
      <w:pPr>
        <w:pStyle w:val="BodyText"/>
        <w:keepLines/>
        <w:spacing w:after="120"/>
        <w:jc w:val="left"/>
      </w:pPr>
      <w:bookmarkStart w:id="979" w:name="ref-Ryle1949"/>
      <w:bookmarkEnd w:id="979"/>
      <w:r>
        <w:rPr>
          <w:b/>
          <w:bCs/>
          <w:sz w:val="20"/>
        </w:rPr>
        <w:t xml:space="preserve">[K; Ryle1949]</w:t>
      </w:r>
      <w:r>
        <w:rPr>
          <w:sz w:val="20"/>
        </w:rPr>
        <w:t xml:space="preserve"> </w:t>
      </w:r>
      <w:r>
        <w:rPr>
          <w:sz w:val="20"/>
        </w:rPr>
        <w:t xml:space="preserve">Ryle, G. (1949). The concept of mind. Hutchinson.</w:t>
      </w:r>
    </w:p>
    <w:p>
      <w:pPr>
        <w:pStyle w:val="BodyText"/>
        <w:keepLines/>
        <w:spacing w:after="120"/>
        <w:jc w:val="left"/>
      </w:pPr>
      <w:bookmarkStart w:id="980" w:name="ref-Sandve2013"/>
      <w:bookmarkEnd w:id="980"/>
      <w:r>
        <w:rPr>
          <w:b/>
          <w:bCs/>
          <w:sz w:val="20"/>
        </w:rPr>
        <w:t xml:space="preserve">[K; Sandve2013]</w:t>
      </w:r>
      <w:r>
        <w:rPr>
          <w:sz w:val="20"/>
        </w:rPr>
        <w:t xml:space="preserve"> </w:t>
      </w:r>
      <w:r>
        <w:rPr>
          <w:sz w:val="20"/>
        </w:rPr>
        <w:t xml:space="preserve">Sandve, G. K., Nekrutenko, A., Taylor, J., &amp; Hovig, E. (2013). Ten Simple Rules for Reproducible Computational Research. PLOS Computational Biology, 9(10), e1003285. https://doi.org/10.1371/journal.pcbi.1003285</w:t>
      </w:r>
    </w:p>
    <w:p>
      <w:pPr>
        <w:pStyle w:val="BodyText"/>
        <w:keepLines/>
        <w:spacing w:after="120"/>
        <w:jc w:val="left"/>
      </w:pPr>
      <w:bookmarkStart w:id="981" w:name="ref-SantonideSio2018"/>
      <w:bookmarkEnd w:id="981"/>
      <w:r>
        <w:rPr>
          <w:b/>
          <w:bCs/>
          <w:sz w:val="20"/>
        </w:rPr>
        <w:t xml:space="preserve">[W; SantonideSio2018; W10]</w:t>
      </w:r>
      <w:r>
        <w:rPr>
          <w:sz w:val="20"/>
        </w:rPr>
        <w:t xml:space="preserve"> </w:t>
      </w:r>
      <w:r>
        <w:rPr>
          <w:sz w:val="20"/>
        </w:rPr>
        <w:t xml:space="preserve">Santoni de Sio, F., &amp; van den Hoven, J. (2018). Meaningful human control over autonomous systems: A philosophical account. Frontiers in Robotics and AI, 5, 15. https://doi.org/10.3389/frobt.2018.00015</w:t>
      </w:r>
    </w:p>
    <w:p>
      <w:pPr>
        <w:pStyle w:val="BodyText"/>
        <w:keepLines/>
        <w:spacing w:after="120"/>
        <w:jc w:val="left"/>
      </w:pPr>
      <w:bookmarkStart w:id="982" w:name="ref-Schreiber2000"/>
      <w:bookmarkEnd w:id="982"/>
      <w:r>
        <w:rPr>
          <w:b/>
          <w:bCs/>
          <w:sz w:val="20"/>
        </w:rPr>
        <w:t xml:space="preserve">[K; Schreiber2000]</w:t>
      </w:r>
      <w:r>
        <w:rPr>
          <w:sz w:val="20"/>
        </w:rPr>
        <w:t xml:space="preserve"> </w:t>
      </w:r>
      <w:r>
        <w:rPr>
          <w:sz w:val="20"/>
        </w:rPr>
        <w:t xml:space="preserve">Schreiber, T. (2000). Measuring Information Transfer. Physical Review Letters, 85(2), 461–464. https://doi.org/10.1103/PhysRevLett.85.461</w:t>
      </w:r>
    </w:p>
    <w:p>
      <w:pPr>
        <w:pStyle w:val="BodyText"/>
        <w:keepLines/>
        <w:spacing w:after="120"/>
        <w:jc w:val="left"/>
      </w:pPr>
      <w:bookmarkStart w:id="983" w:name="ref-Schrittwieser2020"/>
      <w:bookmarkEnd w:id="983"/>
      <w:r>
        <w:rPr>
          <w:b/>
          <w:bCs/>
          <w:sz w:val="20"/>
        </w:rPr>
        <w:t xml:space="preserve">[K; Schrittwieser2020]</w:t>
      </w:r>
      <w:r>
        <w:rPr>
          <w:sz w:val="20"/>
        </w:rPr>
        <w:t xml:space="preserve"> </w:t>
      </w:r>
      <w:r>
        <w:rPr>
          <w:sz w:val="20"/>
        </w:rPr>
        <w:t xml:space="preserve">Schrittwieser, J., Antonoglou, I., Hubert, T., Simonyan, K., Sifre, L., Schmitt, S., Guez, A., Lockhart, E., Hassabis, D., Graepel, T., Lillicrap, T., &amp; Silver, D. (2020). Mastering Atari, Go, Chess and Shogi by Planning with a Learned Model. Nature, 588, 604–609. https://doi.org/10.1038/s41586-020-03051-4</w:t>
      </w:r>
    </w:p>
    <w:p>
      <w:pPr>
        <w:pStyle w:val="BodyText"/>
        <w:keepLines/>
        <w:spacing w:after="120"/>
        <w:jc w:val="left"/>
      </w:pPr>
      <w:bookmarkStart w:id="984" w:name="ref-Searle1980"/>
      <w:bookmarkEnd w:id="984"/>
      <w:r>
        <w:rPr>
          <w:b/>
          <w:bCs/>
          <w:sz w:val="20"/>
        </w:rPr>
        <w:t xml:space="preserve">[K; Searle1980]</w:t>
      </w:r>
      <w:r>
        <w:rPr>
          <w:sz w:val="20"/>
        </w:rPr>
        <w:t xml:space="preserve"> </w:t>
      </w:r>
      <w:r>
        <w:rPr>
          <w:sz w:val="20"/>
        </w:rPr>
        <w:t xml:space="preserve">Searle, J. R. (1980). Minds, brains, and programs. Behavioral and Brain Sciences, 3(3), 417–457. https://doi.org/10.1017/S0140525X00005756</w:t>
      </w:r>
    </w:p>
    <w:p>
      <w:pPr>
        <w:pStyle w:val="BodyText"/>
        <w:keepLines/>
        <w:spacing w:after="120"/>
        <w:jc w:val="left"/>
      </w:pPr>
      <w:bookmarkStart w:id="985" w:name="ref-Sen1999"/>
      <w:bookmarkEnd w:id="985"/>
      <w:r>
        <w:rPr>
          <w:b/>
          <w:bCs/>
          <w:sz w:val="20"/>
        </w:rPr>
        <w:t xml:space="preserve">[K; Sen1999]</w:t>
      </w:r>
      <w:r>
        <w:rPr>
          <w:sz w:val="20"/>
        </w:rPr>
        <w:t xml:space="preserve"> </w:t>
      </w:r>
      <w:r>
        <w:rPr>
          <w:sz w:val="20"/>
        </w:rPr>
        <w:t xml:space="preserve">Sen, A. (1999). Development as freedom. Knopf.</w:t>
      </w:r>
    </w:p>
    <w:p>
      <w:pPr>
        <w:pStyle w:val="BodyText"/>
        <w:keepLines/>
        <w:spacing w:after="120"/>
        <w:jc w:val="left"/>
      </w:pPr>
      <w:bookmarkStart w:id="986" w:name="ref-Seth2022"/>
      <w:bookmarkEnd w:id="986"/>
      <w:r>
        <w:rPr>
          <w:b/>
          <w:bCs/>
          <w:sz w:val="20"/>
        </w:rPr>
        <w:t xml:space="preserve">[K; Seth2022]</w:t>
      </w:r>
      <w:r>
        <w:rPr>
          <w:sz w:val="20"/>
        </w:rPr>
        <w:t xml:space="preserve"> </w:t>
      </w:r>
      <w:r>
        <w:rPr>
          <w:sz w:val="20"/>
        </w:rPr>
        <w:t xml:space="preserve">Seth, A. K., &amp; Bayne, T. (2022). Theories of consciousness. Nature Reviews Neuroscience, 23, 439–452. https://doi.org/10.1038/s41583-022-00587-4</w:t>
      </w:r>
    </w:p>
    <w:p>
      <w:pPr>
        <w:pStyle w:val="BodyText"/>
        <w:keepLines/>
        <w:spacing w:after="120"/>
        <w:jc w:val="left"/>
      </w:pPr>
      <w:bookmarkStart w:id="987" w:name="ref-Shannon1948"/>
      <w:bookmarkEnd w:id="987"/>
      <w:r>
        <w:rPr>
          <w:b/>
          <w:bCs/>
          <w:sz w:val="20"/>
        </w:rPr>
        <w:t xml:space="preserve">[K; Shannon1948]</w:t>
      </w:r>
      <w:r>
        <w:rPr>
          <w:sz w:val="20"/>
        </w:rPr>
        <w:t xml:space="preserve"> </w:t>
      </w:r>
      <w:r>
        <w:rPr>
          <w:sz w:val="20"/>
        </w:rPr>
        <w:t xml:space="preserve">Shannon, C. E. (1948). A Mathematical Theory of Communication. Bell System Technical Journal, 27, 379–423, 623–656. https://doi.org/10.1002/j.1538-7305.1948.tb01338.x</w:t>
      </w:r>
    </w:p>
    <w:p>
      <w:pPr>
        <w:pStyle w:val="BodyText"/>
        <w:keepLines/>
        <w:spacing w:after="120"/>
        <w:jc w:val="left"/>
      </w:pPr>
      <w:bookmarkStart w:id="988" w:name="ref-Shen2024"/>
      <w:bookmarkEnd w:id="988"/>
      <w:r>
        <w:rPr>
          <w:b/>
          <w:bCs/>
          <w:sz w:val="20"/>
        </w:rPr>
        <w:t xml:space="preserve">[K; Shen2024]</w:t>
      </w:r>
      <w:r>
        <w:rPr>
          <w:sz w:val="20"/>
        </w:rPr>
        <w:t xml:space="preserve"> </w:t>
      </w:r>
      <w:r>
        <w:rPr>
          <w:sz w:val="20"/>
        </w:rPr>
        <w:t xml:space="preserve">Shen, S., Zhang, R., Wang, C., Huang, R., Tuerhong, A., Guo, Q., et al. (2024). Evolutionary spiking neural networks: A survey. Journal of Membrane Computing, 6(4), 335–346. https://doi.org/10.1007/s41965-024-00156-x</w:t>
      </w:r>
    </w:p>
    <w:p>
      <w:pPr>
        <w:pStyle w:val="BodyText"/>
        <w:keepLines/>
        <w:spacing w:after="120"/>
        <w:jc w:val="left"/>
      </w:pPr>
      <w:bookmarkStart w:id="989" w:name="ref-Shew2013"/>
      <w:bookmarkEnd w:id="989"/>
      <w:r>
        <w:rPr>
          <w:b/>
          <w:bCs/>
          <w:sz w:val="20"/>
        </w:rPr>
        <w:t xml:space="preserve">[K; Shew2013]</w:t>
      </w:r>
      <w:r>
        <w:rPr>
          <w:sz w:val="20"/>
        </w:rPr>
        <w:t xml:space="preserve"> </w:t>
      </w:r>
      <w:r>
        <w:rPr>
          <w:sz w:val="20"/>
        </w:rPr>
        <w:t xml:space="preserve">Shew, W. L., &amp; Plenz, D. (2013). The Functional Benefits of Criticality in the Cortex. The Neuroscientist, 19(1), 88–100. https://doi.org/10.1177/1073858412445487</w:t>
      </w:r>
    </w:p>
    <w:p>
      <w:pPr>
        <w:pStyle w:val="BodyText"/>
        <w:keepLines/>
        <w:spacing w:after="120"/>
        <w:jc w:val="left"/>
      </w:pPr>
      <w:bookmarkStart w:id="990" w:name="ref-Simon1962"/>
      <w:bookmarkEnd w:id="990"/>
      <w:r>
        <w:rPr>
          <w:b/>
          <w:bCs/>
          <w:sz w:val="20"/>
        </w:rPr>
        <w:t xml:space="preserve">[K; Simon1962]</w:t>
      </w:r>
      <w:r>
        <w:rPr>
          <w:sz w:val="20"/>
        </w:rPr>
        <w:t xml:space="preserve"> </w:t>
      </w:r>
      <w:r>
        <w:rPr>
          <w:sz w:val="20"/>
        </w:rPr>
        <w:t xml:space="preserve">Simon, H. A. (1962). The architecture of complexity. Proceedings of the American Philosophical Society, 106(6), 467–482.</w:t>
      </w:r>
    </w:p>
    <w:p>
      <w:pPr>
        <w:pStyle w:val="BodyText"/>
        <w:keepLines/>
        <w:spacing w:after="120"/>
        <w:jc w:val="left"/>
      </w:pPr>
      <w:bookmarkStart w:id="991" w:name="ref-Simondon1958"/>
      <w:bookmarkEnd w:id="991"/>
      <w:r>
        <w:rPr>
          <w:b/>
          <w:bCs/>
          <w:sz w:val="20"/>
        </w:rPr>
        <w:t xml:space="preserve">[K; Simondon1958]</w:t>
      </w:r>
      <w:r>
        <w:rPr>
          <w:sz w:val="20"/>
        </w:rPr>
        <w:t xml:space="preserve"> </w:t>
      </w:r>
      <w:r>
        <w:rPr>
          <w:sz w:val="20"/>
        </w:rPr>
        <w:t xml:space="preserve">Simondon, G. (1958). Du mode d’existence des objets techniques. Aubier.</w:t>
      </w:r>
    </w:p>
    <w:p>
      <w:pPr>
        <w:pStyle w:val="BodyText"/>
        <w:keepLines/>
        <w:spacing w:after="120"/>
        <w:jc w:val="left"/>
      </w:pPr>
      <w:bookmarkStart w:id="992" w:name="ref-Smith2016"/>
      <w:bookmarkEnd w:id="992"/>
      <w:r>
        <w:rPr>
          <w:b/>
          <w:bCs/>
          <w:sz w:val="20"/>
        </w:rPr>
        <w:t xml:space="preserve">[K; Smith2016]</w:t>
      </w:r>
      <w:r>
        <w:rPr>
          <w:sz w:val="20"/>
        </w:rPr>
        <w:t xml:space="preserve"> </w:t>
      </w:r>
      <w:r>
        <w:rPr>
          <w:sz w:val="20"/>
        </w:rPr>
        <w:t xml:space="preserve">Smith, A. M., Katz, D. S., Niemeyer, K. E., &amp; Group, F. S. C. W. (2016). Software Citation Principles. PeerJ Computer Science, 2, e86. https://doi.org/10.7717/peerj-cs.86</w:t>
      </w:r>
    </w:p>
    <w:p>
      <w:pPr>
        <w:pStyle w:val="BodyText"/>
        <w:keepLines/>
        <w:spacing w:after="120"/>
        <w:jc w:val="left"/>
      </w:pPr>
      <w:bookmarkStart w:id="993" w:name="ref-Snyder2019"/>
      <w:bookmarkEnd w:id="993"/>
      <w:r>
        <w:rPr>
          <w:b/>
          <w:bCs/>
          <w:sz w:val="20"/>
        </w:rPr>
        <w:t xml:space="preserve">[K; Snyder2019]</w:t>
      </w:r>
      <w:r>
        <w:rPr>
          <w:sz w:val="20"/>
        </w:rPr>
        <w:t xml:space="preserve"> </w:t>
      </w:r>
      <w:r>
        <w:rPr>
          <w:sz w:val="20"/>
        </w:rPr>
        <w:t xml:space="preserve">Snyder, H. (2019). Literature review as a research methodology. Journal of Business Research, 104, 333–339. https://doi.org/10.1016/j.jbusres.2019.07.039</w:t>
      </w:r>
    </w:p>
    <w:p>
      <w:pPr>
        <w:pStyle w:val="BodyText"/>
        <w:keepLines/>
        <w:spacing w:after="120"/>
        <w:jc w:val="left"/>
      </w:pPr>
      <w:bookmarkStart w:id="994" w:name="ref-Song2000"/>
      <w:bookmarkEnd w:id="994"/>
      <w:r>
        <w:rPr>
          <w:b/>
          <w:bCs/>
          <w:sz w:val="20"/>
        </w:rPr>
        <w:t xml:space="preserve">[K; Song2000]</w:t>
      </w:r>
      <w:r>
        <w:rPr>
          <w:sz w:val="20"/>
        </w:rPr>
        <w:t xml:space="preserve"> </w:t>
      </w:r>
      <w:r>
        <w:rPr>
          <w:sz w:val="20"/>
        </w:rPr>
        <w:t xml:space="preserve">Song, S., Miller, K. D., &amp; Abbott, L. F. (2000). Competitive Hebbian Learning Through Spike-Timing-Dependent Synaptic Plasticity. Nature Neuroscience, 3, 919–926. https://doi.org/10.1038/78829</w:t>
      </w:r>
    </w:p>
    <w:p>
      <w:pPr>
        <w:pStyle w:val="BodyText"/>
        <w:keepLines/>
        <w:spacing w:after="120"/>
        <w:jc w:val="left"/>
      </w:pPr>
      <w:bookmarkStart w:id="995" w:name="ref-StanfordInstituteforHumanCente2026"/>
      <w:bookmarkEnd w:id="995"/>
      <w:r>
        <w:rPr>
          <w:b/>
          <w:bCs/>
          <w:sz w:val="20"/>
        </w:rPr>
        <w:t xml:space="preserve">[W; StanfordInstituteforHumanCente2026; W04]</w:t>
      </w:r>
      <w:r>
        <w:rPr>
          <w:sz w:val="20"/>
        </w:rPr>
        <w:t xml:space="preserve"> </w:t>
      </w:r>
      <w:r>
        <w:rPr>
          <w:sz w:val="20"/>
        </w:rPr>
        <w:t xml:space="preserve">Stanford Institute for Human-Centered Artificial Intelligence (2026). The 2026 AI Index Report. Stanford HAI, official report portal. https://hai.stanford.edu/ai-index/2026-ai-index-report</w:t>
      </w:r>
    </w:p>
    <w:p>
      <w:pPr>
        <w:pStyle w:val="BodyText"/>
        <w:keepLines/>
        <w:spacing w:after="120"/>
        <w:jc w:val="left"/>
      </w:pPr>
      <w:bookmarkStart w:id="996" w:name="ref-Stimberg2019"/>
      <w:bookmarkEnd w:id="996"/>
      <w:r>
        <w:rPr>
          <w:b/>
          <w:bCs/>
          <w:sz w:val="20"/>
        </w:rPr>
        <w:t xml:space="preserve">[K; Stimberg2019]</w:t>
      </w:r>
      <w:r>
        <w:rPr>
          <w:sz w:val="20"/>
        </w:rPr>
        <w:t xml:space="preserve"> </w:t>
      </w:r>
      <w:r>
        <w:rPr>
          <w:sz w:val="20"/>
        </w:rPr>
        <w:t xml:space="preserve">Stimberg, M., Brette, R., &amp; Goodman, D. F. M. (2019). Brian 2, an Intuitive and Efficient Neural Simulator. eLife, 8, e47314. https://doi.org/10.7554/eLife.47314</w:t>
      </w:r>
    </w:p>
    <w:p>
      <w:pPr>
        <w:pStyle w:val="BodyText"/>
        <w:keepLines/>
        <w:spacing w:after="120"/>
        <w:jc w:val="left"/>
      </w:pPr>
      <w:bookmarkStart w:id="997" w:name="ref-Strogatz2015"/>
      <w:bookmarkEnd w:id="997"/>
      <w:r>
        <w:rPr>
          <w:b/>
          <w:bCs/>
          <w:sz w:val="20"/>
        </w:rPr>
        <w:t xml:space="preserve">[K; Strogatz2015]</w:t>
      </w:r>
      <w:r>
        <w:rPr>
          <w:sz w:val="20"/>
        </w:rPr>
        <w:t xml:space="preserve"> </w:t>
      </w:r>
      <w:r>
        <w:rPr>
          <w:sz w:val="20"/>
        </w:rPr>
        <w:t xml:space="preserve">Strogatz, S. H. (2015). Nonlinear Dynamics and Chaos: With Applications to Physics, Biology, Chemistry, and Engineering (2. Aufl.). Westview Press.</w:t>
      </w:r>
    </w:p>
    <w:p>
      <w:pPr>
        <w:pStyle w:val="BodyText"/>
        <w:keepLines/>
        <w:spacing w:after="120"/>
        <w:jc w:val="left"/>
      </w:pPr>
      <w:bookmarkStart w:id="998" w:name="ref-Suchman2007"/>
      <w:bookmarkEnd w:id="998"/>
      <w:r>
        <w:rPr>
          <w:b/>
          <w:bCs/>
          <w:sz w:val="20"/>
        </w:rPr>
        <w:t xml:space="preserve">[K; Suchman2007]</w:t>
      </w:r>
      <w:r>
        <w:rPr>
          <w:sz w:val="20"/>
        </w:rPr>
        <w:t xml:space="preserve"> </w:t>
      </w:r>
      <w:r>
        <w:rPr>
          <w:sz w:val="20"/>
        </w:rPr>
        <w:t xml:space="preserve">Suchman, L. (2007). Human-machine reconfigurations (2nd ed.). Cambridge University Press.</w:t>
      </w:r>
    </w:p>
    <w:p>
      <w:pPr>
        <w:pStyle w:val="BodyText"/>
        <w:keepLines/>
        <w:spacing w:after="120"/>
        <w:jc w:val="left"/>
      </w:pPr>
      <w:bookmarkStart w:id="999" w:name="ref-Sussillo2009"/>
      <w:bookmarkEnd w:id="999"/>
      <w:r>
        <w:rPr>
          <w:b/>
          <w:bCs/>
          <w:sz w:val="20"/>
        </w:rPr>
        <w:t xml:space="preserve">[K; Sussillo2009]</w:t>
      </w:r>
      <w:r>
        <w:rPr>
          <w:sz w:val="20"/>
        </w:rPr>
        <w:t xml:space="preserve"> </w:t>
      </w:r>
      <w:r>
        <w:rPr>
          <w:sz w:val="20"/>
        </w:rPr>
        <w:t xml:space="preserve">Sussillo, D., &amp; Abbott, L. F. (2009). Generating Coherent Patterns of Activity from Chaotic Neural Networks. Neuron, 63(4), 544–557. https://doi.org/10.1016/j.neuron.2009.07.018</w:t>
      </w:r>
    </w:p>
    <w:p>
      <w:pPr>
        <w:pStyle w:val="BodyText"/>
        <w:keepLines/>
        <w:spacing w:after="120"/>
        <w:jc w:val="left"/>
      </w:pPr>
      <w:bookmarkStart w:id="1000" w:name="ref-Sutton1991"/>
      <w:bookmarkEnd w:id="1000"/>
      <w:r>
        <w:rPr>
          <w:b/>
          <w:bCs/>
          <w:sz w:val="20"/>
        </w:rPr>
        <w:t xml:space="preserve">[K; Sutton1991]</w:t>
      </w:r>
      <w:r>
        <w:rPr>
          <w:sz w:val="20"/>
        </w:rPr>
        <w:t xml:space="preserve"> </w:t>
      </w:r>
      <w:r>
        <w:rPr>
          <w:sz w:val="20"/>
        </w:rPr>
        <w:t xml:space="preserve">Sutton, R. S. (1991). Dyna, an Integrated Architecture for Learning, Planning, and Reacting. ACM SIGART Bulletin, 2(4), 160–163. https://doi.org/10.1145/122344.122377</w:t>
      </w:r>
    </w:p>
    <w:p>
      <w:pPr>
        <w:pStyle w:val="BodyText"/>
        <w:keepLines/>
        <w:spacing w:after="120"/>
        <w:jc w:val="left"/>
      </w:pPr>
      <w:bookmarkStart w:id="1001" w:name="ref-SuttonBarto2018"/>
      <w:bookmarkEnd w:id="1001"/>
      <w:r>
        <w:rPr>
          <w:b/>
          <w:bCs/>
          <w:sz w:val="20"/>
        </w:rPr>
        <w:t xml:space="preserve">[K; SuttonBarto2018]</w:t>
      </w:r>
      <w:r>
        <w:rPr>
          <w:sz w:val="20"/>
        </w:rPr>
        <w:t xml:space="preserve"> </w:t>
      </w:r>
      <w:r>
        <w:rPr>
          <w:sz w:val="20"/>
        </w:rPr>
        <w:t xml:space="preserve">Sutton, R. S., &amp; Barto, A. G. (2018). Reinforcement Learning: An Introduction (2. Aufl.). MIT Press.</w:t>
      </w:r>
    </w:p>
    <w:p>
      <w:pPr>
        <w:pStyle w:val="BodyText"/>
        <w:keepLines/>
        <w:spacing w:after="120"/>
        <w:jc w:val="left"/>
      </w:pPr>
      <w:bookmarkStart w:id="1002" w:name="ref-Tabassi2023"/>
      <w:bookmarkEnd w:id="1002"/>
      <w:r>
        <w:rPr>
          <w:b/>
          <w:bCs/>
          <w:sz w:val="20"/>
        </w:rPr>
        <w:t xml:space="preserve">[K; Tabassi2023]</w:t>
      </w:r>
      <w:r>
        <w:rPr>
          <w:sz w:val="20"/>
        </w:rPr>
        <w:t xml:space="preserve"> </w:t>
      </w:r>
      <w:r>
        <w:rPr>
          <w:sz w:val="20"/>
        </w:rPr>
        <w:t xml:space="preserve">Tabassi, E. (2023). Artificial Intelligence Risk Management Framework (AI RMF 1.0). NIST AI 100-1.</w:t>
      </w:r>
    </w:p>
    <w:p>
      <w:pPr>
        <w:pStyle w:val="BodyText"/>
        <w:keepLines/>
        <w:spacing w:after="120"/>
        <w:jc w:val="left"/>
      </w:pPr>
      <w:bookmarkStart w:id="1003" w:name="ref-Thompson2001"/>
      <w:bookmarkEnd w:id="1003"/>
      <w:r>
        <w:rPr>
          <w:b/>
          <w:bCs/>
          <w:sz w:val="20"/>
        </w:rPr>
        <w:t xml:space="preserve">[K; Thompson2001]</w:t>
      </w:r>
      <w:r>
        <w:rPr>
          <w:sz w:val="20"/>
        </w:rPr>
        <w:t xml:space="preserve"> </w:t>
      </w:r>
      <w:r>
        <w:rPr>
          <w:sz w:val="20"/>
        </w:rPr>
        <w:t xml:space="preserve">Thompson, E., &amp; Varela, F. J. (2001). Radical embodiment. Trends in Cognitive Sciences, 5(10), 418–425. https://doi.org/10.1016/S1364-6613(00)01750-2</w:t>
      </w:r>
    </w:p>
    <w:p>
      <w:pPr>
        <w:pStyle w:val="BodyText"/>
        <w:keepLines/>
        <w:spacing w:after="120"/>
        <w:jc w:val="left"/>
      </w:pPr>
      <w:bookmarkStart w:id="1004" w:name="ref-Thompson2007"/>
      <w:bookmarkEnd w:id="1004"/>
      <w:r>
        <w:rPr>
          <w:b/>
          <w:bCs/>
          <w:sz w:val="20"/>
        </w:rPr>
        <w:t xml:space="preserve">[K; Thompson2007]</w:t>
      </w:r>
      <w:r>
        <w:rPr>
          <w:sz w:val="20"/>
        </w:rPr>
        <w:t xml:space="preserve"> </w:t>
      </w:r>
      <w:r>
        <w:rPr>
          <w:sz w:val="20"/>
        </w:rPr>
        <w:t xml:space="preserve">Thompson, E. (2007). Mind in life. Harvard University Press.</w:t>
      </w:r>
    </w:p>
    <w:p>
      <w:pPr>
        <w:pStyle w:val="BodyText"/>
        <w:keepLines/>
        <w:spacing w:after="120"/>
        <w:jc w:val="left"/>
      </w:pPr>
      <w:bookmarkStart w:id="1005" w:name="ref-Tononi2004"/>
      <w:bookmarkEnd w:id="1005"/>
      <w:r>
        <w:rPr>
          <w:b/>
          <w:bCs/>
          <w:sz w:val="20"/>
        </w:rPr>
        <w:t xml:space="preserve">[K; Tononi2004]</w:t>
      </w:r>
      <w:r>
        <w:rPr>
          <w:sz w:val="20"/>
        </w:rPr>
        <w:t xml:space="preserve"> </w:t>
      </w:r>
      <w:r>
        <w:rPr>
          <w:sz w:val="20"/>
        </w:rPr>
        <w:t xml:space="preserve">Tononi, G. (2004). An information integration theory of consciousness. BMC Neuroscience, 5, 42. https://doi.org/10.1186/1471-2202-5-42</w:t>
      </w:r>
    </w:p>
    <w:p>
      <w:pPr>
        <w:pStyle w:val="BodyText"/>
        <w:keepLines/>
        <w:spacing w:after="120"/>
        <w:jc w:val="left"/>
      </w:pPr>
      <w:bookmarkStart w:id="1006" w:name="ref-Tresch2012"/>
      <w:bookmarkEnd w:id="1006"/>
      <w:r>
        <w:rPr>
          <w:b/>
          <w:bCs/>
          <w:sz w:val="20"/>
        </w:rPr>
        <w:t xml:space="preserve">[K; Tresch2012]</w:t>
      </w:r>
      <w:r>
        <w:rPr>
          <w:sz w:val="20"/>
        </w:rPr>
        <w:t xml:space="preserve"> </w:t>
      </w:r>
      <w:r>
        <w:rPr>
          <w:sz w:val="20"/>
        </w:rPr>
        <w:t xml:space="preserve">Tresch, J. (2012). The Romantic Machine: Utopian Science and Technology after Napoleon. University of Chicago Press.</w:t>
      </w:r>
    </w:p>
    <w:p>
      <w:pPr>
        <w:pStyle w:val="BodyText"/>
        <w:keepLines/>
        <w:spacing w:after="120"/>
        <w:jc w:val="left"/>
      </w:pPr>
      <w:bookmarkStart w:id="1007" w:name="ref-Tronto1993"/>
      <w:bookmarkEnd w:id="1007"/>
      <w:r>
        <w:rPr>
          <w:b/>
          <w:bCs/>
          <w:sz w:val="20"/>
        </w:rPr>
        <w:t xml:space="preserve">[K; Tronto1993]</w:t>
      </w:r>
      <w:r>
        <w:rPr>
          <w:sz w:val="20"/>
        </w:rPr>
        <w:t xml:space="preserve"> </w:t>
      </w:r>
      <w:r>
        <w:rPr>
          <w:sz w:val="20"/>
        </w:rPr>
        <w:t xml:space="preserve">Tronto, J. C. (1993). Moral boundaries. Routledge.</w:t>
      </w:r>
    </w:p>
    <w:p>
      <w:pPr>
        <w:pStyle w:val="BodyText"/>
        <w:keepLines/>
        <w:spacing w:after="120"/>
        <w:jc w:val="left"/>
      </w:pPr>
      <w:bookmarkStart w:id="1008" w:name="ref-Turing1950"/>
      <w:bookmarkEnd w:id="1008"/>
      <w:r>
        <w:rPr>
          <w:b/>
          <w:bCs/>
          <w:sz w:val="20"/>
        </w:rPr>
        <w:t xml:space="preserve">[K; Turing1950]</w:t>
      </w:r>
      <w:r>
        <w:rPr>
          <w:sz w:val="20"/>
        </w:rPr>
        <w:t xml:space="preserve"> </w:t>
      </w:r>
      <w:r>
        <w:rPr>
          <w:sz w:val="20"/>
        </w:rPr>
        <w:t xml:space="preserve">Turing, A. M. (1950). Computing machinery and intelligence. Mind, 59(236), 433–460. https://doi.org/10.1093/mind/LIX.236.433</w:t>
      </w:r>
    </w:p>
    <w:p>
      <w:pPr>
        <w:pStyle w:val="BodyText"/>
        <w:keepLines/>
        <w:spacing w:after="120"/>
        <w:jc w:val="left"/>
      </w:pPr>
      <w:bookmarkStart w:id="1009" w:name="ref-Turrigiano1998"/>
      <w:bookmarkEnd w:id="1009"/>
      <w:r>
        <w:rPr>
          <w:b/>
          <w:bCs/>
          <w:sz w:val="20"/>
        </w:rPr>
        <w:t xml:space="preserve">[K; Turrigiano1998]</w:t>
      </w:r>
      <w:r>
        <w:rPr>
          <w:sz w:val="20"/>
        </w:rPr>
        <w:t xml:space="preserve"> </w:t>
      </w:r>
      <w:r>
        <w:rPr>
          <w:sz w:val="20"/>
        </w:rPr>
        <w:t xml:space="preserve">Turrigiano, G. G., Leslie, K. R., Desai, N. S., Rutherford, L. C., &amp; Nelson, S. B. (1998). Activity-Dependent Scaling of Quantal Amplitude in Neocortical Neurons. Nature, 391, 892–896. https://doi.org/10.1038/36103</w:t>
      </w:r>
    </w:p>
    <w:p>
      <w:pPr>
        <w:pStyle w:val="BodyText"/>
        <w:keepLines/>
        <w:spacing w:after="120"/>
        <w:jc w:val="left"/>
      </w:pPr>
      <w:bookmarkStart w:id="1010" w:name="ref-Turrigiano2004"/>
      <w:bookmarkEnd w:id="1010"/>
      <w:r>
        <w:rPr>
          <w:b/>
          <w:bCs/>
          <w:sz w:val="20"/>
        </w:rPr>
        <w:t xml:space="preserve">[K; Turrigiano2004]</w:t>
      </w:r>
      <w:r>
        <w:rPr>
          <w:sz w:val="20"/>
        </w:rPr>
        <w:t xml:space="preserve"> </w:t>
      </w:r>
      <w:r>
        <w:rPr>
          <w:sz w:val="20"/>
        </w:rPr>
        <w:t xml:space="preserve">Turrigiano, G. G., &amp; Nelson, S. B. (2004). Homeostatic Plasticity in the Developing Nervous System. Nature Reviews Neuroscience, 5, 97–107. https://doi.org/10.1038/nrn1327</w:t>
      </w:r>
    </w:p>
    <w:p>
      <w:pPr>
        <w:pStyle w:val="BodyText"/>
        <w:keepLines/>
        <w:spacing w:after="120"/>
        <w:jc w:val="left"/>
      </w:pPr>
      <w:bookmarkStart w:id="1011" w:name="ref-UNESCO2021"/>
      <w:bookmarkEnd w:id="1011"/>
      <w:r>
        <w:rPr>
          <w:b/>
          <w:bCs/>
          <w:sz w:val="20"/>
        </w:rPr>
        <w:t xml:space="preserve">[K; UNESCO2021]</w:t>
      </w:r>
      <w:r>
        <w:rPr>
          <w:sz w:val="20"/>
        </w:rPr>
        <w:t xml:space="preserve"> </w:t>
      </w:r>
      <w:r>
        <w:rPr>
          <w:sz w:val="20"/>
        </w:rPr>
        <w:t xml:space="preserve">UNESCO. (2021). Recommendation on the ethics of artificial intelligence. UNESCO.</w:t>
      </w:r>
    </w:p>
    <w:p>
      <w:pPr>
        <w:pStyle w:val="BodyText"/>
        <w:keepLines/>
        <w:spacing w:after="120"/>
        <w:jc w:val="left"/>
      </w:pPr>
      <w:bookmarkStart w:id="1012" w:name="ref-USCopyrightOffice2025"/>
      <w:bookmarkEnd w:id="1012"/>
      <w:r>
        <w:rPr>
          <w:b/>
          <w:bCs/>
          <w:sz w:val="20"/>
        </w:rPr>
        <w:t xml:space="preserve">[K; USCopyrightOffice2025]</w:t>
      </w:r>
      <w:r>
        <w:rPr>
          <w:sz w:val="20"/>
        </w:rPr>
        <w:t xml:space="preserve"> </w:t>
      </w:r>
      <w:r>
        <w:rPr>
          <w:sz w:val="20"/>
        </w:rPr>
        <w:t xml:space="preserve">U.S. Copyright Office. (2025). Copyright and artificial intelligence, Part 2: Copyrightability. Library of Congress.</w:t>
      </w:r>
    </w:p>
    <w:p>
      <w:pPr>
        <w:pStyle w:val="BodyText"/>
        <w:keepLines/>
        <w:spacing w:after="120"/>
        <w:jc w:val="left"/>
      </w:pPr>
      <w:bookmarkStart w:id="1013" w:name="ref-Varela1991"/>
      <w:bookmarkEnd w:id="1013"/>
      <w:r>
        <w:rPr>
          <w:b/>
          <w:bCs/>
          <w:sz w:val="20"/>
        </w:rPr>
        <w:t xml:space="preserve">[K; Varela1991]</w:t>
      </w:r>
      <w:r>
        <w:rPr>
          <w:sz w:val="20"/>
        </w:rPr>
        <w:t xml:space="preserve"> </w:t>
      </w:r>
      <w:r>
        <w:rPr>
          <w:sz w:val="20"/>
        </w:rPr>
        <w:t xml:space="preserve">Varela, F. J., Thompson, E., &amp; Rosch, E. (1991). The embodied mind. MIT Press.</w:t>
      </w:r>
    </w:p>
    <w:p>
      <w:pPr>
        <w:pStyle w:val="BodyText"/>
        <w:keepLines/>
        <w:spacing w:after="120"/>
        <w:jc w:val="left"/>
      </w:pPr>
      <w:bookmarkStart w:id="1014" w:name="ref-Vaswani2017"/>
      <w:bookmarkEnd w:id="1014"/>
      <w:r>
        <w:rPr>
          <w:b/>
          <w:bCs/>
          <w:sz w:val="20"/>
        </w:rPr>
        <w:t xml:space="preserve">[K; Vaswani2017]</w:t>
      </w:r>
      <w:r>
        <w:rPr>
          <w:sz w:val="20"/>
        </w:rPr>
        <w:t xml:space="preserve"> </w:t>
      </w:r>
      <w:r>
        <w:rPr>
          <w:sz w:val="20"/>
        </w:rPr>
        <w:t xml:space="preserve">Vaswani, A., Shazeer, N., Parmar, N., Uszkoreit, J., Jones, L., Gomez, A. N., Kaiser, L., &amp; Polosukhin, I. (2017). Attention Is All You Need. Advances in Neural Information Processing Systems 30, 5998–6008.</w:t>
      </w:r>
    </w:p>
    <w:p>
      <w:pPr>
        <w:pStyle w:val="BodyText"/>
        <w:keepLines/>
        <w:spacing w:after="120"/>
        <w:jc w:val="left"/>
      </w:pPr>
      <w:bookmarkStart w:id="1015" w:name="ref-Verbeek2011"/>
      <w:bookmarkEnd w:id="1015"/>
      <w:r>
        <w:rPr>
          <w:b/>
          <w:bCs/>
          <w:sz w:val="20"/>
        </w:rPr>
        <w:t xml:space="preserve">[K; Verbeek2011]</w:t>
      </w:r>
      <w:r>
        <w:rPr>
          <w:sz w:val="20"/>
        </w:rPr>
        <w:t xml:space="preserve"> </w:t>
      </w:r>
      <w:r>
        <w:rPr>
          <w:sz w:val="20"/>
        </w:rPr>
        <w:t xml:space="preserve">Verbeek, P.-P. (2011). Moralizing technology. University of Chicago Press.</w:t>
      </w:r>
    </w:p>
    <w:p>
      <w:pPr>
        <w:pStyle w:val="BodyText"/>
        <w:keepLines/>
        <w:spacing w:after="120"/>
        <w:jc w:val="left"/>
      </w:pPr>
      <w:bookmarkStart w:id="1016" w:name="ref-Vitolo2024"/>
      <w:bookmarkEnd w:id="1016"/>
      <w:r>
        <w:rPr>
          <w:b/>
          <w:bCs/>
          <w:sz w:val="20"/>
        </w:rPr>
        <w:t xml:space="preserve">[K; Vitolo2024]</w:t>
      </w:r>
      <w:r>
        <w:rPr>
          <w:sz w:val="20"/>
        </w:rPr>
        <w:t xml:space="preserve"> </w:t>
      </w:r>
      <w:r>
        <w:rPr>
          <w:sz w:val="20"/>
        </w:rPr>
        <w:t xml:space="preserve">Vitolo, P., Psaltakis, G., Tomlinson, M., Licciardo, G. D., &amp; Andreou, A. G. (2024). Natural language to Verilog: Design of a recurrent spiking neural network using large language models and ChatGPT. In IEEE/ACM International Conference on Neuromorphic Systems. https://doi.org/10.1109/ICONS62911.2024.00024</w:t>
      </w:r>
    </w:p>
    <w:p>
      <w:pPr>
        <w:pStyle w:val="BodyText"/>
        <w:keepLines/>
        <w:spacing w:after="120"/>
        <w:jc w:val="left"/>
      </w:pPr>
      <w:bookmarkStart w:id="1017" w:name="ref-Vogels2011"/>
      <w:bookmarkEnd w:id="1017"/>
      <w:r>
        <w:rPr>
          <w:b/>
          <w:bCs/>
          <w:sz w:val="20"/>
        </w:rPr>
        <w:t xml:space="preserve">[K; Vogels2011]</w:t>
      </w:r>
      <w:r>
        <w:rPr>
          <w:sz w:val="20"/>
        </w:rPr>
        <w:t xml:space="preserve"> </w:t>
      </w:r>
      <w:r>
        <w:rPr>
          <w:sz w:val="20"/>
        </w:rPr>
        <w:t xml:space="preserve">Vogels, T. P., Sprekeler, H., Zenke, F., Clopath, C., &amp; Gerstner, W. (2011). Inhibitory Plasticity Balances Excitation and Inhibition in Sensory Pathways and Memory Networks. Science, 334(6062), 1569–1573. https://doi.org/10.1126/science.1211095</w:t>
      </w:r>
    </w:p>
    <w:p>
      <w:pPr>
        <w:pStyle w:val="BodyText"/>
        <w:keepLines/>
        <w:spacing w:after="120"/>
        <w:jc w:val="left"/>
      </w:pPr>
      <w:bookmarkStart w:id="1018" w:name="ref-VanVreeswijk1996"/>
      <w:bookmarkEnd w:id="1018"/>
      <w:r>
        <w:rPr>
          <w:b/>
          <w:bCs/>
          <w:sz w:val="20"/>
        </w:rPr>
        <w:t xml:space="preserve">[K; VanVreeswijk1996]</w:t>
      </w:r>
      <w:r>
        <w:rPr>
          <w:sz w:val="20"/>
        </w:rPr>
        <w:t xml:space="preserve"> </w:t>
      </w:r>
      <w:r>
        <w:rPr>
          <w:sz w:val="20"/>
        </w:rPr>
        <w:t xml:space="preserve">Vreeswijk, C. van, &amp; Sompolinsky, H. (1996). Chaos in Neuronal Networks with Balanced Excitatory and Inhibitory Activity. Science, 274(5293), 1724–1726. https://doi.org/10.1126/science.274.5293.1724</w:t>
      </w:r>
    </w:p>
    <w:p>
      <w:pPr>
        <w:pStyle w:val="BodyText"/>
        <w:keepLines/>
        <w:spacing w:after="120"/>
        <w:jc w:val="left"/>
      </w:pPr>
      <w:bookmarkStart w:id="1019" w:name="ref-Wallach2009"/>
      <w:bookmarkEnd w:id="1019"/>
      <w:r>
        <w:rPr>
          <w:b/>
          <w:bCs/>
          <w:sz w:val="20"/>
        </w:rPr>
        <w:t xml:space="preserve">[K; Wallach2009]</w:t>
      </w:r>
      <w:r>
        <w:rPr>
          <w:sz w:val="20"/>
        </w:rPr>
        <w:t xml:space="preserve"> </w:t>
      </w:r>
      <w:r>
        <w:rPr>
          <w:sz w:val="20"/>
        </w:rPr>
        <w:t xml:space="preserve">Wallach, W., &amp; Allen, C. (2009). Moral machines. Oxford University Press.</w:t>
      </w:r>
    </w:p>
    <w:p>
      <w:pPr>
        <w:pStyle w:val="BodyText"/>
        <w:keepLines/>
        <w:spacing w:after="120"/>
        <w:jc w:val="left"/>
      </w:pPr>
      <w:bookmarkStart w:id="1020" w:name="ref-Watts1998"/>
      <w:bookmarkEnd w:id="1020"/>
      <w:r>
        <w:rPr>
          <w:b/>
          <w:bCs/>
          <w:sz w:val="20"/>
        </w:rPr>
        <w:t xml:space="preserve">[K; Watts1998]</w:t>
      </w:r>
      <w:r>
        <w:rPr>
          <w:sz w:val="20"/>
        </w:rPr>
        <w:t xml:space="preserve"> </w:t>
      </w:r>
      <w:r>
        <w:rPr>
          <w:sz w:val="20"/>
        </w:rPr>
        <w:t xml:space="preserve">Watts, D. J., &amp; Strogatz, S. H. (1998). Collective Dynamics of</w:t>
      </w:r>
      <w:r>
        <w:rPr>
          <w:sz w:val="20"/>
        </w:rPr>
        <w:t xml:space="preserve"> </w:t>
      </w:r>
      <w:r>
        <w:rPr>
          <w:sz w:val="20"/>
        </w:rPr>
        <w:t xml:space="preserve">‘</w:t>
      </w:r>
      <w:r>
        <w:rPr>
          <w:sz w:val="20"/>
        </w:rPr>
        <w:t xml:space="preserve">Small-World</w:t>
      </w:r>
      <w:r>
        <w:rPr>
          <w:sz w:val="20"/>
        </w:rPr>
        <w:t xml:space="preserve">’</w:t>
      </w:r>
      <w:r>
        <w:rPr>
          <w:sz w:val="20"/>
        </w:rPr>
        <w:t xml:space="preserve"> </w:t>
      </w:r>
      <w:r>
        <w:rPr>
          <w:sz w:val="20"/>
        </w:rPr>
        <w:t xml:space="preserve">Networks. Nature, 393, 440–442. https://doi.org/10.1038/30918</w:t>
      </w:r>
    </w:p>
    <w:p>
      <w:pPr>
        <w:pStyle w:val="BodyText"/>
        <w:keepLines/>
        <w:spacing w:after="120"/>
        <w:jc w:val="left"/>
      </w:pPr>
      <w:bookmarkStart w:id="1021" w:name="ref-Weinberger2009"/>
      <w:bookmarkEnd w:id="1021"/>
      <w:r>
        <w:rPr>
          <w:b/>
          <w:bCs/>
          <w:sz w:val="20"/>
        </w:rPr>
        <w:t xml:space="preserve">[K; Weinberger2009]</w:t>
      </w:r>
      <w:r>
        <w:rPr>
          <w:sz w:val="20"/>
        </w:rPr>
        <w:t xml:space="preserve"> </w:t>
      </w:r>
      <w:r>
        <w:rPr>
          <w:sz w:val="20"/>
        </w:rPr>
        <w:t xml:space="preserve">Weinberger, K. Q., &amp; Saul, L. K. (2009). Distance Metric Learning for Large Margin Nearest Neighbor Classification. Journal of Machine Learning Research, 10, 207–244.</w:t>
      </w:r>
    </w:p>
    <w:p>
      <w:pPr>
        <w:pStyle w:val="BodyText"/>
        <w:keepLines/>
        <w:spacing w:after="120"/>
        <w:jc w:val="left"/>
      </w:pPr>
      <w:bookmarkStart w:id="1022" w:name="ref-Wiener1948"/>
      <w:bookmarkEnd w:id="1022"/>
      <w:r>
        <w:rPr>
          <w:b/>
          <w:bCs/>
          <w:sz w:val="20"/>
        </w:rPr>
        <w:t xml:space="preserve">[K; Wiener1948]</w:t>
      </w:r>
      <w:r>
        <w:rPr>
          <w:sz w:val="20"/>
        </w:rPr>
        <w:t xml:space="preserve"> </w:t>
      </w:r>
      <w:r>
        <w:rPr>
          <w:sz w:val="20"/>
        </w:rPr>
        <w:t xml:space="preserve">Wiener, N. (1948). Cybernetics. MIT Press.</w:t>
      </w:r>
    </w:p>
    <w:p>
      <w:pPr>
        <w:pStyle w:val="BodyText"/>
        <w:keepLines/>
        <w:spacing w:after="120"/>
        <w:jc w:val="left"/>
      </w:pPr>
      <w:bookmarkStart w:id="1023" w:name="ref-Wiener1950"/>
      <w:bookmarkEnd w:id="1023"/>
      <w:r>
        <w:rPr>
          <w:b/>
          <w:bCs/>
          <w:sz w:val="20"/>
        </w:rPr>
        <w:t xml:space="preserve">[K; Wiener1950]</w:t>
      </w:r>
      <w:r>
        <w:rPr>
          <w:sz w:val="20"/>
        </w:rPr>
        <w:t xml:space="preserve"> </w:t>
      </w:r>
      <w:r>
        <w:rPr>
          <w:sz w:val="20"/>
        </w:rPr>
        <w:t xml:space="preserve">Wiener, N. (1950). The human use of human beings. Houghton Mifflin.</w:t>
      </w:r>
    </w:p>
    <w:p>
      <w:pPr>
        <w:pStyle w:val="BodyText"/>
        <w:keepLines/>
        <w:spacing w:after="120"/>
        <w:jc w:val="left"/>
      </w:pPr>
      <w:bookmarkStart w:id="1024" w:name="ref-Wilkinson2016"/>
      <w:bookmarkEnd w:id="1024"/>
      <w:r>
        <w:rPr>
          <w:b/>
          <w:bCs/>
          <w:sz w:val="20"/>
        </w:rPr>
        <w:t xml:space="preserve">[K; Wilkinson2016]</w:t>
      </w:r>
      <w:r>
        <w:rPr>
          <w:sz w:val="20"/>
        </w:rPr>
        <w:t xml:space="preserve"> </w:t>
      </w:r>
      <w:r>
        <w:rPr>
          <w:sz w:val="20"/>
        </w:rPr>
        <w:t xml:space="preserve">Wilkinson, M. D., Dumontier, M., Aalbersberg, Ij. J., et al. (2016). The FAIR Guiding Principles for Scientific Data Management and Stewardship. Scientific Data, 3, 160018. https://doi.org/10.1038/sdata.2016.18</w:t>
      </w:r>
    </w:p>
    <w:p>
      <w:pPr>
        <w:pStyle w:val="BodyText"/>
        <w:keepLines/>
        <w:spacing w:after="120"/>
        <w:jc w:val="left"/>
      </w:pPr>
      <w:bookmarkStart w:id="1025" w:name="ref-Wilson2002"/>
      <w:bookmarkEnd w:id="1025"/>
      <w:r>
        <w:rPr>
          <w:b/>
          <w:bCs/>
          <w:sz w:val="20"/>
        </w:rPr>
        <w:t xml:space="preserve">[K; Wilson2002]</w:t>
      </w:r>
      <w:r>
        <w:rPr>
          <w:sz w:val="20"/>
        </w:rPr>
        <w:t xml:space="preserve"> </w:t>
      </w:r>
      <w:r>
        <w:rPr>
          <w:sz w:val="20"/>
        </w:rPr>
        <w:t xml:space="preserve">Wilson, M. (2002). Six views of embodied cognition. Psychonomic Bulletin &amp; Review, 9, 625–636. https://doi.org/10.3758/BF03196322</w:t>
      </w:r>
    </w:p>
    <w:p>
      <w:pPr>
        <w:pStyle w:val="BodyText"/>
        <w:keepLines/>
        <w:spacing w:after="120"/>
        <w:jc w:val="left"/>
      </w:pPr>
      <w:bookmarkStart w:id="1026" w:name="ref-Wilson2017"/>
      <w:bookmarkEnd w:id="1026"/>
      <w:r>
        <w:rPr>
          <w:b/>
          <w:bCs/>
          <w:sz w:val="20"/>
        </w:rPr>
        <w:t xml:space="preserve">[K; Wilson2017]</w:t>
      </w:r>
      <w:r>
        <w:rPr>
          <w:sz w:val="20"/>
        </w:rPr>
        <w:t xml:space="preserve"> </w:t>
      </w:r>
      <w:r>
        <w:rPr>
          <w:sz w:val="20"/>
        </w:rPr>
        <w:t xml:space="preserve">Wilson, G., Bryan, J., Cranston, K., Kitzes, J., Nederbragt, L., &amp; Teal, T. K. (2017). Good Enough Practices in Scientific Computing. PLOS Computational Biology, 13(6), e1005510. https://doi.org/10.1371/journal.pcbi.1005510</w:t>
      </w:r>
    </w:p>
    <w:p>
      <w:pPr>
        <w:pStyle w:val="BodyText"/>
        <w:keepLines/>
        <w:spacing w:after="120"/>
        <w:jc w:val="left"/>
      </w:pPr>
      <w:bookmarkStart w:id="1027" w:name="ref-Wilting2019"/>
      <w:bookmarkEnd w:id="1027"/>
      <w:r>
        <w:rPr>
          <w:b/>
          <w:bCs/>
          <w:sz w:val="20"/>
        </w:rPr>
        <w:t xml:space="preserve">[K; Wilting2019]</w:t>
      </w:r>
      <w:r>
        <w:rPr>
          <w:sz w:val="20"/>
        </w:rPr>
        <w:t xml:space="preserve"> </w:t>
      </w:r>
      <w:r>
        <w:rPr>
          <w:sz w:val="20"/>
        </w:rPr>
        <w:t xml:space="preserve">Wilting, J., &amp; Priesemann, V. (2019). 25 Years of Criticality in Neuroscience: Established Results, Open Controversies, Novel Concepts. Trends in Neurosciences, 42(8), 518–528. https://doi.org/10.1016/j.tins.2019.04.002</w:t>
      </w:r>
    </w:p>
    <w:p>
      <w:pPr>
        <w:pStyle w:val="BodyText"/>
        <w:keepLines/>
        <w:spacing w:after="120"/>
        <w:jc w:val="left"/>
      </w:pPr>
      <w:bookmarkStart w:id="1028" w:name="ref-Winner1986"/>
      <w:bookmarkEnd w:id="1028"/>
      <w:r>
        <w:rPr>
          <w:b/>
          <w:bCs/>
          <w:sz w:val="20"/>
        </w:rPr>
        <w:t xml:space="preserve">[K; Winner1986]</w:t>
      </w:r>
      <w:r>
        <w:rPr>
          <w:sz w:val="20"/>
        </w:rPr>
        <w:t xml:space="preserve"> </w:t>
      </w:r>
      <w:r>
        <w:rPr>
          <w:sz w:val="20"/>
        </w:rPr>
        <w:t xml:space="preserve">Winner, L. (1986). The whale and the reactor. University of Chicago Press.</w:t>
      </w:r>
    </w:p>
    <w:p>
      <w:pPr>
        <w:pStyle w:val="BodyText"/>
        <w:keepLines/>
        <w:spacing w:after="120"/>
        <w:jc w:val="left"/>
      </w:pPr>
      <w:bookmarkStart w:id="1029" w:name="ref-Woodward2003"/>
      <w:bookmarkEnd w:id="1029"/>
      <w:r>
        <w:rPr>
          <w:b/>
          <w:bCs/>
          <w:sz w:val="20"/>
        </w:rPr>
        <w:t xml:space="preserve">[K; Woodward2003]</w:t>
      </w:r>
      <w:r>
        <w:rPr>
          <w:sz w:val="20"/>
        </w:rPr>
        <w:t xml:space="preserve"> </w:t>
      </w:r>
      <w:r>
        <w:rPr>
          <w:sz w:val="20"/>
        </w:rPr>
        <w:t xml:space="preserve">Woodward, J. (2003). Making Things Happen: A Theory of Causal Explanation. Oxford University Press.</w:t>
      </w:r>
    </w:p>
    <w:p>
      <w:pPr>
        <w:pStyle w:val="BodyText"/>
        <w:keepLines/>
        <w:spacing w:after="120"/>
        <w:jc w:val="left"/>
      </w:pPr>
      <w:bookmarkStart w:id="1030" w:name="ref-Yan2024"/>
      <w:bookmarkEnd w:id="1030"/>
      <w:r>
        <w:rPr>
          <w:b/>
          <w:bCs/>
          <w:sz w:val="20"/>
        </w:rPr>
        <w:t xml:space="preserve">[K; Yan2024]</w:t>
      </w:r>
      <w:r>
        <w:rPr>
          <w:sz w:val="20"/>
        </w:rPr>
        <w:t xml:space="preserve"> </w:t>
      </w:r>
      <w:r>
        <w:rPr>
          <w:sz w:val="20"/>
        </w:rPr>
        <w:t xml:space="preserve">Yan, J., Liu, Q., Zhang, M., Feng, L., Ma, D., Li, H., &amp; Pan, G. (2024). Efficient spiking neural network design via neural architecture search. Neural Networks, 173, 106172. https://doi.org/10.1016/j.neunet.2024.106172</w:t>
      </w:r>
    </w:p>
    <w:p>
      <w:pPr>
        <w:pStyle w:val="BodyText"/>
        <w:keepLines/>
        <w:spacing w:after="120"/>
        <w:jc w:val="left"/>
      </w:pPr>
      <w:bookmarkStart w:id="1031" w:name="ref-Zenke2013"/>
      <w:bookmarkEnd w:id="1031"/>
      <w:r>
        <w:rPr>
          <w:b/>
          <w:bCs/>
          <w:sz w:val="20"/>
        </w:rPr>
        <w:t xml:space="preserve">[K; Zenke2013]</w:t>
      </w:r>
      <w:r>
        <w:rPr>
          <w:sz w:val="20"/>
        </w:rPr>
        <w:t xml:space="preserve"> </w:t>
      </w:r>
      <w:r>
        <w:rPr>
          <w:sz w:val="20"/>
        </w:rPr>
        <w:t xml:space="preserve">Zenke, F., Hennequin, G., &amp; Gerstner, W. (2013). Synaptic Plasticity in Neural Networks Needs Homeostasis with a Fast Rate Detector. PLOS Computational Biology, 9(11), e1003330. https://doi.org/10.1371/journal.pcbi.1003330</w:t>
      </w:r>
    </w:p>
    <w:p>
      <w:pPr>
        <w:pStyle w:val="BodyText"/>
        <w:keepLines/>
        <w:spacing w:after="120"/>
        <w:jc w:val="left"/>
      </w:pPr>
      <w:bookmarkStart w:id="1032" w:name="ref-Zenke2015"/>
      <w:bookmarkEnd w:id="1032"/>
      <w:r>
        <w:rPr>
          <w:b/>
          <w:bCs/>
          <w:sz w:val="20"/>
        </w:rPr>
        <w:t xml:space="preserve">[K; Zenke2015]</w:t>
      </w:r>
      <w:r>
        <w:rPr>
          <w:sz w:val="20"/>
        </w:rPr>
        <w:t xml:space="preserve"> </w:t>
      </w:r>
      <w:r>
        <w:rPr>
          <w:sz w:val="20"/>
        </w:rPr>
        <w:t xml:space="preserve">Zenke, F., Agnes, E. J., &amp; Gerstner, W. (2015). Diverse Synaptic Plasticity Mechanisms Orchestrated to Form and Retrieve Memories in Spiking Neural Networks. Nature Communications, 6, 6922. https://doi.org/10.1038/ncomms7922</w:t>
      </w:r>
    </w:p>
    <w:p>
      <w:pPr>
        <w:pStyle w:val="BodyText"/>
        <w:keepLines/>
        <w:spacing w:after="120"/>
        <w:jc w:val="left"/>
      </w:pPr>
      <w:bookmarkStart w:id="1033" w:name="ref-Zenke2017CL"/>
      <w:bookmarkEnd w:id="1033"/>
      <w:r>
        <w:rPr>
          <w:b/>
          <w:bCs/>
          <w:sz w:val="20"/>
        </w:rPr>
        <w:t xml:space="preserve">[K; Zenke2017CL]</w:t>
      </w:r>
      <w:r>
        <w:rPr>
          <w:sz w:val="20"/>
        </w:rPr>
        <w:t xml:space="preserve"> </w:t>
      </w:r>
      <w:r>
        <w:rPr>
          <w:sz w:val="20"/>
        </w:rPr>
        <w:t xml:space="preserve">Zenke, F., Poole, B., &amp; Ganguli, S. (2017). Continual Learning through Synaptic Intelligence. Proceedings of the 34th International Conference on Machine Learning, 70, 3987–3995.</w:t>
      </w:r>
    </w:p>
    <w:p>
      <w:pPr>
        <w:pStyle w:val="BodyText"/>
        <w:keepLines/>
        <w:spacing w:after="120"/>
        <w:jc w:val="left"/>
      </w:pPr>
      <w:bookmarkStart w:id="1034" w:name="ref-Zenke2017homeostasis"/>
      <w:bookmarkEnd w:id="1034"/>
      <w:r>
        <w:rPr>
          <w:b/>
          <w:bCs/>
          <w:sz w:val="20"/>
        </w:rPr>
        <w:t xml:space="preserve">[K; Zenke2017homeostasis]</w:t>
      </w:r>
      <w:r>
        <w:rPr>
          <w:sz w:val="20"/>
        </w:rPr>
        <w:t xml:space="preserve"> </w:t>
      </w:r>
      <w:r>
        <w:rPr>
          <w:sz w:val="20"/>
        </w:rPr>
        <w:t xml:space="preserve">Zenke, F., &amp; Gerstner, W. (2017). Hebbian Plasticity Requires Compensatory Processes on Multiple Timescales. Philosophical Transactions of the Royal Society B, 372(1715), 20160259. https://doi.org/10.1098/rstb.2016.0259</w:t>
      </w:r>
    </w:p>
    <w:p>
      <w:pPr>
        <w:pStyle w:val="BodyText"/>
        <w:keepLines/>
        <w:spacing w:after="120"/>
        <w:jc w:val="left"/>
      </w:pPr>
      <w:bookmarkStart w:id="1035" w:name="ref-Zhou2025"/>
      <w:bookmarkEnd w:id="1035"/>
      <w:r>
        <w:rPr>
          <w:b/>
          <w:bCs/>
          <w:sz w:val="20"/>
        </w:rPr>
        <w:t xml:space="preserve">[K; Zhou2025]</w:t>
      </w:r>
      <w:r>
        <w:rPr>
          <w:sz w:val="20"/>
        </w:rPr>
        <w:t xml:space="preserve"> </w:t>
      </w:r>
      <w:r>
        <w:rPr>
          <w:sz w:val="20"/>
        </w:rPr>
        <w:t xml:space="preserve">Zhou, X., Wu, X., Feng, L., Lu, Z., &amp; Tan, K. C. (2025). Design principle transfer in neural architecture search via large language models. Proceedings of the AAAI Conference on Artificial Intelligence, 39(21), 23000–23008. https://doi.org/10.1609/aaai.v39i21.34463</w:t>
      </w:r>
    </w:p>
    <w:p>
      <w:pPr>
        <w:pStyle w:val="BodyText"/>
        <w:keepLines/>
        <w:spacing w:after="120"/>
        <w:jc w:val="left"/>
      </w:pPr>
      <w:bookmarkStart w:id="1036" w:name="ref-Zuboff2019"/>
      <w:bookmarkEnd w:id="1036"/>
      <w:r>
        <w:rPr>
          <w:b/>
          <w:bCs/>
          <w:sz w:val="20"/>
        </w:rPr>
        <w:t xml:space="preserve">[K; Zuboff2019]</w:t>
      </w:r>
      <w:r>
        <w:rPr>
          <w:sz w:val="20"/>
        </w:rPr>
        <w:t xml:space="preserve"> </w:t>
      </w:r>
      <w:r>
        <w:rPr>
          <w:sz w:val="20"/>
        </w:rPr>
        <w:t xml:space="preserve">Zuboff, S. (2019). The age of surveillance capitalism. PublicAffairs.</w:t>
      </w:r>
    </w:p>
    <w:bookmarkEnd w:id="1037"/>
    <w:bookmarkEnd w:id="1038"/>
    <w:sectPr w:rsidR="00FC693F" w:rsidRPr="0006063C" w:rsidSect="00034616">
      <w:headerReference w:type="default" r:id="rId9"/>
      <w:footerReference w:type="default" r:id="rId10"/>
      <w:pgSz w:h="15840" w:w="12240"/>
      <w:pgMar w:bottom="1094" w:footer="475" w:gutter="0" w:header="475" w:left="1195" w:right="1195" w:top="1123"/>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sz w:val="16"/>
      </w:rPr>
      <w:t xml:space="preserve">Thomas Heisig  |  </w:t>
    </w:r>
    <w:r>
      <w:rPr>
        <w:rFonts w:ascii="Liberation Sans" w:hAnsi="Liberation Sans"/>
        <w:sz w:val="16"/>
      </w:rPr>
      <w:fldChar w:fldCharType="begin"/>
    </w:r>
    <w:r>
      <w:rPr>
        <w:rFonts w:ascii="Liberation Sans" w:hAnsi="Liberation Sans"/>
        <w:sz w:val="16"/>
      </w:rPr>
      <w:instrText xml:space="preserve"> PAGE </w:instrText>
    </w:r>
    <w:r>
      <w:rPr>
        <w:rFonts w:ascii="Liberation Sans" w:hAnsi="Liberation Sans"/>
        <w:sz w:val="16"/>
      </w:rPr>
      <w:fldChar w:fldCharType="separate"/>
    </w:r>
    <w:r>
      <w:rPr>
        <w:rFonts w:ascii="Liberation Sans" w:hAnsi="Liberation Sans"/>
        <w:sz w:val="16"/>
      </w:rPr>
      <w:t>1</w:t>
    </w:r>
    <w:r>
      <w:rPr>
        <w:rFonts w:ascii="Liberation Sans" w:hAnsi="Liberation Sans"/>
        <w:sz w:val="16"/>
      </w:rPr>
      <w:fldChar w:fldCharType="end"/>
    </w:r>
    <w:r>
      <w:rPr>
        <w:rFonts w:ascii="Liberation Sans" w:hAnsi="Liberation Sans"/>
        <w:sz w:val="16"/>
      </w:rPr>
      <w:t xml:space="preserve"> / </w:t>
    </w:r>
    <w:r>
      <w:rPr>
        <w:rFonts w:ascii="Liberation Sans" w:hAnsi="Liberation Sans"/>
        <w:sz w:val="16"/>
      </w:rPr>
      <w:fldChar w:fldCharType="begin"/>
    </w:r>
    <w:r>
      <w:rPr>
        <w:rFonts w:ascii="Liberation Sans" w:hAnsi="Liberation Sans"/>
        <w:sz w:val="16"/>
      </w:rPr>
      <w:instrText xml:space="preserve"> NUMPAGES </w:instrText>
    </w:r>
    <w:r>
      <w:rPr>
        <w:rFonts w:ascii="Liberation Sans" w:hAnsi="Liberation Sans"/>
        <w:sz w:val="16"/>
      </w:rPr>
      <w:fldChar w:fldCharType="separate"/>
    </w:r>
    <w:r>
      <w:rPr>
        <w:rFonts w:ascii="Liberation Sans" w:hAnsi="Liberation Sans"/>
        <w:sz w:val="16"/>
      </w:rPr>
      <w:t>165</w:t>
    </w:r>
    <w:r>
      <w:rPr>
        <w:rFonts w:ascii="Liberation Sans" w:hAnsi="Liberation Sans"/>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Liberation Sans" w:hAnsi="Liberation Sans"/>
        <w:color w:val="66727A"/>
        <w:sz w:val="16"/>
      </w:rPr>
      <w:t>KI - Die geliehene Intelligenz</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autoHyphenation w:val="true"/>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de-DE"/>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110" w:line="269" w:lineRule="auto"/>
      <w:jc w:val="both"/>
    </w:pPr>
    <w:rPr>
      <w:rFonts w:ascii="Liberation Serif" w:hAnsi="Liberation Serif"/>
      <w:sz w:val="22"/>
      <w:lang w:val="de-DE"/>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00" w:before="280"/>
      <w:jc w:val="left"/>
      <w:outlineLvl w:val="0"/>
    </w:pPr>
    <w:rPr>
      <w:rFonts w:ascii="Liberation Sans" w:asciiTheme="majorHAnsi" w:cstheme="majorBidi" w:eastAsiaTheme="majorEastAsia" w:hAnsi="Liberation Sans" w:hAnsiTheme="majorHAnsi"/>
      <w:b/>
      <w:bCs/>
      <w:color w:val="203B4B"/>
      <w:sz w:val="34"/>
      <w:szCs w:val="28"/>
    </w:rPr>
  </w:style>
  <w:style w:styleId="Heading2" w:type="paragraph">
    <w:name w:val="heading 2"/>
    <w:basedOn w:val="Normal"/>
    <w:next w:val="Normal"/>
    <w:link w:val="Heading2Char"/>
    <w:uiPriority w:val="9"/>
    <w:unhideWhenUsed/>
    <w:qFormat/>
    <w:rsid w:val="00FC693F"/>
    <w:pPr>
      <w:keepNext/>
      <w:keepLines/>
      <w:pageBreakBefore w:val="0"/>
      <w:spacing w:after="100" w:before="280"/>
      <w:jc w:val="left"/>
      <w:outlineLvl w:val="1"/>
    </w:pPr>
    <w:rPr>
      <w:rFonts w:ascii="Liberation Sans" w:asciiTheme="majorHAnsi" w:cstheme="majorBidi" w:eastAsiaTheme="majorEastAsia" w:hAnsi="Liberation Sans" w:hAnsiTheme="majorHAnsi"/>
      <w:b/>
      <w:bCs/>
      <w:color w:val="203B4B"/>
      <w:sz w:val="27"/>
      <w:szCs w:val="26"/>
    </w:rPr>
  </w:style>
  <w:style w:styleId="Heading3" w:type="paragraph">
    <w:name w:val="heading 3"/>
    <w:basedOn w:val="Normal"/>
    <w:next w:val="Normal"/>
    <w:link w:val="Heading3Char"/>
    <w:uiPriority w:val="9"/>
    <w:unhideWhenUsed/>
    <w:qFormat/>
    <w:rsid w:val="00FC693F"/>
    <w:pPr>
      <w:keepNext/>
      <w:keepLines/>
      <w:pageBreakBefore w:val="0"/>
      <w:spacing w:after="100" w:before="200"/>
      <w:jc w:val="left"/>
      <w:outlineLvl w:val="2"/>
    </w:pPr>
    <w:rPr>
      <w:rFonts w:ascii="Liberation Sans" w:asciiTheme="majorHAnsi" w:cstheme="majorBidi" w:eastAsiaTheme="majorEastAsia" w:hAnsi="Liberation Sans" w:hAnsiTheme="majorHAnsi"/>
      <w:b/>
      <w:bCs/>
      <w:color w:val="203B4B"/>
      <w:sz w:val="23"/>
    </w:rPr>
  </w:style>
  <w:style w:styleId="Heading4" w:type="paragraph">
    <w:name w:val="heading 4"/>
    <w:basedOn w:val="Normal"/>
    <w:next w:val="Normal"/>
    <w:link w:val="Heading4Char"/>
    <w:uiPriority w:val="9"/>
    <w:semiHidden/>
    <w:unhideWhenUsed/>
    <w:qFormat/>
    <w:rsid w:val="00FC693F"/>
    <w:pPr>
      <w:keepNext/>
      <w:keepLines/>
      <w:pageBreakBefore w:val="0"/>
      <w:spacing w:after="100" w:before="200"/>
      <w:jc w:val="left"/>
      <w:outlineLvl w:val="3"/>
    </w:pPr>
    <w:rPr>
      <w:rFonts w:ascii="Liberation Sans" w:asciiTheme="majorHAnsi" w:cstheme="majorBidi" w:eastAsiaTheme="majorEastAsia" w:hAnsi="Liberation Sans" w:hAnsiTheme="majorHAnsi"/>
      <w:b/>
      <w:bCs/>
      <w:i/>
      <w:iCs/>
      <w:color w:val="203B4B"/>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widowControl/>
      <w:spacing w:after="60" w:line="259" w:lineRule="auto"/>
      <w:ind w:left="720"/>
      <w:contextualSpacing/>
    </w:pPr>
    <w:rPr>
      <w:rFonts w:ascii="Liberation Serif" w:hAnsi="Liberation Serif"/>
      <w:sz w:val="22"/>
    </w:rPr>
  </w:style>
  <w:style w:styleId="BodyText" w:type="paragraph">
    <w:name w:val="Body Text"/>
    <w:basedOn w:val="Normal"/>
    <w:link w:val="BodyTextChar"/>
    <w:uiPriority w:val="99"/>
    <w:unhideWhenUsed/>
    <w:rsid w:val="00AA1D8D"/>
    <w:pPr>
      <w:widowControl/>
      <w:spacing w:after="110" w:line="269" w:lineRule="auto"/>
      <w:jc w:val="both"/>
    </w:pPr>
    <w:rPr>
      <w:rFonts w:ascii="Liberation Serif" w:hAnsi="Liberation Serif"/>
      <w:sz w:val="22"/>
      <w:lang w:val="de-DE"/>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keepLines/>
      <w:spacing w:after="140" w:before="100" w:line="240" w:lineRule="auto"/>
      <w:jc w:val="left"/>
    </w:pPr>
    <w:rPr>
      <w:rFonts w:ascii="Liberation Sans" w:hAnsi="Liberation Sans"/>
      <w:b/>
      <w:bCs/>
      <w:i w:val="0"/>
      <w:color w:val="425B6A"/>
      <w:sz w:val="19"/>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pPr>
      <w:widowControl/>
      <w:spacing w:after="110" w:line="269" w:lineRule="auto"/>
      <w:jc w:val="both"/>
    </w:pPr>
    <w:rPr>
      <w:rFonts w:ascii="Liberation Serif" w:hAnsi="Liberation Serif"/>
      <w:sz w:val="22"/>
      <w:lang w:val="de-DE"/>
    </w:rPr>
  </w:style>
  <w:style w:customStyle="1" w:styleId="ImageCaption" w:type="paragraph">
    <w:name w:val="Image Caption"/>
    <w:pPr>
      <w:keepLines/>
      <w:spacing w:after="140" w:before="100"/>
      <w:jc w:val="left"/>
    </w:pPr>
    <w:rPr>
      <w:rFonts w:ascii="Liberation Sans" w:hAnsi="Liberation Sans"/>
      <w:i w:val="0"/>
      <w:color w:val="425B6A"/>
      <w:sz w:val="19"/>
    </w:rPr>
  </w:style>
  <w:style w:customStyle="1" w:styleId="TableCaption" w:type="paragraph">
    <w:name w:val="Table Caption"/>
    <w:pPr>
      <w:keepLines/>
      <w:spacing w:after="140" w:before="100"/>
      <w:jc w:val="left"/>
    </w:pPr>
    <w:rPr>
      <w:rFonts w:ascii="Liberation Sans" w:hAnsi="Liberation Sans"/>
      <w:i w:val="0"/>
      <w:color w:val="425B6A"/>
      <w:sz w:val="19"/>
    </w:rPr>
  </w:style>
  <w:style w:customStyle="1" w:styleId="SourceCode" w:type="paragraph">
    <w:name w:val="Source Code"/>
    <w:pPr>
      <w:spacing w:after="0" w:before="0" w:line="240" w:lineRule="auto"/>
    </w:pPr>
    <w:rPr>
      <w:rFonts w:ascii="Liberation Mono" w:hAnsi="Liberation Mono"/>
      <w:sz w:val="17"/>
    </w:rPr>
  </w:style>
  <w:style w:customStyle="1" w:styleId="VerbatimChar" w:type="character">
    <w:name w:val="Verbatim Char"/>
    <w:rPr>
      <w:rFonts w:ascii="Liberation Mono" w:hAnsi="Liberation Mono"/>
      <w:sz w:val="17"/>
    </w:rPr>
  </w:style>
  <w:style w:customStyle="1" w:styleId="Compact" w:type="paragraph">
    <w:name w:val="Compact"/>
    <w:pPr>
      <w:widowControl/>
      <w:spacing w:after="60" w:line="259" w:lineRule="auto"/>
    </w:pPr>
    <w:rPr>
      <w:rFonts w:ascii="Liberation Serif" w:hAnsi="Liberation Serif"/>
      <w:sz w:val="22"/>
    </w:rPr>
  </w:style>
  <w:style w:customStyle="1" w:styleId="BlockText" w:type="paragraph">
    <w:name w:val="Block Text"/>
    <w:pPr>
      <w:spacing w:after="120"/>
      <w:ind w:left="230" w:right="173"/>
    </w:pPr>
    <w:rPr>
      <w:rFonts w:ascii="Liberation Serif" w:hAnsi="Liberation Serif"/>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B5DContents">
    <w:name w:val="B5D Contents"/>
    <w:basedOn w:val="Normal"/>
    <w:pPr>
      <w:keepLines/>
      <w:tabs>
        <w:tab w:pos="9576" w:val="right" w:leader="dot"/>
      </w:tabs>
      <w:spacing w:after="80" w:line="240" w:lineRule="auto"/>
      <w:jc w:val="left"/>
    </w:pPr>
    <w:rPr>
      <w:rFonts w:ascii="Liberation Sans" w:hAnsi="Liberation San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13" Type="http://schemas.openxmlformats.org/officeDocument/2006/relationships/image" Target="media/rId213.png"/><Relationship Id="rId246" Type="http://schemas.openxmlformats.org/officeDocument/2006/relationships/image" Target="media/rId246.png"/><Relationship Id="rId350" Type="http://schemas.openxmlformats.org/officeDocument/2006/relationships/image" Target="media/rId350.png"/><Relationship Id="rId425" Type="http://schemas.openxmlformats.org/officeDocument/2006/relationships/image" Target="media/rId425.png"/><Relationship Id="rId129" Type="http://schemas.openxmlformats.org/officeDocument/2006/relationships/image" Target="media/rId129.png"/><Relationship Id="rId133" Type="http://schemas.openxmlformats.org/officeDocument/2006/relationships/image" Target="media/rId133.png"/><Relationship Id="rId124" Type="http://schemas.openxmlformats.org/officeDocument/2006/relationships/image" Target="media/rId124.png"/><Relationship Id="rId166" Type="http://schemas.openxmlformats.org/officeDocument/2006/relationships/image" Target="media/rId166.png"/><Relationship Id="rId709" Type="http://schemas.openxmlformats.org/officeDocument/2006/relationships/hyperlink" Target="https://github.com/Thomas-Heisig/Brain-5D/blob/661681981458bc69fea5fce096e27f2b85b6c9d2/research/README.md" TargetMode="External"/><Relationship Id="rId719" Type="http://schemas.openxmlformats.org/officeDocument/2006/relationships/hyperlink" Target="https://github.com/Thomas-Heisig/Brain-5D/blob/661681981458bc69fea5fce096e27f2b85b6c9d2/research/experiments/EXP-GEN-0021/AI_ANALYSIS_GPT-5.6-SOL.md" TargetMode="External"/><Relationship Id="rId713" Type="http://schemas.openxmlformats.org/officeDocument/2006/relationships/hyperlink" Target="https://github.com/Thomas-Heisig/Brain-5D/blob/661681981458bc69fea5fce096e27f2b85b6c9d2/research/experiments/EXP-GEN-0033-R1/summary.md" TargetMode="External"/><Relationship Id="rId720" Type="http://schemas.openxmlformats.org/officeDocument/2006/relationships/hyperlink" Target="https://github.com/Thomas-Heisig/Brain-5D/blob/661681981458bc69fea5fce096e27f2b85b6c9d2/research/experiments/EXP-LIFE-0001-R1/summary.md" TargetMode="External"/><Relationship Id="rId712" Type="http://schemas.openxmlformats.org/officeDocument/2006/relationships/hyperlink" Target="https://github.com/Thomas-Heisig/Brain-5D/blob/661681981458bc69fea5fce096e27f2b85b6c9d2/research/experiments/EXP-REPL-0001-R1/summary.md" TargetMode="External"/><Relationship Id="rId722" Type="http://schemas.openxmlformats.org/officeDocument/2006/relationships/hyperlink" Target="https://github.com/Thomas-Heisig/Brain-5D/blob/661681981458bc69fea5fce096e27f2b85b6c9d2/research/experiments/EXP-SNN-001-R2/DATA/current_run.json" TargetMode="External"/><Relationship Id="rId711" Type="http://schemas.openxmlformats.org/officeDocument/2006/relationships/hyperlink" Target="https://github.com/Thomas-Heisig/Brain-5D/blob/661681981458bc69fea5fce096e27f2b85b6c9d2/research/experiments/EXP-SNN-001-R2/summary.md" TargetMode="External"/><Relationship Id="rId716" Type="http://schemas.openxmlformats.org/officeDocument/2006/relationships/hyperlink" Target="https://github.com/Thomas-Heisig/Brain-5D/blob/661681981458bc69fea5fce096e27f2b85b6c9d2/research/generated/data/DATA-2026-15.json" TargetMode="External"/><Relationship Id="rId718" Type="http://schemas.openxmlformats.org/officeDocument/2006/relationships/hyperlink" Target="https://github.com/Thomas-Heisig/Brain-5D/blob/661681981458bc69fea5fce096e27f2b85b6c9d2/research/generated/data/DATA-2026-16.json" TargetMode="External"/><Relationship Id="rId715" Type="http://schemas.openxmlformats.org/officeDocument/2006/relationships/hyperlink" Target="https://github.com/Thomas-Heisig/Brain-5D/blob/661681981458bc69fea5fce096e27f2b85b6c9d2/research/registry/evidence/EVID-2026-15.json" TargetMode="External"/><Relationship Id="rId717" Type="http://schemas.openxmlformats.org/officeDocument/2006/relationships/hyperlink" Target="https://github.com/Thomas-Heisig/Brain-5D/blob/661681981458bc69fea5fce096e27f2b85b6c9d2/research/registry/evidence/EVID-2026-16.json" TargetMode="External"/><Relationship Id="rId723" Type="http://schemas.openxmlformats.org/officeDocument/2006/relationships/hyperlink" Target="https://github.com/Thomas-Heisig/Brain-5D/blob/661681981458bc69fea5fce096e27f2b85b6c9d2/research/registry/hypotheses.msba.yaml" TargetMode="External"/><Relationship Id="rId714" Type="http://schemas.openxmlformats.org/officeDocument/2006/relationships/hyperlink" Target="https://github.com/Thomas-Heisig/Brain-5D/blob/661681981458bc69fea5fce096e27f2b85b6c9d2/research/registry/hypotheses.yaml" TargetMode="External"/><Relationship Id="rId721" Type="http://schemas.openxmlformats.org/officeDocument/2006/relationships/hyperlink" Target="https://github.com/Thomas-Heisig/Brain-5D/blob/661681981458bc69fea5fce096e27f2b85b6c9d2/research/registry/questions.msba.yaml" TargetMode="External"/><Relationship Id="rId710" Type="http://schemas.openxmlformats.org/officeDocument/2006/relationships/hyperlink" Target="https://github.com/Thomas-Heisig/Brain-5D/blob/661681981458bc69fea5fce096e27f2b85b6c9d2/research/registry/questions.yaml"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709" Type="http://schemas.openxmlformats.org/officeDocument/2006/relationships/hyperlink" Target="https://github.com/Thomas-Heisig/Brain-5D/blob/661681981458bc69fea5fce096e27f2b85b6c9d2/research/README.md" TargetMode="External"/><Relationship Id="rId719" Type="http://schemas.openxmlformats.org/officeDocument/2006/relationships/hyperlink" Target="https://github.com/Thomas-Heisig/Brain-5D/blob/661681981458bc69fea5fce096e27f2b85b6c9d2/research/experiments/EXP-GEN-0021/AI_ANALYSIS_GPT-5.6-SOL.md" TargetMode="External"/><Relationship Id="rId713" Type="http://schemas.openxmlformats.org/officeDocument/2006/relationships/hyperlink" Target="https://github.com/Thomas-Heisig/Brain-5D/blob/661681981458bc69fea5fce096e27f2b85b6c9d2/research/experiments/EXP-GEN-0033-R1/summary.md" TargetMode="External"/><Relationship Id="rId720" Type="http://schemas.openxmlformats.org/officeDocument/2006/relationships/hyperlink" Target="https://github.com/Thomas-Heisig/Brain-5D/blob/661681981458bc69fea5fce096e27f2b85b6c9d2/research/experiments/EXP-LIFE-0001-R1/summary.md" TargetMode="External"/><Relationship Id="rId712" Type="http://schemas.openxmlformats.org/officeDocument/2006/relationships/hyperlink" Target="https://github.com/Thomas-Heisig/Brain-5D/blob/661681981458bc69fea5fce096e27f2b85b6c9d2/research/experiments/EXP-REPL-0001-R1/summary.md" TargetMode="External"/><Relationship Id="rId722" Type="http://schemas.openxmlformats.org/officeDocument/2006/relationships/hyperlink" Target="https://github.com/Thomas-Heisig/Brain-5D/blob/661681981458bc69fea5fce096e27f2b85b6c9d2/research/experiments/EXP-SNN-001-R2/DATA/current_run.json" TargetMode="External"/><Relationship Id="rId711" Type="http://schemas.openxmlformats.org/officeDocument/2006/relationships/hyperlink" Target="https://github.com/Thomas-Heisig/Brain-5D/blob/661681981458bc69fea5fce096e27f2b85b6c9d2/research/experiments/EXP-SNN-001-R2/summary.md" TargetMode="External"/><Relationship Id="rId716" Type="http://schemas.openxmlformats.org/officeDocument/2006/relationships/hyperlink" Target="https://github.com/Thomas-Heisig/Brain-5D/blob/661681981458bc69fea5fce096e27f2b85b6c9d2/research/generated/data/DATA-2026-15.json" TargetMode="External"/><Relationship Id="rId718" Type="http://schemas.openxmlformats.org/officeDocument/2006/relationships/hyperlink" Target="https://github.com/Thomas-Heisig/Brain-5D/blob/661681981458bc69fea5fce096e27f2b85b6c9d2/research/generated/data/DATA-2026-16.json" TargetMode="External"/><Relationship Id="rId715" Type="http://schemas.openxmlformats.org/officeDocument/2006/relationships/hyperlink" Target="https://github.com/Thomas-Heisig/Brain-5D/blob/661681981458bc69fea5fce096e27f2b85b6c9d2/research/registry/evidence/EVID-2026-15.json" TargetMode="External"/><Relationship Id="rId717" Type="http://schemas.openxmlformats.org/officeDocument/2006/relationships/hyperlink" Target="https://github.com/Thomas-Heisig/Brain-5D/blob/661681981458bc69fea5fce096e27f2b85b6c9d2/research/registry/evidence/EVID-2026-16.json" TargetMode="External"/><Relationship Id="rId723" Type="http://schemas.openxmlformats.org/officeDocument/2006/relationships/hyperlink" Target="https://github.com/Thomas-Heisig/Brain-5D/blob/661681981458bc69fea5fce096e27f2b85b6c9d2/research/registry/hypotheses.msba.yaml" TargetMode="External"/><Relationship Id="rId714" Type="http://schemas.openxmlformats.org/officeDocument/2006/relationships/hyperlink" Target="https://github.com/Thomas-Heisig/Brain-5D/blob/661681981458bc69fea5fce096e27f2b85b6c9d2/research/registry/hypotheses.yaml" TargetMode="External"/><Relationship Id="rId721" Type="http://schemas.openxmlformats.org/officeDocument/2006/relationships/hyperlink" Target="https://github.com/Thomas-Heisig/Brain-5D/blob/661681981458bc69fea5fce096e27f2b85b6c9d2/research/registry/questions.msba.yaml" TargetMode="External"/><Relationship Id="rId710" Type="http://schemas.openxmlformats.org/officeDocument/2006/relationships/hyperlink" Target="https://github.com/Thomas-Heisig/Brain-5D/blob/661681981458bc69fea5fce096e27f2b85b6c9d2/research/registry/questions.ya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 - Die geliehene Intelligenz: Wissenschaftliche Abhandlung</dc:title>
  <dc:creator>Thomas Heisig</dc:creator>
  <dc:language>de-DE</dc:language>
  <cp:keywords>Brain-5D; Wissenschaftliche Abhandlung; SNN; Embodiment; Evidenz; KI-Unterstuetzung</cp:keywords>
  <dcterms:created xsi:type="dcterms:W3CDTF">2026-09-07T09:12:33Z</dcterms:created>
  <dcterms:modified xsi:type="dcterms:W3CDTF">2026-09-07T09:12:33Z</dcterms:modified>
  <dc:subject>Epistemische Genealogie, Embodiment, Kontrolle und Brain-5D-Forschung</dc:subject>
  <dc:description>KI-gestuetzte Integration und Redaktion. Quellen- und Evidenzgrenzen sind dokumentiert.</dc:description>
</cp:coreProperties>
</file>

<file path=docProps/custom.xml><?xml version="1.0" encoding="utf-8"?>
<Properties xmlns="http://schemas.openxmlformats.org/officeDocument/2006/custom-properties" xmlns:vt="http://schemas.openxmlformats.org/officeDocument/2006/docPropsVTypes"/>
</file>