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1800" w:after="280"/>
        <w:jc w:val="center"/>
        <w:rPr/>
      </w:pPr>
      <w:r>
        <w:rPr/>
        <w:t>Brain-5D Scientific Framework</w:t>
      </w:r>
    </w:p>
    <w:p>
      <w:pPr>
        <w:pStyle w:val="Subtitle"/>
        <w:rPr/>
      </w:pPr>
      <w:r>
        <w:rPr/>
        <w:t>Preliminary Research Architecture for a Hybrid Spatial Spiking System — Version 0.2</w:t>
      </w:r>
    </w:p>
    <w:p>
      <w:pPr>
        <w:pStyle w:val="Author"/>
        <w:rPr/>
      </w:pPr>
      <w:r>
        <w:rPr/>
        <w:t>Thomas Heisig · Brain-5D Project</w:t>
      </w:r>
    </w:p>
    <w:p>
      <w:pPr>
        <w:pStyle w:val="Date"/>
        <w:rPr/>
      </w:pPr>
      <w:r>
        <w:rPr/>
        <w:t>16. August 2026</w:t>
      </w:r>
    </w:p>
    <w:p>
      <w:pPr>
        <w:pStyle w:val="CoverMetadata"/>
        <w:rPr/>
      </w:pPr>
      <w:r>
        <w:rPr>
          <w:b/>
          <w:bCs/>
        </w:rPr>
        <w:t>Projekt:</w:t>
      </w:r>
      <w:r>
        <w:rPr/>
        <w:t xml:space="preserve"> Brain-5D</w:t>
        <w:br/>
      </w:r>
      <w:r>
        <w:rPr>
          <w:b/>
          <w:bCs/>
        </w:rPr>
        <w:t>Repository:</w:t>
      </w:r>
      <w:r>
        <w:rPr/>
        <w:t xml:space="preserve"> </w:t>
      </w:r>
      <w:hyperlink r:id="rId2">
        <w:r>
          <w:rPr>
            <w:rStyle w:val="Hyperlink"/>
          </w:rPr>
          <w:t>https://github.com/Thomas-Heisig/Brain-5D</w:t>
        </w:r>
      </w:hyperlink>
      <w:r>
        <w:rPr/>
        <w:br/>
      </w:r>
      <w:r>
        <w:rPr>
          <w:b/>
          <w:bCs/>
        </w:rPr>
        <w:t>Dokumentklasse:</w:t>
      </w:r>
      <w:r>
        <w:rPr/>
        <w:t xml:space="preserve"> Wissenschaftliches Stamm- und Rahmendokument</w:t>
        <w:br/>
      </w:r>
      <w:r>
        <w:rPr>
          <w:b/>
          <w:bCs/>
        </w:rPr>
        <w:t>Entwicklungsstatus:</w:t>
      </w:r>
      <w:r>
        <w:rPr/>
        <w:t xml:space="preserve"> Experimentelles Forschungsframework / Alpha-Phase</w:t>
        <w:br/>
      </w:r>
      <w:r>
        <w:rPr>
          <w:b/>
          <w:bCs/>
        </w:rPr>
        <w:t>Dokumentstatus:</w:t>
      </w:r>
      <w:r>
        <w:rPr/>
        <w:t xml:space="preserve"> Preliminary Research Architecture</w:t>
        <w:br/>
      </w:r>
      <w:r>
        <w:rPr>
          <w:b/>
          <w:bCs/>
        </w:rPr>
        <w:t>Version:</w:t>
      </w:r>
      <w:r>
        <w:rPr/>
        <w:t xml:space="preserve"> 0.2</w:t>
        <w:br/>
      </w:r>
      <w:r>
        <w:rPr>
          <w:b/>
          <w:bCs/>
        </w:rPr>
        <w:t>Sprache:</w:t>
      </w:r>
      <w:r>
        <w:rPr/>
        <w:t xml:space="preserve"> Deutsch; englischer Abstract enthalten</w:t>
        <w:br/>
      </w:r>
      <w:r>
        <w:rPr>
          <w:b/>
          <w:bCs/>
        </w:rPr>
        <w:t>Vorgesehene Funktion:</w:t>
      </w:r>
      <w:r>
        <w:rPr/>
        <w:t xml:space="preserve"> Grundlage für Dissertation, Fachpapiere, Experimentregistrierung und softwaregestützte Evidenzführung</w:t>
      </w:r>
    </w:p>
    <w:p>
      <w:pPr>
        <w:pStyle w:val="BlockText"/>
        <w:rPr/>
      </w:pPr>
      <w:r>
        <w:rPr>
          <w:b/>
          <w:bCs/>
        </w:rPr>
        <w:t>Dokumentfunktion.</w:t>
      </w:r>
      <w:r>
        <w:rPr/>
        <w:t xml:space="preserve"> Dieses Papier definiert den vorläufigen wissenschaftlichen Rahmen von Brain-5D. Einzelne theoretische, mathematische, rechnerische und experimentelle Komponenten bleiben Gegenstand gesonderter Analyse, Validierung und Revision. Aussagen über erwartete Systemeigenschaften sind Forschungshypothesen, sofern sie nicht ausdrücklich mit einer Evidenzstufe und einem überprüfbaren Nachweis gekennzeichnet sind.</w:t>
      </w:r>
    </w:p>
    <w:p>
      <w:pPr>
        <w:pStyle w:val="Normal"/>
        <w:rPr/>
      </w:pPr>
      <w:r>
        <w:rPr/>
      </w:r>
    </w:p>
    <w:sdt>
      <w:sdtPr>
        <w:docPartObj>
          <w:docPartGallery w:val="Table of Contents"/>
          <w:docPartUnique w:val="true"/>
        </w:docPartObj>
      </w:sdtPr>
      <w:sdtContent>
        <w:p>
          <w:pPr>
            <w:pStyle w:val="TOCHeading"/>
            <w:rPr/>
          </w:pPr>
          <w:r>
            <w:br w:type="page"/>
          </w:r>
          <w:r>
            <w:rPr/>
            <w:t>Inhaltsverzeichnis</w:t>
          </w:r>
        </w:p>
        <w:p>
          <w:pPr>
            <w:pStyle w:val="TOC1"/>
            <w:tabs>
              <w:tab w:val="clear" w:pos="9936"/>
              <w:tab w:val="right" w:pos="993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0081_954062153">
            <w:r>
              <w:rPr>
                <w:webHidden/>
                <w:rStyle w:val="IndexLink"/>
              </w:rPr>
              <w:t>Dokumentkontrolle und wissenschaftlicher Status</w:t>
              <w:tab/>
              <w:t>5</w:t>
            </w:r>
          </w:hyperlink>
        </w:p>
        <w:p>
          <w:pPr>
            <w:pStyle w:val="TOC2"/>
            <w:tabs>
              <w:tab w:val="clear" w:pos="9653"/>
              <w:tab w:val="right" w:pos="9935" w:leader="dot"/>
            </w:tabs>
            <w:rPr/>
          </w:pPr>
          <w:hyperlink w:anchor="__RefHeading___Toc10083_954062153">
            <w:r>
              <w:rPr>
                <w:webHidden/>
                <w:rStyle w:val="IndexLink"/>
              </w:rPr>
              <w:t>Versionshinweis</w:t>
              <w:tab/>
              <w:t>5</w:t>
            </w:r>
          </w:hyperlink>
        </w:p>
        <w:p>
          <w:pPr>
            <w:pStyle w:val="TOC2"/>
            <w:tabs>
              <w:tab w:val="clear" w:pos="9653"/>
              <w:tab w:val="right" w:pos="9935" w:leader="dot"/>
            </w:tabs>
            <w:rPr/>
          </w:pPr>
          <w:hyperlink w:anchor="__RefHeading___Toc10085_954062153">
            <w:r>
              <w:rPr>
                <w:webHidden/>
                <w:rStyle w:val="IndexLink"/>
              </w:rPr>
              <w:t>Wissenschaftliche Redlichkeit und Verwendung</w:t>
              <w:tab/>
              <w:t>5</w:t>
            </w:r>
          </w:hyperlink>
        </w:p>
        <w:p>
          <w:pPr>
            <w:pStyle w:val="TOC1"/>
            <w:tabs>
              <w:tab w:val="clear" w:pos="9936"/>
              <w:tab w:val="right" w:pos="9935" w:leader="dot"/>
            </w:tabs>
            <w:rPr/>
          </w:pPr>
          <w:hyperlink w:anchor="__RefHeading___Toc10087_954062153">
            <w:r>
              <w:rPr>
                <w:webHidden/>
                <w:rStyle w:val="IndexLink"/>
              </w:rPr>
              <w:t>Zusammenfassung</w:t>
              <w:tab/>
              <w:t>6</w:t>
            </w:r>
          </w:hyperlink>
        </w:p>
        <w:p>
          <w:pPr>
            <w:pStyle w:val="TOC1"/>
            <w:tabs>
              <w:tab w:val="clear" w:pos="9936"/>
              <w:tab w:val="right" w:pos="9935" w:leader="dot"/>
            </w:tabs>
            <w:rPr/>
          </w:pPr>
          <w:hyperlink w:anchor="__RefHeading___Toc10089_954062153">
            <w:r>
              <w:rPr>
                <w:webHidden/>
                <w:rStyle w:val="IndexLink"/>
              </w:rPr>
              <w:t>Abstract</w:t>
              <w:tab/>
              <w:t>7</w:t>
            </w:r>
          </w:hyperlink>
        </w:p>
        <w:p>
          <w:pPr>
            <w:pStyle w:val="TOC1"/>
            <w:tabs>
              <w:tab w:val="clear" w:pos="9936"/>
              <w:tab w:val="right" w:pos="9935" w:leader="dot"/>
            </w:tabs>
            <w:rPr/>
          </w:pPr>
          <w:hyperlink w:anchor="__RefHeading___Toc10091_954062153">
            <w:r>
              <w:rPr>
                <w:webHidden/>
                <w:rStyle w:val="IndexLink"/>
              </w:rPr>
              <w:t>Leseanleitung und Statusnotation</w:t>
              <w:tab/>
              <w:t>8</w:t>
            </w:r>
          </w:hyperlink>
        </w:p>
        <w:p>
          <w:pPr>
            <w:pStyle w:val="TOC2"/>
            <w:tabs>
              <w:tab w:val="clear" w:pos="9653"/>
              <w:tab w:val="right" w:pos="9935" w:leader="dot"/>
            </w:tabs>
            <w:rPr/>
          </w:pPr>
          <w:hyperlink w:anchor="__RefHeading___Toc10093_954062153">
            <w:r>
              <w:rPr>
                <w:webHidden/>
                <w:rStyle w:val="IndexLink"/>
              </w:rPr>
              <w:t>Evidenzstufen E0–E3</w:t>
              <w:tab/>
              <w:t>8</w:t>
            </w:r>
          </w:hyperlink>
        </w:p>
        <w:p>
          <w:pPr>
            <w:pStyle w:val="TOC2"/>
            <w:tabs>
              <w:tab w:val="clear" w:pos="9653"/>
              <w:tab w:val="right" w:pos="9935" w:leader="dot"/>
            </w:tabs>
            <w:rPr/>
          </w:pPr>
          <w:hyperlink w:anchor="__RefHeading___Toc10095_954062153">
            <w:r>
              <w:rPr>
                <w:webHidden/>
                <w:rStyle w:val="IndexLink"/>
              </w:rPr>
              <w:t>Mathematischer Status von Gleichungen</w:t>
              <w:tab/>
              <w:t>8</w:t>
            </w:r>
          </w:hyperlink>
        </w:p>
        <w:p>
          <w:pPr>
            <w:pStyle w:val="TOC2"/>
            <w:tabs>
              <w:tab w:val="clear" w:pos="9653"/>
              <w:tab w:val="right" w:pos="9935" w:leader="dot"/>
            </w:tabs>
            <w:rPr/>
          </w:pPr>
          <w:hyperlink w:anchor="__RefHeading___Toc10097_954062153">
            <w:r>
              <w:rPr>
                <w:webHidden/>
                <w:rStyle w:val="IndexLink"/>
              </w:rPr>
              <w:t>Status des gegenwärtigen Frameworks</w:t>
              <w:tab/>
              <w:t>9</w:t>
            </w:r>
          </w:hyperlink>
        </w:p>
        <w:p>
          <w:pPr>
            <w:pStyle w:val="TOC1"/>
            <w:tabs>
              <w:tab w:val="clear" w:pos="9936"/>
              <w:tab w:val="right" w:pos="9935" w:leader="dot"/>
            </w:tabs>
            <w:rPr/>
          </w:pPr>
          <w:hyperlink w:anchor="__RefHeading___Toc10099_954062153">
            <w:r>
              <w:rPr>
                <w:webHidden/>
                <w:rStyle w:val="IndexLink"/>
              </w:rPr>
              <w:t>Teil I — Wissenschaftliche Rahmung</w:t>
              <w:tab/>
              <w:t>10</w:t>
            </w:r>
          </w:hyperlink>
        </w:p>
        <w:p>
          <w:pPr>
            <w:pStyle w:val="TOC2"/>
            <w:tabs>
              <w:tab w:val="clear" w:pos="9653"/>
              <w:tab w:val="right" w:pos="9935" w:leader="dot"/>
            </w:tabs>
            <w:rPr/>
          </w:pPr>
          <w:hyperlink w:anchor="__RefHeading___Toc10101_954062153">
            <w:r>
              <w:rPr>
                <w:webHidden/>
                <w:rStyle w:val="IndexLink"/>
              </w:rPr>
              <w:t>1. Einleitung</w:t>
              <w:tab/>
              <w:t>10</w:t>
            </w:r>
          </w:hyperlink>
        </w:p>
        <w:p>
          <w:pPr>
            <w:pStyle w:val="TOC2"/>
            <w:tabs>
              <w:tab w:val="clear" w:pos="9653"/>
              <w:tab w:val="right" w:pos="9935" w:leader="dot"/>
            </w:tabs>
            <w:rPr/>
          </w:pPr>
          <w:hyperlink w:anchor="__RefHeading___Toc10103_954062153">
            <w:r>
              <w:rPr>
                <w:webHidden/>
                <w:rStyle w:val="IndexLink"/>
              </w:rPr>
              <w:t>2. Scope und Non-Scope</w:t>
              <w:tab/>
              <w:t>12</w:t>
            </w:r>
          </w:hyperlink>
        </w:p>
        <w:p>
          <w:pPr>
            <w:pStyle w:val="TOC2"/>
            <w:tabs>
              <w:tab w:val="clear" w:pos="9653"/>
              <w:tab w:val="right" w:pos="9935" w:leader="dot"/>
            </w:tabs>
            <w:rPr/>
          </w:pPr>
          <w:hyperlink w:anchor="__RefHeading___Toc10105_954062153">
            <w:r>
              <w:rPr>
                <w:webHidden/>
                <w:rStyle w:val="IndexLink"/>
              </w:rPr>
              <w:t>3. Terminologie und Ontologie</w:t>
              <w:tab/>
              <w:t>12</w:t>
            </w:r>
          </w:hyperlink>
        </w:p>
        <w:p>
          <w:pPr>
            <w:pStyle w:val="TOC2"/>
            <w:tabs>
              <w:tab w:val="clear" w:pos="9653"/>
              <w:tab w:val="right" w:pos="9935" w:leader="dot"/>
            </w:tabs>
            <w:rPr/>
          </w:pPr>
          <w:hyperlink w:anchor="__RefHeading___Toc10107_954062153">
            <w:r>
              <w:rPr>
                <w:webHidden/>
                <w:rStyle w:val="IndexLink"/>
              </w:rPr>
              <w:t>4. Wissenschaftliche Positionierung</w:t>
              <w:tab/>
              <w:t>14</w:t>
            </w:r>
          </w:hyperlink>
        </w:p>
        <w:p>
          <w:pPr>
            <w:pStyle w:val="TOC2"/>
            <w:tabs>
              <w:tab w:val="clear" w:pos="9653"/>
              <w:tab w:val="right" w:pos="9935" w:leader="dot"/>
            </w:tabs>
            <w:rPr/>
          </w:pPr>
          <w:hyperlink w:anchor="__RefHeading___Toc10109_954062153">
            <w:r>
              <w:rPr>
                <w:webHidden/>
                <w:rStyle w:val="IndexLink"/>
              </w:rPr>
              <w:t>5. Epistemischer Status und Beweislast</w:t>
              <w:tab/>
              <w:t>15</w:t>
            </w:r>
          </w:hyperlink>
        </w:p>
        <w:p>
          <w:pPr>
            <w:pStyle w:val="TOC2"/>
            <w:tabs>
              <w:tab w:val="clear" w:pos="9653"/>
              <w:tab w:val="right" w:pos="9935" w:leader="dot"/>
            </w:tabs>
            <w:rPr/>
          </w:pPr>
          <w:hyperlink w:anchor="__RefHeading___Toc10111_954062153">
            <w:r>
              <w:rPr>
                <w:webHidden/>
                <w:rStyle w:val="IndexLink"/>
              </w:rPr>
              <w:t>6. Architektur-Invarianten</w:t>
              <w:tab/>
              <w:t>16</w:t>
            </w:r>
          </w:hyperlink>
        </w:p>
        <w:p>
          <w:pPr>
            <w:pStyle w:val="TOC2"/>
            <w:tabs>
              <w:tab w:val="clear" w:pos="9653"/>
              <w:tab w:val="right" w:pos="9935" w:leader="dot"/>
            </w:tabs>
            <w:rPr/>
          </w:pPr>
          <w:hyperlink w:anchor="__RefHeading___Toc10113_954062153">
            <w:r>
              <w:rPr>
                <w:webHidden/>
                <w:rStyle w:val="IndexLink"/>
              </w:rPr>
              <w:t>7. Forschungsstatus, Engineering-Roadmap und Forschungshypothesen</w:t>
              <w:tab/>
              <w:t>18</w:t>
            </w:r>
          </w:hyperlink>
        </w:p>
        <w:p>
          <w:pPr>
            <w:pStyle w:val="TOC1"/>
            <w:tabs>
              <w:tab w:val="clear" w:pos="9936"/>
              <w:tab w:val="right" w:pos="9935" w:leader="dot"/>
            </w:tabs>
            <w:rPr/>
          </w:pPr>
          <w:hyperlink w:anchor="__RefHeading___Toc10115_954062153">
            <w:r>
              <w:rPr>
                <w:webHidden/>
                <w:rStyle w:val="IndexLink"/>
              </w:rPr>
              <w:t>Teil II — Mathematische und rechnerische Grundlagen</w:t>
              <w:tab/>
              <w:t>19</w:t>
            </w:r>
          </w:hyperlink>
        </w:p>
        <w:p>
          <w:pPr>
            <w:pStyle w:val="TOC2"/>
            <w:tabs>
              <w:tab w:val="clear" w:pos="9653"/>
              <w:tab w:val="right" w:pos="9935" w:leader="dot"/>
            </w:tabs>
            <w:rPr/>
          </w:pPr>
          <w:hyperlink w:anchor="__RefHeading___Toc10117_954062153">
            <w:r>
              <w:rPr>
                <w:webHidden/>
                <w:rStyle w:val="IndexLink"/>
              </w:rPr>
              <w:t>8. Mathematische Annahmen und Geltungsbedingungen</w:t>
              <w:tab/>
              <w:t>19</w:t>
            </w:r>
          </w:hyperlink>
        </w:p>
        <w:p>
          <w:pPr>
            <w:pStyle w:val="TOC2"/>
            <w:tabs>
              <w:tab w:val="clear" w:pos="9653"/>
              <w:tab w:val="right" w:pos="9935" w:leader="dot"/>
            </w:tabs>
            <w:rPr/>
          </w:pPr>
          <w:hyperlink w:anchor="__RefHeading___Toc10119_954062153">
            <w:r>
              <w:rPr>
                <w:webHidden/>
                <w:rStyle w:val="IndexLink"/>
              </w:rPr>
              <w:t>9. Brain-5D als hybrides dynamisches System</w:t>
              <w:tab/>
              <w:t>20</w:t>
            </w:r>
          </w:hyperlink>
        </w:p>
        <w:p>
          <w:pPr>
            <w:pStyle w:val="TOC2"/>
            <w:tabs>
              <w:tab w:val="clear" w:pos="9653"/>
              <w:tab w:val="right" w:pos="9935" w:leader="dot"/>
            </w:tabs>
            <w:rPr/>
          </w:pPr>
          <w:hyperlink w:anchor="__RefHeading___Toc10121_954062153">
            <w:r>
              <w:rPr>
                <w:webHidden/>
                <w:rStyle w:val="IndexLink"/>
              </w:rPr>
              <w:t>10. Der fünfdimensionale Raum</w:t>
              <w:tab/>
              <w:t>22</w:t>
            </w:r>
          </w:hyperlink>
        </w:p>
        <w:p>
          <w:pPr>
            <w:pStyle w:val="TOC2"/>
            <w:tabs>
              <w:tab w:val="clear" w:pos="9653"/>
              <w:tab w:val="right" w:pos="9935" w:leader="dot"/>
            </w:tabs>
            <w:rPr/>
          </w:pPr>
          <w:hyperlink w:anchor="__RefHeading___Toc10123_954062153">
            <w:r>
              <w:rPr>
                <w:webHidden/>
                <w:rStyle w:val="IndexLink"/>
              </w:rPr>
              <w:t>11. Dynamischer Graph und Graphentheorie</w:t>
              <w:tab/>
              <w:t>24</w:t>
            </w:r>
          </w:hyperlink>
        </w:p>
        <w:p>
          <w:pPr>
            <w:pStyle w:val="TOC2"/>
            <w:tabs>
              <w:tab w:val="clear" w:pos="9653"/>
              <w:tab w:val="right" w:pos="9935" w:leader="dot"/>
            </w:tabs>
            <w:rPr/>
          </w:pPr>
          <w:hyperlink w:anchor="__RefHeading___Toc10125_954062153">
            <w:r>
              <w:rPr>
                <w:webHidden/>
                <w:rStyle w:val="IndexLink"/>
              </w:rPr>
              <w:t>12. Neuronale Dynamikmodelle</w:t>
              <w:tab/>
              <w:t>26</w:t>
            </w:r>
          </w:hyperlink>
        </w:p>
        <w:p>
          <w:pPr>
            <w:pStyle w:val="TOC2"/>
            <w:tabs>
              <w:tab w:val="clear" w:pos="9653"/>
              <w:tab w:val="right" w:pos="9935" w:leader="dot"/>
            </w:tabs>
            <w:rPr/>
          </w:pPr>
          <w:hyperlink w:anchor="__RefHeading___Toc10127_954062153">
            <w:r>
              <w:rPr>
                <w:webHidden/>
                <w:rStyle w:val="IndexLink"/>
              </w:rPr>
              <w:t>13. Synaptische, modulatorische und intrinsische Plastizität</w:t>
              <w:tab/>
              <w:t>27</w:t>
            </w:r>
          </w:hyperlink>
        </w:p>
        <w:p>
          <w:pPr>
            <w:pStyle w:val="TOC2"/>
            <w:tabs>
              <w:tab w:val="clear" w:pos="9653"/>
              <w:tab w:val="right" w:pos="9935" w:leader="dot"/>
            </w:tabs>
            <w:rPr/>
          </w:pPr>
          <w:hyperlink w:anchor="__RefHeading___Toc10129_954062153">
            <w:r>
              <w:rPr>
                <w:webHidden/>
                <w:rStyle w:val="IndexLink"/>
              </w:rPr>
              <w:t>14. Strukturelle Plastizität und Neurogenese</w:t>
              <w:tab/>
              <w:t>28</w:t>
            </w:r>
          </w:hyperlink>
        </w:p>
        <w:p>
          <w:pPr>
            <w:pStyle w:val="TOC2"/>
            <w:tabs>
              <w:tab w:val="clear" w:pos="9653"/>
              <w:tab w:val="right" w:pos="9935" w:leader="dot"/>
            </w:tabs>
            <w:rPr/>
          </w:pPr>
          <w:hyperlink w:anchor="__RefHeading___Toc10131_954062153">
            <w:r>
              <w:rPr>
                <w:webHidden/>
                <w:rStyle w:val="IndexLink"/>
              </w:rPr>
              <w:t>15. Stabilität, Attraktoren, Metastabilität und Bifurkation</w:t>
              <w:tab/>
              <w:t>30</w:t>
            </w:r>
          </w:hyperlink>
        </w:p>
        <w:p>
          <w:pPr>
            <w:pStyle w:val="TOC2"/>
            <w:tabs>
              <w:tab w:val="clear" w:pos="9653"/>
              <w:tab w:val="right" w:pos="9935" w:leader="dot"/>
            </w:tabs>
            <w:rPr/>
          </w:pPr>
          <w:hyperlink w:anchor="__RefHeading___Toc10133_954062153">
            <w:r>
              <w:rPr>
                <w:webHidden/>
                <w:rStyle w:val="IndexLink"/>
              </w:rPr>
              <w:t>16. Informationsmaße und Decodability</w:t>
              <w:tab/>
              <w:t>31</w:t>
            </w:r>
          </w:hyperlink>
        </w:p>
        <w:p>
          <w:pPr>
            <w:pStyle w:val="TOC2"/>
            <w:tabs>
              <w:tab w:val="clear" w:pos="9653"/>
              <w:tab w:val="right" w:pos="9935" w:leader="dot"/>
            </w:tabs>
            <w:rPr/>
          </w:pPr>
          <w:hyperlink w:anchor="__RefHeading___Toc10135_954062153">
            <w:r>
              <w:rPr>
                <w:webHidden/>
                <w:rStyle w:val="IndexLink"/>
              </w:rPr>
              <w:t>17. Repräsentation, Gedächtnis und Continual Learning</w:t>
              <w:tab/>
              <w:t>33</w:t>
            </w:r>
          </w:hyperlink>
        </w:p>
        <w:p>
          <w:pPr>
            <w:pStyle w:val="TOC2"/>
            <w:tabs>
              <w:tab w:val="clear" w:pos="9653"/>
              <w:tab w:val="right" w:pos="9935" w:leader="dot"/>
            </w:tabs>
            <w:rPr/>
          </w:pPr>
          <w:hyperlink w:anchor="__RefHeading___Toc10137_954062153">
            <w:r>
              <w:rPr>
                <w:webHidden/>
                <w:rStyle w:val="IndexLink"/>
              </w:rPr>
              <w:t>18. Messbare Emergenz und Kausalität</w:t>
              <w:tab/>
              <w:t>34</w:t>
            </w:r>
          </w:hyperlink>
        </w:p>
        <w:p>
          <w:pPr>
            <w:pStyle w:val="TOC2"/>
            <w:tabs>
              <w:tab w:val="clear" w:pos="9653"/>
              <w:tab w:val="right" w:pos="9935" w:leader="dot"/>
            </w:tabs>
            <w:rPr/>
          </w:pPr>
          <w:hyperlink w:anchor="__RefHeading___Toc10139_954062153">
            <w:r>
              <w:rPr>
                <w:webHidden/>
                <w:rStyle w:val="IndexLink"/>
              </w:rPr>
              <w:t>19. Kandidat für ein internes prädiktives Zustandsmodell</w:t>
              <w:tab/>
              <w:t>36</w:t>
            </w:r>
          </w:hyperlink>
        </w:p>
        <w:p>
          <w:pPr>
            <w:pStyle w:val="TOC1"/>
            <w:tabs>
              <w:tab w:val="clear" w:pos="9936"/>
              <w:tab w:val="right" w:pos="9935" w:leader="dot"/>
            </w:tabs>
            <w:rPr/>
          </w:pPr>
          <w:hyperlink w:anchor="__RefHeading___Toc10141_954062153">
            <w:r>
              <w:rPr>
                <w:webHidden/>
                <w:rStyle w:val="IndexLink"/>
              </w:rPr>
              <w:t>Teil III — Schnittstellen, Sprache, Wissen, Persistenz und Verkörperung</w:t>
              <w:tab/>
              <w:t>37</w:t>
            </w:r>
          </w:hyperlink>
        </w:p>
        <w:p>
          <w:pPr>
            <w:pStyle w:val="TOC2"/>
            <w:tabs>
              <w:tab w:val="clear" w:pos="9653"/>
              <w:tab w:val="right" w:pos="9935" w:leader="dot"/>
            </w:tabs>
            <w:rPr/>
          </w:pPr>
          <w:hyperlink w:anchor="__RefHeading___Toc10143_954062153">
            <w:r>
              <w:rPr>
                <w:webHidden/>
                <w:rStyle w:val="IndexLink"/>
              </w:rPr>
              <w:t>20. Signal Interpretation Layer</w:t>
              <w:tab/>
              <w:t>37</w:t>
            </w:r>
          </w:hyperlink>
        </w:p>
        <w:p>
          <w:pPr>
            <w:pStyle w:val="TOC2"/>
            <w:tabs>
              <w:tab w:val="clear" w:pos="9653"/>
              <w:tab w:val="right" w:pos="9935" w:leader="dot"/>
            </w:tabs>
            <w:rPr/>
          </w:pPr>
          <w:hyperlink w:anchor="__RefHeading___Toc10145_954062153">
            <w:r>
              <w:rPr>
                <w:webHidden/>
                <w:rStyle w:val="IndexLink"/>
              </w:rPr>
              <w:t>21. Language Organ</w:t>
              <w:tab/>
              <w:t>38</w:t>
            </w:r>
          </w:hyperlink>
        </w:p>
        <w:p>
          <w:pPr>
            <w:pStyle w:val="TOC2"/>
            <w:tabs>
              <w:tab w:val="clear" w:pos="9653"/>
              <w:tab w:val="right" w:pos="9935" w:leader="dot"/>
            </w:tabs>
            <w:rPr/>
          </w:pPr>
          <w:hyperlink w:anchor="__RefHeading___Toc10147_954062153">
            <w:r>
              <w:rPr>
                <w:webHidden/>
                <w:rStyle w:val="IndexLink"/>
              </w:rPr>
              <w:t>22. Knowledge Intake Engine</w:t>
              <w:tab/>
              <w:t>40</w:t>
            </w:r>
          </w:hyperlink>
        </w:p>
        <w:p>
          <w:pPr>
            <w:pStyle w:val="TOC2"/>
            <w:tabs>
              <w:tab w:val="clear" w:pos="9653"/>
              <w:tab w:val="right" w:pos="9935" w:leader="dot"/>
            </w:tabs>
            <w:rPr/>
          </w:pPr>
          <w:hyperlink w:anchor="__RefHeading___Toc10149_954062153">
            <w:r>
              <w:rPr>
                <w:webHidden/>
                <w:rStyle w:val="IndexLink"/>
              </w:rPr>
              <w:t>23. Storage und 5D Digital State Twin</w:t>
              <w:tab/>
              <w:t>42</w:t>
            </w:r>
          </w:hyperlink>
        </w:p>
        <w:p>
          <w:pPr>
            <w:pStyle w:val="TOC2"/>
            <w:tabs>
              <w:tab w:val="clear" w:pos="9653"/>
              <w:tab w:val="right" w:pos="9935" w:leader="dot"/>
            </w:tabs>
            <w:rPr/>
          </w:pPr>
          <w:hyperlink w:anchor="__RefHeading___Toc10151_954062153">
            <w:r>
              <w:rPr>
                <w:webHidden/>
                <w:rStyle w:val="IndexLink"/>
              </w:rPr>
              <w:t>24. Embodiment und multimodale Kopplung</w:t>
              <w:tab/>
              <w:t>45</w:t>
            </w:r>
          </w:hyperlink>
        </w:p>
        <w:p>
          <w:pPr>
            <w:pStyle w:val="TOC2"/>
            <w:tabs>
              <w:tab w:val="clear" w:pos="9653"/>
              <w:tab w:val="right" w:pos="9935" w:leader="dot"/>
            </w:tabs>
            <w:rPr/>
          </w:pPr>
          <w:hyperlink w:anchor="__RefHeading___Toc10153_954062153">
            <w:r>
              <w:rPr>
                <w:webHidden/>
                <w:rStyle w:val="IndexLink"/>
              </w:rPr>
              <w:t>25. Sicherheits-, Autoritäts- und Fehlergrenzen</w:t>
              <w:tab/>
              <w:t>46</w:t>
            </w:r>
          </w:hyperlink>
        </w:p>
        <w:p>
          <w:pPr>
            <w:pStyle w:val="TOC2"/>
            <w:tabs>
              <w:tab w:val="clear" w:pos="9653"/>
              <w:tab w:val="right" w:pos="9935" w:leader="dot"/>
            </w:tabs>
            <w:rPr/>
          </w:pPr>
          <w:hyperlink w:anchor="__RefHeading___Toc10155_954062153">
            <w:r>
              <w:rPr>
                <w:webHidden/>
                <w:rStyle w:val="IndexLink"/>
              </w:rPr>
              <w:t>26. Ethik und begriffliche Zurückhaltung</w:t>
              <w:tab/>
              <w:t>46</w:t>
            </w:r>
          </w:hyperlink>
        </w:p>
        <w:p>
          <w:pPr>
            <w:pStyle w:val="TOC1"/>
            <w:tabs>
              <w:tab w:val="clear" w:pos="9936"/>
              <w:tab w:val="right" w:pos="9935" w:leader="dot"/>
            </w:tabs>
            <w:rPr/>
          </w:pPr>
          <w:hyperlink w:anchor="__RefHeading___Toc10157_954062153">
            <w:r>
              <w:rPr>
                <w:webHidden/>
                <w:rStyle w:val="IndexLink"/>
              </w:rPr>
              <w:t>Teil IV — Methodologie und experimentelles Forschungsprogramm</w:t>
              <w:tab/>
              <w:t>48</w:t>
            </w:r>
          </w:hyperlink>
        </w:p>
        <w:p>
          <w:pPr>
            <w:pStyle w:val="TOC2"/>
            <w:tabs>
              <w:tab w:val="clear" w:pos="9653"/>
              <w:tab w:val="right" w:pos="9935" w:leader="dot"/>
            </w:tabs>
            <w:rPr/>
          </w:pPr>
          <w:hyperlink w:anchor="__RefHeading___Toc10159_954062153">
            <w:r>
              <w:rPr>
                <w:webHidden/>
                <w:rStyle w:val="IndexLink"/>
              </w:rPr>
              <w:t>27. Methodischer Grundaufbau</w:t>
              <w:tab/>
              <w:t>48</w:t>
            </w:r>
          </w:hyperlink>
        </w:p>
        <w:p>
          <w:pPr>
            <w:pStyle w:val="TOC2"/>
            <w:tabs>
              <w:tab w:val="clear" w:pos="9653"/>
              <w:tab w:val="right" w:pos="9935" w:leader="dot"/>
            </w:tabs>
            <w:rPr/>
          </w:pPr>
          <w:hyperlink w:anchor="__RefHeading___Toc10161_954062153">
            <w:r>
              <w:rPr>
                <w:webHidden/>
                <w:rStyle w:val="IndexLink"/>
              </w:rPr>
              <w:t>28. Experiment- und Evidenzregister</w:t>
              <w:tab/>
              <w:t>48</w:t>
            </w:r>
          </w:hyperlink>
        </w:p>
        <w:p>
          <w:pPr>
            <w:pStyle w:val="TOC2"/>
            <w:tabs>
              <w:tab w:val="clear" w:pos="9653"/>
              <w:tab w:val="right" w:pos="9935" w:leader="dot"/>
            </w:tabs>
            <w:rPr/>
          </w:pPr>
          <w:hyperlink w:anchor="__RefHeading___Toc10163_954062153">
            <w:r>
              <w:rPr>
                <w:webHidden/>
                <w:rStyle w:val="IndexLink"/>
              </w:rPr>
              <w:t>29. Statistischer Analyseplan</w:t>
              <w:tab/>
              <w:t>50</w:t>
            </w:r>
          </w:hyperlink>
        </w:p>
        <w:p>
          <w:pPr>
            <w:pStyle w:val="TOC2"/>
            <w:tabs>
              <w:tab w:val="clear" w:pos="9653"/>
              <w:tab w:val="right" w:pos="9935" w:leader="dot"/>
            </w:tabs>
            <w:rPr/>
          </w:pPr>
          <w:hyperlink w:anchor="__RefHeading___Toc10165_954062153">
            <w:r>
              <w:rPr>
                <w:webHidden/>
                <w:rStyle w:val="IndexLink"/>
              </w:rPr>
              <w:t>30. Kernmetriken</w:t>
              <w:tab/>
              <w:t>51</w:t>
            </w:r>
          </w:hyperlink>
        </w:p>
        <w:p>
          <w:pPr>
            <w:pStyle w:val="TOC2"/>
            <w:tabs>
              <w:tab w:val="clear" w:pos="9653"/>
              <w:tab w:val="right" w:pos="9935" w:leader="dot"/>
            </w:tabs>
            <w:rPr/>
          </w:pPr>
          <w:hyperlink w:anchor="__RefHeading___Toc10167_954062153">
            <w:r>
              <w:rPr>
                <w:webHidden/>
                <w:rStyle w:val="IndexLink"/>
              </w:rPr>
              <w:t>31. Experiment A — Dimensionalität und Geometrie</w:t>
              <w:tab/>
              <w:t>52</w:t>
            </w:r>
          </w:hyperlink>
        </w:p>
        <w:p>
          <w:pPr>
            <w:pStyle w:val="TOC2"/>
            <w:tabs>
              <w:tab w:val="clear" w:pos="9653"/>
              <w:tab w:val="right" w:pos="9935" w:leader="dot"/>
            </w:tabs>
            <w:rPr/>
          </w:pPr>
          <w:hyperlink w:anchor="__RefHeading___Toc10169_954062153">
            <w:r>
              <w:rPr>
                <w:webHidden/>
                <w:rStyle w:val="IndexLink"/>
              </w:rPr>
              <w:t>32. Experiment B — Stabilitäts- und Phasenkarte</w:t>
              <w:tab/>
              <w:t>53</w:t>
            </w:r>
          </w:hyperlink>
        </w:p>
        <w:p>
          <w:pPr>
            <w:pStyle w:val="TOC2"/>
            <w:tabs>
              <w:tab w:val="clear" w:pos="9653"/>
              <w:tab w:val="right" w:pos="9935" w:leader="dot"/>
            </w:tabs>
            <w:rPr/>
          </w:pPr>
          <w:hyperlink w:anchor="__RefHeading___Toc10171_954062153">
            <w:r>
              <w:rPr>
                <w:webHidden/>
                <w:rStyle w:val="IndexLink"/>
              </w:rPr>
              <w:t>33. Experiment C — Plastizitätsmechanismen</w:t>
              <w:tab/>
              <w:t>53</w:t>
            </w:r>
          </w:hyperlink>
        </w:p>
        <w:p>
          <w:pPr>
            <w:pStyle w:val="TOC2"/>
            <w:tabs>
              <w:tab w:val="clear" w:pos="9653"/>
              <w:tab w:val="right" w:pos="9935" w:leader="dot"/>
            </w:tabs>
            <w:rPr/>
          </w:pPr>
          <w:hyperlink w:anchor="__RefHeading___Toc10173_954062153">
            <w:r>
              <w:rPr>
                <w:webHidden/>
                <w:rStyle w:val="IndexLink"/>
              </w:rPr>
              <w:t>34. Experiment D — Gedächtnis und Retrieval-Isolation</w:t>
              <w:tab/>
              <w:t>54</w:t>
            </w:r>
          </w:hyperlink>
        </w:p>
        <w:p>
          <w:pPr>
            <w:pStyle w:val="TOC2"/>
            <w:tabs>
              <w:tab w:val="clear" w:pos="9653"/>
              <w:tab w:val="right" w:pos="9935" w:leader="dot"/>
            </w:tabs>
            <w:rPr/>
          </w:pPr>
          <w:hyperlink w:anchor="__RefHeading___Toc10175_954062153">
            <w:r>
              <w:rPr>
                <w:webHidden/>
                <w:rStyle w:val="IndexLink"/>
              </w:rPr>
              <w:t>35. Experiment E — Continual Learning</w:t>
              <w:tab/>
              <w:t>54</w:t>
            </w:r>
          </w:hyperlink>
        </w:p>
        <w:p>
          <w:pPr>
            <w:pStyle w:val="TOC2"/>
            <w:tabs>
              <w:tab w:val="clear" w:pos="9653"/>
              <w:tab w:val="right" w:pos="9935" w:leader="dot"/>
            </w:tabs>
            <w:rPr/>
          </w:pPr>
          <w:hyperlink w:anchor="__RefHeading___Toc10177_954062153">
            <w:r>
              <w:rPr>
                <w:webHidden/>
                <w:rStyle w:val="IndexLink"/>
              </w:rPr>
              <w:t>36. Experiment F — Language Organ und Knowledge Intake</w:t>
              <w:tab/>
              <w:t>55</w:t>
            </w:r>
          </w:hyperlink>
        </w:p>
        <w:p>
          <w:pPr>
            <w:pStyle w:val="TOC2"/>
            <w:tabs>
              <w:tab w:val="clear" w:pos="9653"/>
              <w:tab w:val="right" w:pos="9935" w:leader="dot"/>
            </w:tabs>
            <w:rPr/>
          </w:pPr>
          <w:hyperlink w:anchor="__RefHeading___Toc10179_954062153">
            <w:r>
              <w:rPr>
                <w:webHidden/>
                <w:rStyle w:val="IndexLink"/>
              </w:rPr>
              <w:t>37. Experiment G — Embodiment</w:t>
              <w:tab/>
              <w:t>55</w:t>
            </w:r>
          </w:hyperlink>
        </w:p>
        <w:p>
          <w:pPr>
            <w:pStyle w:val="TOC2"/>
            <w:tabs>
              <w:tab w:val="clear" w:pos="9653"/>
              <w:tab w:val="right" w:pos="9935" w:leader="dot"/>
            </w:tabs>
            <w:rPr/>
          </w:pPr>
          <w:hyperlink w:anchor="__RefHeading___Toc10181_954062153">
            <w:r>
              <w:rPr>
                <w:webHidden/>
                <w:rStyle w:val="IndexLink"/>
              </w:rPr>
              <w:t>38. Experiment H — Messbare Emergenz</w:t>
              <w:tab/>
              <w:t>56</w:t>
            </w:r>
          </w:hyperlink>
        </w:p>
        <w:p>
          <w:pPr>
            <w:pStyle w:val="TOC2"/>
            <w:tabs>
              <w:tab w:val="clear" w:pos="9653"/>
              <w:tab w:val="right" w:pos="9935" w:leader="dot"/>
            </w:tabs>
            <w:rPr/>
          </w:pPr>
          <w:hyperlink w:anchor="__RefHeading___Toc10183_954062153">
            <w:r>
              <w:rPr>
                <w:webHidden/>
                <w:rStyle w:val="IndexLink"/>
              </w:rPr>
              <w:t>39. Experiment I — Storage- und Twin-Fidelity</w:t>
              <w:tab/>
              <w:t>56</w:t>
            </w:r>
          </w:hyperlink>
        </w:p>
        <w:p>
          <w:pPr>
            <w:pStyle w:val="TOC2"/>
            <w:tabs>
              <w:tab w:val="clear" w:pos="9653"/>
              <w:tab w:val="right" w:pos="9935" w:leader="dot"/>
            </w:tabs>
            <w:rPr/>
          </w:pPr>
          <w:hyperlink w:anchor="__RefHeading___Toc10185_954062153">
            <w:r>
              <w:rPr>
                <w:webHidden/>
                <w:rStyle w:val="IndexLink"/>
              </w:rPr>
              <w:t>40. Experiment J — Scaling und Performance</w:t>
              <w:tab/>
              <w:t>56</w:t>
            </w:r>
          </w:hyperlink>
        </w:p>
        <w:p>
          <w:pPr>
            <w:pStyle w:val="TOC2"/>
            <w:tabs>
              <w:tab w:val="clear" w:pos="9653"/>
              <w:tab w:val="right" w:pos="9935" w:leader="dot"/>
            </w:tabs>
            <w:rPr/>
          </w:pPr>
          <w:hyperlink w:anchor="__RefHeading___Toc10187_954062153">
            <w:r>
              <w:rPr>
                <w:webHidden/>
                <w:rStyle w:val="IndexLink"/>
              </w:rPr>
              <w:t>41. Vergleichsbaselines</w:t>
              <w:tab/>
              <w:t>57</w:t>
            </w:r>
          </w:hyperlink>
        </w:p>
        <w:p>
          <w:pPr>
            <w:pStyle w:val="TOC2"/>
            <w:tabs>
              <w:tab w:val="clear" w:pos="9653"/>
              <w:tab w:val="right" w:pos="9935" w:leader="dot"/>
            </w:tabs>
            <w:rPr/>
          </w:pPr>
          <w:hyperlink w:anchor="__RefHeading___Toc10189_954062153">
            <w:r>
              <w:rPr>
                <w:webHidden/>
                <w:rStyle w:val="IndexLink"/>
              </w:rPr>
              <w:t>42. Falsifikationsmatrix</w:t>
              <w:tab/>
              <w:t>58</w:t>
            </w:r>
          </w:hyperlink>
        </w:p>
        <w:p>
          <w:pPr>
            <w:pStyle w:val="TOC2"/>
            <w:tabs>
              <w:tab w:val="clear" w:pos="9653"/>
              <w:tab w:val="right" w:pos="9935" w:leader="dot"/>
            </w:tabs>
            <w:rPr/>
          </w:pPr>
          <w:hyperlink w:anchor="__RefHeading___Toc10191_954062153">
            <w:r>
              <w:rPr>
                <w:webHidden/>
                <w:rStyle w:val="IndexLink"/>
              </w:rPr>
              <w:t>43. Validität</w:t>
              <w:tab/>
              <w:t>58</w:t>
            </w:r>
          </w:hyperlink>
        </w:p>
        <w:p>
          <w:pPr>
            <w:pStyle w:val="TOC1"/>
            <w:tabs>
              <w:tab w:val="clear" w:pos="9936"/>
              <w:tab w:val="right" w:pos="9935" w:leader="dot"/>
            </w:tabs>
            <w:rPr/>
          </w:pPr>
          <w:hyperlink w:anchor="__RefHeading___Toc10193_954062153">
            <w:r>
              <w:rPr>
                <w:webHidden/>
                <w:rStyle w:val="IndexLink"/>
              </w:rPr>
              <w:t>Teil V — Reproduzierbarkeit, Roadmap und offene Forschungsfragen</w:t>
              <w:tab/>
              <w:t>59</w:t>
            </w:r>
          </w:hyperlink>
        </w:p>
        <w:p>
          <w:pPr>
            <w:pStyle w:val="TOC2"/>
            <w:tabs>
              <w:tab w:val="clear" w:pos="9653"/>
              <w:tab w:val="right" w:pos="9935" w:leader="dot"/>
            </w:tabs>
            <w:rPr/>
          </w:pPr>
          <w:hyperlink w:anchor="__RefHeading___Toc10195_954062153">
            <w:r>
              <w:rPr>
                <w:webHidden/>
                <w:rStyle w:val="IndexLink"/>
              </w:rPr>
              <w:t>44. Reproduzierbarkeit und Forschungssoftware</w:t>
              <w:tab/>
              <w:t>59</w:t>
            </w:r>
          </w:hyperlink>
        </w:p>
        <w:p>
          <w:pPr>
            <w:pStyle w:val="TOC2"/>
            <w:tabs>
              <w:tab w:val="clear" w:pos="9653"/>
              <w:tab w:val="right" w:pos="9935" w:leader="dot"/>
            </w:tabs>
            <w:rPr/>
          </w:pPr>
          <w:hyperlink w:anchor="__RefHeading___Toc10197_954062153">
            <w:r>
              <w:rPr>
                <w:webHidden/>
                <w:rStyle w:val="IndexLink"/>
              </w:rPr>
              <w:t>45. Vorläufige gerichtete Vorhersagen</w:t>
              <w:tab/>
              <w:t>60</w:t>
            </w:r>
          </w:hyperlink>
        </w:p>
        <w:p>
          <w:pPr>
            <w:pStyle w:val="TOC2"/>
            <w:tabs>
              <w:tab w:val="clear" w:pos="9653"/>
              <w:tab w:val="right" w:pos="9935" w:leader="dot"/>
            </w:tabs>
            <w:rPr/>
          </w:pPr>
          <w:hyperlink w:anchor="__RefHeading___Toc10199_954062153">
            <w:r>
              <w:rPr>
                <w:webHidden/>
                <w:rStyle w:val="IndexLink"/>
              </w:rPr>
              <w:t>46. Limitationen und Risiken der Theorie</w:t>
              <w:tab/>
              <w:t>61</w:t>
            </w:r>
          </w:hyperlink>
        </w:p>
        <w:p>
          <w:pPr>
            <w:pStyle w:val="TOC2"/>
            <w:tabs>
              <w:tab w:val="clear" w:pos="9653"/>
              <w:tab w:val="right" w:pos="9935" w:leader="dot"/>
            </w:tabs>
            <w:rPr/>
          </w:pPr>
          <w:hyperlink w:anchor="__RefHeading___Toc10201_954062153">
            <w:r>
              <w:rPr>
                <w:webHidden/>
                <w:rStyle w:val="IndexLink"/>
              </w:rPr>
              <w:t>47. Roadmap mit Evidenzgates</w:t>
              <w:tab/>
              <w:t>62</w:t>
            </w:r>
          </w:hyperlink>
        </w:p>
        <w:p>
          <w:pPr>
            <w:pStyle w:val="TOC2"/>
            <w:tabs>
              <w:tab w:val="clear" w:pos="9653"/>
              <w:tab w:val="right" w:pos="9935" w:leader="dot"/>
            </w:tabs>
            <w:rPr/>
          </w:pPr>
          <w:hyperlink w:anchor="__RefHeading___Toc10203_954062153">
            <w:r>
              <w:rPr>
                <w:webHidden/>
                <w:rStyle w:val="IndexLink"/>
              </w:rPr>
              <w:t>48. Dokumenthierarchie</w:t>
              <w:tab/>
              <w:t>64</w:t>
            </w:r>
          </w:hyperlink>
        </w:p>
        <w:p>
          <w:pPr>
            <w:pStyle w:val="TOC2"/>
            <w:tabs>
              <w:tab w:val="clear" w:pos="9653"/>
              <w:tab w:val="right" w:pos="9935" w:leader="dot"/>
            </w:tabs>
            <w:rPr/>
          </w:pPr>
          <w:hyperlink w:anchor="__RefHeading___Toc10205_954062153">
            <w:r>
              <w:rPr>
                <w:webHidden/>
                <w:rStyle w:val="IndexLink"/>
              </w:rPr>
              <w:t>49. Literaturstrategie und Coverage Matrix</w:t>
              <w:tab/>
              <w:t>65</w:t>
            </w:r>
          </w:hyperlink>
        </w:p>
        <w:p>
          <w:pPr>
            <w:pStyle w:val="TOC2"/>
            <w:tabs>
              <w:tab w:val="clear" w:pos="9653"/>
              <w:tab w:val="right" w:pos="9935" w:leader="dot"/>
            </w:tabs>
            <w:rPr/>
          </w:pPr>
          <w:hyperlink w:anchor="__RefHeading___Toc10207_954062153">
            <w:r>
              <w:rPr>
                <w:webHidden/>
                <w:rStyle w:val="IndexLink"/>
              </w:rPr>
              <w:t>50. Offene Forschungsfragen</w:t>
              <w:tab/>
              <w:t>66</w:t>
            </w:r>
          </w:hyperlink>
        </w:p>
        <w:p>
          <w:pPr>
            <w:pStyle w:val="TOC2"/>
            <w:tabs>
              <w:tab w:val="clear" w:pos="9653"/>
              <w:tab w:val="right" w:pos="9935" w:leader="dot"/>
            </w:tabs>
            <w:rPr/>
          </w:pPr>
          <w:hyperlink w:anchor="__RefHeading___Toc10209_954062153">
            <w:r>
              <w:rPr>
                <w:webHidden/>
                <w:rStyle w:val="IndexLink"/>
              </w:rPr>
              <w:t>51. Schlussfolgerung</w:t>
              <w:tab/>
              <w:t>67</w:t>
            </w:r>
          </w:hyperlink>
        </w:p>
        <w:p>
          <w:pPr>
            <w:pStyle w:val="TOC1"/>
            <w:tabs>
              <w:tab w:val="clear" w:pos="9936"/>
              <w:tab w:val="right" w:pos="9935" w:leader="dot"/>
            </w:tabs>
            <w:rPr/>
          </w:pPr>
          <w:hyperlink w:anchor="__RefHeading___Toc10211_954062153">
            <w:r>
              <w:rPr>
                <w:webHidden/>
                <w:rStyle w:val="IndexLink"/>
              </w:rPr>
              <w:t>Anhang A — Status- und Claim-Konventionen</w:t>
              <w:tab/>
              <w:t>69</w:t>
            </w:r>
          </w:hyperlink>
        </w:p>
        <w:p>
          <w:pPr>
            <w:pStyle w:val="TOC2"/>
            <w:tabs>
              <w:tab w:val="clear" w:pos="9653"/>
              <w:tab w:val="right" w:pos="9935" w:leader="dot"/>
            </w:tabs>
            <w:rPr/>
          </w:pPr>
          <w:hyperlink w:anchor="__RefHeading___Toc10213_954062153">
            <w:r>
              <w:rPr>
                <w:webHidden/>
                <w:rStyle w:val="IndexLink"/>
              </w:rPr>
              <w:t>A.1 Statussyntax</w:t>
              <w:tab/>
              <w:t>69</w:t>
            </w:r>
          </w:hyperlink>
        </w:p>
        <w:p>
          <w:pPr>
            <w:pStyle w:val="TOC2"/>
            <w:tabs>
              <w:tab w:val="clear" w:pos="9653"/>
              <w:tab w:val="right" w:pos="9935" w:leader="dot"/>
            </w:tabs>
            <w:rPr/>
          </w:pPr>
          <w:hyperlink w:anchor="__RefHeading___Toc10215_954062153">
            <w:r>
              <w:rPr>
                <w:webHidden/>
                <w:rStyle w:val="IndexLink"/>
              </w:rPr>
              <w:t>A.2 Herabstufung</w:t>
              <w:tab/>
              <w:t>69</w:t>
            </w:r>
          </w:hyperlink>
        </w:p>
        <w:p>
          <w:pPr>
            <w:pStyle w:val="TOC2"/>
            <w:tabs>
              <w:tab w:val="clear" w:pos="9653"/>
              <w:tab w:val="right" w:pos="9935" w:leader="dot"/>
            </w:tabs>
            <w:rPr/>
          </w:pPr>
          <w:hyperlink w:anchor="__RefHeading___Toc10217_954062153">
            <w:r>
              <w:rPr>
                <w:webHidden/>
                <w:rStyle w:val="IndexLink"/>
              </w:rPr>
              <w:t>A.3 Claim-Formulierung</w:t>
              <w:tab/>
              <w:t>69</w:t>
            </w:r>
          </w:hyperlink>
        </w:p>
        <w:p>
          <w:pPr>
            <w:pStyle w:val="TOC1"/>
            <w:tabs>
              <w:tab w:val="clear" w:pos="9936"/>
              <w:tab w:val="right" w:pos="9935" w:leader="dot"/>
            </w:tabs>
            <w:rPr/>
          </w:pPr>
          <w:hyperlink w:anchor="__RefHeading___Toc10219_954062153">
            <w:r>
              <w:rPr>
                <w:webHidden/>
                <w:rStyle w:val="IndexLink"/>
              </w:rPr>
              <w:t>Anhang B — Datenverträge</w:t>
              <w:tab/>
              <w:t>69</w:t>
            </w:r>
          </w:hyperlink>
        </w:p>
        <w:p>
          <w:pPr>
            <w:pStyle w:val="TOC2"/>
            <w:tabs>
              <w:tab w:val="clear" w:pos="9653"/>
              <w:tab w:val="right" w:pos="9935" w:leader="dot"/>
            </w:tabs>
            <w:rPr/>
          </w:pPr>
          <w:hyperlink w:anchor="__RefHeading___Toc10221_954062153">
            <w:r>
              <w:rPr>
                <w:webHidden/>
                <w:rStyle w:val="IndexLink"/>
              </w:rPr>
              <w:t>B.1 StimulusPlan</w:t>
              <w:tab/>
              <w:t>69</w:t>
            </w:r>
          </w:hyperlink>
        </w:p>
        <w:p>
          <w:pPr>
            <w:pStyle w:val="TOC2"/>
            <w:tabs>
              <w:tab w:val="clear" w:pos="9653"/>
              <w:tab w:val="right" w:pos="9935" w:leader="dot"/>
            </w:tabs>
            <w:rPr/>
          </w:pPr>
          <w:hyperlink w:anchor="__RefHeading___Toc10223_954062153">
            <w:r>
              <w:rPr>
                <w:webHidden/>
                <w:rStyle w:val="IndexLink"/>
              </w:rPr>
              <w:t>B.2 Interpretation</w:t>
              <w:tab/>
              <w:t>69</w:t>
            </w:r>
          </w:hyperlink>
        </w:p>
        <w:p>
          <w:pPr>
            <w:pStyle w:val="TOC2"/>
            <w:tabs>
              <w:tab w:val="clear" w:pos="9653"/>
              <w:tab w:val="right" w:pos="9935" w:leader="dot"/>
            </w:tabs>
            <w:rPr/>
          </w:pPr>
          <w:hyperlink w:anchor="__RefHeading___Toc10225_954062153">
            <w:r>
              <w:rPr>
                <w:webHidden/>
                <w:rStyle w:val="IndexLink"/>
              </w:rPr>
              <w:t>B.3 RejectionRecord</w:t>
              <w:tab/>
              <w:t>70</w:t>
            </w:r>
          </w:hyperlink>
        </w:p>
        <w:p>
          <w:pPr>
            <w:pStyle w:val="TOC1"/>
            <w:tabs>
              <w:tab w:val="clear" w:pos="9936"/>
              <w:tab w:val="right" w:pos="9935" w:leader="dot"/>
            </w:tabs>
            <w:rPr/>
          </w:pPr>
          <w:hyperlink w:anchor="__RefHeading___Toc10227_954062153">
            <w:r>
              <w:rPr>
                <w:webHidden/>
                <w:rStyle w:val="IndexLink"/>
              </w:rPr>
              <w:t>Anhang C — Beispiel eines EvidenceRecord</w:t>
              <w:tab/>
              <w:t>70</w:t>
            </w:r>
          </w:hyperlink>
        </w:p>
        <w:p>
          <w:pPr>
            <w:pStyle w:val="TOC1"/>
            <w:tabs>
              <w:tab w:val="clear" w:pos="9936"/>
              <w:tab w:val="right" w:pos="9935" w:leader="dot"/>
            </w:tabs>
            <w:rPr/>
          </w:pPr>
          <w:hyperlink w:anchor="__RefHeading___Toc10229_954062153">
            <w:r>
              <w:rPr>
                <w:webHidden/>
                <w:rStyle w:val="IndexLink"/>
              </w:rPr>
              <w:t>Anhang D — Architekturprüfungen</w:t>
              <w:tab/>
              <w:t>70</w:t>
            </w:r>
          </w:hyperlink>
        </w:p>
        <w:p>
          <w:pPr>
            <w:pStyle w:val="TOC1"/>
            <w:tabs>
              <w:tab w:val="clear" w:pos="9936"/>
              <w:tab w:val="right" w:pos="9935" w:leader="dot"/>
            </w:tabs>
            <w:rPr/>
          </w:pPr>
          <w:hyperlink w:anchor="__RefHeading___Toc10231_954062153">
            <w:r>
              <w:rPr>
                <w:webHidden/>
                <w:rStyle w:val="IndexLink"/>
              </w:rPr>
              <w:t>Anhang E — Abkürzungen und Symbole</w:t>
              <w:tab/>
              <w:t>71</w:t>
            </w:r>
          </w:hyperlink>
        </w:p>
        <w:p>
          <w:pPr>
            <w:pStyle w:val="TOC1"/>
            <w:tabs>
              <w:tab w:val="clear" w:pos="9936"/>
              <w:tab w:val="right" w:pos="9935" w:leader="dot"/>
            </w:tabs>
            <w:rPr/>
          </w:pPr>
          <w:hyperlink w:anchor="__RefHeading___Toc10233_954062153">
            <w:r>
              <w:rPr>
                <w:webHidden/>
                <w:rStyle w:val="IndexLink"/>
              </w:rPr>
              <w:t>Literaturverzeichnis</w:t>
              <w:tab/>
              <w:t>72</w:t>
            </w:r>
          </w:hyperlink>
          <w:r>
            <w:rPr>
              <w:rStyle w:val="IndexLink"/>
            </w:rPr>
            <w:fldChar w:fldCharType="end"/>
          </w:r>
        </w:p>
      </w:sdtContent>
    </w:sdt>
    <w:p>
      <w:pPr>
        <w:pStyle w:val="Normal"/>
        <w:rPr/>
      </w:pPr>
      <w:r>
        <w:rPr/>
      </w:r>
      <w:r>
        <w:br w:type="page"/>
      </w:r>
    </w:p>
    <w:p>
      <w:pPr>
        <w:pStyle w:val="Heading1"/>
        <w:keepNext w:val="true"/>
        <w:widowControl/>
        <w:spacing w:before="0" w:after="0"/>
        <w:rPr/>
      </w:pPr>
      <w:bookmarkStart w:id="0" w:name="__RefHeading___Toc10081_954062153"/>
      <w:bookmarkStart w:id="1" w:name="X632bc4776ede19ac4a1b662650cac745c961ba8"/>
      <w:bookmarkEnd w:id="0"/>
      <w:r>
        <w:rPr/>
        <w:t>Dokumentkontrolle und wissenschaftlicher Status</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4967"/>
        <w:gridCol w:w="4968"/>
      </w:tblGrid>
      <w:tr>
        <w:trPr>
          <w:tblHeader w:val="true"/>
        </w:trPr>
        <w:tc>
          <w:tcPr>
            <w:tcW w:w="4967"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Feld</w:t>
            </w:r>
          </w:p>
        </w:tc>
        <w:tc>
          <w:tcPr>
            <w:tcW w:w="4968"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Festlegung</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Kurztitel</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Brain-5D Scientific Framework</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Version</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0.2</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Status</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Preliminary Research Architecture</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Autor / Projektleitung</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Thomas Heisig</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Primärer Zweck</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Forschungsrahmen, Hypothesenkatalog, Architektur- und Methodenreferenz</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Nicht beansprucht</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abgeschlossene Theorie, biologisches Vollmodell, Nachweis von Bewusstsein, allgemeiner Intelligenz oder semantischem Verstehen</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Änderungsprinzip</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Jede materielle Änderung erhält Versionsnummer, Datum, Änderungsgrund und Verweis auf betroffene Claims</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Evidenzprinzip</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Keine Hochstufung von E0 nach E1–E3 ohne verknüpften Code-, Test-, Lauf- und Ergebnisnachweis</w:t>
            </w:r>
          </w:p>
        </w:tc>
      </w:tr>
      <w:tr>
        <w:trPr/>
        <w:tc>
          <w:tcPr>
            <w:tcW w:w="4967"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Empfohlene Zitierform des Entwurfs</w:t>
            </w:r>
          </w:p>
        </w:tc>
        <w:tc>
          <w:tcPr>
            <w:tcW w:w="4968"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 xml:space="preserve">Heisig, T. (2026). </w:t>
            </w:r>
            <w:r>
              <w:rPr>
                <w:rFonts w:eastAsia="Liberation Sans" w:cs="Liberation Sans"/>
                <w:b w:val="false"/>
                <w:i w:val="false"/>
                <w:iCs/>
                <w:color w:val="202020"/>
                <w:kern w:val="0"/>
                <w:sz w:val="16"/>
                <w:szCs w:val="24"/>
                <w:lang w:val="de-DE" w:eastAsia="en-US" w:bidi="ar-SA"/>
              </w:rPr>
              <w:t>Brain-5D Scientific Framework: Preliminary Research Architecture for a Hybrid Spatial Spiking System</w:t>
            </w:r>
            <w:r>
              <w:rPr>
                <w:rFonts w:eastAsia="Liberation Sans" w:cs="Liberation Sans"/>
                <w:b w:val="false"/>
                <w:i w:val="false"/>
                <w:color w:val="202020"/>
                <w:kern w:val="0"/>
                <w:sz w:val="16"/>
                <w:szCs w:val="24"/>
                <w:lang w:val="de-DE" w:eastAsia="en-US" w:bidi="ar-SA"/>
              </w:rPr>
              <w:t xml:space="preserve"> (Version 0.2). Brain-5D Project.</w:t>
            </w:r>
          </w:p>
        </w:tc>
      </w:tr>
    </w:tbl>
    <w:p>
      <w:pPr>
        <w:pStyle w:val="Heading2"/>
        <w:keepNext w:val="true"/>
        <w:widowControl/>
        <w:rPr/>
      </w:pPr>
      <w:bookmarkStart w:id="2" w:name="__RefHeading___Toc10083_954062153"/>
      <w:bookmarkEnd w:id="2"/>
      <w:r>
        <w:rPr/>
        <w:t>Versionshinweis</w:t>
      </w:r>
    </w:p>
    <w:p>
      <w:pPr>
        <w:pStyle w:val="FirstParagraph"/>
        <w:rPr/>
      </w:pPr>
      <w:r>
        <w:rPr/>
        <w:t>Version 0.2 führt gegenüber der Vorfassung insbesondere folgende wissenschaftliche Verschärfungen ein:</w:t>
      </w:r>
    </w:p>
    <w:p>
      <w:pPr>
        <w:pStyle w:val="Compact"/>
        <w:numPr>
          <w:ilvl w:val="0"/>
          <w:numId w:val="68"/>
        </w:numPr>
        <w:rPr/>
      </w:pPr>
      <w:r>
        <w:rPr/>
        <w:t>explizite Scope-/Non-Scope-Abgrenzung und eine formale Projektontologie;</w:t>
      </w:r>
    </w:p>
    <w:p>
      <w:pPr>
        <w:pStyle w:val="Compact"/>
        <w:numPr>
          <w:ilvl w:val="0"/>
          <w:numId w:val="1"/>
        </w:numPr>
        <w:rPr/>
      </w:pPr>
      <w:r>
        <w:rPr/>
        <w:t>statusgebundene Claims mit den Evidenzstufen E0 bis E3;</w:t>
      </w:r>
    </w:p>
    <w:p>
      <w:pPr>
        <w:pStyle w:val="Compact"/>
        <w:numPr>
          <w:ilvl w:val="0"/>
          <w:numId w:val="1"/>
        </w:numPr>
        <w:rPr/>
      </w:pPr>
      <w:r>
        <w:rPr/>
        <w:t>eine zweite, von der Evidenzstufe unabhängige Notation für den mathematischen Status von Gleichungen;</w:t>
      </w:r>
    </w:p>
    <w:p>
      <w:pPr>
        <w:pStyle w:val="Compact"/>
        <w:numPr>
          <w:ilvl w:val="0"/>
          <w:numId w:val="1"/>
        </w:numPr>
        <w:rPr/>
      </w:pPr>
      <w:r>
        <w:rPr/>
        <w:t>allgemeine 5D-Metrik mit positiver (semi-)definiter Metrikmatrix statt ausschließlich diagonal gewichteter Euklidik;</w:t>
      </w:r>
    </w:p>
    <w:p>
      <w:pPr>
        <w:pStyle w:val="Compact"/>
        <w:numPr>
          <w:ilvl w:val="0"/>
          <w:numId w:val="1"/>
        </w:numPr>
        <w:rPr/>
      </w:pPr>
      <w:r>
        <w:rPr/>
        <w:t>formale Architektur-Invarianten und technisch prüfbare Verifikationskriterien;</w:t>
      </w:r>
    </w:p>
    <w:p>
      <w:pPr>
        <w:pStyle w:val="Compact"/>
        <w:numPr>
          <w:ilvl w:val="0"/>
          <w:numId w:val="1"/>
        </w:numPr>
        <w:rPr/>
      </w:pPr>
      <w:r>
        <w:rPr/>
        <w:t>eigenständige Kapitel zu Stabilität, Bifurkation, Informationsmaßen, Graphentheorie, messbarer Emergenz und Kausalität;</w:t>
      </w:r>
    </w:p>
    <w:p>
      <w:pPr>
        <w:pStyle w:val="Compact"/>
        <w:numPr>
          <w:ilvl w:val="0"/>
          <w:numId w:val="1"/>
        </w:numPr>
        <w:rPr/>
      </w:pPr>
      <w:r>
        <w:rPr/>
        <w:t>strikte Trennung des beobachtenden Monitoring-Pfads vom optionalen Interventionspfad des Language Organs;</w:t>
      </w:r>
    </w:p>
    <w:p>
      <w:pPr>
        <w:pStyle w:val="Compact"/>
        <w:numPr>
          <w:ilvl w:val="0"/>
          <w:numId w:val="1"/>
        </w:numPr>
        <w:rPr/>
      </w:pPr>
      <w:r>
        <w:rPr/>
        <w:t>Storage- und Digital-State-Twin-Konzept mit Rekonstruktions-, Provenienz- und Fidelity-Anforderungen;</w:t>
      </w:r>
    </w:p>
    <w:p>
      <w:pPr>
        <w:pStyle w:val="Compact"/>
        <w:numPr>
          <w:ilvl w:val="0"/>
          <w:numId w:val="1"/>
        </w:numPr>
        <w:rPr/>
      </w:pPr>
      <w:r>
        <w:rPr/>
        <w:t>Experiment- und Evidenzregister als verbindendes Element zwischen Theorie, Software, Daten und Ergebnissen;</w:t>
      </w:r>
    </w:p>
    <w:p>
      <w:pPr>
        <w:pStyle w:val="Compact"/>
        <w:numPr>
          <w:ilvl w:val="0"/>
          <w:numId w:val="1"/>
        </w:numPr>
        <w:rPr/>
      </w:pPr>
      <w:r>
        <w:rPr/>
        <w:t>vorsichtigere Operationalisierung eines möglichen internen prädiktiven Zustandsmodells anstelle einer voreiligen Behauptung eines „World Models“.</w:t>
      </w:r>
    </w:p>
    <w:p>
      <w:pPr>
        <w:pStyle w:val="Heading2"/>
        <w:keepNext w:val="true"/>
        <w:widowControl/>
        <w:rPr/>
      </w:pPr>
      <w:bookmarkStart w:id="3" w:name="__RefHeading___Toc10085_954062153"/>
      <w:bookmarkStart w:id="4" w:name="X610b970d72d5faf137293abbc36f82c8d592a76"/>
      <w:bookmarkEnd w:id="3"/>
      <w:r>
        <w:rPr/>
        <w:t>Wissenschaftliche Redlichkeit und Verwendung</w:t>
      </w:r>
    </w:p>
    <w:p>
      <w:pPr>
        <w:pStyle w:val="FirstParagraph"/>
        <w:rPr/>
      </w:pPr>
      <w:bookmarkStart w:id="5" w:name="X632bc4776ede19ac4a1b662650cac745c961ba8"/>
      <w:bookmarkStart w:id="6" w:name="X610b970d72d5faf137293abbc36f82c8d592a76"/>
      <w:r>
        <w:rPr/>
        <w:t>Der Text ist eine eigenständige wissenschaftliche Synthese. Quellen werden zur Begründung, Einordnung oder Abgrenzung herangezogen; längere wörtliche Übernahmen werden vermieden. Vor einer formalen Einreichung sind institutionelle Vorgaben zur Offenlegung KI-gestützter Schreib- oder Recherchewerkzeuge, zur Autorenschaft, zu Forschungsdaten, Ethik und Softwarezitation zu beachten. Die endgültige akademische Fassung muss zudem mit den tatsächlich ausgeführten Experimenten, archivierten Releases und institutionell akzeptierten Zitierstandards abgeglichen werden.</w:t>
      </w:r>
      <w:bookmarkEnd w:id="5"/>
      <w:bookmarkEnd w:id="6"/>
      <w:r>
        <w:br w:type="page"/>
      </w:r>
    </w:p>
    <w:p>
      <w:pPr>
        <w:pStyle w:val="Heading1"/>
        <w:keepNext w:val="true"/>
        <w:widowControl/>
        <w:rPr/>
      </w:pPr>
      <w:bookmarkStart w:id="7" w:name="__RefHeading___Toc10087_954062153"/>
      <w:bookmarkStart w:id="8" w:name="zusammenfassung"/>
      <w:bookmarkEnd w:id="7"/>
      <w:r>
        <w:rPr/>
        <w:t>Zusammenfassung</w:t>
      </w:r>
    </w:p>
    <w:p>
      <w:pPr>
        <w:pStyle w:val="FirstParagraph"/>
        <w:rPr/>
      </w:pPr>
      <w:r>
        <w:rPr/>
        <w:t>Brain-5D ist ein experimentelles Forschungsframework zur Untersuchung selbstorganisierender, zeitabhängiger und verkörperter kognitiver Systeme. Der wissenschaftliche Kern besteht aus einem rekurrenten Spiking Neural Network (SNN), dessen materialisierte Neuronen und Synapsen in einem logisch fünfdimensionalen Adress- und Beziehungsraum organisiert werden. Die fünf Dimensionen werden nicht als biologisch gegebene Raumachsen postuliert, sondern als überprüfbare Konstruktionshypothese: Drei Koordinaten können räumliche beziehungsweise topologische Lokalität ausdrücken; zwei zusätzliche Koordinaten können funktionale, modale, entwicklungsbezogene oder assoziative Nähe repräsentieren. Ob aus diesem Adressraum eine leistungsrelevante funktionale Geometrie entsteht, ist ausdrücklich Gegenstand von Dimensions-, Metrik- und Topologieablationen.</w:t>
      </w:r>
    </w:p>
    <w:p>
      <w:pPr>
        <w:pStyle w:val="BodyText"/>
        <w:rPr/>
      </w:pPr>
      <w:r>
        <w:rPr/>
        <w:t xml:space="preserve">Das Framework verbindet Spike-Dynamik, lokale und modulatorische Plastizität, Homöostase, strukturelle Reorganisation, Persistenz, multimodale Sensor-Aktor-Kopplung und optional symbolische Schnittstellen. Ein Large Language Model ist dabei keine zentrale kognitive Instanz, sondern ein austauschbares externes </w:t>
      </w:r>
      <w:r>
        <w:rPr>
          <w:b/>
          <w:bCs/>
        </w:rPr>
        <w:t>Language Organ</w:t>
      </w:r>
      <w:r>
        <w:rPr/>
        <w:t xml:space="preserve">. Es erhält keine direkten Schreibrechte auf synaptische Gewichte, Netzwerkstruktur oder Simulationssteuerung. Messung und Interpretation werden durch versionierte Datenverträge getrennt: Rohereignisse werden deterministisch in </w:t>
      </w:r>
      <w:r>
        <w:rPr>
          <w:rStyle w:val="VerbatimChar"/>
        </w:rPr>
        <w:t>SignalFrame</w:t>
      </w:r>
      <w:r>
        <w:rPr/>
        <w:t xml:space="preserve">-Objekte überführt; symbolische Eingaben werden ausschließlich über validierte </w:t>
      </w:r>
      <w:r>
        <w:rPr>
          <w:rStyle w:val="VerbatimChar"/>
        </w:rPr>
        <w:t>StimulusPlan</w:t>
      </w:r>
      <w:r>
        <w:rPr/>
        <w:t xml:space="preserve">-Objekte eingespeist. Reines Monitoring endet im Logging. Eine mögliche Rückkopplung erfordert dagegen die Kette </w:t>
      </w:r>
      <w:r>
        <w:rPr>
          <w:rStyle w:val="VerbatimChar"/>
        </w:rPr>
        <w:t>SignalFrame → LLM → FeedbackProposal → PolicyGate → StimulusPlan → SNN</w:t>
      </w:r>
      <w:r>
        <w:rPr/>
        <w:t xml:space="preserve"> und ist damit als Intervention identifizierbar.</w:t>
      </w:r>
    </w:p>
    <w:p>
      <w:pPr>
        <w:pStyle w:val="BodyText"/>
        <w:rPr/>
      </w:pPr>
      <w:r>
        <w:rPr/>
        <w:t xml:space="preserve">Methodisch behandelt Brain-5D Implementierung, Funktion und kognitive Interpretation als verschiedene Evidenzebenen. E0 bezeichnet Hypothesen oder Spezifikationen, E1 einen überprüften Implementierungsnachweis, E2 einen kontrollierten experimentellen Funktionsnachweis und E3 einen robusten systemischen Nachweis über mehrere Seeds, Bedingungen und Ablationen. Ergänzend kennzeichnen die Tags </w:t>
      </w:r>
      <w:r>
        <w:rPr>
          <w:rStyle w:val="VerbatimChar"/>
        </w:rPr>
        <w:t>[DEF]</w:t>
      </w:r>
      <w:r>
        <w:rPr/>
        <w:t xml:space="preserve">, </w:t>
      </w:r>
      <w:r>
        <w:rPr>
          <w:rStyle w:val="VerbatimChar"/>
        </w:rPr>
        <w:t>[MODEL]</w:t>
      </w:r>
      <w:r>
        <w:rPr/>
        <w:t xml:space="preserve">, </w:t>
      </w:r>
      <w:r>
        <w:rPr>
          <w:rStyle w:val="VerbatimChar"/>
        </w:rPr>
        <w:t>[HYP]</w:t>
      </w:r>
      <w:r>
        <w:rPr/>
        <w:t xml:space="preserve">, </w:t>
      </w:r>
      <w:r>
        <w:rPr>
          <w:rStyle w:val="VerbatimChar"/>
        </w:rPr>
        <w:t>[HEUR]</w:t>
      </w:r>
      <w:r>
        <w:rPr/>
        <w:t xml:space="preserve"> und </w:t>
      </w:r>
      <w:r>
        <w:rPr>
          <w:rStyle w:val="VerbatimChar"/>
        </w:rPr>
        <w:t>[EMP]</w:t>
      </w:r>
      <w:r>
        <w:rPr/>
        <w:t>, ob eine mathematische Aussage eine Definition, Modellannahme, Hypothese, Heuristik oder empirisch geschätzte Relation darstellt.</w:t>
      </w:r>
    </w:p>
    <w:p>
      <w:pPr>
        <w:pStyle w:val="BodyText"/>
        <w:rPr/>
      </w:pPr>
      <w:r>
        <w:rPr/>
        <w:t>Das Dokument entwickelt daraus ein falsifizierbares Forschungsprogramm. Zentrale Fragen betreffen den kausalen Beitrag der 5D-Geometrie, die Stabilität plastischer Spike-Netzwerke, das Entstehen abrufbarer und generalisierbarer Repräsentationen, Continual Learning, geschlossene Wahrnehmungs-Handlungs-Schleifen, die Abgrenzung von Lernen gegenüber Retrieval sowie die Nachweisbarkeit struktureller, dynamischer und funktionaler Emergenz. Ein Experiment- und Evidenzregister verbindet jeden Claim mit Protokoll, Codeversion, Konfiguration, Seeds, Artefakten, statistischer Auswertung und Evidenzentscheidung. Brain-5D wird damit nicht als bereits realisierte allgemeine Intelligenz, sondern als langfristige, revisionsfähige Forschungsplattform positioniert.</w:t>
      </w:r>
    </w:p>
    <w:p>
      <w:pPr>
        <w:pStyle w:val="BodyText"/>
        <w:rPr/>
      </w:pPr>
      <w:r>
        <w:rPr>
          <w:b/>
          <w:bCs/>
        </w:rPr>
        <w:t>Schlüsselwörter:</w:t>
      </w:r>
      <w:r>
        <w:rPr/>
        <w:t xml:space="preserve"> Spiking Neural Networks; hybride dynamische Systeme; strukturelle Plastizität; Homöostase; Continual Learning; Embodied Intelligence; Netzwerkgeometrie; Informationstheorie; Kausalanalyse; Digital State Twin; Provenienz; Neuro-Symbolic AI.</w:t>
      </w:r>
      <w:bookmarkEnd w:id="8"/>
      <w:r>
        <w:br w:type="page"/>
      </w:r>
    </w:p>
    <w:p>
      <w:pPr>
        <w:pStyle w:val="Heading1"/>
        <w:keepNext w:val="true"/>
        <w:widowControl/>
        <w:rPr/>
      </w:pPr>
      <w:bookmarkStart w:id="9" w:name="__RefHeading___Toc10089_954062153"/>
      <w:bookmarkStart w:id="10" w:name="abstract"/>
      <w:bookmarkEnd w:id="9"/>
      <w:r>
        <w:rPr/>
        <w:t>Abstract</w:t>
      </w:r>
    </w:p>
    <w:p>
      <w:pPr>
        <w:pStyle w:val="FirstParagraph"/>
        <w:rPr/>
      </w:pPr>
      <w:r>
        <w:rPr/>
        <w:t>Brain-5D is an experimental research framework for investigating self-organizing, temporally extended, and embodied cognitive systems. Its scientific core is a recurrent spiking neural network whose materialized neurons and synapses are embedded in a logically five-dimensional address and relation space. The five dimensions are not asserted to be biologically literal coordinates. They define a falsifiable architectural hypothesis: three coordinates may encode spatial or topological locality, while two additional coordinates may encode functional, modal, developmental, or associative proximity. Whether this address space gives rise to a task-relevant functional geometry is to be tested through dimensional, metric, and topological ablations.</w:t>
      </w:r>
    </w:p>
    <w:p>
      <w:pPr>
        <w:pStyle w:val="BodyText"/>
        <w:rPr/>
      </w:pPr>
      <w:r>
        <w:rPr/>
        <w:t xml:space="preserve">The framework combines spike dynamics, local and modulatory plasticity, homeostatic regulation, structural reorganization, persistent state, multimodal sensor–actuator coupling, and optional symbolic interfaces. A large language model is treated as an exchangeable external </w:t>
      </w:r>
      <w:r>
        <w:rPr>
          <w:b/>
          <w:bCs/>
        </w:rPr>
        <w:t>Language Organ</w:t>
      </w:r>
      <w:r>
        <w:rPr/>
        <w:t xml:space="preserve">, not as the cognitive owner of the system. It has no direct write access to synaptic weights, network topology, or runtime control. Measurement and interpretation are separated by versioned contracts: raw neural events are deterministically transformed into </w:t>
      </w:r>
      <w:r>
        <w:rPr>
          <w:rStyle w:val="VerbatimChar"/>
        </w:rPr>
        <w:t>SignalFrame</w:t>
      </w:r>
      <w:r>
        <w:rPr/>
        <w:t xml:space="preserve"> objects, while symbolic inputs enter the network only through validated </w:t>
      </w:r>
      <w:r>
        <w:rPr>
          <w:rStyle w:val="VerbatimChar"/>
        </w:rPr>
        <w:t>StimulusPlan</w:t>
      </w:r>
      <w:r>
        <w:rPr/>
        <w:t xml:space="preserve"> objects. Pure monitoring terminates in logging. Any feedback intervention must pass through </w:t>
      </w:r>
      <w:r>
        <w:rPr>
          <w:rStyle w:val="VerbatimChar"/>
        </w:rPr>
        <w:t>SignalFrame → LLM → FeedbackProposal → PolicyGate → StimulusPlan → SNN</w:t>
      </w:r>
      <w:r>
        <w:rPr/>
        <w:t xml:space="preserve"> and is therefore causally identifiable.</w:t>
      </w:r>
    </w:p>
    <w:p>
      <w:pPr>
        <w:pStyle w:val="BodyText"/>
        <w:rPr/>
      </w:pPr>
      <w:bookmarkStart w:id="11" w:name="abstract"/>
      <w:r>
        <w:rPr/>
        <w:t>Brain-5D distinguishes implementation, function, and cognitive interpretation through explicit evidence levels. E0 denotes a hypothesis or specification, E1 a verified implementation, E2 a controlled experimental effect, and E3 a robust system-level effect across seeds, conditions, and ablations. Mathematical statements are independently tagged as definitions, model assumptions, hypotheses, heuristics, or empirically estimated relations. The resulting program addresses the causal role of five-dimensional geometry, stability of plastic spiking systems, formation of retrievable and generalizable internal states, continual learning, embodied closed-loop interaction, separation of learning from retrieval, and measurable structural, dynamical, and functional emergence. A claim–experiment–evidence registry links every scientific statement to protocols, code versions, configurations, seeds, artifacts, statistical analyses, and evidence decisions. Brain-5D is therefore positioned not as an already realized general intelligence, but as a long-term and revision-capable experimental platform.</w:t>
      </w:r>
      <w:bookmarkEnd w:id="11"/>
      <w:r>
        <w:br w:type="page"/>
      </w:r>
    </w:p>
    <w:p>
      <w:pPr>
        <w:pStyle w:val="Heading1"/>
        <w:keepNext w:val="true"/>
        <w:widowControl/>
        <w:rPr/>
      </w:pPr>
      <w:bookmarkStart w:id="12" w:name="__RefHeading___Toc10091_954062153"/>
      <w:bookmarkStart w:id="13" w:name="leseanleitung-und-statusnotation"/>
      <w:bookmarkEnd w:id="12"/>
      <w:r>
        <w:rPr/>
        <w:t>Leseanleitung und Statusnotation</w:t>
      </w:r>
    </w:p>
    <w:p>
      <w:pPr>
        <w:pStyle w:val="Heading2"/>
        <w:keepNext w:val="true"/>
        <w:widowControl/>
        <w:rPr/>
      </w:pPr>
      <w:bookmarkStart w:id="14" w:name="__RefHeading___Toc10093_954062153"/>
      <w:bookmarkStart w:id="15" w:name="evidenzstufen-e0e3"/>
      <w:bookmarkEnd w:id="14"/>
      <w:r>
        <w:rPr/>
        <w:t>Evidenzstufen E0–E3</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2483"/>
        <w:gridCol w:w="2484"/>
        <w:gridCol w:w="2484"/>
        <w:gridCol w:w="2484"/>
      </w:tblGrid>
      <w:tr>
        <w:trPr>
          <w:tblHeader w:val="true"/>
        </w:trPr>
        <w:tc>
          <w:tcPr>
            <w:tcW w:w="2483"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Status</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Bezeichnung</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Mindestanforderung</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Unzulässige Verkürzung</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E0</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Hypothese / Spezifikation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theoretisch formuliert, operationalisierbar und prinzipiell falsifizierbar</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t>
            </w:r>
            <w:r>
              <w:rPr>
                <w:rFonts w:eastAsia="Liberation Sans" w:cs="Liberation Sans"/>
                <w:b w:val="false"/>
                <w:i w:val="false"/>
                <w:color w:val="202020"/>
                <w:kern w:val="0"/>
                <w:sz w:val="16"/>
                <w:szCs w:val="24"/>
                <w:lang w:val="de-DE" w:eastAsia="en-US" w:bidi="ar-SA"/>
              </w:rPr>
              <w:t>ist vorhanden“ oder „funktioniert“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E1</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Implementierungsnachweis</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Codepfad, Schema oder Komponente durch Tests, Commit und reproduzierbaren technischen Lauf belegt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t>
            </w:r>
            <w:r>
              <w:rPr>
                <w:rFonts w:eastAsia="Liberation Sans" w:cs="Liberation Sans"/>
                <w:b w:val="false"/>
                <w:i w:val="false"/>
                <w:color w:val="202020"/>
                <w:kern w:val="0"/>
                <w:sz w:val="16"/>
                <w:szCs w:val="24"/>
                <w:lang w:val="de-DE" w:eastAsia="en-US" w:bidi="ar-SA"/>
              </w:rPr>
              <w:t>hat kognitive Funktion“</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E2</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kontrollierter Funktionsnachweis</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vorab definierter Effekt unter Kontrollen, mehreren unabhängigen Seeds und statistischer Auswertung reproduziert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t>
            </w:r>
            <w:r>
              <w:rPr>
                <w:rFonts w:eastAsia="Liberation Sans" w:cs="Liberation Sans"/>
                <w:b w:val="false"/>
                <w:i w:val="false"/>
                <w:color w:val="202020"/>
                <w:kern w:val="0"/>
                <w:sz w:val="16"/>
                <w:szCs w:val="24"/>
                <w:lang w:val="de-DE" w:eastAsia="en-US" w:bidi="ar-SA"/>
              </w:rPr>
              <w:t>generalisiert systemisch“</w:t>
            </w:r>
          </w:p>
        </w:tc>
      </w:tr>
      <w:tr>
        <w:trPr/>
        <w:tc>
          <w:tcPr>
            <w:tcW w:w="2483"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E3</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systemischer Funktionsnachweis</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Effekt bleibt in komplexerer Umgebung, über Aufgaben, Größen oder Störbedingungen erhalten und übersteht relevante Ablationen</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t>
            </w:r>
            <w:r>
              <w:rPr>
                <w:rFonts w:eastAsia="Liberation Sans" w:cs="Liberation Sans"/>
                <w:b w:val="false"/>
                <w:i w:val="false"/>
                <w:color w:val="202020"/>
                <w:kern w:val="0"/>
                <w:sz w:val="16"/>
                <w:szCs w:val="24"/>
                <w:lang w:val="de-DE" w:eastAsia="en-US" w:bidi="ar-SA"/>
              </w:rPr>
              <w:t>biologisch äquivalent“ oder „bewusst“</w:t>
            </w:r>
          </w:p>
        </w:tc>
      </w:tr>
    </w:tbl>
    <w:p>
      <w:pPr>
        <w:pStyle w:val="BodyText"/>
        <w:rPr/>
      </w:pPr>
      <w:r>
        <w:rPr/>
        <w:t>Die empfohlene Claim-Syntax lautet:</w:t>
      </w:r>
    </w:p>
    <w:p>
      <w:pPr>
        <w:pStyle w:val="SourceCode"/>
        <w:shd w:val="clear" w:fill="F5F7FA"/>
        <w:rPr/>
      </w:pPr>
      <w:r>
        <w:rPr>
          <w:rStyle w:val="VerbatimChar"/>
        </w:rPr>
        <w:t>[E2 | VALIDATED | CLAIM-MEM-004 | EXP-2027-018 | commit=abc1234]</w:t>
      </w:r>
      <w:r>
        <w:rPr/>
        <w:br/>
      </w:r>
      <w:r>
        <w:rPr>
          <w:rStyle w:val="VerbatimChar"/>
        </w:rPr>
        <w:t>Homeostatic scaling reduced the between-seed variance of population firing rate</w:t>
      </w:r>
      <w:r>
        <w:rPr/>
        <w:br/>
      </w:r>
      <w:r>
        <w:rPr>
          <w:rStyle w:val="VerbatimChar"/>
        </w:rPr>
        <w:t>in benchmark HOMEOSTASIS-01 relative to the preregistered control.</w:t>
      </w:r>
    </w:p>
    <w:p>
      <w:pPr>
        <w:pStyle w:val="FirstParagraph"/>
        <w:rPr/>
      </w:pPr>
      <w:bookmarkStart w:id="16" w:name="evidenzstufen-e0e3"/>
      <w:r>
        <w:rPr/>
        <w:t>Ohne verknüpften Nachweis verbleibt eine Aussage auf E0. Eine E1-Komponente kann fehlerfrei implementiert sein, ohne den postulierten wissenschaftlichen Zweck zu erfüllen. E2 setzt keine E3-Gültigkeit voraus. Eine spätere Replikationsabweichung kann eine Herabstufung oder Einschränkung des Geltungsbereichs erzwingen.</w:t>
      </w:r>
      <w:bookmarkEnd w:id="16"/>
    </w:p>
    <w:p>
      <w:pPr>
        <w:pStyle w:val="Heading2"/>
        <w:keepNext w:val="true"/>
        <w:widowControl/>
        <w:rPr/>
      </w:pPr>
      <w:bookmarkStart w:id="17" w:name="__RefHeading___Toc10095_954062153"/>
      <w:bookmarkStart w:id="18" w:name="mathematischer-status-von-gleichungen"/>
      <w:bookmarkEnd w:id="17"/>
      <w:r>
        <w:rPr/>
        <w:t>Mathematischer Status von Gleichungen</w:t>
      </w:r>
    </w:p>
    <w:p>
      <w:pPr>
        <w:pStyle w:val="FirstParagraph"/>
        <w:rPr/>
      </w:pPr>
      <w:r>
        <w:rPr/>
        <w:t>Die mathematische Kennzeichnung ist orthogonal zur Evidenzstufe:</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3312"/>
        <w:gridCol w:w="3312"/>
        <w:gridCol w:w="3312"/>
      </w:tblGrid>
      <w:tr>
        <w:trPr>
          <w:tblHeader w:val="true"/>
        </w:trPr>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Tag</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Bedeutung</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Beispiel</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[DEF]</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Definition; wahr kraft Festlegung</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Definition einer Distanz oder Metrik</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[MODEL]</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Modellgleichung oder angenommene Dynamik</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Izhikevich-Differentialgleichung</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[HYP]</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zu prüfende mathematische Beziehung</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5D erhöht bei gleichem Budget die Modularität</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[HEUR]</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technische Entscheidungs- oder Steuerheuristik</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Growth-Score für Neurogenese</w:t>
            </w:r>
          </w:p>
        </w:tc>
      </w:tr>
      <w:tr>
        <w:trPr/>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[EMP]</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aus Daten geschätzte Größe oder Relation</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empirischer Branching Ratio, Regressionskoeffizient</w:t>
            </w:r>
          </w:p>
        </w:tc>
      </w:tr>
    </w:tbl>
    <w:p>
      <w:pPr>
        <w:pStyle w:val="BodyText"/>
        <w:rPr/>
      </w:pPr>
      <w:bookmarkStart w:id="19" w:name="mathematischer-status-von-gleichungen"/>
      <w:r>
        <w:rPr/>
        <w:t>Eine formal elegante Gleichung ist damit nicht automatisch theoretisch hergeleitet oder empirisch bestätigt. Diese Trennung ist für Brain-5D zentral, weil zahlreiche Architekturgrößen zunächst als Arbeitsmodelle eingeführt werden.</w:t>
      </w:r>
      <w:bookmarkEnd w:id="19"/>
    </w:p>
    <w:p>
      <w:pPr>
        <w:pStyle w:val="Heading2"/>
        <w:keepNext w:val="true"/>
        <w:widowControl/>
        <w:rPr/>
      </w:pPr>
      <w:bookmarkStart w:id="20" w:name="__RefHeading___Toc10097_954062153"/>
      <w:bookmarkStart w:id="21" w:name="status-des-gegenwärtigen-frameworks"/>
      <w:bookmarkEnd w:id="20"/>
      <w:r>
        <w:rPr/>
        <w:t>Status des gegenwärtigen Frameworks</w:t>
      </w:r>
    </w:p>
    <w:p>
      <w:pPr>
        <w:pStyle w:val="FirstParagraph"/>
        <w:rPr/>
      </w:pPr>
      <w:r>
        <w:rPr/>
        <w:t xml:space="preserve">Das Dokument selbst ist überwiegend </w:t>
      </w:r>
      <w:r>
        <w:rPr>
          <w:b/>
          <w:bCs/>
        </w:rPr>
        <w:t>E0</w:t>
      </w:r>
      <w:r>
        <w:rPr/>
        <w:t>: Es spezifiziert Begriffe, Invarianten, Hypothesen und Versuchsdesigns. Implementierungsbehauptungen dürfen erst nach Aufnahme in das Experiment- und Evidenzregister als E1 gekennzeichnet werden. Beispielhafte E1–E3-Tags in diesem Papier erläutern die Methodik und stellen keine stillschweigenden Projektbefunde dar.</w:t>
      </w:r>
      <w:bookmarkEnd w:id="13"/>
      <w:bookmarkEnd w:id="21"/>
      <w:r>
        <w:br w:type="page"/>
      </w:r>
    </w:p>
    <w:p>
      <w:pPr>
        <w:pStyle w:val="Heading1"/>
        <w:keepNext w:val="true"/>
        <w:widowControl/>
        <w:rPr/>
      </w:pPr>
      <w:bookmarkStart w:id="22" w:name="__RefHeading___Toc10099_954062153"/>
      <w:bookmarkStart w:id="23" w:name="teil-i-wissenschaftliche-rahmung"/>
      <w:bookmarkEnd w:id="22"/>
      <w:r>
        <w:rPr/>
        <w:t>Teil I — Wissenschaftliche Rahmung</w:t>
      </w:r>
    </w:p>
    <w:p>
      <w:pPr>
        <w:pStyle w:val="Heading2"/>
        <w:keepNext w:val="true"/>
        <w:widowControl/>
        <w:rPr/>
      </w:pPr>
      <w:bookmarkStart w:id="24" w:name="__RefHeading___Toc10101_954062153"/>
      <w:bookmarkStart w:id="25" w:name="einleitung"/>
      <w:bookmarkEnd w:id="24"/>
      <w:r>
        <w:rPr/>
        <w:t>1. Einleitung</w:t>
      </w:r>
    </w:p>
    <w:p>
      <w:pPr>
        <w:pStyle w:val="Heading3"/>
        <w:keepNext w:val="true"/>
        <w:widowControl/>
        <w:rPr/>
      </w:pPr>
      <w:bookmarkStart w:id="26" w:name="problemstellung"/>
      <w:r>
        <w:rPr/>
        <w:t>1.1 Problemstellung</w:t>
      </w:r>
    </w:p>
    <w:p>
      <w:pPr>
        <w:pStyle w:val="FirstParagraph"/>
        <w:rPr/>
      </w:pPr>
      <w:r>
        <w:rPr/>
        <w:t>Moderne Large Language Models verarbeiten symbolische Sequenzen mit hoher Leistungsfähigkeit, doch ihre üblichen Trainings- und Betriebsformen unterscheiden sich in wesentlichen Punkten von biologischen Nervensystemen. Sie lernen überwiegend in groß angelegten Offline-Optimierungen, operieren auf diskretisierten Tokenfolgen, besitzen ohne zusätzliche Agentenarchitektur keine intrinsische Sensor-Aktor-Schleife und führen keine kontinuierliche lokale synaptische Anpassung im Sinne eines biologisch inspirierten Online-Substrats aus. Diese Unterschiede machen LLMs weder grundsätzlich ungeeignet noch kognitiv wertlos; sie begrenzen jedoch ihre Eignung als alleinige experimentelle Modelle für zeitkontinuierliche, lokale und strukturell wachsende neuronale Systeme (</w:t>
      </w:r>
      <w:hyperlink w:anchor="ref-Bender2021">
        <w:r>
          <w:rPr>
            <w:rStyle w:val="Hyperlink"/>
          </w:rPr>
          <w:t>Bender et al., 2021</w:t>
        </w:r>
      </w:hyperlink>
      <w:r>
        <w:rPr/>
        <w:t xml:space="preserve">; </w:t>
      </w:r>
      <w:hyperlink w:anchor="ref-Vaswani2017">
        <w:r>
          <w:rPr>
            <w:rStyle w:val="Hyperlink"/>
          </w:rPr>
          <w:t>Vaswani et al., 2017</w:t>
        </w:r>
      </w:hyperlink>
      <w:r>
        <w:rPr/>
        <w:t>).</w:t>
      </w:r>
    </w:p>
    <w:p>
      <w:pPr>
        <w:pStyle w:val="BodyText"/>
        <w:rPr/>
      </w:pPr>
      <w:r>
        <w:rPr/>
        <w:t>Spiking Neural Networks stellen demgegenüber explizite Zeit, Membranzustände und ereignisbasierte Kommunikation bereit. Sie reichen von vereinfachten Integrate-and-Fire-Modellen bis zu biologisch detaillierteren Simulationen und werden sowohl in Computational Neuroscience als auch im neuromorphen Computing eingesetzt (</w:t>
      </w:r>
      <w:hyperlink w:anchor="ref-Eshraghian2023">
        <w:r>
          <w:rPr>
            <w:rStyle w:val="Hyperlink"/>
          </w:rPr>
          <w:t>Eshraghian et al., 2023</w:t>
        </w:r>
      </w:hyperlink>
      <w:r>
        <w:rPr/>
        <w:t xml:space="preserve">; </w:t>
      </w:r>
      <w:hyperlink w:anchor="ref-Gerstner2014">
        <w:r>
          <w:rPr>
            <w:rStyle w:val="Hyperlink"/>
          </w:rPr>
          <w:t>Gerstner et al., 2014</w:t>
        </w:r>
      </w:hyperlink>
      <w:r>
        <w:rPr/>
        <w:t xml:space="preserve">; </w:t>
      </w:r>
      <w:hyperlink w:anchor="ref-Maass1997">
        <w:r>
          <w:rPr>
            <w:rStyle w:val="Hyperlink"/>
          </w:rPr>
          <w:t>Maass, 1997</w:t>
        </w:r>
      </w:hyperlink>
      <w:r>
        <w:rPr/>
        <w:t xml:space="preserve">; </w:t>
      </w:r>
      <w:hyperlink w:anchor="ref-Roy2019">
        <w:r>
          <w:rPr>
            <w:rStyle w:val="Hyperlink"/>
          </w:rPr>
          <w:t>Roy et al., 2019</w:t>
        </w:r>
      </w:hyperlink>
      <w:r>
        <w:rPr/>
        <w:t>). Aus dem Vorhandensein von Spikes, STDP oder inhibitorischen Neuronen folgt jedoch keine semantische Kompetenz. Ein SNN kann dynamisch reich, aber funktional unbrauchbar sein; es kann statistische Regelmäßigkeiten erzeugen, ohne eine Aufgabe zu lösen; und ein externer Decoder kann Bedeutung vortäuschen, die im Netzwerkzustand nicht hinreichend enthalten ist. Brain-5D nimmt diese methodische Spannung zum Ausgangspunkt.</w:t>
      </w:r>
      <w:bookmarkEnd w:id="26"/>
    </w:p>
    <w:p>
      <w:pPr>
        <w:pStyle w:val="Heading3"/>
        <w:keepNext w:val="true"/>
        <w:widowControl/>
        <w:rPr/>
      </w:pPr>
      <w:bookmarkStart w:id="27" w:name="zentrale-forschungsfrage"/>
      <w:r>
        <w:rPr/>
        <w:t>1.2 Zentrale Forschungsfrage</w:t>
      </w:r>
    </w:p>
    <w:p>
      <w:pPr>
        <w:pStyle w:val="BlockText"/>
        <w:rPr/>
      </w:pPr>
      <w:r>
        <w:rPr>
          <w:b/>
          <w:bCs/>
        </w:rPr>
        <w:t>Unter welchen Randbedingungen kann ein räumlich und funktional strukturiertes, kontinuierlich plastisches Spiking-Netzwerk durch sensorisch-aktorische Interaktion persistente, abrufbare und generalisierbare interne Zustände ausbilden, ohne dass deren semantischer Inhalt direkt durch ein externes Sprachmodell in synaptische Gewichte oder Netzwerkstruktur geschrieben wird?</w:t>
      </w:r>
    </w:p>
    <w:p>
      <w:pPr>
        <w:pStyle w:val="FirstParagraph"/>
        <w:rPr/>
      </w:pPr>
      <w:bookmarkStart w:id="28" w:name="zentrale-forschungsfrage"/>
      <w:r>
        <w:rPr/>
        <w:t>Die Frage verbindet vier Ebenen: die Dynamik einzelner Neuronen und Synapsen, die Topologie des wachsenden Graphen, die Interaktion mit einer Umwelt und die methodische Zuordnung beobachteter Leistungen zu ihren tatsächlichen Ursachen. Sie ist bewusst so formuliert, dass ein negatives Ergebnis wissenschaftlich informativ bleibt.</w:t>
      </w:r>
      <w:bookmarkEnd w:id="28"/>
    </w:p>
    <w:p>
      <w:pPr>
        <w:pStyle w:val="Heading3"/>
        <w:keepNext w:val="true"/>
        <w:widowControl/>
        <w:rPr/>
      </w:pPr>
      <w:bookmarkStart w:id="29" w:name="forschungsbeiträge-als-arbeitsprogramm"/>
      <w:r>
        <w:rPr/>
        <w:t>1.3 Forschungsbeiträge als Arbeitsprogramm</w:t>
      </w:r>
    </w:p>
    <w:p>
      <w:pPr>
        <w:pStyle w:val="FirstParagraph"/>
        <w:rPr/>
      </w:pPr>
      <w:r>
        <w:rPr>
          <w:b/>
          <w:bCs/>
        </w:rPr>
        <w:t>[E0 | FRAMEWORK-CLAIM]</w:t>
      </w:r>
      <w:r>
        <w:rPr/>
        <w:t xml:space="preserve"> Die mögliche Eigenständigkeit von Brain-5D liegt nicht in einer isoliert neuen Komponente. Izhikevich-Neuronen, STDP, Homöostase, strukturelle Plastizität, Reservoir Computing, Embodiment, Retrieval und LLMs besitzen umfangreiche Vorarbeiten (</w:t>
      </w:r>
      <w:hyperlink w:anchor="ref-Holtmaat2009">
        <w:r>
          <w:rPr>
            <w:rStyle w:val="Hyperlink"/>
          </w:rPr>
          <w:t>Holtmaat &amp; Svoboda, 2009</w:t>
        </w:r>
      </w:hyperlink>
      <w:r>
        <w:rPr/>
        <w:t xml:space="preserve">; </w:t>
      </w:r>
      <w:hyperlink w:anchor="ref-Izhikevich2003">
        <w:r>
          <w:rPr>
            <w:rStyle w:val="Hyperlink"/>
          </w:rPr>
          <w:t>Izhikevich, 2003</w:t>
        </w:r>
      </w:hyperlink>
      <w:r>
        <w:rPr/>
        <w:t xml:space="preserve">; </w:t>
      </w:r>
      <w:hyperlink w:anchor="ref-Lewis2020">
        <w:r>
          <w:rPr>
            <w:rStyle w:val="Hyperlink"/>
          </w:rPr>
          <w:t>Lewis et al., 2020</w:t>
        </w:r>
      </w:hyperlink>
      <w:r>
        <w:rPr/>
        <w:t xml:space="preserve">; </w:t>
      </w:r>
      <w:hyperlink w:anchor="ref-Maass2002LSM">
        <w:r>
          <w:rPr>
            <w:rStyle w:val="Hyperlink"/>
          </w:rPr>
          <w:t>Maass et al., 2002</w:t>
        </w:r>
      </w:hyperlink>
      <w:r>
        <w:rPr/>
        <w:t xml:space="preserve">; </w:t>
      </w:r>
      <w:hyperlink w:anchor="ref-Pfeifer2006">
        <w:r>
          <w:rPr>
            <w:rStyle w:val="Hyperlink"/>
          </w:rPr>
          <w:t>Pfeifer &amp; Bongard, 2006</w:t>
        </w:r>
      </w:hyperlink>
      <w:r>
        <w:rPr/>
        <w:t xml:space="preserve">; </w:t>
      </w:r>
      <w:hyperlink w:anchor="ref-Song2000">
        <w:r>
          <w:rPr>
            <w:rStyle w:val="Hyperlink"/>
          </w:rPr>
          <w:t>Song et al., 2000</w:t>
        </w:r>
      </w:hyperlink>
      <w:r>
        <w:rPr/>
        <w:t xml:space="preserve">; </w:t>
      </w:r>
      <w:hyperlink w:anchor="ref-Turrigiano2004">
        <w:r>
          <w:rPr>
            <w:rStyle w:val="Hyperlink"/>
          </w:rPr>
          <w:t>Turrigiano &amp; Nelson, 2004</w:t>
        </w:r>
      </w:hyperlink>
      <w:r>
        <w:rPr/>
        <w:t>). Der angestrebte Beitrag liegt in einer spezifischen Kombination:</w:t>
      </w:r>
    </w:p>
    <w:p>
      <w:pPr>
        <w:pStyle w:val="Compact"/>
        <w:numPr>
          <w:ilvl w:val="0"/>
          <w:numId w:val="69"/>
        </w:numPr>
        <w:rPr/>
      </w:pPr>
      <w:r>
        <w:rPr/>
        <w:t>eine explizit prüfbare fünfdimensionale Adress- und Geometriehypothese;</w:t>
      </w:r>
    </w:p>
    <w:p>
      <w:pPr>
        <w:pStyle w:val="Compact"/>
        <w:numPr>
          <w:ilvl w:val="0"/>
          <w:numId w:val="70"/>
        </w:numPr>
        <w:rPr/>
      </w:pPr>
      <w:r>
        <w:rPr/>
        <w:t>eine dynamische, sparse materialisierte Graphstruktur mit funktionaler und struktureller Plastizität;</w:t>
      </w:r>
    </w:p>
    <w:p>
      <w:pPr>
        <w:pStyle w:val="Compact"/>
        <w:numPr>
          <w:ilvl w:val="0"/>
          <w:numId w:val="71"/>
        </w:numPr>
        <w:rPr/>
      </w:pPr>
      <w:r>
        <w:rPr/>
        <w:t>harte Kausalitätsgrenzen zwischen neuronalem Kern, Language Organ, Retrieval, Wissensaufnahme und realen Aktoren;</w:t>
      </w:r>
    </w:p>
    <w:p>
      <w:pPr>
        <w:pStyle w:val="Compact"/>
        <w:numPr>
          <w:ilvl w:val="0"/>
          <w:numId w:val="72"/>
        </w:numPr>
        <w:rPr/>
      </w:pPr>
      <w:r>
        <w:rPr/>
        <w:t>die formale Trennung von Messung, Interpretation, Intervention und Faktstatus;</w:t>
      </w:r>
    </w:p>
    <w:p>
      <w:pPr>
        <w:pStyle w:val="Compact"/>
        <w:numPr>
          <w:ilvl w:val="0"/>
          <w:numId w:val="73"/>
        </w:numPr>
        <w:rPr/>
      </w:pPr>
      <w:r>
        <w:rPr/>
        <w:t>ein Storage- und Digital-State-Twin-Konzept, das vollständige Rekonstruktion und Provenienz wissenschaftlicher Läufe anstrebt;</w:t>
      </w:r>
    </w:p>
    <w:p>
      <w:pPr>
        <w:pStyle w:val="Compact"/>
        <w:numPr>
          <w:ilvl w:val="0"/>
          <w:numId w:val="74"/>
        </w:numPr>
        <w:rPr/>
      </w:pPr>
      <w:r>
        <w:rPr/>
        <w:t>ein Claim–Experiment–Evidence-Register, das Theorie, Implementierung, Daten und Befunde versioniert verbindet;</w:t>
      </w:r>
    </w:p>
    <w:p>
      <w:pPr>
        <w:pStyle w:val="Compact"/>
        <w:numPr>
          <w:ilvl w:val="0"/>
          <w:numId w:val="75"/>
        </w:numPr>
        <w:rPr/>
      </w:pPr>
      <w:bookmarkStart w:id="30" w:name="forschungsbeiträge-als-arbeitsprogramm"/>
      <w:r>
        <w:rPr/>
        <w:t>ein Falsifikationsprogramm, in dem 5D, Plastizitätsmechanismen, LLM-Anteile und emergente Strukturen durch kontrollierte Ablationen geprüft werden.</w:t>
      </w:r>
      <w:bookmarkEnd w:id="30"/>
    </w:p>
    <w:p>
      <w:pPr>
        <w:pStyle w:val="Heading3"/>
        <w:keepNext w:val="true"/>
        <w:widowControl/>
        <w:rPr/>
      </w:pPr>
      <w:r>
        <w:rPr/>
        <w:t>1.4 Teilforschungsfragen</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3312"/>
        <w:gridCol w:w="3312"/>
        <w:gridCol w:w="3312"/>
      </w:tblGrid>
      <w:tr>
        <w:trPr>
          <w:tblHeader w:val="true"/>
        </w:trPr>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Kennung</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Forschungsfrage</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Primärer Nachweistyp</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RQ1 — Geometrie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Verbessert eine fünfdimensionale beziehungsweise gelernte Metrik bei kontrollierten Ressourcen Modularität, Retention oder Generalisierung gegenüber 2D–6D und nichtgeometrischen Kontrollen?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Dimensions- und Metrikablation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RQ2 — Dynamik</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In welchen Parameterregimen bleibt das System aktiv, plastisch und begrenzt, ohne in Stille, Sättigung oder globale Synchronisation zu kollabieren?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Stabilitäts- und Phasenanalyse</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RQ3 — Plastizität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Welchen kausalen Beitrag leisten STDP, Three-Factor-Regeln, inhibitorische Plastizität, Homöostase, Metaplastizität und strukturelle Anpassung?</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Mechanismenablation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RQ4 — Repräsentation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Enthalten interne Zustände stimulus-, handlungs- oder kontextbezogene Information, die über Beispiele und Zeit generalisiert?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Dekodierung, RSA, Informationstheorie</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RQ5 — Gedächtnis</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Bleiben lerninduzierte Zustandsänderungen ohne Retrieval oder erneute Informationsbereitstellung cue-abhängig abrufbar?</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isolierter Recall</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RQ6 — Continual Learning</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Wie verändern Stabilitäts- und Konsolidierungsmechanismen Interferenz, Forgetting und Vorwärts-/Rückwärtstransfer?</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Aufgabenfolgen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RQ7 — Embodiment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Erzeugt eine geschlossene Wahrnehmungs-Handlungs-Schleife andere interne Strukturen als eine offene Stimuluspipeline?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Open-/Closed-Loop-Vergleich</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RQ8 — Language Organ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Welche beobachtbare Leistung stammt aus SNN, Encoder, Decoder, Retrieval, PolicyGate oder LLM?</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Komponentenisolation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RQ9 — Emergenz</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Entstehen nicht direkt programmierte Strukturen oder Dynamiken, und besitzen sie kausale funktionale Relevanz?</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Intervention und matched lesion</w:t>
            </w:r>
          </w:p>
        </w:tc>
      </w:tr>
      <w:tr>
        <w:trPr/>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RQ10 — Skalierung</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Welche Eigenschaften bleiben bei wachsender Netzwerkgröße, höherer Synapsendichte und verteilter Speicherung erhalten?</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Scaling Laws und Profiling</w:t>
            </w:r>
            <w:bookmarkStart w:id="31" w:name="teilforschungsfragen"/>
            <w:bookmarkEnd w:id="31"/>
          </w:p>
        </w:tc>
      </w:tr>
    </w:tbl>
    <w:p>
      <w:pPr>
        <w:pStyle w:val="Heading3"/>
        <w:keepNext w:val="true"/>
        <w:widowControl/>
        <w:rPr/>
      </w:pPr>
      <w:r>
        <w:rPr/>
        <w:t>1.5 Kernhypothese</w:t>
      </w:r>
    </w:p>
    <w:p>
      <w:pPr>
        <w:pStyle w:val="FirstParagraph"/>
        <w:rPr/>
      </w:pPr>
      <w:r>
        <w:rPr>
          <w:b/>
          <w:bCs/>
        </w:rPr>
        <w:t>[E0 | HYPOTHESIS | CLAIM-CORE-001]</w:t>
      </w:r>
      <w:r>
        <w:rPr/>
        <w:t xml:space="preserve"> Ein rekurrentes Spiking-Netzwerk mit räumlich-funktionaler Topologie, lokaler zeitabhängiger Plastizität, homeostatischer Regulation, struktureller Anpassung, Ressourcenbegrenzung und geschlossener sensorisch-aktorischer Rückkopplung kann unter geeigneten Randbedingungen persistente und funktional unterscheidbare interne Zustände ausbilden, ohne dass diese Zustände explizit durch ein externes symbolisches Modell gesetzt werden.</w:t>
      </w:r>
    </w:p>
    <w:p>
      <w:pPr>
        <w:pStyle w:val="BodyText"/>
        <w:rPr/>
      </w:pPr>
      <w:bookmarkStart w:id="32" w:name="einleitung"/>
      <w:r>
        <w:rPr/>
        <w:t>Aus dieser Hypothese folgt weder Bewusstsein noch menschliches Verständnis, allgemeine Intelligenz oder biologische Äquivalenz. Sie behauptet zunächst nur die Möglichkeit funktional wirksamer, intern getragener Zustandsorganisation.</w:t>
      </w:r>
      <w:bookmarkEnd w:id="32"/>
    </w:p>
    <w:p>
      <w:pPr>
        <w:pStyle w:val="Heading2"/>
        <w:keepNext w:val="true"/>
        <w:widowControl/>
        <w:rPr/>
      </w:pPr>
      <w:bookmarkStart w:id="33" w:name="__RefHeading___Toc10103_954062153"/>
      <w:bookmarkStart w:id="34" w:name="scope-und-non-scope"/>
      <w:bookmarkEnd w:id="33"/>
      <w:r>
        <w:rPr/>
        <w:t>2. Scope und Non-Scope</w:t>
      </w:r>
    </w:p>
    <w:p>
      <w:pPr>
        <w:pStyle w:val="Heading3"/>
        <w:keepNext w:val="true"/>
        <w:widowControl/>
        <w:rPr/>
      </w:pPr>
      <w:bookmarkStart w:id="35" w:name="wissenschaftlicher-scope"/>
      <w:r>
        <w:rPr/>
        <w:t>2.1 Wissenschaftlicher Scope</w:t>
      </w:r>
    </w:p>
    <w:p>
      <w:pPr>
        <w:pStyle w:val="FirstParagraph"/>
        <w:rPr/>
      </w:pPr>
      <w:r>
        <w:rPr/>
        <w:t>Brain-5D untersucht auf kontrollierbare Weise:</w:t>
      </w:r>
    </w:p>
    <w:p>
      <w:pPr>
        <w:pStyle w:val="Compact"/>
        <w:numPr>
          <w:ilvl w:val="0"/>
          <w:numId w:val="3"/>
        </w:numPr>
        <w:rPr/>
      </w:pPr>
      <w:r>
        <w:rPr/>
        <w:t>ereignisbasierte neuronale Dynamik auf mehreren Zeitskalen;</w:t>
      </w:r>
    </w:p>
    <w:p>
      <w:pPr>
        <w:pStyle w:val="Compact"/>
        <w:numPr>
          <w:ilvl w:val="0"/>
          <w:numId w:val="3"/>
        </w:numPr>
        <w:rPr/>
      </w:pPr>
      <w:r>
        <w:rPr/>
        <w:t>lokale, modulatorische, inhibitorische und homeostatische Plastizität;</w:t>
      </w:r>
    </w:p>
    <w:p>
      <w:pPr>
        <w:pStyle w:val="Compact"/>
        <w:numPr>
          <w:ilvl w:val="0"/>
          <w:numId w:val="3"/>
        </w:numPr>
        <w:rPr/>
      </w:pPr>
      <w:r>
        <w:rPr/>
        <w:t>dynamische Graphen mit Synapsenwachstum, Pruning und optionaler Neurogenese;</w:t>
      </w:r>
    </w:p>
    <w:p>
      <w:pPr>
        <w:pStyle w:val="Compact"/>
        <w:numPr>
          <w:ilvl w:val="0"/>
          <w:numId w:val="3"/>
        </w:numPr>
        <w:rPr/>
      </w:pPr>
      <w:r>
        <w:rPr/>
        <w:t>räumliche und funktionale Lokalität in einem fünfdimensionalen Adressraum;</w:t>
      </w:r>
    </w:p>
    <w:p>
      <w:pPr>
        <w:pStyle w:val="Compact"/>
        <w:numPr>
          <w:ilvl w:val="0"/>
          <w:numId w:val="3"/>
        </w:numPr>
        <w:rPr/>
      </w:pPr>
      <w:r>
        <w:rPr/>
        <w:t>Entstehung, Persistenz und Reaktivierung interner Zustände;</w:t>
      </w:r>
    </w:p>
    <w:p>
      <w:pPr>
        <w:pStyle w:val="Compact"/>
        <w:numPr>
          <w:ilvl w:val="0"/>
          <w:numId w:val="3"/>
        </w:numPr>
        <w:rPr/>
      </w:pPr>
      <w:r>
        <w:rPr/>
        <w:t>Continual Learning und den Stabilitäts-Plastizitäts-Konflikt;</w:t>
      </w:r>
    </w:p>
    <w:p>
      <w:pPr>
        <w:pStyle w:val="Compact"/>
        <w:numPr>
          <w:ilvl w:val="0"/>
          <w:numId w:val="3"/>
        </w:numPr>
        <w:rPr/>
      </w:pPr>
      <w:r>
        <w:rPr/>
        <w:t>multimodale und verkörperte Wahrnehmungs-Handlungs-Schleifen;</w:t>
      </w:r>
    </w:p>
    <w:p>
      <w:pPr>
        <w:pStyle w:val="Compact"/>
        <w:numPr>
          <w:ilvl w:val="0"/>
          <w:numId w:val="3"/>
        </w:numPr>
        <w:rPr/>
      </w:pPr>
      <w:r>
        <w:rPr/>
        <w:t>kontrollierte Kopplung an symbolische Modelle, Wissensquellen und natürliche Sprache;</w:t>
      </w:r>
    </w:p>
    <w:p>
      <w:pPr>
        <w:pStyle w:val="Compact"/>
        <w:numPr>
          <w:ilvl w:val="0"/>
          <w:numId w:val="3"/>
        </w:numPr>
        <w:rPr/>
      </w:pPr>
      <w:bookmarkStart w:id="36" w:name="wissenschaftlicher-scope"/>
      <w:r>
        <w:rPr/>
        <w:t>skalierbare Persistenz, Rekonstruktion, Provenienz und evidenzgebundene Auswertung.</w:t>
      </w:r>
      <w:bookmarkEnd w:id="36"/>
    </w:p>
    <w:p>
      <w:pPr>
        <w:pStyle w:val="Heading3"/>
        <w:keepNext w:val="true"/>
        <w:widowControl/>
        <w:rPr/>
      </w:pPr>
      <w:bookmarkStart w:id="37" w:name="expliziter-non-scope"/>
      <w:r>
        <w:rPr/>
        <w:t>2.2 Expliziter Non-Scope</w:t>
      </w:r>
    </w:p>
    <w:p>
      <w:pPr>
        <w:pStyle w:val="FirstParagraph"/>
        <w:rPr/>
      </w:pPr>
      <w:r>
        <w:rPr/>
        <w:t xml:space="preserve">Brain-5D beansprucht in der vorliegenden Phase </w:t>
      </w:r>
      <w:r>
        <w:rPr>
          <w:b/>
          <w:bCs/>
        </w:rPr>
        <w:t>nicht</w:t>
      </w:r>
      <w:r>
        <w:rPr/>
        <w:t>:</w:t>
      </w:r>
    </w:p>
    <w:p>
      <w:pPr>
        <w:pStyle w:val="Compact"/>
        <w:numPr>
          <w:ilvl w:val="0"/>
          <w:numId w:val="76"/>
        </w:numPr>
        <w:rPr/>
      </w:pPr>
      <w:r>
        <w:rPr/>
        <w:t>eine mikroskopisch vollständige Simulation biologischer Neuronen, Glia, Genexpression, Stoffwechsel oder Neurochemie;</w:t>
      </w:r>
    </w:p>
    <w:p>
      <w:pPr>
        <w:pStyle w:val="Compact"/>
        <w:numPr>
          <w:ilvl w:val="0"/>
          <w:numId w:val="77"/>
        </w:numPr>
        <w:rPr/>
      </w:pPr>
      <w:r>
        <w:rPr/>
        <w:t>die anatomische Rekonstruktion eines menschlichen oder tierischen Gehirns;</w:t>
      </w:r>
    </w:p>
    <w:p>
      <w:pPr>
        <w:pStyle w:val="Compact"/>
        <w:numPr>
          <w:ilvl w:val="0"/>
          <w:numId w:val="78"/>
        </w:numPr>
        <w:rPr/>
      </w:pPr>
      <w:r>
        <w:rPr/>
        <w:t>den Nachweis von Bewusstsein, Empfindungsfähigkeit, Intentionalität oder subjektivem Erleben;</w:t>
      </w:r>
    </w:p>
    <w:p>
      <w:pPr>
        <w:pStyle w:val="Compact"/>
        <w:numPr>
          <w:ilvl w:val="0"/>
          <w:numId w:val="79"/>
        </w:numPr>
        <w:rPr/>
      </w:pPr>
      <w:r>
        <w:rPr/>
        <w:t>eine bereits bestehende allgemeine künstliche Intelligenz;</w:t>
      </w:r>
    </w:p>
    <w:p>
      <w:pPr>
        <w:pStyle w:val="Compact"/>
        <w:numPr>
          <w:ilvl w:val="0"/>
          <w:numId w:val="80"/>
        </w:numPr>
        <w:rPr/>
      </w:pPr>
      <w:r>
        <w:rPr/>
        <w:t>eine semantische Garantie allein aufgrund dekodierbarer Aktivitätsmuster;</w:t>
      </w:r>
    </w:p>
    <w:p>
      <w:pPr>
        <w:pStyle w:val="Compact"/>
        <w:numPr>
          <w:ilvl w:val="0"/>
          <w:numId w:val="81"/>
        </w:numPr>
        <w:rPr/>
      </w:pPr>
      <w:r>
        <w:rPr/>
        <w:t>die Überlegenheit von fünf Dimensionen gegenüber einfacheren Topologien;</w:t>
      </w:r>
    </w:p>
    <w:p>
      <w:pPr>
        <w:pStyle w:val="Compact"/>
        <w:numPr>
          <w:ilvl w:val="0"/>
          <w:numId w:val="82"/>
        </w:numPr>
        <w:rPr/>
      </w:pPr>
      <w:r>
        <w:rPr/>
        <w:t>die biologische Plausibilität jeder technischen Heuristik;</w:t>
      </w:r>
    </w:p>
    <w:p>
      <w:pPr>
        <w:pStyle w:val="Compact"/>
        <w:numPr>
          <w:ilvl w:val="0"/>
          <w:numId w:val="83"/>
        </w:numPr>
        <w:rPr/>
      </w:pPr>
      <w:r>
        <w:rPr/>
        <w:t>die Gleichsetzung eines gespeicherten Netzwerkzustands mit Gedächtnis;</w:t>
      </w:r>
    </w:p>
    <w:p>
      <w:pPr>
        <w:pStyle w:val="Compact"/>
        <w:numPr>
          <w:ilvl w:val="0"/>
          <w:numId w:val="84"/>
        </w:numPr>
        <w:rPr/>
      </w:pPr>
      <w:r>
        <w:rPr/>
        <w:t>die Gleichsetzung eines prädiktiven Moduls mit einem vollständigen Weltmodell;</w:t>
      </w:r>
    </w:p>
    <w:p>
      <w:pPr>
        <w:pStyle w:val="Compact"/>
        <w:numPr>
          <w:ilvl w:val="0"/>
          <w:numId w:val="85"/>
        </w:numPr>
        <w:rPr/>
      </w:pPr>
      <w:r>
        <w:rPr/>
        <w:t>die autonome Berechtigung, reale Aktoren oder sicherheitskritische Systeme ohne externe Policy- und Safety-Gates zu steuern.</w:t>
      </w:r>
    </w:p>
    <w:p>
      <w:pPr>
        <w:pStyle w:val="FirstParagraph"/>
        <w:rPr/>
      </w:pPr>
      <w:bookmarkStart w:id="38" w:name="expliziter-non-scope"/>
      <w:r>
        <w:rPr/>
        <w:t>Die Non-Scope-Liste ist kein Defizitkatalog, sondern schützt die Forschungsfrage vor Kategorienfehlern. Insbesondere bleibt zwischen biologischer Inspiration, funktionaler Modellierung und biologischer Reproduktion zu unterscheiden.</w:t>
      </w:r>
      <w:bookmarkEnd w:id="38"/>
    </w:p>
    <w:p>
      <w:pPr>
        <w:pStyle w:val="Heading3"/>
        <w:keepNext w:val="true"/>
        <w:widowControl/>
        <w:rPr/>
      </w:pPr>
      <w:bookmarkStart w:id="39" w:name="einheit-der-analyse"/>
      <w:r>
        <w:rPr/>
        <w:t>2.3 Einheit der Analyse</w:t>
      </w:r>
    </w:p>
    <w:p>
      <w:pPr>
        <w:pStyle w:val="FirstParagraph"/>
        <w:rPr/>
      </w:pPr>
      <w:bookmarkStart w:id="40" w:name="scope-und-non-scope"/>
      <w:bookmarkStart w:id="41" w:name="einheit-der-analyse"/>
      <w:r>
        <w:rPr/>
        <w:t>Je nach Fragestellung kann die Analyseeinheit ein Neuron, eine Synapse, eine Population, eine Region, eine Episode, ein vollständiger Netzwerklauf oder eine Umweltinteraktion sein. Statistische Unabhängigkeit darf dabei nicht aus der hohen Anzahl von Ticks oder Spikes abgeleitet werden. Für viele konfirmatorische Vergleiche ist der unabhängig initialisierte Netzwerklauf beziehungsweise Seed die experimentelle Einheit; Zeitfenster desselben Laufs sind wiederholte Messungen.</w:t>
      </w:r>
      <w:bookmarkEnd w:id="40"/>
      <w:bookmarkEnd w:id="41"/>
    </w:p>
    <w:p>
      <w:pPr>
        <w:pStyle w:val="Heading2"/>
        <w:keepNext w:val="true"/>
        <w:widowControl/>
        <w:rPr/>
      </w:pPr>
      <w:bookmarkStart w:id="42" w:name="__RefHeading___Toc10105_954062153"/>
      <w:bookmarkStart w:id="43" w:name="terminologie-und-ontologie"/>
      <w:bookmarkEnd w:id="42"/>
      <w:r>
        <w:rPr/>
        <w:t>3. Terminologie und Ontologie</w:t>
      </w:r>
    </w:p>
    <w:p>
      <w:pPr>
        <w:pStyle w:val="Heading3"/>
        <w:keepNext w:val="true"/>
        <w:widowControl/>
        <w:rPr/>
      </w:pPr>
      <w:bookmarkStart w:id="44" w:name="zweck-der-ontologie"/>
      <w:r>
        <w:rPr/>
        <w:t>3.1 Zweck der Ontologie</w:t>
      </w:r>
    </w:p>
    <w:p>
      <w:pPr>
        <w:pStyle w:val="FirstParagraph"/>
        <w:rPr/>
      </w:pPr>
      <w:bookmarkStart w:id="45" w:name="zweck-der-ontologie"/>
      <w:r>
        <w:rPr/>
        <w:t>Eine konsistente Ontologie verhindert, dass identische Begriffe in Code, Methodik und Interpretation unterschiedliche Bedeutungen erhalten. Die hier definierten Begriffe sollen als versionierte Schemaobjekte in der Software gespiegelt werden. Jede Änderung mit wissenschaftlicher Auswirkung muss migrationsfähig sein und im Evidenzregister erscheinen.</w:t>
      </w:r>
      <w:bookmarkEnd w:id="45"/>
    </w:p>
    <w:p>
      <w:pPr>
        <w:pStyle w:val="Heading3"/>
        <w:keepNext w:val="true"/>
        <w:widowControl/>
        <w:rPr/>
      </w:pPr>
      <w:r>
        <w:rPr/>
        <w:t>3.2 Kernentitäten</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3312"/>
        <w:gridCol w:w="3312"/>
        <w:gridCol w:w="3312"/>
      </w:tblGrid>
      <w:tr>
        <w:trPr>
          <w:tblHeader w:val="true"/>
        </w:trPr>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Entität</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Arbeitsdefinition</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Abgrenzung</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Neuron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materialisierte dynamische Einheit mit eindeutiger ID, 5D-Position, Zelltyp, Zustandsvektor, Parametern und Ereignishistorie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kein biologisch vollständiges Neuron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Synapse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gerichtete, typisierte und gegebenenfalls verzögerte Verbindung zwischen zwei materialisierten Einheiten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nicht bloß Matrixeintrag, wenn Alter, Eligibility oder Provenienz relevant sind</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SpikeEvent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diskretes, zeitgestempeltes Ereignis einer Quelle mit definierter Simulationszeit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keine semantische Aussage</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Region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versionierte Menge beziehungsweise probabilistische Zuordnung von Neuronen anhand räumlicher, funktionaler oder datengetriebener Kriterien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darf nicht nachträglich ohne Versionierung umdefiniert werden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Stimulus</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kontrollierte externe Ursache, die über einen Eingabekanal auf das SNN wirkt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Retrieval-Antwort ist erst nach Kodierung ein Stimulus</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StimulusPlan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validierter, zeitlich und räumlich bestimmter Vertrag zur Erzeugung von Input-Ereignissen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kein direkter Gewichts- oder Topologiezugriff</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Episode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abgegrenzte Sequenz von Stimuli, Netzwerkzuständen, Aktionen, Rewards und Umweltzuständen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nicht gleich Trainingsbatch</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SignalFrame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deterministisch berechnete Messzusammenfassung eines definierten Ereignis- und Zustandsfensters</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Interpretation oder Bedeutung sind nicht enthalten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Interpretation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versionierte Hypothese eines Decoders über einen SignalFrame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kann falsch sein und darf keinen Faktstatus erben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Repräsentation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reproduzierbare Beziehung zwischen internem Zustand und Zielmerkmal, die Kontrollen und Generalisierungskriterien erfüllt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Korrelation allein genügt nicht</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Gedächtnis</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retention-, cue- und spezifitätsgebundene funktionale Folge einer früheren Erfahrung</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persistentes Gewicht allein genügt nicht</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Claim</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atomare, identifizierbare wissenschaftliche Aussage mit Evidenzstatus und Geltungsbereich</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kein bloßer Kommentar</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ExperimentSpec</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unveränderliche Versuchsspezifikation mit Hypothese, Faktoren, Kontrollen und Endpunkten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Auswertung darf Spezifikation nicht stillschweigend ersetzen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RunRecord</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technische Beschreibung eines ausgeführten Laufs</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umfasst Commit, Config, Seed und Hardware</w:t>
            </w:r>
          </w:p>
        </w:tc>
      </w:tr>
      <w:tr>
        <w:trPr/>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EvidenceRecord</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begründete Zuordnung eines Claims zu einer Evidenzstufe anhand verknüpfter Ergebnisse</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kann revidiert werden</w:t>
            </w:r>
            <w:bookmarkStart w:id="46" w:name="kernentitäten"/>
            <w:bookmarkEnd w:id="46"/>
          </w:p>
        </w:tc>
      </w:tr>
    </w:tbl>
    <w:p>
      <w:pPr>
        <w:pStyle w:val="Heading3"/>
        <w:keepNext w:val="true"/>
        <w:widowControl/>
        <w:rPr/>
      </w:pPr>
      <w:r>
        <w:rPr/>
        <w:t>3.3 Beziehungen</w:t>
      </w:r>
    </w:p>
    <w:p>
      <w:pPr>
        <w:pStyle w:val="FirstParagraph"/>
        <w:rPr/>
      </w:pPr>
      <w:r>
        <w:rPr/>
        <w:t>Die zentrale Provenienz- und Kausalitätskette lautet:</w:t>
      </w:r>
    </w:p>
    <w:p>
      <w:pPr>
        <w:pStyle w:val="BodyText"/>
        <w:jc w:val="center"/>
        <w:rPr/>
      </w:pPr>
      <w:r>
        <w:rPr/>
      </w:r>
      <m:oMathPara xmlns:m="http://schemas.openxmlformats.org/officeDocument/2006/math">
        <m:oMathParaPr>
          <m:jc m:val="center"/>
        </m:oMathParaPr>
        <m:oMath>
          <m:r>
            <m:rPr>
              <m:lit/>
              <m:nor/>
            </m:rPr>
            <m:t xml:space="preserve">SourceRecord</m:t>
          </m:r>
          <m:r>
            <m:t xml:space="preserve">→</m:t>
          </m:r>
          <m:r>
            <m:rPr>
              <m:lit/>
              <m:nor/>
            </m:rPr>
            <m:t xml:space="preserve">KnowledgeItem</m:t>
          </m:r>
          <m:r>
            <m:t xml:space="preserve">→</m:t>
          </m:r>
          <m:r>
            <m:rPr>
              <m:lit/>
              <m:nor/>
            </m:rPr>
            <m:t xml:space="preserve">StimulusPlan</m:t>
          </m:r>
          <m:r>
            <m:t xml:space="preserve">→</m:t>
          </m:r>
          <m:r>
            <m:rPr>
              <m:lit/>
              <m:nor/>
            </m:rPr>
            <m:t xml:space="preserve">Episode</m:t>
          </m:r>
          <m:r>
            <m:t xml:space="preserve">→</m:t>
          </m:r>
          <m:sSub>
            <m:e>
              <m:r>
                <m:t xml:space="preserve">X</m:t>
              </m:r>
            </m:e>
            <m:sub>
              <m:r>
                <m:t xml:space="preserve">t</m:t>
              </m:r>
            </m:sub>
          </m:sSub>
          <m:r>
            <m:t xml:space="preserve">→</m:t>
          </m:r>
          <m:r>
            <m:rPr>
              <m:lit/>
              <m:nor/>
            </m:rPr>
            <m:t xml:space="preserve">SignalFrame</m:t>
          </m:r>
          <m:r>
            <m:t xml:space="preserve">→</m:t>
          </m:r>
          <m:r>
            <m:rPr>
              <m:lit/>
              <m:nor/>
            </m:rPr>
            <m:t xml:space="preserve">Interpretation</m:t>
          </m:r>
          <m:r>
            <m:t xml:space="preserve">→</m:t>
          </m:r>
          <m:r>
            <m:rPr>
              <m:lit/>
              <m:nor/>
            </m:rPr>
            <m:t xml:space="preserve">Response</m:t>
          </m:r>
          <m:r>
            <m:t xml:space="preserve">.</m:t>
          </m:r>
        </m:oMath>
      </m:oMathPara>
    </w:p>
    <w:p>
      <w:pPr>
        <w:pStyle w:val="FirstParagraph"/>
        <w:rPr/>
      </w:pPr>
      <w:r>
        <w:rPr>
          <w:b/>
          <w:bCs/>
        </w:rPr>
        <w:t>[DEF]</w:t>
      </w:r>
      <w:r>
        <w:rPr/>
        <w:t xml:space="preserve"> Der Pfeil bedeutet hier eine dokumentierte Ableitungs- oder Einflussrelation, nicht automatisch eine hinreichende Kausalursache. Für kausale Aussagen sind Interventionen oder ein begründetes Kausalmodell erforderlich (</w:t>
      </w:r>
      <w:hyperlink w:anchor="ref-Pearl2009">
        <w:r>
          <w:rPr>
            <w:rStyle w:val="Hyperlink"/>
          </w:rPr>
          <w:t>Pearl, 2009</w:t>
        </w:r>
      </w:hyperlink>
      <w:r>
        <w:rPr/>
        <w:t xml:space="preserve">; </w:t>
      </w:r>
      <w:hyperlink w:anchor="ref-Woodward2003">
        <w:r>
          <w:rPr>
            <w:rStyle w:val="Hyperlink"/>
          </w:rPr>
          <w:t>Woodward, 2003</w:t>
        </w:r>
      </w:hyperlink>
      <w:r>
        <w:rPr/>
        <w:t>).</w:t>
      </w:r>
    </w:p>
    <w:p>
      <w:pPr>
        <w:pStyle w:val="Heading3"/>
        <w:keepNext w:val="true"/>
        <w:widowControl/>
        <w:rPr/>
      </w:pPr>
      <w:bookmarkStart w:id="47" w:name="Xd454f56a7e739c0ddcbfa500dc758b40cbec8b9"/>
      <w:r>
        <w:rPr/>
        <w:t>3.4 Region als mehrdeutige, aber versionierte Kategorie</w:t>
      </w:r>
    </w:p>
    <w:p>
      <w:pPr>
        <w:pStyle w:val="FirstParagraph"/>
        <w:rPr/>
      </w:pPr>
      <w:r>
        <w:rPr/>
        <w:t>Eine Region kann auf mindestens vier Arten entstehen:</w:t>
      </w:r>
    </w:p>
    <w:p>
      <w:pPr>
        <w:pStyle w:val="Compact"/>
        <w:numPr>
          <w:ilvl w:val="0"/>
          <w:numId w:val="86"/>
        </w:numPr>
        <w:rPr/>
      </w:pPr>
      <w:r>
        <w:rPr>
          <w:b/>
          <w:bCs/>
        </w:rPr>
        <w:t>a priori geometrisch:</w:t>
      </w:r>
      <w:r>
        <w:rPr/>
        <w:t xml:space="preserve"> durch Koordinatenbereiche;</w:t>
      </w:r>
    </w:p>
    <w:p>
      <w:pPr>
        <w:pStyle w:val="Compact"/>
        <w:numPr>
          <w:ilvl w:val="0"/>
          <w:numId w:val="87"/>
        </w:numPr>
        <w:rPr/>
      </w:pPr>
      <w:r>
        <w:rPr>
          <w:b/>
          <w:bCs/>
        </w:rPr>
        <w:t>funktional spezifiziert:</w:t>
      </w:r>
      <w:r>
        <w:rPr/>
        <w:t xml:space="preserve"> etwa Input-, Output- oder Modulationsregion;</w:t>
      </w:r>
    </w:p>
    <w:p>
      <w:pPr>
        <w:pStyle w:val="Compact"/>
        <w:numPr>
          <w:ilvl w:val="0"/>
          <w:numId w:val="88"/>
        </w:numPr>
        <w:rPr/>
      </w:pPr>
      <w:r>
        <w:rPr>
          <w:b/>
          <w:bCs/>
        </w:rPr>
        <w:t>strukturell datengetrieben:</w:t>
      </w:r>
      <w:r>
        <w:rPr/>
        <w:t xml:space="preserve"> durch Community Detection im Synapsengraphen;</w:t>
      </w:r>
    </w:p>
    <w:p>
      <w:pPr>
        <w:pStyle w:val="Compact"/>
        <w:numPr>
          <w:ilvl w:val="0"/>
          <w:numId w:val="89"/>
        </w:numPr>
        <w:rPr/>
      </w:pPr>
      <w:r>
        <w:rPr>
          <w:b/>
          <w:bCs/>
        </w:rPr>
        <w:t>dynamisch datengetrieben:</w:t>
      </w:r>
      <w:r>
        <w:rPr/>
        <w:t xml:space="preserve"> durch wiederkehrende Aktivitäts- oder Synchronisationsmuster.</w:t>
      </w:r>
    </w:p>
    <w:p>
      <w:pPr>
        <w:pStyle w:val="FirstParagraph"/>
        <w:rPr/>
      </w:pPr>
      <w:bookmarkStart w:id="48" w:name="terminologie-und-ontologie"/>
      <w:bookmarkStart w:id="49" w:name="Xd454f56a7e739c0ddcbfa500dc758b40cbec8b9"/>
      <w:r>
        <w:rPr/>
        <w:t>Die vier Typen dürfen nicht ohne Kennzeichnung gleichgesetzt werden. Eine geometrische Region ist nicht automatisch eine funktionale Einheit; eine algorithmisch gefundene Community ist nicht automatisch ein kognitives Modul. Regionendefinition, Algorithmus, Parameter und Zeitpunkt werden deshalb mitgeführt.</w:t>
      </w:r>
      <w:bookmarkEnd w:id="48"/>
      <w:bookmarkEnd w:id="49"/>
    </w:p>
    <w:p>
      <w:pPr>
        <w:pStyle w:val="Heading2"/>
        <w:keepNext w:val="true"/>
        <w:widowControl/>
        <w:rPr/>
      </w:pPr>
      <w:bookmarkStart w:id="50" w:name="__RefHeading___Toc10107_954062153"/>
      <w:bookmarkStart w:id="51" w:name="wissenschaftliche-positionierung"/>
      <w:bookmarkEnd w:id="50"/>
      <w:r>
        <w:rPr/>
        <w:t>4. Wissenschaftliche Positionierung</w:t>
      </w:r>
    </w:p>
    <w:p>
      <w:pPr>
        <w:pStyle w:val="Heading3"/>
        <w:keepNext w:val="true"/>
        <w:widowControl/>
        <w:rPr/>
      </w:pPr>
      <w:bookmarkStart w:id="52" w:name="computational-neuroscience-und-snns"/>
      <w:r>
        <w:rPr/>
        <w:t>4.1 Computational Neuroscience und SNNs</w:t>
      </w:r>
    </w:p>
    <w:p>
      <w:pPr>
        <w:pStyle w:val="FirstParagraph"/>
        <w:rPr/>
      </w:pPr>
      <w:r>
        <w:rPr/>
        <w:t>SNNs erlauben die explizite Untersuchung neuronaler Zustände, Spike-Zeitpunkte, Rekurrenz und zeitabhängiger Plastizität. Das Spektrum reicht von biologisch detaillierten Hodgkin-Huxley- und Kompartimentmodellen bis zu rechnerisch günstigeren LIF-, AdEx- und Izhikevich-Modellen (</w:t>
      </w:r>
      <w:hyperlink w:anchor="ref-Brette2005">
        <w:r>
          <w:rPr>
            <w:rStyle w:val="Hyperlink"/>
          </w:rPr>
          <w:t>Brette &amp; Gerstner, 2005</w:t>
        </w:r>
      </w:hyperlink>
      <w:r>
        <w:rPr/>
        <w:t xml:space="preserve">; </w:t>
      </w:r>
      <w:hyperlink w:anchor="ref-Gerstner2014">
        <w:r>
          <w:rPr>
            <w:rStyle w:val="Hyperlink"/>
          </w:rPr>
          <w:t>Gerstner et al., 2014</w:t>
        </w:r>
      </w:hyperlink>
      <w:r>
        <w:rPr/>
        <w:t xml:space="preserve">; </w:t>
      </w:r>
      <w:hyperlink w:anchor="ref-Hodgkin1952">
        <w:r>
          <w:rPr>
            <w:rStyle w:val="Hyperlink"/>
          </w:rPr>
          <w:t>Hodgkin &amp; Huxley, 1952</w:t>
        </w:r>
      </w:hyperlink>
      <w:r>
        <w:rPr/>
        <w:t xml:space="preserve">; </w:t>
      </w:r>
      <w:hyperlink w:anchor="ref-Izhikevich2003">
        <w:r>
          <w:rPr>
            <w:rStyle w:val="Hyperlink"/>
          </w:rPr>
          <w:t>Izhikevich, 2003</w:t>
        </w:r>
      </w:hyperlink>
      <w:r>
        <w:rPr/>
        <w:t>). Brain-5D verwendet diese Modelle nicht als Beweis biologischer Gleichwertigkeit, sondern als experimentell austauschbare Dynamikklassen.</w:t>
      </w:r>
      <w:bookmarkEnd w:id="52"/>
    </w:p>
    <w:p>
      <w:pPr>
        <w:pStyle w:val="Heading3"/>
        <w:keepNext w:val="true"/>
        <w:widowControl/>
        <w:rPr/>
      </w:pPr>
      <w:bookmarkStart w:id="53" w:name="dynamische-systeme"/>
      <w:r>
        <w:rPr/>
        <w:t>4.2 Dynamische Systeme</w:t>
      </w:r>
    </w:p>
    <w:p>
      <w:pPr>
        <w:pStyle w:val="FirstParagraph"/>
        <w:rPr/>
      </w:pPr>
      <w:r>
        <w:rPr/>
        <w:t>Rekurrente Spike-Netze sind nicht nur Informationskanäle, sondern nichtlineare dynamische Systeme mit Zuständen, transienten Trajektorien, möglichen Attraktoren, metastabilen Regimen und Parameterübergängen. Hybride Systemformalismen sind geeignet, kontinuierliche Flüsse, diskrete Spikes, Resets und Strukturänderungen gemeinsam zu beschreiben (</w:t>
      </w:r>
      <w:hyperlink w:anchor="ref-Breakspear2017">
        <w:r>
          <w:rPr>
            <w:rStyle w:val="Hyperlink"/>
          </w:rPr>
          <w:t>Breakspear, 2017</w:t>
        </w:r>
      </w:hyperlink>
      <w:r>
        <w:rPr/>
        <w:t xml:space="preserve">; </w:t>
      </w:r>
      <w:hyperlink w:anchor="ref-Goebel2012Hybrid">
        <w:r>
          <w:rPr>
            <w:rStyle w:val="Hyperlink"/>
          </w:rPr>
          <w:t>Goebel et al., 2012</w:t>
        </w:r>
      </w:hyperlink>
      <w:r>
        <w:rPr/>
        <w:t xml:space="preserve">; </w:t>
      </w:r>
      <w:hyperlink w:anchor="ref-Kuznetsov2004">
        <w:r>
          <w:rPr>
            <w:rStyle w:val="Hyperlink"/>
          </w:rPr>
          <w:t>Kuznetsov, 2004</w:t>
        </w:r>
      </w:hyperlink>
      <w:r>
        <w:rPr/>
        <w:t xml:space="preserve">; </w:t>
      </w:r>
      <w:hyperlink w:anchor="ref-Strogatz2015">
        <w:r>
          <w:rPr>
            <w:rStyle w:val="Hyperlink"/>
          </w:rPr>
          <w:t>Strogatz, 2015</w:t>
        </w:r>
      </w:hyperlink>
      <w:r>
        <w:rPr/>
        <w:t>). Für Brain-5D ist Stabilität daher keine bloße Fehlerfreiheit, sondern ein empirisch zu kartierender Bereich zwischen Degeneration und unkontrollierter Aktivität.</w:t>
      </w:r>
      <w:bookmarkEnd w:id="53"/>
    </w:p>
    <w:p>
      <w:pPr>
        <w:pStyle w:val="Heading3"/>
        <w:keepNext w:val="true"/>
        <w:widowControl/>
        <w:rPr/>
      </w:pPr>
      <w:bookmarkStart w:id="54" w:name="netzwerk--und-geometrieperspektive"/>
      <w:r>
        <w:rPr/>
        <w:t>4.3 Netzwerk- und Geometrieperspektive</w:t>
      </w:r>
    </w:p>
    <w:p>
      <w:pPr>
        <w:pStyle w:val="FirstParagraph"/>
        <w:rPr/>
      </w:pPr>
      <w:r>
        <w:rPr/>
        <w:t>Graphentheoretische Maße ermöglichen die Beschreibung von Gradverteilungen, Pfadlängen, Clustering, Modularität, Motiven und spektralen Eigenschaften (</w:t>
      </w:r>
      <w:hyperlink w:anchor="ref-Bassett2017">
        <w:r>
          <w:rPr>
            <w:rStyle w:val="Hyperlink"/>
          </w:rPr>
          <w:t>Bassett &amp; Sporns, 2017</w:t>
        </w:r>
      </w:hyperlink>
      <w:r>
        <w:rPr/>
        <w:t xml:space="preserve">; </w:t>
      </w:r>
      <w:hyperlink w:anchor="ref-Newman2003">
        <w:r>
          <w:rPr>
            <w:rStyle w:val="Hyperlink"/>
          </w:rPr>
          <w:t>Newman, 2003</w:t>
        </w:r>
      </w:hyperlink>
      <w:r>
        <w:rPr/>
        <w:t xml:space="preserve">; </w:t>
      </w:r>
      <w:hyperlink w:anchor="ref-Rubinov2010">
        <w:r>
          <w:rPr>
            <w:rStyle w:val="Hyperlink"/>
          </w:rPr>
          <w:t>Rubinov &amp; Sporns, 2010</w:t>
        </w:r>
      </w:hyperlink>
      <w:r>
        <w:rPr/>
        <w:t>). Geometrische Graphen und gelernte Metriken erweitern diese Perspektive um die Frage, ob Distanz selbst ein fester Parameter oder ein adaptiver Bestandteil des Systems ist (</w:t>
      </w:r>
      <w:hyperlink w:anchor="ref-Bronstein2017">
        <w:r>
          <w:rPr>
            <w:rStyle w:val="Hyperlink"/>
          </w:rPr>
          <w:t>Bronstein et al., 2017</w:t>
        </w:r>
      </w:hyperlink>
      <w:r>
        <w:rPr/>
        <w:t xml:space="preserve">; </w:t>
      </w:r>
      <w:hyperlink w:anchor="ref-Penrose2003">
        <w:r>
          <w:rPr>
            <w:rStyle w:val="Hyperlink"/>
          </w:rPr>
          <w:t>Penrose, 2003</w:t>
        </w:r>
      </w:hyperlink>
      <w:r>
        <w:rPr/>
        <w:t xml:space="preserve">; </w:t>
      </w:r>
      <w:hyperlink w:anchor="ref-Weinberger2009">
        <w:r>
          <w:rPr>
            <w:rStyle w:val="Hyperlink"/>
          </w:rPr>
          <w:t>Weinberger &amp; Saul, 2009</w:t>
        </w:r>
      </w:hyperlink>
      <w:r>
        <w:rPr/>
        <w:t>). Brain-5D behandelt fünf Dimensionen deshalb weder als bloße Visualisierung noch als dogmatische Naturkonstante.</w:t>
      </w:r>
      <w:bookmarkEnd w:id="54"/>
    </w:p>
    <w:p>
      <w:pPr>
        <w:pStyle w:val="Heading3"/>
        <w:keepNext w:val="true"/>
        <w:widowControl/>
        <w:rPr/>
      </w:pPr>
      <w:bookmarkStart w:id="55" w:name="lernen-und-gedächtnis"/>
      <w:r>
        <w:rPr/>
        <w:t>4.4 Lernen und Gedächtnis</w:t>
      </w:r>
    </w:p>
    <w:p>
      <w:pPr>
        <w:pStyle w:val="FirstParagraph"/>
        <w:rPr/>
      </w:pPr>
      <w:r>
        <w:rPr/>
        <w:t>STDP, Three-Factor-Regeln, Homeostase, inhibitorische Plastizität und strukturelle Plastizität adressieren verschiedene Aspekte des Lernens (</w:t>
      </w:r>
      <w:hyperlink w:anchor="ref-Bi1998">
        <w:r>
          <w:rPr>
            <w:rStyle w:val="Hyperlink"/>
          </w:rPr>
          <w:t>Bi &amp; Poo, 1998</w:t>
        </w:r>
      </w:hyperlink>
      <w:r>
        <w:rPr/>
        <w:t xml:space="preserve">; </w:t>
      </w:r>
      <w:hyperlink w:anchor="ref-Fremaux2016">
        <w:r>
          <w:rPr>
            <w:rStyle w:val="Hyperlink"/>
          </w:rPr>
          <w:t>Frémaux &amp; Gerstner, 2016</w:t>
        </w:r>
      </w:hyperlink>
      <w:r>
        <w:rPr/>
        <w:t xml:space="preserve">; </w:t>
      </w:r>
      <w:hyperlink w:anchor="ref-Holtmaat2009">
        <w:r>
          <w:rPr>
            <w:rStyle w:val="Hyperlink"/>
          </w:rPr>
          <w:t>Holtmaat &amp; Svoboda, 2009</w:t>
        </w:r>
      </w:hyperlink>
      <w:r>
        <w:rPr/>
        <w:t xml:space="preserve">; </w:t>
      </w:r>
      <w:hyperlink w:anchor="ref-Vogels2011">
        <w:r>
          <w:rPr>
            <w:rStyle w:val="Hyperlink"/>
          </w:rPr>
          <w:t>Vogels et al., 2011</w:t>
        </w:r>
      </w:hyperlink>
      <w:r>
        <w:rPr/>
        <w:t>). Gedächtnis erfordert darüber hinaus Retention, Reaktivierung, Interferenzkontrolle und funktionale Spezifität. Modelle komplementärer Lernsysteme und synaptischer Konsolidierung zeigen, dass schnelles Lernen und lange Stabilität unterschiedliche Mechanismen verlangen können (</w:t>
      </w:r>
      <w:hyperlink w:anchor="ref-Benna2016">
        <w:r>
          <w:rPr>
            <w:rStyle w:val="Hyperlink"/>
          </w:rPr>
          <w:t>Benna &amp; Fusi, 2016</w:t>
        </w:r>
      </w:hyperlink>
      <w:r>
        <w:rPr/>
        <w:t xml:space="preserve">; </w:t>
      </w:r>
      <w:hyperlink w:anchor="ref-Fusi2005">
        <w:r>
          <w:rPr>
            <w:rStyle w:val="Hyperlink"/>
          </w:rPr>
          <w:t>Fusi et al., 2005</w:t>
        </w:r>
      </w:hyperlink>
      <w:r>
        <w:rPr/>
        <w:t xml:space="preserve">; </w:t>
      </w:r>
      <w:hyperlink w:anchor="ref-McClelland1995">
        <w:r>
          <w:rPr>
            <w:rStyle w:val="Hyperlink"/>
          </w:rPr>
          <w:t>McClelland et al., 1995</w:t>
        </w:r>
      </w:hyperlink>
      <w:r>
        <w:rPr/>
        <w:t>). Brain-5D darf daher keine einzelne lokale Regel zum universalen Lernprinzip erklären.</w:t>
      </w:r>
      <w:bookmarkEnd w:id="55"/>
    </w:p>
    <w:p>
      <w:pPr>
        <w:pStyle w:val="Heading3"/>
        <w:keepNext w:val="true"/>
        <w:widowControl/>
        <w:rPr/>
      </w:pPr>
      <w:bookmarkStart w:id="56" w:name="embodiment-und-geschlossene-schleifen"/>
      <w:r>
        <w:rPr/>
        <w:t>4.5 Embodiment und geschlossene Schleifen</w:t>
      </w:r>
    </w:p>
    <w:p>
      <w:pPr>
        <w:pStyle w:val="FirstParagraph"/>
        <w:rPr/>
      </w:pPr>
      <w:r>
        <w:rPr/>
        <w:t>Embodied-Ansätze betonen, dass Verhalten aus der gekoppelten Dynamik von Agent, Körper und Umwelt hervorgeht (</w:t>
      </w:r>
      <w:hyperlink w:anchor="ref-Beer1995">
        <w:r>
          <w:rPr>
            <w:rStyle w:val="Hyperlink"/>
          </w:rPr>
          <w:t>Beer, 1995</w:t>
        </w:r>
      </w:hyperlink>
      <w:r>
        <w:rPr/>
        <w:t xml:space="preserve">; </w:t>
      </w:r>
      <w:hyperlink w:anchor="ref-Brooks1991">
        <w:r>
          <w:rPr>
            <w:rStyle w:val="Hyperlink"/>
          </w:rPr>
          <w:t>Brooks, 1991</w:t>
        </w:r>
      </w:hyperlink>
      <w:r>
        <w:rPr/>
        <w:t xml:space="preserve">; </w:t>
      </w:r>
      <w:hyperlink w:anchor="ref-Pfeifer2006">
        <w:r>
          <w:rPr>
            <w:rStyle w:val="Hyperlink"/>
          </w:rPr>
          <w:t>Pfeifer &amp; Bongard, 2006</w:t>
        </w:r>
      </w:hyperlink>
      <w:r>
        <w:rPr/>
        <w:t>). Ein Closed Loop verändert die Datenverteilung kausal: Aktionen beeinflussen zukünftige Beobachtungen. Für Brain-5D ist Verkörperung deshalb kein optionales Ausgabemodul, sondern eine experimentelle Bedingung, die interne Zustände und Lernsignale verändern kann.</w:t>
      </w:r>
      <w:bookmarkEnd w:id="56"/>
    </w:p>
    <w:p>
      <w:pPr>
        <w:pStyle w:val="Heading3"/>
        <w:keepNext w:val="true"/>
        <w:widowControl/>
        <w:rPr/>
      </w:pPr>
      <w:bookmarkStart w:id="57" w:name="Xdb8e44574b12a73665e2330ab15c050ccc9e1a5"/>
      <w:r>
        <w:rPr/>
        <w:t>4.6 Neuro-symbolische und sprachliche Kopplung</w:t>
      </w:r>
    </w:p>
    <w:p>
      <w:pPr>
        <w:pStyle w:val="FirstParagraph"/>
        <w:rPr/>
      </w:pPr>
      <w:r>
        <w:rPr/>
        <w:t>Neural-symbolische Systeme verbinden subsymbolische Zustände mit expliziten Symbolen oder Regeln (</w:t>
      </w:r>
      <w:hyperlink w:anchor="ref-Garcez2009">
        <w:r>
          <w:rPr>
            <w:rStyle w:val="Hyperlink"/>
          </w:rPr>
          <w:t>Garcez et al., 2009</w:t>
        </w:r>
      </w:hyperlink>
      <w:r>
        <w:rPr/>
        <w:t>). LLMs und Retrieval-Systeme ermöglichen leistungsfähige sprachliche und wissensbezogene Schnittstellen (</w:t>
      </w:r>
      <w:hyperlink w:anchor="ref-Lewis2020">
        <w:r>
          <w:rPr>
            <w:rStyle w:val="Hyperlink"/>
          </w:rPr>
          <w:t>Lewis et al., 2020</w:t>
        </w:r>
      </w:hyperlink>
      <w:r>
        <w:rPr/>
        <w:t xml:space="preserve">; </w:t>
      </w:r>
      <w:hyperlink w:anchor="ref-Vaswani2017">
        <w:r>
          <w:rPr>
            <w:rStyle w:val="Hyperlink"/>
          </w:rPr>
          <w:t>Vaswani et al., 2017</w:t>
        </w:r>
      </w:hyperlink>
      <w:r>
        <w:rPr/>
        <w:t>). Gerade diese Leistungsfähigkeit erzeugt jedoch eine massive Störvariable: Ein System kann überzeugend antworten, obwohl der SNN-Kern keinen entsprechenden Inhalt gespeichert hat. Brain-5D verschärft daher die Kausalitätsgrenzen und verlangt isolierte Tests.</w:t>
      </w:r>
      <w:bookmarkEnd w:id="57"/>
    </w:p>
    <w:p>
      <w:pPr>
        <w:pStyle w:val="Heading3"/>
        <w:keepNext w:val="true"/>
        <w:widowControl/>
        <w:rPr/>
      </w:pPr>
      <w:bookmarkStart w:id="58" w:name="vorläufige-neuheitsposition"/>
      <w:r>
        <w:rPr/>
        <w:t>4.7 Vorläufige Neuheitsposition</w:t>
      </w:r>
    </w:p>
    <w:p>
      <w:pPr>
        <w:pStyle w:val="FirstParagraph"/>
        <w:rPr/>
      </w:pPr>
      <w:r>
        <w:rPr>
          <w:b/>
          <w:bCs/>
        </w:rPr>
        <w:t>[E0 | NOVELTY-HYPOTHESIS]</w:t>
      </w:r>
      <w:r>
        <w:rPr/>
        <w:t xml:space="preserve"> Die wissenschaftliche Neuheit ist erst nach einer systematischen beziehungsweise scoping-basierten Literaturrecherche belastbar zu behaupten. Dieses Framework formuliert deshalb eine </w:t>
      </w:r>
      <w:r>
        <w:rPr>
          <w:b/>
          <w:bCs/>
        </w:rPr>
        <w:t>Kandidatenposition</w:t>
      </w:r>
      <w:r>
        <w:rPr/>
        <w:t>: Die Kombination aus gelernter 5D-Geometrie, dynamischer Sparse-Topologie, strikter LLM-Kausaltrennung, Digital-State-Twin-Persistenz und softwaregebundenem Evidenzregister könnte eine eigenständige Forschungsarchitektur darstellen. Die Behauptung muss gegen verwandte SNN-Simulatoren, neuromorphe Agenten, adaptive Graphsysteme und hybride LLM-Agenten abgegrenzt werden. Eine spätere Review sollte transparent nach PRISMA-nahen Prinzipien dokumentiert werden (</w:t>
      </w:r>
      <w:hyperlink w:anchor="ref-Page2021">
        <w:r>
          <w:rPr>
            <w:rStyle w:val="Hyperlink"/>
          </w:rPr>
          <w:t>Page et al., 2021</w:t>
        </w:r>
      </w:hyperlink>
      <w:r>
        <w:rPr/>
        <w:t>).</w:t>
      </w:r>
      <w:bookmarkEnd w:id="51"/>
      <w:bookmarkEnd w:id="58"/>
    </w:p>
    <w:p>
      <w:pPr>
        <w:pStyle w:val="Heading2"/>
        <w:keepNext w:val="true"/>
        <w:widowControl/>
        <w:rPr/>
      </w:pPr>
      <w:bookmarkStart w:id="59" w:name="__RefHeading___Toc10109_954062153"/>
      <w:bookmarkStart w:id="60" w:name="epistemischer-status-und-beweislast"/>
      <w:bookmarkEnd w:id="59"/>
      <w:r>
        <w:rPr/>
        <w:t>5. Epistemischer Status und Beweislast</w:t>
      </w:r>
    </w:p>
    <w:p>
      <w:pPr>
        <w:pStyle w:val="Heading3"/>
        <w:keepNext w:val="true"/>
        <w:widowControl/>
        <w:rPr/>
      </w:pPr>
      <w:bookmarkStart w:id="61" w:name="mechanismus-ist-nicht-funktion"/>
      <w:r>
        <w:rPr/>
        <w:t>5.1 Mechanismus ist nicht Funktion</w:t>
      </w:r>
    </w:p>
    <w:p>
      <w:pPr>
        <w:pStyle w:val="FirstParagraph"/>
        <w:rPr/>
      </w:pPr>
      <w:bookmarkStart w:id="62" w:name="mechanismus-ist-nicht-funktion"/>
      <w:r>
        <w:rPr/>
        <w:t>Ein implementierter STDP-Operator ist E1, wenn seine numerische Funktion getestet ist. Er ist noch kein Nachweis von Lernen. Ein signifikanter Gewichtsdrift nach Exposition ist E2 nur dann, wenn er gegenüber geeigneten Kontrollen spezifisch, reproduzierbar und funktional relevant ist. Eine erfolgreiche Sprachantwort ist kein Beleg für SNN-Gedächtnis, wenn Decoder oder Retrieval dieselbe Antwort erzeugen können.</w:t>
      </w:r>
      <w:bookmarkEnd w:id="62"/>
    </w:p>
    <w:p>
      <w:pPr>
        <w:pStyle w:val="Heading3"/>
        <w:keepNext w:val="true"/>
        <w:widowControl/>
        <w:rPr/>
      </w:pPr>
      <w:bookmarkStart w:id="63" w:name="hierarchie-der-interpretationen"/>
      <w:r>
        <w:rPr/>
        <w:t>5.2 Hierarchie der Interpretationen</w:t>
      </w:r>
    </w:p>
    <w:p>
      <w:pPr>
        <w:pStyle w:val="FirstParagraph"/>
        <w:rPr/>
      </w:pPr>
      <w:r>
        <w:rPr/>
        <w:t>Für jede Beobachtung wird die sparsamste hinreichende Interpretation bevorzugt:</w:t>
      </w:r>
    </w:p>
    <w:p>
      <w:pPr>
        <w:pStyle w:val="Compact"/>
        <w:numPr>
          <w:ilvl w:val="0"/>
          <w:numId w:val="90"/>
        </w:numPr>
        <w:rPr/>
      </w:pPr>
      <w:r>
        <w:rPr>
          <w:b/>
          <w:bCs/>
        </w:rPr>
        <w:t>technischer Zustand:</w:t>
      </w:r>
      <w:r>
        <w:rPr/>
        <w:t xml:space="preserve"> Daten wurden geschrieben oder verändert;</w:t>
      </w:r>
    </w:p>
    <w:p>
      <w:pPr>
        <w:pStyle w:val="Compact"/>
        <w:numPr>
          <w:ilvl w:val="0"/>
          <w:numId w:val="91"/>
        </w:numPr>
        <w:rPr/>
      </w:pPr>
      <w:r>
        <w:rPr>
          <w:b/>
          <w:bCs/>
        </w:rPr>
        <w:t>dynamischer Effekt:</w:t>
      </w:r>
      <w:r>
        <w:rPr/>
        <w:t xml:space="preserve"> Aktivität oder Struktur unterscheidet sich messbar;</w:t>
      </w:r>
    </w:p>
    <w:p>
      <w:pPr>
        <w:pStyle w:val="Compact"/>
        <w:numPr>
          <w:ilvl w:val="0"/>
          <w:numId w:val="92"/>
        </w:numPr>
        <w:rPr/>
      </w:pPr>
      <w:r>
        <w:rPr>
          <w:b/>
          <w:bCs/>
        </w:rPr>
        <w:t>funktionaler Effekt:</w:t>
      </w:r>
      <w:r>
        <w:rPr/>
        <w:t xml:space="preserve"> eine vorab definierte Leistung verändert sich;</w:t>
      </w:r>
    </w:p>
    <w:p>
      <w:pPr>
        <w:pStyle w:val="Compact"/>
        <w:numPr>
          <w:ilvl w:val="0"/>
          <w:numId w:val="93"/>
        </w:numPr>
        <w:rPr/>
      </w:pPr>
      <w:r>
        <w:rPr>
          <w:b/>
          <w:bCs/>
        </w:rPr>
        <w:t>repräsentationaler Effekt:</w:t>
      </w:r>
      <w:r>
        <w:rPr/>
        <w:t xml:space="preserve"> interne Zustände tragen generalisierbare Information;</w:t>
      </w:r>
    </w:p>
    <w:p>
      <w:pPr>
        <w:pStyle w:val="Compact"/>
        <w:numPr>
          <w:ilvl w:val="0"/>
          <w:numId w:val="94"/>
        </w:numPr>
        <w:rPr/>
      </w:pPr>
      <w:r>
        <w:rPr>
          <w:b/>
          <w:bCs/>
        </w:rPr>
        <w:t>kognitive Interpretation:</w:t>
      </w:r>
      <w:r>
        <w:rPr/>
        <w:t xml:space="preserve"> Begriffe wie Erinnerung, Modellbildung oder Planung werden nur nach Operationalisierung verwendet.</w:t>
      </w:r>
    </w:p>
    <w:p>
      <w:pPr>
        <w:pStyle w:val="FirstParagraph"/>
        <w:rPr/>
      </w:pPr>
      <w:bookmarkStart w:id="64" w:name="hierarchie-der-interpretationen"/>
      <w:r>
        <w:rPr/>
        <w:t>Diese Hierarchie schützt vor einer Fehlform, die in komplexen Systemen häufig auftritt: Das Vorhandensein einer anschaulichen Visualisierung wird mit einem Mechanismus verwechselt, der Mechanismus mit einer Funktion und die Funktion mit einer kognitiven Fähigkeit.</w:t>
      </w:r>
      <w:bookmarkEnd w:id="64"/>
    </w:p>
    <w:p>
      <w:pPr>
        <w:pStyle w:val="Heading3"/>
        <w:keepNext w:val="true"/>
        <w:widowControl/>
        <w:rPr/>
      </w:pPr>
      <w:bookmarkStart w:id="65" w:name="claims-und-geltungsbereiche"/>
      <w:r>
        <w:rPr/>
        <w:t>5.3 Claims und Geltungsbereiche</w:t>
      </w:r>
    </w:p>
    <w:p>
      <w:pPr>
        <w:pStyle w:val="FirstParagraph"/>
        <w:rPr/>
      </w:pPr>
      <w:r>
        <w:rPr/>
        <w:t>Jeder Claim besitzt mindestens:</w:t>
      </w:r>
    </w:p>
    <w:p>
      <w:pPr>
        <w:pStyle w:val="SourceCode"/>
        <w:shd w:val="clear" w:fill="F5F7FA"/>
        <w:rPr/>
      </w:pPr>
      <w:r>
        <w:rPr>
          <w:rStyle w:val="FunctionTok"/>
        </w:rPr>
        <w:t>claim_id</w:t>
      </w:r>
      <w:r>
        <w:rPr>
          <w:rStyle w:val="KeywordTok"/>
        </w:rPr>
        <w:t>:</w:t>
      </w:r>
      <w:r>
        <w:rPr>
          <w:rStyle w:val="AttributeTok"/>
        </w:rPr>
        <w:t xml:space="preserve"> CLAIM-GEO-001</w:t>
      </w:r>
      <w:r>
        <w:rPr/>
        <w:br/>
      </w:r>
      <w:r>
        <w:rPr>
          <w:rStyle w:val="FunctionTok"/>
        </w:rPr>
        <w:t>statement</w:t>
      </w:r>
      <w:r>
        <w:rPr>
          <w:rStyle w:val="KeywordTok"/>
        </w:rPr>
        <w:t>:</w:t>
      </w:r>
      <w:r>
        <w:rPr>
          <w:rStyle w:val="AttributeTok"/>
        </w:rPr>
        <w:t xml:space="preserve"> </w:t>
      </w:r>
      <w:r>
        <w:rPr>
          <w:rStyle w:val="StringTok"/>
        </w:rPr>
        <w:t>"A learned positive-definite 5D metric improves retention under matched budgets."</w:t>
      </w:r>
      <w:r>
        <w:rPr/>
        <w:br/>
      </w:r>
      <w:r>
        <w:rPr>
          <w:rStyle w:val="FunctionTok"/>
        </w:rPr>
        <w:t>status</w:t>
      </w:r>
      <w:r>
        <w:rPr>
          <w:rStyle w:val="KeywordTok"/>
        </w:rPr>
        <w:t>:</w:t>
      </w:r>
      <w:r>
        <w:rPr>
          <w:rStyle w:val="AttributeTok"/>
        </w:rPr>
        <w:t xml:space="preserve"> E0</w:t>
      </w:r>
      <w:r>
        <w:rPr/>
        <w:br/>
      </w:r>
      <w:r>
        <w:rPr>
          <w:rStyle w:val="FunctionTok"/>
        </w:rPr>
        <w:t>scope</w:t>
      </w:r>
      <w:r>
        <w:rPr>
          <w:rStyle w:val="KeywordTok"/>
        </w:rPr>
        <w:t>:</w:t>
      </w:r>
      <w:r>
        <w:rPr/>
        <w:br/>
      </w:r>
      <w:r>
        <w:rPr>
          <w:rStyle w:val="AttributeTok"/>
        </w:rPr>
        <w:t xml:space="preserve">  </w:t>
      </w:r>
      <w:r>
        <w:rPr>
          <w:rStyle w:val="FunctionTok"/>
        </w:rPr>
        <w:t>tasks</w:t>
      </w:r>
      <w:r>
        <w:rPr>
          <w:rStyle w:val="KeywordTok"/>
        </w:rPr>
        <w:t>:</w:t>
      </w:r>
      <w:r>
        <w:rPr>
          <w:rStyle w:val="AttributeTok"/>
        </w:rPr>
        <w:t xml:space="preserve"> </w:t>
      </w:r>
      <w:r>
        <w:rPr>
          <w:rStyle w:val="KeywordTok"/>
        </w:rPr>
        <w:t>[</w:t>
      </w:r>
      <w:r>
        <w:rPr>
          <w:rStyle w:val="AttributeTok"/>
        </w:rPr>
        <w:t>ASSOCIATIVE-RECALL</w:t>
      </w:r>
      <w:r>
        <w:rPr>
          <w:rStyle w:val="DecValTok"/>
        </w:rPr>
        <w:t>-01</w:t>
      </w:r>
      <w:r>
        <w:rPr>
          <w:rStyle w:val="KeywordTok"/>
        </w:rPr>
        <w:t>]</w:t>
      </w:r>
      <w:r>
        <w:rPr/>
        <w:br/>
      </w:r>
      <w:r>
        <w:rPr>
          <w:rStyle w:val="AttributeTok"/>
        </w:rPr>
        <w:t xml:space="preserve">  </w:t>
      </w:r>
      <w:r>
        <w:rPr>
          <w:rStyle w:val="FunctionTok"/>
        </w:rPr>
        <w:t>neuron_models</w:t>
      </w:r>
      <w:r>
        <w:rPr>
          <w:rStyle w:val="KeywordTok"/>
        </w:rPr>
        <w:t>:</w:t>
      </w:r>
      <w:r>
        <w:rPr>
          <w:rStyle w:val="AttributeTok"/>
        </w:rPr>
        <w:t xml:space="preserve"> </w:t>
      </w:r>
      <w:r>
        <w:rPr>
          <w:rStyle w:val="KeywordTok"/>
        </w:rPr>
        <w:t>[</w:t>
      </w:r>
      <w:r>
        <w:rPr>
          <w:rStyle w:val="AttributeTok"/>
        </w:rPr>
        <w:t>Izhikevich</w:t>
      </w:r>
      <w:r>
        <w:rPr>
          <w:rStyle w:val="KeywordTok"/>
        </w:rPr>
        <w:t>]</w:t>
      </w:r>
      <w:r>
        <w:rPr/>
        <w:br/>
      </w:r>
      <w:r>
        <w:rPr>
          <w:rStyle w:val="AttributeTok"/>
        </w:rPr>
        <w:t xml:space="preserve">  </w:t>
      </w:r>
      <w:r>
        <w:rPr>
          <w:rStyle w:val="FunctionTok"/>
        </w:rPr>
        <w:t>network_sizes</w:t>
      </w:r>
      <w:r>
        <w:rPr>
          <w:rStyle w:val="KeywordTok"/>
        </w:rPr>
        <w:t>:</w:t>
      </w:r>
      <w:r>
        <w:rPr>
          <w:rStyle w:val="AttributeTok"/>
        </w:rPr>
        <w:t xml:space="preserve"> </w:t>
      </w:r>
      <w:r>
        <w:rPr>
          <w:rStyle w:val="KeywordTok"/>
        </w:rPr>
        <w:t>[</w:t>
      </w:r>
      <w:r>
        <w:rPr>
          <w:rStyle w:val="DecValTok"/>
        </w:rPr>
        <w:t>5000</w:t>
      </w:r>
      <w:r>
        <w:rPr>
          <w:rStyle w:val="KeywordTok"/>
        </w:rPr>
        <w:t>,</w:t>
      </w:r>
      <w:r>
        <w:rPr>
          <w:rStyle w:val="AttributeTok"/>
        </w:rPr>
        <w:t xml:space="preserve"> </w:t>
      </w:r>
      <w:r>
        <w:rPr>
          <w:rStyle w:val="DecValTok"/>
        </w:rPr>
        <w:t>20000</w:t>
      </w:r>
      <w:r>
        <w:rPr>
          <w:rStyle w:val="KeywordTok"/>
        </w:rPr>
        <w:t>]</w:t>
      </w:r>
      <w:r>
        <w:rPr/>
        <w:br/>
      </w:r>
      <w:r>
        <w:rPr>
          <w:rStyle w:val="FunctionTok"/>
        </w:rPr>
        <w:t>exclusions</w:t>
      </w:r>
      <w:r>
        <w:rPr>
          <w:rStyle w:val="KeywordTok"/>
        </w:rPr>
        <w:t>:</w:t>
      </w:r>
      <w:r>
        <w:rPr/>
        <w:br/>
      </w:r>
      <w:r>
        <w:rPr>
          <w:rStyle w:val="AttributeTok"/>
        </w:rPr>
        <w:t xml:space="preserve">  </w:t>
      </w:r>
      <w:r>
        <w:rPr>
          <w:rStyle w:val="KeywordTok"/>
        </w:rPr>
        <w:t>-</w:t>
      </w:r>
      <w:r>
        <w:rPr>
          <w:rStyle w:val="AttributeTok"/>
        </w:rPr>
        <w:t xml:space="preserve"> </w:t>
      </w:r>
      <w:r>
        <w:rPr>
          <w:rStyle w:val="StringTok"/>
        </w:rPr>
        <w:t>"No claim about biological dimensionality"</w:t>
      </w:r>
      <w:r>
        <w:rPr/>
        <w:br/>
      </w:r>
      <w:r>
        <w:rPr>
          <w:rStyle w:val="FunctionTok"/>
        </w:rPr>
        <w:t>linked_experiments</w:t>
      </w:r>
      <w:r>
        <w:rPr>
          <w:rStyle w:val="KeywordTok"/>
        </w:rPr>
        <w:t>:</w:t>
      </w:r>
      <w:r>
        <w:rPr>
          <w:rStyle w:val="AttributeTok"/>
        </w:rPr>
        <w:t xml:space="preserve"> </w:t>
      </w:r>
      <w:r>
        <w:rPr>
          <w:rStyle w:val="KeywordTok"/>
        </w:rPr>
        <w:t>[]</w:t>
      </w:r>
      <w:r>
        <w:rPr/>
        <w:br/>
      </w:r>
      <w:r>
        <w:rPr>
          <w:rStyle w:val="FunctionTok"/>
        </w:rPr>
        <w:t>created_in_version</w:t>
      </w:r>
      <w:r>
        <w:rPr>
          <w:rStyle w:val="KeywordTok"/>
        </w:rPr>
        <w:t>:</w:t>
      </w:r>
      <w:r>
        <w:rPr>
          <w:rStyle w:val="AttributeTok"/>
        </w:rPr>
        <w:t xml:space="preserve"> </w:t>
      </w:r>
      <w:r>
        <w:rPr>
          <w:rStyle w:val="StringTok"/>
        </w:rPr>
        <w:t>"0.2"</w:t>
      </w:r>
    </w:p>
    <w:p>
      <w:pPr>
        <w:pStyle w:val="FirstParagraph"/>
        <w:rPr/>
      </w:pPr>
      <w:bookmarkStart w:id="66" w:name="epistemischer-status-und-beweislast"/>
      <w:bookmarkStart w:id="67" w:name="claims-und-geltungsbereiche"/>
      <w:r>
        <w:rPr/>
        <w:t>Die Geltungsbereichsfelder verhindern, dass ein Ergebnis aus einem kleinen Benchmark unzulässig auf alle Aufgaben, Modelle und Größen übertragen wird.</w:t>
      </w:r>
      <w:bookmarkEnd w:id="66"/>
      <w:bookmarkEnd w:id="67"/>
    </w:p>
    <w:p>
      <w:pPr>
        <w:pStyle w:val="Heading2"/>
        <w:keepNext w:val="true"/>
        <w:widowControl/>
        <w:rPr/>
      </w:pPr>
      <w:bookmarkStart w:id="68" w:name="__RefHeading___Toc10111_954062153"/>
      <w:bookmarkStart w:id="69" w:name="architektur-invarianten"/>
      <w:bookmarkEnd w:id="68"/>
      <w:r>
        <w:rPr/>
        <w:t>6. Architektur-Invarianten</w:t>
      </w:r>
    </w:p>
    <w:p>
      <w:pPr>
        <w:pStyle w:val="Heading3"/>
        <w:keepNext w:val="true"/>
        <w:widowControl/>
        <w:rPr/>
      </w:pPr>
      <w:r>
        <w:rPr/>
        <w:t>6.1 Normativer Charakter</w:t>
      </w:r>
    </w:p>
    <w:p>
      <w:pPr>
        <w:pStyle w:val="FirstParagraph"/>
        <w:rPr/>
      </w:pPr>
      <w:r>
        <w:rPr/>
        <w:t>Invarianten sind keine zufälligen Implementierungsdetails. Sie definieren Bedingungen, deren Verletzung die wissenschaftliche Interpretierbarkeit des Systems beschädigt. Eine Änderung erfordert daher eine explizite Architekturentscheidung und eine Analyse der betroffenen Claims.</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2483"/>
        <w:gridCol w:w="2484"/>
        <w:gridCol w:w="2484"/>
        <w:gridCol w:w="2484"/>
      </w:tblGrid>
      <w:tr>
        <w:trPr>
          <w:tblHeader w:val="true"/>
        </w:trPr>
        <w:tc>
          <w:tcPr>
            <w:tcW w:w="2483"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ID</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Invariante</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Begründung</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Minimaler Verifikationstest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INV-01</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Der SNN-Runtime-Loop bleibt ohne LLM, Internet und Retrieval funktionsfähig.</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verhindert Abhängigkeit des neuronalen Kerns</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Null-Backend-Integrationstest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INV-02</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Externe Komponenten besitzen keine direkten Schreibrechte auf Gewichte oder Topologie.</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erhält kausale Zuordenbarkeit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Capability-/API-Test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INV-03</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Jeder externe Einfluss passiert einen versionierten Eingabevertrag.</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ermöglicht Validierung und Replay</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Schema- und Reject-Tests</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INV-04</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Monitoring ist beobachtend; Rückkopplung ist als Intervention separat gekennzeichnet.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vermeidet versteckte LLM-Steuerung</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Datenfluss- und Audit-Test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INV-05</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Messobjekt und Interpretation sind getrennte Datentypen.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verhindert semantische Reifikation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Typ- und Serialisierungstest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INV-06</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Zustandsverändernde Operationen sind protokollierbar.</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ermöglicht Rekonstruktion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Event-Log-Vollständigkeitstest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INV-07</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Zufallsquellen und Schedulerzustände sind im Reproduktionsmodus erfassbar.</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deterministischer Replay soweit technisch möglich</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Hash-Vergleich mehrerer Replays</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INV-08</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Der potenzielle 5D-Raum wird sparse materialisiert.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verhindert unbeherrschbare Vollallokation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Speicher-Budget-Test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INV-09</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Ressourcenbudgets begrenzen Wachstum, Spikes und strukturelle Mutation.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verhindert unkontrollierte Skalierung</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Stress- und Grenzwerttest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INV-10</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Externe Fehler propagieren nicht ungefiltert in den SNN-Kern.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Fehlertoleranz</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Timeout-/Crash-Injektion</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INV-11</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Schemas, Decoder und Metriken sind versioniert.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erhält Vergleichbarkeit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Migrations- und Kompatibilitätstest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INV-12</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Jeder wissenschaftliche Lauf verweist auf Commit, Konfiguration und Seed.</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Reproduzierbarkeit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Registry-Constraint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INV-13</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Reale Aktionen passieren PolicyCheck und SafetyController.</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minimiert unautorisierte Aktorik</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Deny-by-default-Test</w:t>
            </w:r>
          </w:p>
        </w:tc>
      </w:tr>
      <w:tr>
        <w:trPr/>
        <w:tc>
          <w:tcPr>
            <w:tcW w:w="2483"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INV-14</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Ein Null- oder Baseline-Backend kann jede optionale symbolische Komponente ersetzen.</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ermöglicht Ablation</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Backend-Austauschtest</w:t>
            </w:r>
            <w:bookmarkStart w:id="70" w:name="normativer-charakter"/>
            <w:bookmarkEnd w:id="70"/>
          </w:p>
        </w:tc>
      </w:tr>
    </w:tbl>
    <w:p>
      <w:pPr>
        <w:pStyle w:val="Heading3"/>
        <w:keepNext w:val="true"/>
        <w:widowControl/>
        <w:rPr/>
      </w:pPr>
      <w:r>
        <w:rPr/>
        <w:t>6.2 Kausale Architektur des Language Organs</w:t>
      </w:r>
    </w:p>
    <w:p>
      <w:pPr>
        <w:pStyle w:val="CaptionedFigure"/>
        <w:rPr/>
      </w:pPr>
      <w:r>
        <w:rPr/>
        <w:drawing>
          <wp:inline distT="0" distB="0" distL="0" distR="0">
            <wp:extent cx="5984240" cy="3457575"/>
            <wp:effectExtent l="0" t="0" r="0" b="0"/>
            <wp:docPr id="1" name="Picture" descr="Kausale Systemgrenzen und Language-Organ-Pfade. Der graue Monitoring-Pfad endet im Logging; der orangefarbene Pfad ist eine explizite, durch das PolicyGate kontrollierte Interventi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Kausale Systemgrenzen und Language-Organ-Pfade. Der graue Monitoring-Pfad endet im Logging; der orangefarbene Pfad ist eine explizite, durch das PolicyGate kontrollierte Intervention." title=""/>
                    <pic:cNvPicPr>
                      <a:picLocks noChangeAspect="1" noChangeArrowheads="1"/>
                    </pic:cNvPicPr>
                  </pic:nvPicPr>
                  <pic:blipFill>
                    <a:blip r:embed="rId3"/>
                    <a:stretch>
                      <a:fillRect/>
                    </a:stretch>
                  </pic:blipFill>
                  <pic:spPr bwMode="auto">
                    <a:xfrm>
                      <a:off x="0" y="0"/>
                      <a:ext cx="5984240" cy="3457575"/>
                    </a:xfrm>
                    <a:prstGeom prst="rect">
                      <a:avLst/>
                    </a:prstGeom>
                    <a:noFill/>
                  </pic:spPr>
                </pic:pic>
              </a:graphicData>
            </a:graphic>
          </wp:inline>
        </w:drawing>
      </w:r>
    </w:p>
    <w:p>
      <w:pPr>
        <w:pStyle w:val="ImageCaption"/>
        <w:rPr/>
      </w:pPr>
      <w:r>
        <w:rPr/>
        <w:t>Kausale Systemgrenzen und Language-Organ-Pfade. Der graue Monitoring-Pfad endet im Logging; der orangefarbene Pfad ist eine explizite, durch das PolicyGate kontrollierte Intervention.</w:t>
      </w:r>
    </w:p>
    <w:p>
      <w:pPr>
        <w:pStyle w:val="BodyText"/>
        <w:rPr/>
      </w:pPr>
      <w:r>
        <w:rPr>
          <w:b/>
          <w:bCs/>
        </w:rPr>
        <w:t>[E0 | ARCHITECTURE-SPEC]</w:t>
      </w:r>
      <w:r>
        <w:rPr/>
        <w:t xml:space="preserve"> Die Architektur unterscheidet zwei Pfade:</w:t>
      </w:r>
    </w:p>
    <w:p>
      <w:pPr>
        <w:pStyle w:val="BodyText"/>
        <w:jc w:val="center"/>
        <w:rPr/>
      </w:pPr>
      <w:r>
        <w:rPr/>
      </w:r>
      <m:oMathPara xmlns:m="http://schemas.openxmlformats.org/officeDocument/2006/math">
        <m:oMathParaPr>
          <m:jc m:val="center"/>
        </m:oMathParaPr>
        <m:oMath>
          <m:r>
            <m:rPr>
              <m:lit/>
              <m:nor/>
            </m:rPr>
            <m:t xml:space="preserve">SNN</m:t>
          </m:r>
          <m:r>
            <m:t xml:space="preserve">→</m:t>
          </m:r>
          <m:r>
            <m:rPr>
              <m:lit/>
              <m:nor/>
            </m:rPr>
            <m:t xml:space="preserve">SignalFrame</m:t>
          </m:r>
          <m:r>
            <m:t xml:space="preserve">→</m:t>
          </m:r>
          <m:r>
            <m:rPr>
              <m:lit/>
              <m:nor/>
            </m:rPr>
            <m:t xml:space="preserve">Monitor</m:t>
          </m:r>
          <m:r>
            <m:t xml:space="preserve">→</m:t>
          </m:r>
          <m:r>
            <m:rPr>
              <m:lit/>
              <m:nor/>
            </m:rPr>
            <m:t xml:space="preserve">Logging</m:t>
          </m:r>
        </m:oMath>
      </m:oMathPara>
    </w:p>
    <w:p>
      <w:pPr>
        <w:pStyle w:val="FirstParagraph"/>
        <w:rPr/>
      </w:pPr>
      <w:r>
        <w:rPr/>
        <w:t>und optional:</w:t>
      </w:r>
    </w:p>
    <w:p>
      <w:pPr>
        <w:pStyle w:val="BodyText"/>
        <w:jc w:val="center"/>
        <w:rPr/>
      </w:pPr>
      <w:r>
        <w:rPr/>
      </w:r>
      <m:oMathPara xmlns:m="http://schemas.openxmlformats.org/officeDocument/2006/math">
        <m:oMathParaPr>
          <m:jc m:val="center"/>
        </m:oMathParaPr>
        <m:oMath>
          <m:r>
            <m:rPr>
              <m:lit/>
              <m:nor/>
            </m:rPr>
            <m:t xml:space="preserve">SignalFrame</m:t>
          </m:r>
          <m:r>
            <m:t xml:space="preserve">→</m:t>
          </m:r>
          <m:r>
            <m:rPr>
              <m:lit/>
              <m:nor/>
            </m:rPr>
            <m:t xml:space="preserve">LLM</m:t>
          </m:r>
          <m:r>
            <m:t xml:space="preserve">→</m:t>
          </m:r>
          <m:r>
            <m:rPr>
              <m:lit/>
              <m:nor/>
            </m:rPr>
            <m:t xml:space="preserve">FeedbackProposal</m:t>
          </m:r>
          <m:r>
            <m:t xml:space="preserve">→</m:t>
          </m:r>
          <m:r>
            <m:rPr>
              <m:lit/>
              <m:nor/>
            </m:rPr>
            <m:t xml:space="preserve">PolicyGate</m:t>
          </m:r>
          <m:r>
            <m:t xml:space="preserve">→</m:t>
          </m:r>
          <m:r>
            <m:rPr>
              <m:lit/>
              <m:nor/>
            </m:rPr>
            <m:t xml:space="preserve">StimulusPlan</m:t>
          </m:r>
          <m:r>
            <m:t xml:space="preserve">→</m:t>
          </m:r>
          <m:r>
            <m:rPr>
              <m:lit/>
              <m:nor/>
            </m:rPr>
            <m:t xml:space="preserve">SNN</m:t>
          </m:r>
          <m:r>
            <m:t xml:space="preserve">.</m:t>
          </m:r>
        </m:oMath>
      </m:oMathPara>
    </w:p>
    <w:p>
      <w:pPr>
        <w:pStyle w:val="FirstParagraph"/>
        <w:rPr/>
      </w:pPr>
      <w:bookmarkStart w:id="71" w:name="architektur-invarianten"/>
      <w:r>
        <w:rPr/>
        <w:t>Der erste Pfad ist beobachtend. Der zweite verändert potenziell zukünftige Netzwerkzustände und ist deshalb eine Intervention. Die frühere Formulierung, ein Monitoring-Bericht werde direkt zurück in das SNN gespeist, wird verworfen.</w:t>
      </w:r>
      <w:bookmarkEnd w:id="71"/>
    </w:p>
    <w:p>
      <w:pPr>
        <w:pStyle w:val="Heading2"/>
        <w:keepNext w:val="true"/>
        <w:widowControl/>
        <w:rPr/>
      </w:pPr>
      <w:bookmarkStart w:id="72" w:name="__RefHeading___Toc10113_954062153"/>
      <w:bookmarkStart w:id="73" w:name="X56742887bdee16f5f64a76f8ea729fa8e6c93ff"/>
      <w:bookmarkEnd w:id="72"/>
      <w:r>
        <w:rPr/>
        <w:t>7. Forschungsstatus, Engineering-Roadmap und Forschungshypothesen</w:t>
      </w:r>
    </w:p>
    <w:p>
      <w:pPr>
        <w:pStyle w:val="Heading3"/>
        <w:keepNext w:val="true"/>
        <w:widowControl/>
        <w:rPr/>
      </w:pPr>
      <w:bookmarkStart w:id="74" w:name="drei-getrennte-register"/>
      <w:r>
        <w:rPr/>
        <w:t>7.1 Drei getrennte Register</w:t>
      </w:r>
    </w:p>
    <w:p>
      <w:pPr>
        <w:pStyle w:val="Compact"/>
        <w:numPr>
          <w:ilvl w:val="0"/>
          <w:numId w:val="95"/>
        </w:numPr>
        <w:rPr/>
      </w:pPr>
      <w:r>
        <w:rPr>
          <w:b/>
          <w:bCs/>
        </w:rPr>
        <w:t>Implementation Registry:</w:t>
      </w:r>
      <w:r>
        <w:rPr/>
        <w:t xml:space="preserve"> Komponenten, Schemas, Tests, Performance und bekannte Fehler;</w:t>
      </w:r>
    </w:p>
    <w:p>
      <w:pPr>
        <w:pStyle w:val="Compact"/>
        <w:numPr>
          <w:ilvl w:val="0"/>
          <w:numId w:val="96"/>
        </w:numPr>
        <w:rPr/>
      </w:pPr>
      <w:r>
        <w:rPr>
          <w:b/>
          <w:bCs/>
        </w:rPr>
        <w:t>Experiment Registry:</w:t>
      </w:r>
      <w:r>
        <w:rPr/>
        <w:t xml:space="preserve"> präregistrierte Versuche, Läufe, Artefakte und Auswertungen;</w:t>
      </w:r>
    </w:p>
    <w:p>
      <w:pPr>
        <w:pStyle w:val="Compact"/>
        <w:numPr>
          <w:ilvl w:val="0"/>
          <w:numId w:val="97"/>
        </w:numPr>
        <w:rPr/>
      </w:pPr>
      <w:r>
        <w:rPr>
          <w:b/>
          <w:bCs/>
        </w:rPr>
        <w:t>Claim Registry:</w:t>
      </w:r>
      <w:r>
        <w:rPr/>
        <w:t xml:space="preserve"> wissenschaftliche Aussagen, Evidenzstufe, Geltungsbereich und Gegenbelege.</w:t>
      </w:r>
    </w:p>
    <w:p>
      <w:pPr>
        <w:pStyle w:val="FirstParagraph"/>
        <w:rPr/>
      </w:pPr>
      <w:bookmarkStart w:id="75" w:name="drei-getrennte-register"/>
      <w:r>
        <w:rPr/>
        <w:t>Eine Roadmap-Funktion ist nicht implementiert, nur weil sie spezifiziert wurde. Eine Komponente ist nicht wissenschaftlich validiert, nur weil Unit-Tests bestehen. Umgekehrt kann ein negatives Experiment eine korrekte Implementierung bestätigen und zugleich eine Hypothese falsifizieren.</w:t>
      </w:r>
      <w:bookmarkEnd w:id="75"/>
    </w:p>
    <w:p>
      <w:pPr>
        <w:pStyle w:val="Heading3"/>
        <w:keepNext w:val="true"/>
        <w:widowControl/>
        <w:rPr/>
      </w:pPr>
      <w:bookmarkStart w:id="76" w:name="Xaee95856b78fc77295e2015c9e5b10ac02653b5"/>
      <w:r>
        <w:rPr/>
        <w:t>7.2 Empfohlene Statusdarstellung im Repository</w:t>
      </w:r>
    </w:p>
    <w:p>
      <w:pPr>
        <w:pStyle w:val="SourceCode"/>
        <w:shd w:val="clear" w:fill="F5F7FA"/>
        <w:rPr/>
      </w:pPr>
      <w:r>
        <w:rPr>
          <w:rStyle w:val="VerbatimChar"/>
        </w:rPr>
        <w:t>[E0 | SPECIFIED]     5D metric learning protocol defined in docs/02_5d_geometry.md</w:t>
      </w:r>
      <w:r>
        <w:rPr/>
        <w:br/>
      </w:r>
      <w:r>
        <w:rPr>
          <w:rStyle w:val="VerbatimChar"/>
        </w:rPr>
        <w:t>[E1 | IMPLEMENTED]   Metric tensor serialized and validated by tests/test_metric.py</w:t>
      </w:r>
      <w:r>
        <w:rPr/>
        <w:br/>
      </w:r>
      <w:r>
        <w:rPr>
          <w:rStyle w:val="VerbatimChar"/>
        </w:rPr>
        <w:t>[E2 | VALIDATED]     EXP-GEO-014 shows preregistered retention effect, 30 seeds</w:t>
      </w:r>
      <w:r>
        <w:rPr/>
        <w:br/>
      </w:r>
      <w:r>
        <w:rPr>
          <w:rStyle w:val="VerbatimChar"/>
        </w:rPr>
        <w:t>[E3 | SYSTEM]        Effect persists across closed-loop tasks and two network scales</w:t>
      </w:r>
    </w:p>
    <w:p>
      <w:pPr>
        <w:pStyle w:val="FirstParagraph"/>
        <w:rPr/>
      </w:pPr>
      <w:bookmarkStart w:id="77" w:name="teil-i-wissenschaftliche-rahmung"/>
      <w:bookmarkStart w:id="78" w:name="X56742887bdee16f5f64a76f8ea729fa8e6c93ff"/>
      <w:bookmarkStart w:id="79" w:name="Xaee95856b78fc77295e2015c9e5b10ac02653b5"/>
      <w:r>
        <w:rPr/>
        <w:t>Jede Zeile soll maschinenlesbar auf Registry-IDs verweisen. Freitext in einem README ersetzt keinen Nachweis.</w:t>
      </w:r>
      <w:bookmarkEnd w:id="77"/>
      <w:bookmarkEnd w:id="78"/>
      <w:bookmarkEnd w:id="79"/>
      <w:r>
        <w:br w:type="page"/>
      </w:r>
    </w:p>
    <w:p>
      <w:pPr>
        <w:pStyle w:val="Heading1"/>
        <w:keepNext w:val="true"/>
        <w:widowControl/>
        <w:rPr/>
      </w:pPr>
      <w:bookmarkStart w:id="80" w:name="__RefHeading___Toc10115_954062153"/>
      <w:bookmarkStart w:id="81" w:name="X1f5d6170fb2594afbffe3fcb338b4ffe5fdbc47"/>
      <w:bookmarkEnd w:id="80"/>
      <w:r>
        <w:rPr/>
        <w:t>Teil II — Mathematische und rechnerische Grundlagen</w:t>
      </w:r>
    </w:p>
    <w:p>
      <w:pPr>
        <w:pStyle w:val="Heading2"/>
        <w:keepNext w:val="true"/>
        <w:widowControl/>
        <w:rPr/>
      </w:pPr>
      <w:bookmarkStart w:id="82" w:name="__RefHeading___Toc10117_954062153"/>
      <w:bookmarkStart w:id="83" w:name="Xa7c798b5b736f9edea483cad011a23b46437fbc"/>
      <w:bookmarkEnd w:id="82"/>
      <w:r>
        <w:rPr/>
        <w:t>8. Mathematische Annahmen und Geltungsbedingungen</w:t>
      </w:r>
    </w:p>
    <w:p>
      <w:pPr>
        <w:pStyle w:val="Heading3"/>
        <w:keepNext w:val="true"/>
        <w:widowControl/>
        <w:rPr/>
      </w:pPr>
      <w:bookmarkStart w:id="84" w:name="funktion-der-annahmen"/>
      <w:r>
        <w:rPr/>
        <w:t>8.1 Funktion der Annahmen</w:t>
      </w:r>
    </w:p>
    <w:p>
      <w:pPr>
        <w:pStyle w:val="FirstParagraph"/>
        <w:rPr/>
      </w:pPr>
      <w:bookmarkStart w:id="85" w:name="funktion-der-annahmen"/>
      <w:r>
        <w:rPr/>
        <w:t>Mathematische Formalisierung setzt voraus, dass Modellobjekte, Zeitskalen und Beobachtungen hinreichend definiert sind. Brain-5D unterscheidet deshalb explizite Arbeitsannahmen von hergeleiteten Resultaten. Eine Verletzung der Annahmen macht eine Gleichung nicht technisch unbrauchbar, begrenzt aber ihre Interpretation.</w:t>
      </w:r>
      <w:bookmarkEnd w:id="85"/>
    </w:p>
    <w:p>
      <w:pPr>
        <w:pStyle w:val="Heading3"/>
        <w:keepNext w:val="true"/>
        <w:widowControl/>
        <w:rPr/>
      </w:pPr>
      <w:r>
        <w:rPr/>
        <w:t>8.2 Annahmenkatalog</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2483"/>
        <w:gridCol w:w="2484"/>
        <w:gridCol w:w="2484"/>
        <w:gridCol w:w="2484"/>
      </w:tblGrid>
      <w:tr>
        <w:trPr>
          <w:tblHeader w:val="true"/>
        </w:trPr>
        <w:tc>
          <w:tcPr>
            <w:tcW w:w="2483"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ID</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Arbeitsannahme</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Bedeutung</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Prüfung / Sensitivität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A-MATH-01</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Der materialisierte Zustand ist zu jedem Safe Point endlich.</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Speicher, Graph und Ereignismengen sind begrenzt.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Budget- und Integritätstest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A-MATH-02</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Zustandsübergänge sind bei gegebenem Zustand, Input, Parametern und RNG wohldefiniert.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keine mehrdeutige partielle Mutation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deterministischer Golden Run</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A-MATH-03</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Numerische Integration konvergiert im relevanten Parameterbereich hinreichend.</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Schrittweite erzeugt keine dominanten Artefakte.</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Schrittweiten- und Solverablation</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A-MATH-04</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Die Metrikmatrix ist symmetrisch positiv definit oder bewusst semidefinit.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Distanzen sind mathematisch kontrolliert.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Eigenwert-/Cholesky-Test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A-MATH-05</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Beobachtungsfenster und Regionen sind vor Auswertung fixiert oder als explorativ markiert.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verhindert post-hoc Optimierung.</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Registry-Prüfung</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A-MATH-06</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Seeds beziehungsweise Runs sind zwischen Bedingungen austauschbar oder gepaart.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Grundlage für Permutation und Vergleich.</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Randomisierungsprotokoll</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A-MATH-07</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Stationarität wird nur lokal und zeitfensterbezogen angenommen.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lernende Graphen sind global nichtstationär.</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Change-Point-/Driftanalyse</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A-MATH-08</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Decodertraining und Testdaten sind auf Episodenebene getrennt.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verhindert zeitliches Leakage.</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Split-Audit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A-MATH-09</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Kausale Interventionen verändern die Zielkomponente spezifischer als gematchte Kontrollen.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Voraussetzung funktionaler Attribution.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Manipulationscheck</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A-MATH-10</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Ressourcenproxies werden nicht ohne Kalibrierung als physikalische Energie bezeichnet.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schützt vor Einheitenfehlern.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Hardwaremessung / Kalibration</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A-MATH-11</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Fehlende Daten sind explizit und nicht stillschweigend Null.</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Null kann ein valider Sensorwert sein.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Schema-Constraint</w:t>
            </w:r>
          </w:p>
        </w:tc>
      </w:tr>
      <w:tr>
        <w:trPr/>
        <w:tc>
          <w:tcPr>
            <w:tcW w:w="2483"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A-MATH-12</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Abgeleitete Metriken sind Funktionen versionierter Primärdaten.</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Reanalyse bleibt möglich.</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Provenienz-Trace</w:t>
            </w:r>
            <w:bookmarkStart w:id="86" w:name="annahmenkatalog"/>
            <w:bookmarkEnd w:id="86"/>
          </w:p>
        </w:tc>
      </w:tr>
    </w:tbl>
    <w:p>
      <w:pPr>
        <w:pStyle w:val="Heading3"/>
        <w:keepNext w:val="true"/>
        <w:widowControl/>
        <w:rPr/>
      </w:pPr>
      <w:r>
        <w:rPr/>
        <w:t>8.3 Wohldefiniertheit und numerische Konvergenz</w:t>
      </w:r>
    </w:p>
    <w:p>
      <w:pPr>
        <w:pStyle w:val="FirstParagraph"/>
        <w:rPr/>
      </w:pPr>
      <w:r>
        <w:rPr/>
        <w:t>Für ein gegebenes Modell soll die Simulation eine eindeutige Ereignisordnung besitzen. Gleichzeitige Spikes, synaptische Updates und Strukturänderungen benötigen eine festgelegte Priorität oder eine mathematisch begründete simultane Update-Regel. Andernfalls können unterschiedliche Thread- oder Datenbankreihenfolgen verschiedene wissenschaftliche Resultate erzeugen.</w:t>
      </w:r>
    </w:p>
    <w:p>
      <w:pPr>
        <w:pStyle w:val="BodyText"/>
        <w:rPr/>
      </w:pPr>
      <w:r>
        <w:rPr/>
        <w:t xml:space="preserve">Numerische Konvergenz wird nicht nur über Membranpotentiale geprüft. Bei veränderter Schrittweite </w:t>
      </w:r>
      <w:r>
        <w:rPr/>
      </w:r>
      <m:oMath xmlns:m="http://schemas.openxmlformats.org/officeDocument/2006/math">
        <m:r>
          <m:t xml:space="preserve">Δ</m:t>
        </m:r>
        <m:r>
          <m:t xml:space="preserve">t</m:t>
        </m:r>
      </m:oMath>
      <w:r>
        <w:rPr/>
        <w:t xml:space="preserve"> werden auch Spikezeiten, Populationsmetriken, Gewichtsverteilungen und funktionale Outcomes verglichen. Eine geeignete Fehlerfamilie ist</w:t>
      </w:r>
    </w:p>
    <w:p>
      <w:pPr>
        <w:pStyle w:val="BodyText"/>
        <w:rPr/>
      </w:pPr>
      <w:r>
        <w:rPr>
          <w:b/>
          <w:bCs/>
        </w:rPr>
        <w:t>[EMP]</w:t>
      </w:r>
    </w:p>
    <w:p>
      <w:pPr>
        <w:pStyle w:val="BodyText"/>
        <w:jc w:val="center"/>
        <w:rPr/>
      </w:pPr>
      <w:r>
        <w:rPr/>
      </w:r>
      <m:oMathPara xmlns:m="http://schemas.openxmlformats.org/officeDocument/2006/math">
        <m:oMathParaPr>
          <m:jc m:val="center"/>
        </m:oMathParaPr>
        <m:oMath>
          <m:sSub>
            <m:e>
              <m:r>
                <m:t xml:space="preserve">E</m:t>
              </m:r>
            </m:e>
            <m:sub>
              <m:r>
                <m:t xml:space="preserve">Δ</m:t>
              </m:r>
              <m:r>
                <m:t xml:space="preserve">t</m:t>
              </m:r>
            </m:sub>
          </m:sSub>
          <m:r>
            <m:t xml:space="preserve">=</m:t>
          </m:r>
          <m:r>
            <m:t xml:space="preserve">d</m:t>
          </m:r>
          <m:d>
            <m:dPr>
              <m:begChr m:val="("/>
              <m:endChr m:val=")"/>
            </m:dPr>
            <m:e>
              <m:sSub>
                <m:e>
                  <m:r>
                    <m:t xml:space="preserve">O</m:t>
                  </m:r>
                </m:e>
                <m:sub>
                  <m:r>
                    <m:t xml:space="preserve">Δ</m:t>
                  </m:r>
                  <m:r>
                    <m:t xml:space="preserve">t</m:t>
                  </m:r>
                </m:sub>
              </m:sSub>
              <m:r>
                <m:t xml:space="preserve">,</m:t>
              </m:r>
              <m:sSub>
                <m:e>
                  <m:r>
                    <m:t xml:space="preserve">O</m:t>
                  </m:r>
                </m:e>
                <m:sub>
                  <m:r>
                    <m:t xml:space="preserve">Δ</m:t>
                  </m:r>
                  <m:f>
                    <m:fPr>
                      <m:type m:val="lin"/>
                    </m:fPr>
                    <m:num>
                      <m:r>
                        <m:t xml:space="preserve">t</m:t>
                      </m:r>
                    </m:num>
                    <m:den>
                      <m:r>
                        <m:t xml:space="preserve">2</m:t>
                      </m:r>
                    </m:den>
                  </m:f>
                </m:sub>
              </m:sSub>
              <m:r>
                <m:t xml:space="preserve">i</m:t>
              </m:r>
              <m:r>
                <m:t xml:space="preserve">g</m:t>
              </m:r>
              <m:r>
                <m:t xml:space="preserve">h</m:t>
              </m:r>
              <m:r>
                <m:t xml:space="preserve">t</m:t>
              </m:r>
              <m:r>
                <m:t xml:space="preserve">)</m:t>
              </m:r>
              <m:r>
                <m:t xml:space="preserve">,</m:t>
              </m:r>
            </m:e>
          </m:d>
        </m:oMath>
      </m:oMathPara>
    </w:p>
    <w:p>
      <w:pPr>
        <w:pStyle w:val="FirstParagraph"/>
        <w:rPr/>
      </w:pPr>
      <w:r>
        <w:rPr/>
        <w:t xml:space="preserve">wobei </w:t>
      </w:r>
      <w:r>
        <w:rPr/>
      </w:r>
      <m:oMath xmlns:m="http://schemas.openxmlformats.org/officeDocument/2006/math">
        <m:r>
          <m:t xml:space="preserve">O</m:t>
        </m:r>
      </m:oMath>
      <w:r>
        <w:rPr/>
        <w:t xml:space="preserve"> die für den Claim relevante Beobachtung bezeichnet. Exakte Spikegleichheit kann bei sensitiver Dynamik unrealistisch sein; dann sind statistische oder funktionale Konvergenzkriterien erforderlich.</w:t>
      </w:r>
    </w:p>
    <w:p>
      <w:pPr>
        <w:pStyle w:val="Heading3"/>
        <w:keepNext w:val="true"/>
        <w:widowControl/>
        <w:rPr/>
      </w:pPr>
      <w:bookmarkStart w:id="87" w:name="identifizierbarkeit"/>
      <w:r>
        <w:rPr/>
        <w:t>8.4 Identifizierbarkeit</w:t>
      </w:r>
    </w:p>
    <w:p>
      <w:pPr>
        <w:pStyle w:val="FirstParagraph"/>
        <w:rPr/>
      </w:pPr>
      <w:bookmarkStart w:id="88" w:name="identifizierbarkeit"/>
      <w:r>
        <w:rPr/>
        <w:t>Ein Parameter ist praktisch nicht identifizierbar, wenn verschiedene Werte oder Mechanismenkombinationen dieselben beobachteten Metriken erzeugen. Brain-5D begegnet diesem Problem durch Mechanismenablation, multiple Beobachtungsebenen und gezielte Intervention. Gute Vorhersage allein identifiziert nicht zwingend den richtigen Mechanismus.</w:t>
      </w:r>
      <w:bookmarkEnd w:id="88"/>
    </w:p>
    <w:p>
      <w:pPr>
        <w:pStyle w:val="Heading3"/>
        <w:keepNext w:val="true"/>
        <w:widowControl/>
        <w:rPr/>
      </w:pPr>
      <w:bookmarkStart w:id="89" w:name="dimensionslose-größen"/>
      <w:r>
        <w:rPr/>
        <w:t>8.5 Dimensionslose Größen</w:t>
      </w:r>
    </w:p>
    <w:p>
      <w:pPr>
        <w:pStyle w:val="FirstParagraph"/>
        <w:rPr/>
      </w:pPr>
      <w:bookmarkStart w:id="90" w:name="dimensionslose-größen"/>
      <w:r>
        <w:rPr/>
        <w:t>Wo möglich werden dimensionslose Kennzahlen verwendet, etwa normierte Rate, Delay relativ zur Membranzeit oder Kosten relativ zum Budget. Dies erleichtert Größenvergleiche. Eine dimensionslose Darstellung darf physikalische Einheiten nicht verbergen; beide werden im Registry-Schema gespeichert.</w:t>
      </w:r>
      <w:bookmarkEnd w:id="90"/>
    </w:p>
    <w:p>
      <w:pPr>
        <w:pStyle w:val="Heading3"/>
        <w:keepNext w:val="true"/>
        <w:widowControl/>
        <w:rPr/>
      </w:pPr>
      <w:bookmarkStart w:id="91" w:name="modellgrenzen"/>
      <w:r>
        <w:rPr/>
        <w:t>8.6 Modellgrenzen</w:t>
      </w:r>
    </w:p>
    <w:p>
      <w:pPr>
        <w:pStyle w:val="FirstParagraph"/>
        <w:rPr/>
      </w:pPr>
      <w:bookmarkStart w:id="92" w:name="Xa7c798b5b736f9edea483cad011a23b46437fbc"/>
      <w:bookmarkStart w:id="93" w:name="modellgrenzen"/>
      <w:r>
        <w:rPr/>
        <w:t>Die Arbeitsgleichungen bilden eine Familie möglicher Brain-5D-Instanzen. Ein Ergebnis gilt zunächst für die konkret registrierte Instanz. Generalisierung auf andere Neuronenmodelle, Zeitschritte, Metriken oder Aufgaben erfordert eigene Evidenz.</w:t>
      </w:r>
      <w:bookmarkEnd w:id="92"/>
      <w:bookmarkEnd w:id="93"/>
    </w:p>
    <w:p>
      <w:pPr>
        <w:pStyle w:val="Heading2"/>
        <w:keepNext w:val="true"/>
        <w:widowControl/>
        <w:rPr/>
      </w:pPr>
      <w:bookmarkStart w:id="94" w:name="__RefHeading___Toc10119_954062153"/>
      <w:bookmarkStart w:id="95" w:name="brain-5d-als-hybrides-dynamisches-system"/>
      <w:bookmarkEnd w:id="94"/>
      <w:r>
        <w:rPr/>
        <w:t>9. Brain-5D als hybrides dynamisches System</w:t>
      </w:r>
    </w:p>
    <w:p>
      <w:pPr>
        <w:pStyle w:val="Heading3"/>
        <w:keepNext w:val="true"/>
        <w:widowControl/>
        <w:rPr/>
      </w:pPr>
      <w:bookmarkStart w:id="96" w:name="zustandsraum"/>
      <w:r>
        <w:rPr/>
        <w:t>9.1 Zustandsraum</w:t>
      </w:r>
    </w:p>
    <w:p>
      <w:pPr>
        <w:pStyle w:val="FirstParagraph"/>
        <w:rPr/>
      </w:pPr>
      <w:r>
        <w:rPr>
          <w:b/>
          <w:bCs/>
        </w:rPr>
        <w:t>[DEF]</w:t>
      </w:r>
      <w:r>
        <w:rPr/>
        <w:t xml:space="preserve"> Der materialisierte Brain-5D-Zustand zum Simulationszeitpunkt </w:t>
      </w:r>
      <w:r>
        <w:rPr/>
      </w:r>
      <m:oMath xmlns:m="http://schemas.openxmlformats.org/officeDocument/2006/math">
        <m:r>
          <m:t xml:space="preserve">t</m:t>
        </m:r>
      </m:oMath>
      <w:r>
        <w:rPr/>
        <w:t xml:space="preserve"> wird als</w:t>
      </w:r>
    </w:p>
    <w:p>
      <w:pPr>
        <w:pStyle w:val="BodyText"/>
        <w:jc w:val="center"/>
        <w:rPr/>
      </w:pPr>
      <w:r>
        <w:rPr/>
      </w:r>
      <m:oMathPara xmlns:m="http://schemas.openxmlformats.org/officeDocument/2006/math">
        <m:oMathParaPr>
          <m:jc m:val="center"/>
        </m:oMathParaPr>
        <m:oMath>
          <m:sSub>
            <m:e>
              <m:r>
                <m:t xml:space="preserve">X</m:t>
              </m:r>
            </m:e>
            <m:sub>
              <m:r>
                <m:t xml:space="preserve">t</m:t>
              </m:r>
            </m:sub>
          </m:sSub>
          <m:r>
            <m:t xml:space="preserve">=</m:t>
          </m:r>
          <m:d>
            <m:dPr>
              <m:begChr m:val="("/>
              <m:endChr m:val=")"/>
            </m:dPr>
            <m:e>
              <m:sSubSup>
                <m:e>
                  <m:r>
                    <m:t xml:space="preserve">X</m:t>
                  </m:r>
                </m:e>
                <m:sub>
                  <m:r>
                    <m:t xml:space="preserve">t</m:t>
                  </m:r>
                </m:sub>
                <m:sup>
                  <m:r>
                    <m:t xml:space="preserve">N</m:t>
                  </m:r>
                </m:sup>
              </m:sSubSup>
              <m:r>
                <m:t xml:space="preserve">,</m:t>
              </m:r>
              <m:sSubSup>
                <m:e>
                  <m:r>
                    <m:t xml:space="preserve">X</m:t>
                  </m:r>
                </m:e>
                <m:sub>
                  <m:r>
                    <m:t xml:space="preserve">t</m:t>
                  </m:r>
                </m:sub>
                <m:sup>
                  <m:r>
                    <m:t xml:space="preserve">S</m:t>
                  </m:r>
                </m:sup>
              </m:sSubSup>
              <m:r>
                <m:t xml:space="preserve">,</m:t>
              </m:r>
              <m:sSubSup>
                <m:e>
                  <m:r>
                    <m:t xml:space="preserve">X</m:t>
                  </m:r>
                </m:e>
                <m:sub>
                  <m:r>
                    <m:t xml:space="preserve">t</m:t>
                  </m:r>
                </m:sub>
                <m:sup>
                  <m:r>
                    <m:t xml:space="preserve">P</m:t>
                  </m:r>
                </m:sup>
              </m:sSubSup>
              <m:r>
                <m:t xml:space="preserve">,</m:t>
              </m:r>
              <m:sSubSup>
                <m:e>
                  <m:r>
                    <m:t xml:space="preserve">X</m:t>
                  </m:r>
                </m:e>
                <m:sub>
                  <m:r>
                    <m:t xml:space="preserve">t</m:t>
                  </m:r>
                </m:sub>
                <m:sup>
                  <m:r>
                    <m:t xml:space="preserve">H</m:t>
                  </m:r>
                </m:sup>
              </m:sSubSup>
              <m:r>
                <m:t xml:space="preserve">,</m:t>
              </m:r>
              <m:sSubSup>
                <m:e>
                  <m:r>
                    <m:t xml:space="preserve">X</m:t>
                  </m:r>
                </m:e>
                <m:sub>
                  <m:r>
                    <m:t xml:space="preserve">t</m:t>
                  </m:r>
                </m:sub>
                <m:sup>
                  <m:r>
                    <m:t xml:space="preserve">E</m:t>
                  </m:r>
                </m:sup>
              </m:sSubSup>
              <m:r>
                <m:t xml:space="preserve">,</m:t>
              </m:r>
              <m:sSubSup>
                <m:e>
                  <m:r>
                    <m:t xml:space="preserve">X</m:t>
                  </m:r>
                </m:e>
                <m:sub>
                  <m:r>
                    <m:t xml:space="preserve">t</m:t>
                  </m:r>
                </m:sub>
                <m:sup>
                  <m:r>
                    <m:t xml:space="preserve">A</m:t>
                  </m:r>
                </m:sup>
              </m:sSubSup>
              <m:r>
                <m:t xml:space="preserve">,</m:t>
              </m:r>
              <m:sSubSup>
                <m:e>
                  <m:r>
                    <m:t xml:space="preserve">X</m:t>
                  </m:r>
                </m:e>
                <m:sub>
                  <m:r>
                    <m:t xml:space="preserve">t</m:t>
                  </m:r>
                </m:sub>
                <m:sup>
                  <m:r>
                    <m:t xml:space="preserve">R</m:t>
                  </m:r>
                </m:sup>
              </m:sSubSup>
              <m:r>
                <m:t xml:space="preserve">,</m:t>
              </m:r>
              <m:sSubSup>
                <m:e>
                  <m:r>
                    <m:t xml:space="preserve">X</m:t>
                  </m:r>
                </m:e>
                <m:sub>
                  <m:r>
                    <m:t xml:space="preserve">t</m:t>
                  </m:r>
                </m:sub>
                <m:sup>
                  <m:r>
                    <m:t xml:space="preserve">M</m:t>
                  </m:r>
                </m:sup>
              </m:sSubSup>
            </m:e>
          </m:d>
        </m:oMath>
      </m:oMathPara>
    </w:p>
    <w:p>
      <w:pPr>
        <w:pStyle w:val="FirstParagraph"/>
        <w:rPr/>
      </w:pPr>
      <w:r>
        <w:rPr/>
        <w:t>definiert. Darin bezeichnen:</w:t>
      </w:r>
    </w:p>
    <w:p>
      <w:pPr>
        <w:pStyle w:val="Compact"/>
        <w:numPr>
          <w:ilvl w:val="0"/>
          <w:numId w:val="98"/>
        </w:numPr>
        <w:rPr/>
      </w:pPr>
      <w:r>
        <w:rPr/>
      </w:r>
      <m:oMath xmlns:m="http://schemas.openxmlformats.org/officeDocument/2006/math">
        <m:sSubSup>
          <m:e>
            <m:r>
              <m:t xml:space="preserve">X</m:t>
            </m:r>
          </m:e>
          <m:sub>
            <m:r>
              <m:t xml:space="preserve">t</m:t>
            </m:r>
          </m:sub>
          <m:sup>
            <m:r>
              <m:t xml:space="preserve">N</m:t>
            </m:r>
          </m:sup>
        </m:sSubSup>
      </m:oMath>
      <w:r>
        <w:rPr/>
        <w:t xml:space="preserve"> </w:t>
      </w:r>
      <w:r>
        <w:rPr/>
        <w:t>die neuronalen Zustände, Parameter, Koordinaten und Zelltypen;</w:t>
      </w:r>
    </w:p>
    <w:p>
      <w:pPr>
        <w:pStyle w:val="Compact"/>
        <w:numPr>
          <w:ilvl w:val="0"/>
          <w:numId w:val="99"/>
        </w:numPr>
        <w:rPr/>
      </w:pPr>
      <w:r>
        <w:rPr/>
      </w:r>
      <m:oMath xmlns:m="http://schemas.openxmlformats.org/officeDocument/2006/math">
        <m:sSubSup>
          <m:e>
            <m:r>
              <m:t xml:space="preserve">X</m:t>
            </m:r>
          </m:e>
          <m:sub>
            <m:r>
              <m:t xml:space="preserve">t</m:t>
            </m:r>
          </m:sub>
          <m:sup>
            <m:r>
              <m:t xml:space="preserve">S</m:t>
            </m:r>
          </m:sup>
        </m:sSubSup>
      </m:oMath>
      <w:r>
        <w:rPr/>
        <w:t xml:space="preserve"> </w:t>
      </w:r>
      <w:r>
        <w:rPr/>
        <w:t>die Synapsen, Gewichte, Verzögerungen, Typen und Eligibility Traces;</w:t>
      </w:r>
    </w:p>
    <w:p>
      <w:pPr>
        <w:pStyle w:val="Compact"/>
        <w:numPr>
          <w:ilvl w:val="0"/>
          <w:numId w:val="100"/>
        </w:numPr>
        <w:rPr/>
      </w:pPr>
      <w:r>
        <w:rPr/>
      </w:r>
      <m:oMath xmlns:m="http://schemas.openxmlformats.org/officeDocument/2006/math">
        <m:sSubSup>
          <m:e>
            <m:r>
              <m:t xml:space="preserve">X</m:t>
            </m:r>
          </m:e>
          <m:sub>
            <m:r>
              <m:t xml:space="preserve">t</m:t>
            </m:r>
          </m:sub>
          <m:sup>
            <m:r>
              <m:t xml:space="preserve">P</m:t>
            </m:r>
          </m:sup>
        </m:sSubSup>
      </m:oMath>
      <w:r>
        <w:rPr/>
        <w:t xml:space="preserve"> </w:t>
      </w:r>
      <w:r>
        <w:rPr/>
        <w:t>den Zustand der Plastizitätsprozesse;</w:t>
      </w:r>
    </w:p>
    <w:p>
      <w:pPr>
        <w:pStyle w:val="Compact"/>
        <w:numPr>
          <w:ilvl w:val="0"/>
          <w:numId w:val="101"/>
        </w:numPr>
        <w:rPr/>
      </w:pPr>
      <w:r>
        <w:rPr/>
      </w:r>
      <m:oMath xmlns:m="http://schemas.openxmlformats.org/officeDocument/2006/math">
        <m:sSubSup>
          <m:e>
            <m:r>
              <m:t xml:space="preserve">X</m:t>
            </m:r>
          </m:e>
          <m:sub>
            <m:r>
              <m:t xml:space="preserve">t</m:t>
            </m:r>
          </m:sub>
          <m:sup>
            <m:r>
              <m:t xml:space="preserve">H</m:t>
            </m:r>
          </m:sup>
        </m:sSubSup>
      </m:oMath>
      <w:r>
        <w:rPr/>
        <w:t xml:space="preserve"> </w:t>
      </w:r>
      <w:r>
        <w:rPr/>
        <w:t>homeostatische und metaplastische Regler;</w:t>
      </w:r>
    </w:p>
    <w:p>
      <w:pPr>
        <w:pStyle w:val="Compact"/>
        <w:numPr>
          <w:ilvl w:val="0"/>
          <w:numId w:val="102"/>
        </w:numPr>
        <w:rPr/>
      </w:pPr>
      <w:r>
        <w:rPr/>
      </w:r>
      <m:oMath xmlns:m="http://schemas.openxmlformats.org/officeDocument/2006/math">
        <m:sSubSup>
          <m:e>
            <m:r>
              <m:t xml:space="preserve">X</m:t>
            </m:r>
          </m:e>
          <m:sub>
            <m:r>
              <m:t xml:space="preserve">t</m:t>
            </m:r>
          </m:sub>
          <m:sup>
            <m:r>
              <m:t xml:space="preserve">E</m:t>
            </m:r>
          </m:sup>
        </m:sSubSup>
      </m:oMath>
      <w:r>
        <w:rPr/>
        <w:t xml:space="preserve"> </w:t>
      </w:r>
      <w:r>
        <w:rPr/>
        <w:t>die Eingangs- und Sensorzustände;</w:t>
      </w:r>
    </w:p>
    <w:p>
      <w:pPr>
        <w:pStyle w:val="Compact"/>
        <w:numPr>
          <w:ilvl w:val="0"/>
          <w:numId w:val="103"/>
        </w:numPr>
        <w:rPr/>
      </w:pPr>
      <w:r>
        <w:rPr/>
      </w:r>
      <m:oMath xmlns:m="http://schemas.openxmlformats.org/officeDocument/2006/math">
        <m:sSubSup>
          <m:e>
            <m:r>
              <m:t xml:space="preserve">X</m:t>
            </m:r>
          </m:e>
          <m:sub>
            <m:r>
              <m:t xml:space="preserve">t</m:t>
            </m:r>
          </m:sub>
          <m:sup>
            <m:r>
              <m:t xml:space="preserve">A</m:t>
            </m:r>
          </m:sup>
        </m:sSubSup>
      </m:oMath>
      <w:r>
        <w:rPr/>
        <w:t xml:space="preserve"> </w:t>
      </w:r>
      <w:r>
        <w:rPr/>
        <w:t>die Aktor- beziehungsweise Outputzustände;</w:t>
      </w:r>
    </w:p>
    <w:p>
      <w:pPr>
        <w:pStyle w:val="Compact"/>
        <w:numPr>
          <w:ilvl w:val="0"/>
          <w:numId w:val="104"/>
        </w:numPr>
        <w:rPr/>
      </w:pPr>
      <w:r>
        <w:rPr/>
      </w:r>
      <m:oMath xmlns:m="http://schemas.openxmlformats.org/officeDocument/2006/math">
        <m:sSubSup>
          <m:e>
            <m:r>
              <m:t xml:space="preserve">X</m:t>
            </m:r>
          </m:e>
          <m:sub>
            <m:r>
              <m:t xml:space="preserve">t</m:t>
            </m:r>
          </m:sub>
          <m:sup>
            <m:r>
              <m:t xml:space="preserve">R</m:t>
            </m:r>
          </m:sup>
        </m:sSubSup>
      </m:oMath>
      <w:r>
        <w:rPr/>
        <w:t xml:space="preserve"> </w:t>
      </w:r>
      <w:r>
        <w:rPr/>
        <w:t>Ressourcen-, Energie- und Budgetzustände;</w:t>
      </w:r>
    </w:p>
    <w:p>
      <w:pPr>
        <w:pStyle w:val="Compact"/>
        <w:numPr>
          <w:ilvl w:val="0"/>
          <w:numId w:val="105"/>
        </w:numPr>
        <w:rPr/>
      </w:pPr>
      <w:r>
        <w:rPr/>
      </w:r>
      <m:oMath xmlns:m="http://schemas.openxmlformats.org/officeDocument/2006/math">
        <m:sSubSup>
          <m:e>
            <m:r>
              <m:t xml:space="preserve">X</m:t>
            </m:r>
          </m:e>
          <m:sub>
            <m:r>
              <m:t xml:space="preserve">t</m:t>
            </m:r>
          </m:sub>
          <m:sup>
            <m:r>
              <m:t xml:space="preserve">M</m:t>
            </m:r>
          </m:sup>
        </m:sSubSup>
      </m:oMath>
      <w:r>
        <w:rPr/>
        <w:t xml:space="preserve"> </w:t>
      </w:r>
      <w:r>
        <w:rPr/>
        <w:t>Metadaten, Scheduler-, RNG- und Persistenzzustände.</w:t>
      </w:r>
    </w:p>
    <w:p>
      <w:pPr>
        <w:pStyle w:val="FirstParagraph"/>
        <w:rPr/>
      </w:pPr>
      <w:bookmarkStart w:id="97" w:name="zustandsraum"/>
      <w:r>
        <w:rPr/>
        <w:t>Die Trennung ist konzeptionell. Eine Implementierung kann Daten aus Effizienzgründen anders anordnen, solange die wissenschaftlich relevanten Zustandsbestandteile rekonstruierbar bleiben.</w:t>
      </w:r>
      <w:bookmarkEnd w:id="97"/>
    </w:p>
    <w:p>
      <w:pPr>
        <w:pStyle w:val="Heading3"/>
        <w:keepNext w:val="true"/>
        <w:widowControl/>
        <w:rPr/>
      </w:pPr>
      <w:bookmarkStart w:id="98" w:name="flüsse-und-sprünge"/>
      <w:r>
        <w:rPr/>
        <w:t>9.2 Flüsse und Sprünge</w:t>
      </w:r>
    </w:p>
    <w:p>
      <w:pPr>
        <w:pStyle w:val="FirstParagraph"/>
        <w:rPr/>
      </w:pPr>
      <w:r>
        <w:rPr/>
        <w:t>Spiking-Netze kombinieren kontinuierliche oder diskret integrierte Zustandsentwicklung mit diskreten Ereignissen wie Schwellenüberschreitungen, Resets und Strukturänderungen. Brain-5D wird daher als hybrides System modelliert (</w:t>
      </w:r>
      <w:hyperlink w:anchor="ref-Goebel2012Hybrid">
        <w:r>
          <w:rPr>
            <w:rStyle w:val="Hyperlink"/>
          </w:rPr>
          <w:t>Goebel et al., 2012</w:t>
        </w:r>
      </w:hyperlink>
      <w:r>
        <w:rPr/>
        <w:t>):</w:t>
      </w:r>
    </w:p>
    <w:p>
      <w:pPr>
        <w:pStyle w:val="BodyText"/>
        <w:rPr/>
      </w:pPr>
      <w:r>
        <w:rPr>
          <w:b/>
          <w:bCs/>
        </w:rPr>
        <w:t>[MODEL]</w:t>
      </w:r>
      <w:r>
        <w:rPr/>
        <w:t xml:space="preserve"> Für kontinuierliche Phasen gilt abstrakt</w:t>
      </w:r>
    </w:p>
    <w:p>
      <w:pPr>
        <w:pStyle w:val="BodyText"/>
        <w:jc w:val="center"/>
        <w:rPr/>
      </w:pPr>
      <w:r>
        <w:rPr/>
      </w:r>
      <m:oMathPara xmlns:m="http://schemas.openxmlformats.org/officeDocument/2006/math">
        <m:oMathParaPr>
          <m:jc m:val="center"/>
        </m:oMathParaPr>
        <m:oMath>
          <m:acc>
            <m:accPr>
              <m:chr m:val="˙"/>
            </m:accPr>
            <m:e>
              <m:r>
                <m:t xml:space="preserve">x</m:t>
              </m:r>
            </m:e>
          </m:acc>
          <m:r>
            <m:t xml:space="preserve">=</m:t>
          </m:r>
          <m:sSub>
            <m:e>
              <m:r>
                <m:t xml:space="preserve">f</m:t>
              </m:r>
            </m:e>
            <m:sub>
              <m:r>
                <m:t xml:space="preserve">q</m:t>
              </m:r>
            </m:sub>
          </m:sSub>
          <m:d>
            <m:dPr>
              <m:begChr m:val="("/>
              <m:endChr m:val=")"/>
            </m:dPr>
            <m:e>
              <m:r>
                <m:t xml:space="preserve">x</m:t>
              </m:r>
              <m:r>
                <m:t xml:space="preserve">,</m:t>
              </m:r>
              <m:r>
                <m:t xml:space="preserve">u</m:t>
              </m:r>
              <m:r>
                <m:t xml:space="preserve">,</m:t>
              </m:r>
              <m:r>
                <m:t xml:space="preserve">ξ</m:t>
              </m:r>
              <m:r>
                <m:t xml:space="preserve">;</m:t>
              </m:r>
              <m:r>
                <m:t xml:space="preserve">θ</m:t>
              </m:r>
            </m:e>
          </m:d>
          <m:r>
            <m:t xml:space="preserve">,</m:t>
          </m:r>
          <m:r>
            <m:t xml:space="preserve">x</m:t>
          </m:r>
          <m:r>
            <m:t xml:space="preserve">∈</m:t>
          </m:r>
          <m:sSub>
            <m:e>
              <m:r>
                <m:t xml:space="preserve">C</m:t>
              </m:r>
            </m:e>
            <m:sub>
              <m:r>
                <m:t xml:space="preserve">q</m:t>
              </m:r>
            </m:sub>
          </m:sSub>
          <m:r>
            <m:t xml:space="preserve">,</m:t>
          </m:r>
        </m:oMath>
      </m:oMathPara>
    </w:p>
    <w:p>
      <w:pPr>
        <w:pStyle w:val="FirstParagraph"/>
        <w:rPr/>
      </w:pPr>
      <w:r>
        <w:rPr/>
        <w:t>und bei einem Ereignis beziehungsweise einer Guard-Bedingung</w:t>
      </w:r>
    </w:p>
    <w:p>
      <w:pPr>
        <w:pStyle w:val="BodyText"/>
        <w:jc w:val="center"/>
        <w:rPr/>
      </w:pPr>
      <w:r>
        <w:rPr/>
      </w:r>
      <m:oMathPara xmlns:m="http://schemas.openxmlformats.org/officeDocument/2006/math">
        <m:oMathParaPr>
          <m:jc m:val="center"/>
        </m:oMathParaPr>
        <m:oMath/>
      </m:oMathPara>
    </w:p>
    <w:p>
      <w:pPr>
        <w:pStyle w:val="FirstParagraph"/>
        <w:rPr/>
      </w:pPr>
      <w:r>
        <w:rPr/>
      </w:r>
      <m:oMath xmlns:m="http://schemas.openxmlformats.org/officeDocument/2006/math">
        <m:r>
          <m:t xml:space="preserve">q</m:t>
        </m:r>
      </m:oMath>
      <w:r>
        <w:rPr/>
        <w:t xml:space="preserve"> </w:t>
      </w:r>
      <w:r>
        <w:rPr/>
        <w:t xml:space="preserve">beschreibt den diskreten Modus, </w:t>
      </w:r>
      <w:r>
        <w:rPr/>
      </w:r>
      <m:oMath xmlns:m="http://schemas.openxmlformats.org/officeDocument/2006/math">
        <m:sSub>
          <m:e>
            <m:r>
              <m:t xml:space="preserve">C</m:t>
            </m:r>
          </m:e>
          <m:sub>
            <m:r>
              <m:t xml:space="preserve">q</m:t>
            </m:r>
          </m:sub>
        </m:sSub>
      </m:oMath>
      <w:r>
        <w:rPr/>
        <w:t xml:space="preserve"> die Flussmenge, </w:t>
      </w:r>
      <w:r>
        <w:rPr/>
      </w:r>
      <m:oMath xmlns:m="http://schemas.openxmlformats.org/officeDocument/2006/math">
        <m:sSub>
          <m:e>
            <m:r>
              <m:t xml:space="preserve">D</m:t>
            </m:r>
          </m:e>
          <m:sub>
            <m:r>
              <m:t xml:space="preserve">q</m:t>
            </m:r>
          </m:sub>
        </m:sSub>
      </m:oMath>
      <w:r>
        <w:rPr/>
        <w:t xml:space="preserve"> die Sprungmenge, </w:t>
      </w:r>
      <w:r>
        <w:rPr/>
      </w:r>
      <m:oMath xmlns:m="http://schemas.openxmlformats.org/officeDocument/2006/math">
        <m:r>
          <m:t xml:space="preserve">u</m:t>
        </m:r>
      </m:oMath>
      <w:r>
        <w:rPr/>
        <w:t xml:space="preserve"> externe Eingaben, </w:t>
      </w:r>
      <w:r>
        <w:rPr/>
      </w:r>
      <m:oMath xmlns:m="http://schemas.openxmlformats.org/officeDocument/2006/math">
        <m:r>
          <m:t xml:space="preserve">ξ</m:t>
        </m:r>
      </m:oMath>
      <w:r>
        <w:rPr/>
        <w:t xml:space="preserve"> stochastische Einflüsse und </w:t>
      </w:r>
      <w:r>
        <w:rPr/>
      </w:r>
      <m:oMath xmlns:m="http://schemas.openxmlformats.org/officeDocument/2006/math">
        <m:r>
          <m:t xml:space="preserve">θ</m:t>
        </m:r>
      </m:oMath>
      <w:r>
        <w:rPr/>
        <w:t xml:space="preserve"> Modellparameter. In einer vollständig diskretisierten Simulation kann dies als</w:t>
      </w:r>
    </w:p>
    <w:p>
      <w:pPr>
        <w:pStyle w:val="BodyText"/>
        <w:jc w:val="center"/>
        <w:rPr/>
      </w:pPr>
      <w:r>
        <w:rPr/>
      </w:r>
      <m:oMathPara xmlns:m="http://schemas.openxmlformats.org/officeDocument/2006/math">
        <m:oMathParaPr>
          <m:jc m:val="center"/>
        </m:oMathParaPr>
        <m:oMath>
          <m:sSub>
            <m:e>
              <m:r>
                <m:t xml:space="preserve">X</m:t>
              </m:r>
            </m:e>
            <m:sub>
              <m:r>
                <m:t xml:space="preserve">t</m:t>
              </m:r>
              <m:r>
                <m:t xml:space="preserve">+</m:t>
              </m:r>
              <m:r>
                <m:t xml:space="preserve">1</m:t>
              </m:r>
            </m:sub>
          </m:sSub>
          <m:r>
            <m:t xml:space="preserve">=</m:t>
          </m:r>
          <m:sSub>
            <m:e>
              <m:r>
                <m:t xml:space="preserve">F</m:t>
              </m:r>
            </m:e>
            <m:sub>
              <m:sSub>
                <m:e>
                  <m:r>
                    <m:t xml:space="preserve">q</m:t>
                  </m:r>
                </m:e>
                <m:sub>
                  <m:r>
                    <m:t xml:space="preserve">t</m:t>
                  </m:r>
                </m:sub>
              </m:sSub>
            </m:sub>
          </m:sSub>
          <m:d>
            <m:dPr>
              <m:begChr m:val="("/>
              <m:endChr m:val=")"/>
            </m:dPr>
            <m:e>
              <m:sSub>
                <m:e>
                  <m:r>
                    <m:t xml:space="preserve">X</m:t>
                  </m:r>
                </m:e>
                <m:sub>
                  <m:r>
                    <m:t xml:space="preserve">t</m:t>
                  </m:r>
                </m:sub>
              </m:sSub>
              <m:r>
                <m:t xml:space="preserve">,</m:t>
              </m:r>
              <m:sSub>
                <m:e>
                  <m:r>
                    <m:t xml:space="preserve">U</m:t>
                  </m:r>
                </m:e>
                <m:sub>
                  <m:r>
                    <m:t xml:space="preserve">t</m:t>
                  </m:r>
                </m:sub>
              </m:sSub>
              <m:r>
                <m:t xml:space="preserve">,</m:t>
              </m:r>
              <m:sSub>
                <m:e>
                  <m:r>
                    <m:t xml:space="preserve">Ξ</m:t>
                  </m:r>
                </m:e>
                <m:sub>
                  <m:r>
                    <m:t xml:space="preserve">t</m:t>
                  </m:r>
                </m:sub>
              </m:sSub>
              <m:r>
                <m:t xml:space="preserve">;</m:t>
              </m:r>
              <m:r>
                <m:t xml:space="preserve">Θ</m:t>
              </m:r>
            </m:e>
          </m:d>
          <m:r>
            <m:t xml:space="preserve">,</m:t>
          </m:r>
          <m:sSub>
            <m:e>
              <m:r>
                <m:t xml:space="preserve">q</m:t>
              </m:r>
            </m:e>
            <m:sub>
              <m:r>
                <m:t xml:space="preserve">t</m:t>
              </m:r>
              <m:r>
                <m:t xml:space="preserve">+</m:t>
              </m:r>
              <m:r>
                <m:t xml:space="preserve">1</m:t>
              </m:r>
            </m:sub>
          </m:sSub>
          <m:r>
            <m:t xml:space="preserve">=</m:t>
          </m:r>
          <m:r>
            <m:t xml:space="preserve">G</m:t>
          </m:r>
          <m:d>
            <m:dPr>
              <m:begChr m:val="("/>
              <m:endChr m:val=")"/>
            </m:dPr>
            <m:e>
              <m:sSub>
                <m:e>
                  <m:r>
                    <m:t xml:space="preserve">q</m:t>
                  </m:r>
                </m:e>
                <m:sub>
                  <m:r>
                    <m:t xml:space="preserve">t</m:t>
                  </m:r>
                </m:sub>
              </m:sSub>
              <m:r>
                <m:t xml:space="preserve">,</m:t>
              </m:r>
              <m:sSub>
                <m:e>
                  <m:r>
                    <m:t xml:space="preserve">X</m:t>
                  </m:r>
                </m:e>
                <m:sub>
                  <m:r>
                    <m:t xml:space="preserve">t</m:t>
                  </m:r>
                </m:sub>
              </m:sSub>
              <m:r>
                <m:t xml:space="preserve">,</m:t>
              </m:r>
              <m:sSub>
                <m:e>
                  <m:r>
                    <m:t xml:space="preserve">E</m:t>
                  </m:r>
                </m:e>
                <m:sub>
                  <m:r>
                    <m:t xml:space="preserve">t</m:t>
                  </m:r>
                </m:sub>
              </m:sSub>
            </m:e>
          </m:d>
        </m:oMath>
      </m:oMathPara>
    </w:p>
    <w:p>
      <w:pPr>
        <w:pStyle w:val="FirstParagraph"/>
        <w:rPr/>
      </w:pPr>
      <w:bookmarkStart w:id="99" w:name="flüsse-und-sprünge"/>
      <w:r>
        <w:rPr/>
        <w:t>geschrieben werden. Diese Gleichungen sind Rahmenmodelle, keine Behauptung, dass alle Komponenten glatt, linear oder analytisch lösbar sind.</w:t>
      </w:r>
      <w:bookmarkEnd w:id="99"/>
    </w:p>
    <w:p>
      <w:pPr>
        <w:pStyle w:val="Heading3"/>
        <w:keepNext w:val="true"/>
        <w:widowControl/>
        <w:rPr/>
      </w:pPr>
      <w:bookmarkStart w:id="100" w:name="zeitbegriffe"/>
      <w:r>
        <w:rPr/>
        <w:t>9.3 Zeitbegriffe</w:t>
      </w:r>
    </w:p>
    <w:p>
      <w:pPr>
        <w:pStyle w:val="FirstParagraph"/>
        <w:rPr/>
      </w:pPr>
      <w:r>
        <w:rPr/>
        <w:t>Brain-5D unterscheidet mindestens fünf Zeitdomänen:</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3312"/>
        <w:gridCol w:w="3312"/>
        <w:gridCol w:w="3312"/>
      </w:tblGrid>
      <w:tr>
        <w:trPr>
          <w:tblHeader w:val="true"/>
        </w:trPr>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Zeitdomäne</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Symbol</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Funktion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neuronale Simulationszeit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t</m:t>
                    </m:r>
                  </m:e>
                  <m:sub>
                    <m:r>
                      <m:t xml:space="preserve">n</m:t>
                    </m:r>
                  </m:sub>
                </m:sSub>
              </m:oMath>
            </m:oMathPara>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Membranintegration, Spike-Ereignisse, synaptische Verzögerung</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Plastizitätszeit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t</m:t>
                    </m:r>
                  </m:e>
                  <m:sub>
                    <m:r>
                      <m:t xml:space="preserve">p</m:t>
                    </m:r>
                  </m:sub>
                </m:sSub>
              </m:oMath>
            </m:oMathPara>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Eligibility, STDP, Homeostase, Gewichtsregulation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Strukturzeit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t</m:t>
                    </m:r>
                  </m:e>
                  <m:sub>
                    <m:r>
                      <m:t xml:space="preserve">s</m:t>
                    </m:r>
                  </m:sub>
                </m:sSub>
              </m:oMath>
            </m:oMathPara>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Pruning, Synapsenwachstum, Neurogenese, Reorganisation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Agenten-/Episodenzeit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t</m:t>
                    </m:r>
                  </m:e>
                  <m:sub>
                    <m:r>
                      <m:t xml:space="preserve">e</m:t>
                    </m:r>
                  </m:sub>
                </m:sSub>
              </m:oMath>
            </m:oMathPara>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Wahrnehmung, Aktion, Reward, Umweltübergang</w:t>
            </w:r>
          </w:p>
        </w:tc>
      </w:tr>
      <w:tr>
        <w:trPr/>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Wall-Clock- und Provenienzzeit</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t</m:t>
                    </m:r>
                  </m:e>
                  <m:sub>
                    <m:r>
                      <m:t xml:space="preserve">w</m:t>
                    </m:r>
                  </m:sub>
                </m:sSub>
              </m:oMath>
            </m:oMathPara>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reale Ausführung, I/O, LLM-Latenz, Logging</w:t>
            </w:r>
          </w:p>
        </w:tc>
      </w:tr>
    </w:tbl>
    <w:p>
      <w:pPr>
        <w:pStyle w:val="BodyText"/>
        <w:rPr/>
      </w:pPr>
      <w:r>
        <w:rPr/>
        <w:t xml:space="preserve">Typischerweise gilt </w:t>
      </w:r>
      <w:r>
        <w:rPr/>
      </w:r>
      <m:oMath xmlns:m="http://schemas.openxmlformats.org/officeDocument/2006/math">
        <m:sSub>
          <m:e>
            <m:r>
              <m:t xml:space="preserve">t</m:t>
            </m:r>
          </m:e>
          <m:sub>
            <m:r>
              <m:t xml:space="preserve">n</m:t>
            </m:r>
          </m:sub>
        </m:sSub>
        <m:r>
          <m:t xml:space="preserve">≪</m:t>
        </m:r>
        <m:sSub>
          <m:e>
            <m:r>
              <m:t xml:space="preserve">t</m:t>
            </m:r>
          </m:e>
          <m:sub>
            <m:r>
              <m:t xml:space="preserve">p</m:t>
            </m:r>
          </m:sub>
        </m:sSub>
        <m:r>
          <m:t xml:space="preserve">≲</m:t>
        </m:r>
        <m:sSub>
          <m:e>
            <m:r>
              <m:t xml:space="preserve">t</m:t>
            </m:r>
          </m:e>
          <m:sub>
            <m:r>
              <m:t xml:space="preserve">s</m:t>
            </m:r>
          </m:sub>
        </m:sSub>
      </m:oMath>
      <w:r>
        <w:rPr/>
        <w:t xml:space="preserve">, doch die Größenordnung ist eine konfigurierbare Modellannahme. </w:t>
      </w:r>
      <w:r>
        <w:rPr/>
      </w:r>
      <m:oMath xmlns:m="http://schemas.openxmlformats.org/officeDocument/2006/math">
        <m:sSub>
          <m:e>
            <m:r>
              <m:t xml:space="preserve">t</m:t>
            </m:r>
          </m:e>
          <m:sub>
            <m:r>
              <m:t xml:space="preserve">w</m:t>
            </m:r>
          </m:sub>
        </m:sSub>
      </m:oMath>
      <w:r>
        <w:rPr/>
        <w:t xml:space="preserve"> darf nicht mit </w:t>
      </w:r>
      <w:r>
        <w:rPr/>
      </w:r>
      <m:oMath xmlns:m="http://schemas.openxmlformats.org/officeDocument/2006/math">
        <m:sSub>
          <m:e>
            <m:r>
              <m:t xml:space="preserve">t</m:t>
            </m:r>
          </m:e>
          <m:sub>
            <m:r>
              <m:t xml:space="preserve">n</m:t>
            </m:r>
          </m:sub>
        </m:sSub>
      </m:oMath>
      <w:r>
        <w:rPr/>
        <w:t xml:space="preserve"> gleichgesetzt werden. Ein LLM-Aufruf von fünf Sekunden realer Dauer muss die neuronale Simulationszeit nicht um fünf Sekunden voranschreiten lassen.</w:t>
      </w:r>
      <w:bookmarkEnd w:id="100"/>
    </w:p>
    <w:p>
      <w:pPr>
        <w:pStyle w:val="Heading3"/>
        <w:keepNext w:val="true"/>
        <w:widowControl/>
        <w:rPr/>
      </w:pPr>
      <w:bookmarkStart w:id="101" w:name="determinismus-und-stochastik"/>
      <w:r>
        <w:rPr/>
        <w:t>9.4 Determinismus und Stochastik</w:t>
      </w:r>
    </w:p>
    <w:p>
      <w:pPr>
        <w:pStyle w:val="FirstParagraph"/>
        <w:rPr/>
      </w:pPr>
      <w:r>
        <w:rPr/>
        <w:t>Brain-5D kann stochastische Initialisierung, probabilistische Konnektivität, Rauschen und zufällige Umweltübergänge verwenden. Reproduzierbarkeit bedeutet daher nicht zwangsläufig Bitidentität auf jeder Hardware. Es sind drei Modi zu unterscheiden:</w:t>
      </w:r>
    </w:p>
    <w:p>
      <w:pPr>
        <w:pStyle w:val="Compact"/>
        <w:numPr>
          <w:ilvl w:val="0"/>
          <w:numId w:val="106"/>
        </w:numPr>
        <w:rPr/>
      </w:pPr>
      <w:r>
        <w:rPr>
          <w:b/>
          <w:bCs/>
        </w:rPr>
        <w:t>bitnaher Replay:</w:t>
      </w:r>
      <w:r>
        <w:rPr/>
        <w:t xml:space="preserve"> gleiche Plattform, deterministische Kernel und vollständig gespeicherte RNG-Zustände;</w:t>
      </w:r>
    </w:p>
    <w:p>
      <w:pPr>
        <w:pStyle w:val="Compact"/>
        <w:numPr>
          <w:ilvl w:val="0"/>
          <w:numId w:val="107"/>
        </w:numPr>
        <w:rPr/>
      </w:pPr>
      <w:r>
        <w:rPr>
          <w:b/>
          <w:bCs/>
        </w:rPr>
        <w:t>numerischer Replay:</w:t>
      </w:r>
      <w:r>
        <w:rPr/>
        <w:t xml:space="preserve"> Abweichungen innerhalb definierter Toleranzen;</w:t>
      </w:r>
    </w:p>
    <w:p>
      <w:pPr>
        <w:pStyle w:val="Compact"/>
        <w:numPr>
          <w:ilvl w:val="0"/>
          <w:numId w:val="108"/>
        </w:numPr>
        <w:rPr/>
      </w:pPr>
      <w:r>
        <w:rPr>
          <w:b/>
          <w:bCs/>
        </w:rPr>
        <w:t>statistischer Replay:</w:t>
      </w:r>
      <w:r>
        <w:rPr/>
        <w:t xml:space="preserve"> gleiche Verteilungen und Effekte über unabhängige Seeds.</w:t>
      </w:r>
    </w:p>
    <w:p>
      <w:pPr>
        <w:pStyle w:val="FirstParagraph"/>
        <w:rPr/>
      </w:pPr>
      <w:r>
        <w:rPr/>
        <w:t xml:space="preserve">Der Reproduktionsmodus und die zulässige Toleranz gehören in die </w:t>
      </w:r>
      <w:r>
        <w:rPr>
          <w:rStyle w:val="VerbatimChar"/>
        </w:rPr>
        <w:t>ExperimentSpec</w:t>
      </w:r>
      <w:r>
        <w:rPr/>
        <w:t>.</w:t>
      </w:r>
      <w:bookmarkEnd w:id="95"/>
      <w:bookmarkEnd w:id="101"/>
    </w:p>
    <w:p>
      <w:pPr>
        <w:pStyle w:val="Heading2"/>
        <w:keepNext w:val="true"/>
        <w:widowControl/>
        <w:rPr/>
      </w:pPr>
      <w:bookmarkStart w:id="102" w:name="__RefHeading___Toc10121_954062153"/>
      <w:bookmarkStart w:id="103" w:name="der-fünfdimensionale-raum"/>
      <w:bookmarkEnd w:id="102"/>
      <w:r>
        <w:rPr/>
        <w:t>10. Der fünfdimensionale Raum</w:t>
      </w:r>
    </w:p>
    <w:p>
      <w:pPr>
        <w:pStyle w:val="Heading3"/>
        <w:keepNext w:val="true"/>
        <w:widowControl/>
        <w:rPr/>
      </w:pPr>
      <w:bookmarkStart w:id="104" w:name="adressraum-und-materialisierung"/>
      <w:r>
        <w:rPr/>
        <w:t>10.1 Adressraum und Materialisierung</w:t>
      </w:r>
    </w:p>
    <w:p>
      <w:pPr>
        <w:pStyle w:val="FirstParagraph"/>
        <w:rPr/>
      </w:pPr>
      <w:r>
        <w:rPr>
          <w:b/>
          <w:bCs/>
        </w:rPr>
        <w:t>[DEF]</w:t>
      </w:r>
      <w:r>
        <w:rPr/>
        <w:t xml:space="preserve"> Eine potenzielle Neuronenadresse ist</w:t>
      </w:r>
    </w:p>
    <w:p>
      <w:pPr>
        <w:pStyle w:val="BodyText"/>
        <w:jc w:val="center"/>
        <w:rPr/>
      </w:pPr>
      <w:r>
        <w:rPr/>
      </w:r>
      <m:oMathPara xmlns:m="http://schemas.openxmlformats.org/officeDocument/2006/math">
        <m:oMathParaPr>
          <m:jc m:val="center"/>
        </m:oMathParaPr>
        <m:oMath>
          <m:sSub>
            <m:e>
              <m:r>
                <m:t xml:space="preserve">p</m:t>
              </m:r>
            </m:e>
            <m:sub>
              <m:r>
                <m:t xml:space="preserve">i</m:t>
              </m:r>
            </m:sub>
          </m:sSub>
          <m:r>
            <m:t xml:space="preserve">=</m:t>
          </m:r>
          <m:d>
            <m:dPr>
              <m:begChr m:val="("/>
              <m:endChr m:val=")"/>
            </m:dPr>
            <m:e>
              <m:sSub>
                <m:e>
                  <m:r>
                    <m:t xml:space="preserve">x</m:t>
                  </m:r>
                </m:e>
                <m:sub>
                  <m:r>
                    <m:t xml:space="preserve">i</m:t>
                  </m:r>
                </m:sub>
              </m:sSub>
              <m:r>
                <m:t xml:space="preserve">,</m:t>
              </m:r>
              <m:sSub>
                <m:e>
                  <m:r>
                    <m:t xml:space="preserve">y</m:t>
                  </m:r>
                </m:e>
                <m:sub>
                  <m:r>
                    <m:t xml:space="preserve">i</m:t>
                  </m:r>
                </m:sub>
              </m:sSub>
              <m:r>
                <m:t xml:space="preserve">,</m:t>
              </m:r>
              <m:sSub>
                <m:e>
                  <m:r>
                    <m:t xml:space="preserve">z</m:t>
                  </m:r>
                </m:e>
                <m:sub>
                  <m:r>
                    <m:t xml:space="preserve">i</m:t>
                  </m:r>
                </m:sub>
              </m:sSub>
              <m:r>
                <m:t xml:space="preserve">,</m:t>
              </m:r>
              <m:sSub>
                <m:e>
                  <m:r>
                    <m:t xml:space="preserve">a</m:t>
                  </m:r>
                </m:e>
                <m:sub>
                  <m:r>
                    <m:t xml:space="preserve">i</m:t>
                  </m:r>
                </m:sub>
              </m:sSub>
              <m:r>
                <m:t xml:space="preserve">,</m:t>
              </m:r>
              <m:sSub>
                <m:e>
                  <m:r>
                    <m:t xml:space="preserve">b</m:t>
                  </m:r>
                </m:e>
                <m:sub>
                  <m:r>
                    <m:t xml:space="preserve">i</m:t>
                  </m:r>
                </m:sub>
              </m:sSub>
            </m:e>
          </m:d>
          <m:r>
            <m:t xml:space="preserve">∈</m:t>
          </m:r>
          <m:sSub>
            <m:e>
              <m:r>
                <m:t xml:space="preserve">A</m:t>
              </m:r>
            </m:e>
            <m:sub>
              <m:r>
                <m:t xml:space="preserve">5</m:t>
              </m:r>
            </m:sub>
          </m:sSub>
          <m:r>
            <m:t xml:space="preserve">.</m:t>
          </m:r>
        </m:oMath>
      </m:oMathPara>
    </w:p>
    <w:p>
      <w:pPr>
        <w:pStyle w:val="FirstParagraph"/>
        <w:rPr/>
      </w:pPr>
      <w:r>
        <w:rPr/>
        <w:t xml:space="preserve">Für einen diskreten Hyperkubus mit Kantenlänge </w:t>
      </w:r>
      <w:r>
        <w:rPr/>
      </w:r>
      <m:oMath xmlns:m="http://schemas.openxmlformats.org/officeDocument/2006/math">
        <m:r>
          <m:t xml:space="preserve">L</m:t>
        </m:r>
      </m:oMath>
      <w:r>
        <w:rPr/>
        <w:t xml:space="preserve"> gilt</w:t>
      </w:r>
    </w:p>
    <w:p>
      <w:pPr>
        <w:pStyle w:val="BodyText"/>
        <w:jc w:val="center"/>
        <w:rPr/>
      </w:pPr>
      <w:r>
        <w:rPr/>
      </w:r>
      <m:oMathPara xmlns:m="http://schemas.openxmlformats.org/officeDocument/2006/math">
        <m:oMathParaPr>
          <m:jc m:val="center"/>
        </m:oMathParaPr>
        <m:oMath>
          <m:d>
            <m:dPr>
              <m:begChr m:val="|"/>
              <m:endChr m:val=")"/>
            </m:dPr>
            <m:e>
              <m:sSub>
                <m:e>
                  <m:r>
                    <m:t xml:space="preserve">A</m:t>
                  </m:r>
                </m:e>
                <m:sub>
                  <m:r>
                    <m:t xml:space="preserve">5</m:t>
                  </m:r>
                </m:sub>
              </m:sSub>
            </m:e>
          </m:d>
          <m:r>
            <m:t xml:space="preserve">=</m:t>
          </m:r>
          <m:sSup>
            <m:e>
              <m:r>
                <m:t xml:space="preserve">L</m:t>
              </m:r>
            </m:e>
            <m:sup>
              <m:r>
                <m:t xml:space="preserve">5</m:t>
              </m:r>
            </m:sup>
          </m:sSup>
          <m:r>
            <m:t xml:space="preserve">.</m:t>
          </m:r>
        </m:oMath>
      </m:oMathPara>
    </w:p>
    <w:p>
      <w:pPr>
        <w:pStyle w:val="FirstParagraph"/>
        <w:rPr/>
      </w:pPr>
      <w:r>
        <w:rPr/>
        <w:t xml:space="preserve">Bei </w:t>
      </w:r>
      <w:r>
        <w:rPr/>
      </w:r>
      <m:oMath xmlns:m="http://schemas.openxmlformats.org/officeDocument/2006/math">
        <m:r>
          <m:t xml:space="preserve">L</m:t>
        </m:r>
        <m:r>
          <m:t xml:space="preserve">=</m:t>
        </m:r>
        <m:r>
          <m:t xml:space="preserve">50</m:t>
        </m:r>
      </m:oMath>
      <w:r>
        <w:rPr/>
        <w:t xml:space="preserve"> ergeben sich </w:t>
      </w:r>
      <w:r>
        <w:rPr/>
      </w:r>
      <m:oMath xmlns:m="http://schemas.openxmlformats.org/officeDocument/2006/math">
        <m:r>
          <m:t xml:space="preserve">312</m:t>
        </m:r>
        <m:r>
          <m:t xml:space="preserve">.</m:t>
        </m:r>
        <m:r>
          <m:t xml:space="preserve">500</m:t>
        </m:r>
        <m:r>
          <m:t xml:space="preserve">.</m:t>
        </m:r>
        <m:r>
          <m:t xml:space="preserve">000</m:t>
        </m:r>
      </m:oMath>
      <w:r>
        <w:rPr/>
        <w:t xml:space="preserve"> mögliche Adressen. Dies ist eine Kapazität des Adressraums, nicht die Verpflichtung, ebenso viele Python-Objekte oder physische Neuronen gleichzeitig anzulegen.</w:t>
      </w:r>
    </w:p>
    <w:p>
      <w:pPr>
        <w:pStyle w:val="BodyText"/>
        <w:rPr/>
      </w:pPr>
      <w:r>
        <w:rPr>
          <w:b/>
          <w:bCs/>
        </w:rPr>
        <w:t>[DEF]</w:t>
      </w:r>
      <w:r>
        <w:rPr/>
        <w:t xml:space="preserve"> Die materialisierte Menge zum Zeitpunkt </w:t>
      </w:r>
      <w:r>
        <w:rPr/>
      </w:r>
      <m:oMath xmlns:m="http://schemas.openxmlformats.org/officeDocument/2006/math">
        <m:r>
          <m:t xml:space="preserve">t</m:t>
        </m:r>
      </m:oMath>
      <w:r>
        <w:rPr/>
        <w:t xml:space="preserve"> lautet</w:t>
      </w:r>
    </w:p>
    <w:p>
      <w:pPr>
        <w:pStyle w:val="BodyText"/>
        <w:jc w:val="center"/>
        <w:rPr/>
      </w:pPr>
      <w:r>
        <w:rPr/>
      </w:r>
      <m:oMathPara xmlns:m="http://schemas.openxmlformats.org/officeDocument/2006/math">
        <m:oMathParaPr>
          <m:jc m:val="center"/>
        </m:oMathParaPr>
        <m:oMath>
          <m:sSub>
            <m:e>
              <m:r>
                <m:t xml:space="preserve">N</m:t>
              </m:r>
            </m:e>
            <m:sub>
              <m:r>
                <m:t xml:space="preserve">t</m:t>
              </m:r>
            </m:sub>
          </m:sSub>
          <m:r>
            <m:t xml:space="preserve">⊆</m:t>
          </m:r>
          <m:sSub>
            <m:e>
              <m:r>
                <m:t xml:space="preserve">A</m:t>
              </m:r>
            </m:e>
            <m:sub>
              <m:r>
                <m:t xml:space="preserve">5</m:t>
              </m:r>
            </m:sub>
          </m:sSub>
          <m:r>
            <m:t xml:space="preserve">,</m:t>
          </m:r>
          <m:d>
            <m:dPr>
              <m:begChr m:val="|"/>
              <m:endChr m:val=")"/>
            </m:dPr>
            <m:e>
              <m:sSub>
                <m:e>
                  <m:r>
                    <m:t xml:space="preserve">N</m:t>
                  </m:r>
                </m:e>
                <m:sub>
                  <m:r>
                    <m:t xml:space="preserve">t</m:t>
                  </m:r>
                </m:sub>
              </m:sSub>
            </m:e>
          </m:d>
          <m:r>
            <m:t xml:space="preserve">≪</m:t>
          </m:r>
          <m:d>
            <m:dPr>
              <m:begChr m:val="|"/>
              <m:endChr m:val=")"/>
            </m:dPr>
            <m:e>
              <m:sSub>
                <m:e>
                  <m:r>
                    <m:t xml:space="preserve">A</m:t>
                  </m:r>
                </m:e>
                <m:sub>
                  <m:r>
                    <m:t xml:space="preserve">5</m:t>
                  </m:r>
                </m:sub>
              </m:sSub>
            </m:e>
          </m:d>
        </m:oMath>
      </m:oMathPara>
    </w:p>
    <w:p>
      <w:pPr>
        <w:pStyle w:val="FirstParagraph"/>
        <w:rPr/>
      </w:pPr>
      <w:bookmarkStart w:id="105" w:name="adressraum-und-materialisierung"/>
      <w:r>
        <w:rPr/>
        <w:t>für sparse Simulationen. Eine Adresse ist nicht automatisch belegt; eine belegte Adresse ist nicht automatisch aktiv.</w:t>
      </w:r>
      <w:bookmarkEnd w:id="105"/>
    </w:p>
    <w:p>
      <w:pPr>
        <w:pStyle w:val="Heading3"/>
        <w:keepNext w:val="true"/>
        <w:widowControl/>
        <w:rPr/>
      </w:pPr>
      <w:bookmarkStart w:id="106" w:name="semantik-der-dimensionen"/>
      <w:r>
        <w:rPr/>
        <w:t>10.2 Semantik der Dimensionen</w:t>
      </w:r>
    </w:p>
    <w:p>
      <w:pPr>
        <w:pStyle w:val="FirstParagraph"/>
        <w:rPr/>
      </w:pPr>
      <w:r>
        <w:rPr/>
        <w:t xml:space="preserve">Die Basishypothese verwendet </w:t>
      </w:r>
      <w:r>
        <w:rPr/>
      </w:r>
      <m:oMath xmlns:m="http://schemas.openxmlformats.org/officeDocument/2006/math">
        <m:d>
          <m:dPr>
            <m:begChr m:val="("/>
            <m:endChr m:val=")"/>
          </m:dPr>
          <m:e>
            <m:r>
              <m:t xml:space="preserve">x</m:t>
            </m:r>
            <m:r>
              <m:t xml:space="preserve">,</m:t>
            </m:r>
            <m:r>
              <m:t xml:space="preserve">y</m:t>
            </m:r>
            <m:r>
              <m:t xml:space="preserve">,</m:t>
            </m:r>
            <m:r>
              <m:t xml:space="preserve">z</m:t>
            </m:r>
          </m:e>
        </m:d>
      </m:oMath>
      <w:r>
        <w:rPr/>
        <w:t xml:space="preserve"> als räumlich-topologische Achsen und </w:t>
      </w:r>
      <w:r>
        <w:rPr/>
      </w:r>
      <m:oMath xmlns:m="http://schemas.openxmlformats.org/officeDocument/2006/math">
        <m:d>
          <m:dPr>
            <m:begChr m:val="("/>
            <m:endChr m:val=")"/>
          </m:dPr>
          <m:e>
            <m:r>
              <m:t xml:space="preserve">a</m:t>
            </m:r>
            <m:r>
              <m:t xml:space="preserve">,</m:t>
            </m:r>
            <m:r>
              <m:t xml:space="preserve">b</m:t>
            </m:r>
          </m:e>
        </m:d>
      </m:oMath>
      <w:r>
        <w:rPr/>
        <w:t xml:space="preserve"> als zusätzliche funktionale Achsen. Diese Semantik ist </w:t>
      </w:r>
      <w:r>
        <w:rPr>
          <w:b/>
          <w:bCs/>
        </w:rPr>
        <w:t>nicht</w:t>
      </w:r>
      <w:r>
        <w:rPr/>
        <w:t xml:space="preserve"> als unveränderliche Naturbeschreibung zu verstehen. Mindestens vier Varianten sind experimentell zulässig:</w:t>
      </w:r>
    </w:p>
    <w:p>
      <w:pPr>
        <w:pStyle w:val="Compact"/>
        <w:numPr>
          <w:ilvl w:val="0"/>
          <w:numId w:val="109"/>
        </w:numPr>
        <w:rPr/>
      </w:pPr>
      <w:r>
        <w:rPr>
          <w:b/>
          <w:bCs/>
        </w:rPr>
        <w:t>fixed semantic axes:</w:t>
      </w:r>
      <w:r>
        <w:rPr/>
        <w:t xml:space="preserve"> </w:t>
      </w:r>
      <w:r>
        <w:rPr/>
      </w:r>
      <m:oMath xmlns:m="http://schemas.openxmlformats.org/officeDocument/2006/math">
        <m:r>
          <m:t xml:space="preserve">a</m:t>
        </m:r>
      </m:oMath>
      <w:r>
        <w:rPr/>
        <w:t xml:space="preserve"> und </w:t>
      </w:r>
      <w:r>
        <w:rPr/>
      </w:r>
      <m:oMath xmlns:m="http://schemas.openxmlformats.org/officeDocument/2006/math">
        <m:r>
          <m:t xml:space="preserve">b</m:t>
        </m:r>
      </m:oMath>
      <w:r>
        <w:rPr/>
        <w:t xml:space="preserve"> repräsentieren vorab definierte Modalität oder Verarbeitungsebene;</w:t>
      </w:r>
    </w:p>
    <w:p>
      <w:pPr>
        <w:pStyle w:val="Compact"/>
        <w:numPr>
          <w:ilvl w:val="0"/>
          <w:numId w:val="110"/>
        </w:numPr>
        <w:rPr/>
      </w:pPr>
      <w:r>
        <w:rPr>
          <w:b/>
          <w:bCs/>
        </w:rPr>
        <w:t>developmental axes:</w:t>
      </w:r>
      <w:r>
        <w:rPr/>
        <w:t xml:space="preserve"> Koordinaten verändern sich nur in definierten Entwicklungsphasen;</w:t>
      </w:r>
    </w:p>
    <w:p>
      <w:pPr>
        <w:pStyle w:val="Compact"/>
        <w:numPr>
          <w:ilvl w:val="0"/>
          <w:numId w:val="111"/>
        </w:numPr>
        <w:rPr/>
      </w:pPr>
      <w:r>
        <w:rPr>
          <w:b/>
          <w:bCs/>
        </w:rPr>
        <w:t>learned metric:</w:t>
      </w:r>
      <w:r>
        <w:rPr/>
        <w:t xml:space="preserve"> Koordinaten bleiben fest, aber ihre effektive Metrik wird gelernt;</w:t>
      </w:r>
    </w:p>
    <w:p>
      <w:pPr>
        <w:pStyle w:val="Compact"/>
        <w:numPr>
          <w:ilvl w:val="0"/>
          <w:numId w:val="112"/>
        </w:numPr>
        <w:rPr/>
      </w:pPr>
      <w:r>
        <w:rPr>
          <w:b/>
          <w:bCs/>
        </w:rPr>
        <w:t>learned embedding:</w:t>
      </w:r>
      <w:r>
        <w:rPr/>
        <w:t xml:space="preserve"> auch Positionen oder Regionen werden unter Nebenbedingungen angepasst.</w:t>
      </w:r>
    </w:p>
    <w:p>
      <w:pPr>
        <w:pStyle w:val="FirstParagraph"/>
        <w:rPr/>
      </w:pPr>
      <w:bookmarkStart w:id="107" w:name="semantik-der-dimensionen"/>
      <w:r>
        <w:rPr/>
        <w:t>Die Varianten sind verschiedene Modelle und dürfen in Ergebnissen nicht vermischt werden.</w:t>
      </w:r>
      <w:bookmarkEnd w:id="107"/>
    </w:p>
    <w:p>
      <w:pPr>
        <w:pStyle w:val="Heading3"/>
        <w:keepNext w:val="true"/>
        <w:widowControl/>
        <w:rPr/>
      </w:pPr>
      <w:bookmarkStart w:id="108" w:name="allgemeine-metrik"/>
      <w:r>
        <w:rPr/>
        <w:t>10.3 Allgemeine Metrik</w:t>
      </w:r>
    </w:p>
    <w:p>
      <w:pPr>
        <w:pStyle w:val="FirstParagraph"/>
        <w:rPr/>
      </w:pPr>
      <w:r>
        <w:rPr>
          <w:b/>
          <w:bCs/>
        </w:rPr>
        <w:t>[DEF]</w:t>
      </w:r>
      <w:r>
        <w:rPr/>
        <w:t xml:space="preserve"> Für </w:t>
      </w:r>
      <w:r>
        <w:rPr/>
      </w:r>
      <m:oMath xmlns:m="http://schemas.openxmlformats.org/officeDocument/2006/math">
        <m:sSub>
          <m:e>
            <m:r>
              <m:t xml:space="preserve">δ</m:t>
            </m:r>
          </m:e>
          <m:sub>
            <m:r>
              <m:t xml:space="preserve">i</m:t>
            </m:r>
            <m:r>
              <m:t xml:space="preserve">j</m:t>
            </m:r>
          </m:sub>
        </m:sSub>
        <m:r>
          <m:t xml:space="preserve">=</m:t>
        </m:r>
        <m:sSub>
          <m:e>
            <m:r>
              <m:t xml:space="preserve">p</m:t>
            </m:r>
          </m:e>
          <m:sub>
            <m:r>
              <m:t xml:space="preserve">i</m:t>
            </m:r>
          </m:sub>
        </m:sSub>
        <m:r>
          <m:t xml:space="preserve">−</m:t>
        </m:r>
        <m:sSub>
          <m:e>
            <m:r>
              <m:t xml:space="preserve">p</m:t>
            </m:r>
          </m:e>
          <m:sub>
            <m:r>
              <m:t xml:space="preserve">j</m:t>
            </m:r>
          </m:sub>
        </m:sSub>
      </m:oMath>
      <w:r>
        <w:rPr/>
        <w:t xml:space="preserve"> wird eine Mahalanobis-artige Distanz definiert:</w:t>
      </w:r>
    </w:p>
    <w:p>
      <w:pPr>
        <w:pStyle w:val="BodyText"/>
        <w:jc w:val="center"/>
        <w:rPr/>
      </w:pPr>
      <w:r>
        <w:rPr/>
      </w:r>
      <m:oMathPara xmlns:m="http://schemas.openxmlformats.org/officeDocument/2006/math">
        <m:oMathParaPr>
          <m:jc m:val="center"/>
        </m:oMathParaPr>
        <m:oMath>
          <m:sSub>
            <m:e>
              <m:r>
                <m:t xml:space="preserve">d</m:t>
              </m:r>
            </m:e>
            <m:sub>
              <m:r>
                <m:t xml:space="preserve">M</m:t>
              </m:r>
            </m:sub>
          </m:sSub>
          <m:d>
            <m:dPr>
              <m:begChr m:val="("/>
              <m:endChr m:val=")"/>
            </m:dPr>
            <m:e>
              <m:sSub>
                <m:e>
                  <m:r>
                    <m:t xml:space="preserve">p</m:t>
                  </m:r>
                </m:e>
                <m:sub>
                  <m:r>
                    <m:t xml:space="preserve">i</m:t>
                  </m:r>
                </m:sub>
              </m:sSub>
              <m:r>
                <m:t xml:space="preserve">,</m:t>
              </m:r>
              <m:sSub>
                <m:e>
                  <m:r>
                    <m:t xml:space="preserve">p</m:t>
                  </m:r>
                </m:e>
                <m:sub>
                  <m:r>
                    <m:t xml:space="preserve">j</m:t>
                  </m:r>
                </m:sub>
              </m:sSub>
            </m:e>
          </m:d>
          <m:r>
            <m:t xml:space="preserve">=</m:t>
          </m:r>
          <m:rad>
            <m:radPr>
              <m:degHide m:val="1"/>
            </m:radPr>
            <m:deg/>
            <m:e>
              <m:sSubSup>
                <m:e>
                  <m:r>
                    <m:t xml:space="preserve">δ</m:t>
                  </m:r>
                </m:e>
                <m:sub>
                  <m:r>
                    <m:t xml:space="preserve">i</m:t>
                  </m:r>
                  <m:r>
                    <m:t xml:space="preserve">j</m:t>
                  </m:r>
                </m:sub>
                <m:sup>
                  <m:r>
                    <m:t xml:space="preserve">⊤</m:t>
                  </m:r>
                </m:sup>
              </m:sSubSup>
              <m:r>
                <m:t xml:space="preserve">M</m:t>
              </m:r>
              <m:sSub>
                <m:e>
                  <m:r>
                    <m:t xml:space="preserve">δ</m:t>
                  </m:r>
                </m:e>
                <m:sub>
                  <m:r>
                    <m:t xml:space="preserve">i</m:t>
                  </m:r>
                  <m:r>
                    <m:t xml:space="preserve">j</m:t>
                  </m:r>
                </m:sub>
              </m:sSub>
            </m:e>
          </m:rad>
          <m:r>
            <m:t xml:space="preserve">.</m:t>
          </m:r>
        </m:oMath>
      </m:oMathPara>
    </w:p>
    <w:p>
      <w:pPr>
        <w:pStyle w:val="FirstParagraph"/>
        <w:rPr/>
      </w:pPr>
      <w:r>
        <w:rPr/>
        <w:t xml:space="preserve">Ist </w:t>
      </w:r>
      <w:r>
        <w:rPr/>
      </w:r>
      <m:oMath xmlns:m="http://schemas.openxmlformats.org/officeDocument/2006/math">
        <m:r>
          <m:t xml:space="preserve">M</m:t>
        </m:r>
        <m:r>
          <m:t xml:space="preserve">∈</m:t>
        </m:r>
        <m:sSup>
          <m:e>
            <m:r>
              <m:t xml:space="preserve">R</m:t>
            </m:r>
          </m:e>
          <m:sup>
            <m:r>
              <m:t xml:space="preserve">5</m:t>
            </m:r>
            <m:r>
              <m:t xml:space="preserve">×</m:t>
            </m:r>
            <m:r>
              <m:t xml:space="preserve">5</m:t>
            </m:r>
          </m:sup>
        </m:sSup>
      </m:oMath>
      <w:r>
        <w:rPr/>
        <w:t xml:space="preserve"> symmetrisch positiv definit, ist </w:t>
      </w:r>
      <w:r>
        <w:rPr/>
      </w:r>
      <m:oMath xmlns:m="http://schemas.openxmlformats.org/officeDocument/2006/math">
        <m:sSub>
          <m:e>
            <m:r>
              <m:t xml:space="preserve">d</m:t>
            </m:r>
          </m:e>
          <m:sub>
            <m:r>
              <m:t xml:space="preserve">M</m:t>
            </m:r>
          </m:sub>
        </m:sSub>
      </m:oMath>
      <w:r>
        <w:rPr/>
        <w:t xml:space="preserve"> eine Metrik. Bei positiver Semidefinitheit kann für verschiedene Punkte Distanz null auftreten; es handelt sich dann im Allgemeinen um eine Pseudometrik. Der bisherige Ausdruck</w:t>
      </w:r>
    </w:p>
    <w:p>
      <w:pPr>
        <w:pStyle w:val="BodyText"/>
        <w:jc w:val="center"/>
        <w:rPr/>
      </w:pPr>
      <w:r>
        <w:rPr/>
      </w:r>
      <m:oMathPara xmlns:m="http://schemas.openxmlformats.org/officeDocument/2006/math">
        <m:oMathParaPr>
          <m:jc m:val="center"/>
        </m:oMathParaPr>
        <m:oMath>
          <m:sSub>
            <m:e>
              <m:r>
                <m:t xml:space="preserve">d</m:t>
              </m:r>
            </m:e>
            <m:sub>
              <m:r>
                <m:t xml:space="preserve">i</m:t>
              </m:r>
              <m:r>
                <m:t xml:space="preserve">j</m:t>
              </m:r>
            </m:sub>
          </m:sSub>
          <m:r>
            <m:t xml:space="preserve">=</m:t>
          </m:r>
          <m:rad>
            <m:radPr>
              <m:degHide m:val="1"/>
            </m:radPr>
            <m:deg/>
            <m:e>
              <m:sSub>
                <m:e>
                  <m:r>
                    <m:t xml:space="preserve">λ</m:t>
                  </m:r>
                </m:e>
                <m:sub>
                  <m:r>
                    <m:t xml:space="preserve">x</m:t>
                  </m:r>
                </m:sub>
              </m:sSub>
              <m:r>
                <m:t xml:space="preserve">Δ</m:t>
              </m:r>
              <m:sSup>
                <m:e>
                  <m:r>
                    <m:t xml:space="preserve">x</m:t>
                  </m:r>
                </m:e>
                <m:sup>
                  <m:r>
                    <m:t xml:space="preserve">2</m:t>
                  </m:r>
                </m:sup>
              </m:sSup>
              <m:r>
                <m:t xml:space="preserve">+</m:t>
              </m:r>
              <m:sSub>
                <m:e>
                  <m:r>
                    <m:t xml:space="preserve">λ</m:t>
                  </m:r>
                </m:e>
                <m:sub>
                  <m:r>
                    <m:t xml:space="preserve">y</m:t>
                  </m:r>
                </m:sub>
              </m:sSub>
              <m:r>
                <m:t xml:space="preserve">Δ</m:t>
              </m:r>
              <m:sSup>
                <m:e>
                  <m:r>
                    <m:t xml:space="preserve">y</m:t>
                  </m:r>
                </m:e>
                <m:sup>
                  <m:r>
                    <m:t xml:space="preserve">2</m:t>
                  </m:r>
                </m:sup>
              </m:sSup>
              <m:r>
                <m:t xml:space="preserve">+</m:t>
              </m:r>
              <m:sSub>
                <m:e>
                  <m:r>
                    <m:t xml:space="preserve">λ</m:t>
                  </m:r>
                </m:e>
                <m:sub>
                  <m:r>
                    <m:t xml:space="preserve">z</m:t>
                  </m:r>
                </m:sub>
              </m:sSub>
              <m:r>
                <m:t xml:space="preserve">Δ</m:t>
              </m:r>
              <m:sSup>
                <m:e>
                  <m:r>
                    <m:t xml:space="preserve">z</m:t>
                  </m:r>
                </m:e>
                <m:sup>
                  <m:r>
                    <m:t xml:space="preserve">2</m:t>
                  </m:r>
                </m:sup>
              </m:sSup>
              <m:r>
                <m:t xml:space="preserve">+</m:t>
              </m:r>
              <m:sSub>
                <m:e>
                  <m:r>
                    <m:t xml:space="preserve">λ</m:t>
                  </m:r>
                </m:e>
                <m:sub>
                  <m:r>
                    <m:t xml:space="preserve">a</m:t>
                  </m:r>
                </m:sub>
              </m:sSub>
              <m:r>
                <m:t xml:space="preserve">Δ</m:t>
              </m:r>
              <m:sSup>
                <m:e>
                  <m:r>
                    <m:t xml:space="preserve">a</m:t>
                  </m:r>
                </m:e>
                <m:sup>
                  <m:r>
                    <m:t xml:space="preserve">2</m:t>
                  </m:r>
                </m:sup>
              </m:sSup>
              <m:r>
                <m:t xml:space="preserve">+</m:t>
              </m:r>
              <m:sSub>
                <m:e>
                  <m:r>
                    <m:t xml:space="preserve">λ</m:t>
                  </m:r>
                </m:e>
                <m:sub>
                  <m:r>
                    <m:t xml:space="preserve">b</m:t>
                  </m:r>
                </m:sub>
              </m:sSub>
              <m:r>
                <m:t xml:space="preserve">Δ</m:t>
              </m:r>
              <m:sSup>
                <m:e>
                  <m:r>
                    <m:t xml:space="preserve">b</m:t>
                  </m:r>
                </m:e>
                <m:sup>
                  <m:r>
                    <m:t xml:space="preserve">2</m:t>
                  </m:r>
                </m:sup>
              </m:sSup>
            </m:e>
          </m:rad>
        </m:oMath>
      </m:oMathPara>
    </w:p>
    <w:p>
      <w:pPr>
        <w:pStyle w:val="FirstParagraph"/>
        <w:rPr/>
      </w:pPr>
      <w:r>
        <w:rPr/>
        <w:t>ist der Spezialfall</w:t>
      </w:r>
    </w:p>
    <w:p>
      <w:pPr>
        <w:pStyle w:val="BodyText"/>
        <w:jc w:val="center"/>
        <w:rPr/>
      </w:pPr>
      <w:r>
        <w:rPr/>
      </w:r>
      <m:oMathPara xmlns:m="http://schemas.openxmlformats.org/officeDocument/2006/math">
        <m:oMathParaPr>
          <m:jc m:val="center"/>
        </m:oMathParaPr>
        <m:oMath>
          <m:r>
            <m:t xml:space="preserve">M</m:t>
          </m:r>
          <m:r>
            <m:t xml:space="preserve">=</m:t>
          </m:r>
          <m:r>
            <m:t xml:space="preserve">diag</m:t>
          </m:r>
          <m:d>
            <m:dPr>
              <m:begChr m:val="("/>
              <m:endChr m:val=")"/>
            </m:dPr>
            <m:e>
              <m:sSub>
                <m:e>
                  <m:r>
                    <m:t xml:space="preserve">λ</m:t>
                  </m:r>
                </m:e>
                <m:sub>
                  <m:r>
                    <m:t xml:space="preserve">x</m:t>
                  </m:r>
                </m:sub>
              </m:sSub>
              <m:r>
                <m:t xml:space="preserve">,</m:t>
              </m:r>
              <m:sSub>
                <m:e>
                  <m:r>
                    <m:t xml:space="preserve">λ</m:t>
                  </m:r>
                </m:e>
                <m:sub>
                  <m:r>
                    <m:t xml:space="preserve">y</m:t>
                  </m:r>
                </m:sub>
              </m:sSub>
              <m:r>
                <m:t xml:space="preserve">,</m:t>
              </m:r>
              <m:sSub>
                <m:e>
                  <m:r>
                    <m:t xml:space="preserve">λ</m:t>
                  </m:r>
                </m:e>
                <m:sub>
                  <m:r>
                    <m:t xml:space="preserve">z</m:t>
                  </m:r>
                </m:sub>
              </m:sSub>
              <m:r>
                <m:t xml:space="preserve">,</m:t>
              </m:r>
              <m:sSub>
                <m:e>
                  <m:r>
                    <m:t xml:space="preserve">λ</m:t>
                  </m:r>
                </m:e>
                <m:sub>
                  <m:r>
                    <m:t xml:space="preserve">a</m:t>
                  </m:r>
                </m:sub>
              </m:sSub>
              <m:r>
                <m:t xml:space="preserve">,</m:t>
              </m:r>
              <m:sSub>
                <m:e>
                  <m:r>
                    <m:t xml:space="preserve">λ</m:t>
                  </m:r>
                </m:e>
                <m:sub>
                  <m:r>
                    <m:t xml:space="preserve">b</m:t>
                  </m:r>
                </m:sub>
              </m:sSub>
            </m:e>
          </m:d>
          <m:r>
            <m:t xml:space="preserve">.</m:t>
          </m:r>
        </m:oMath>
      </m:oMathPara>
    </w:p>
    <w:p>
      <w:pPr>
        <w:pStyle w:val="FirstParagraph"/>
        <w:rPr/>
      </w:pPr>
      <w:r>
        <w:rPr/>
        <w:t xml:space="preserve">Off-diagonale Elemente modellieren Dimensionskopplungen. Ein positiver Eintrag </w:t>
      </w:r>
      <w:r>
        <w:rPr/>
      </w:r>
      <m:oMath xmlns:m="http://schemas.openxmlformats.org/officeDocument/2006/math">
        <m:sSub>
          <m:e>
            <m:r>
              <m:t xml:space="preserve">M</m:t>
            </m:r>
          </m:e>
          <m:sub>
            <m:r>
              <m:t xml:space="preserve">a</m:t>
            </m:r>
            <m:r>
              <m:t xml:space="preserve">b</m:t>
            </m:r>
          </m:sub>
        </m:sSub>
      </m:oMath>
      <w:r>
        <w:rPr/>
        <w:t xml:space="preserve"> bedeutet nicht unmittelbar eine semantische Beziehung; er verändert zunächst die Geometrie der Distanzberechnung.</w:t>
      </w:r>
      <w:bookmarkEnd w:id="108"/>
    </w:p>
    <w:p>
      <w:pPr>
        <w:pStyle w:val="Heading3"/>
        <w:keepNext w:val="true"/>
        <w:widowControl/>
        <w:rPr/>
      </w:pPr>
      <w:bookmarkStart w:id="109" w:name="lernbare-metrik"/>
      <w:r>
        <w:rPr/>
        <w:t>10.4 Lernbare Metrik</w:t>
      </w:r>
    </w:p>
    <w:p>
      <w:pPr>
        <w:pStyle w:val="FirstParagraph"/>
        <w:rPr/>
      </w:pPr>
      <w:r>
        <w:rPr/>
        <w:t>Um Positivdefinitheit zu erhalten, kann die Metrik parametrisiert werden als</w:t>
      </w:r>
    </w:p>
    <w:p>
      <w:pPr>
        <w:pStyle w:val="BodyText"/>
        <w:rPr/>
      </w:pPr>
      <w:r>
        <w:rPr>
          <w:b/>
          <w:bCs/>
        </w:rPr>
        <w:t>[MODEL]</w:t>
      </w:r>
    </w:p>
    <w:p>
      <w:pPr>
        <w:pStyle w:val="BodyText"/>
        <w:jc w:val="center"/>
        <w:rPr/>
      </w:pPr>
      <w:r>
        <w:rPr/>
      </w:r>
      <m:oMathPara xmlns:m="http://schemas.openxmlformats.org/officeDocument/2006/math">
        <m:oMathParaPr>
          <m:jc m:val="center"/>
        </m:oMathParaPr>
        <m:oMath>
          <m:r>
            <m:t xml:space="preserve">M</m:t>
          </m:r>
          <m:r>
            <m:t xml:space="preserve">=</m:t>
          </m:r>
          <m:sSup>
            <m:e>
              <m:r>
                <m:t xml:space="preserve">L</m:t>
              </m:r>
            </m:e>
            <m:sup>
              <m:r>
                <m:t xml:space="preserve">⊤</m:t>
              </m:r>
            </m:sup>
          </m:sSup>
          <m:r>
            <m:t xml:space="preserve">L</m:t>
          </m:r>
          <m:r>
            <m:t xml:space="preserve">+</m:t>
          </m:r>
          <m:r>
            <m:t xml:space="preserve">ε</m:t>
          </m:r>
          <m:r>
            <m:t xml:space="preserve">I</m:t>
          </m:r>
          <m:r>
            <m:t xml:space="preserve">,</m:t>
          </m:r>
          <m:r>
            <m:t xml:space="preserve">ε</m:t>
          </m:r>
          <m:r>
            <m:t xml:space="preserve">&gt;</m:t>
          </m:r>
          <m:r>
            <m:t xml:space="preserve">0</m:t>
          </m:r>
          <m:r>
            <m:t xml:space="preserve">.</m:t>
          </m:r>
        </m:oMath>
      </m:oMathPara>
    </w:p>
    <w:p>
      <w:pPr>
        <w:pStyle w:val="FirstParagraph"/>
        <w:rPr/>
      </w:pPr>
      <w:r>
        <w:rPr/>
        <w:t xml:space="preserve">Eine lernbare Metrik benötigt Regularisierung, weil triviale Lösungen möglich sind. </w:t>
      </w:r>
      <w:r>
        <w:rPr/>
      </w:r>
      <m:oMath xmlns:m="http://schemas.openxmlformats.org/officeDocument/2006/math">
        <m:r>
          <m:t xml:space="preserve">M</m:t>
        </m:r>
        <m:r>
          <m:t xml:space="preserve">→</m:t>
        </m:r>
        <m:r>
          <m:t xml:space="preserve">0</m:t>
        </m:r>
      </m:oMath>
      <w:r>
        <w:rPr/>
        <w:t xml:space="preserve"> kollabiert alle Distanzen; unbeschränkt große Eigenwerte können Nachbarschaften zerstören. Kandidaten sind:</w:t>
      </w:r>
    </w:p>
    <w:p>
      <w:pPr>
        <w:pStyle w:val="BodyText"/>
        <w:jc w:val="center"/>
        <w:rPr/>
      </w:pPr>
      <w:r>
        <w:rPr/>
      </w:r>
      <m:oMathPara xmlns:m="http://schemas.openxmlformats.org/officeDocument/2006/math">
        <m:oMathParaPr>
          <m:jc m:val="center"/>
        </m:oMathParaPr>
        <m:oMath>
          <m:sSub>
            <m:e>
              <m:r>
                <m:t xml:space="preserve">L</m:t>
              </m:r>
            </m:e>
            <m:sub>
              <m:r>
                <m:t xml:space="preserve">m</m:t>
              </m:r>
              <m:r>
                <m:t xml:space="preserve">e</m:t>
              </m:r>
              <m:r>
                <m:t xml:space="preserve">t</m:t>
              </m:r>
              <m:r>
                <m:t xml:space="preserve">r</m:t>
              </m:r>
              <m:r>
                <m:t xml:space="preserve">i</m:t>
              </m:r>
              <m:r>
                <m:t xml:space="preserve">c</m:t>
              </m:r>
            </m:sub>
          </m:sSub>
          <m:r>
            <m:t xml:space="preserve">=</m:t>
          </m:r>
          <m:sSub>
            <m:e>
              <m:r>
                <m:t xml:space="preserve">L</m:t>
              </m:r>
            </m:e>
            <m:sub>
              <m:r>
                <m:t xml:space="preserve">t</m:t>
              </m:r>
              <m:r>
                <m:t xml:space="preserve">a</m:t>
              </m:r>
              <m:r>
                <m:t xml:space="preserve">s</m:t>
              </m:r>
              <m:r>
                <m:t xml:space="preserve">k</m:t>
              </m:r>
            </m:sub>
          </m:sSub>
          <m:r>
            <m:t xml:space="preserve">+</m:t>
          </m:r>
          <m:r>
            <m:t xml:space="preserve">α</m:t>
          </m:r>
          <m:r>
            <m:t xml:space="preserve">tr</m:t>
          </m:r>
          <m:d>
            <m:dPr>
              <m:begChr m:val="("/>
              <m:endChr m:val=")"/>
            </m:dPr>
            <m:e>
              <m:r>
                <m:t xml:space="preserve">M</m:t>
              </m:r>
            </m:e>
          </m:d>
          <m:r>
            <m:t xml:space="preserve">+</m:t>
          </m:r>
          <m:r>
            <m:t xml:space="preserve">β</m:t>
          </m:r>
          <m:r>
            <m:t xml:space="preserve">∥</m:t>
          </m:r>
          <m:r>
            <m:t xml:space="preserve">M</m:t>
          </m:r>
          <m:r>
            <m:t xml:space="preserve">−</m:t>
          </m:r>
          <m:r>
            <m:t xml:space="preserve">I</m:t>
          </m:r>
          <m:sSubSup>
            <m:e>
              <m:r>
                <m:t xml:space="preserve">∥</m:t>
              </m:r>
            </m:e>
            <m:sub>
              <m:r>
                <m:t xml:space="preserve">F</m:t>
              </m:r>
            </m:sub>
            <m:sup>
              <m:r>
                <m:t xml:space="preserve">2</m:t>
              </m:r>
            </m:sup>
          </m:sSubSup>
          <m:r>
            <m:t xml:space="preserve">−</m:t>
          </m:r>
          <m:r>
            <m:t xml:space="preserve">γ</m:t>
          </m:r>
          <m:r>
            <m:t xml:space="preserve">log</m:t>
          </m:r>
          <m:r>
            <m:t xml:space="preserve">det</m:t>
          </m:r>
          <m:d>
            <m:dPr>
              <m:begChr m:val="("/>
              <m:endChr m:val=")"/>
            </m:dPr>
            <m:e>
              <m:r>
                <m:t xml:space="preserve">M</m:t>
              </m:r>
            </m:e>
          </m:d>
          <m:r>
            <m:t xml:space="preserve">.</m:t>
          </m:r>
        </m:oMath>
      </m:oMathPara>
    </w:p>
    <w:p>
      <w:pPr>
        <w:pStyle w:val="FirstParagraph"/>
        <w:rPr/>
      </w:pPr>
      <w:r>
        <w:rPr>
          <w:b/>
          <w:bCs/>
        </w:rPr>
        <w:t>[MODEL]</w:t>
      </w:r>
      <w:r>
        <w:rPr/>
        <w:t xml:space="preserve"> Die genaue Form ist eine Arbeitsfamilie, keine festgelegte Theorie. Sie muss gegenüber diagonalem </w:t>
      </w:r>
      <w:r>
        <w:rPr/>
      </w:r>
      <m:oMath xmlns:m="http://schemas.openxmlformats.org/officeDocument/2006/math">
        <m:r>
          <m:t xml:space="preserve">M</m:t>
        </m:r>
      </m:oMath>
      <w:r>
        <w:rPr/>
        <w:t xml:space="preserve">, zufälligem </w:t>
      </w:r>
      <w:r>
        <w:rPr/>
      </w:r>
      <m:oMath xmlns:m="http://schemas.openxmlformats.org/officeDocument/2006/math">
        <m:r>
          <m:t xml:space="preserve">M</m:t>
        </m:r>
      </m:oMath>
      <w:r>
        <w:rPr/>
        <w:t>, identischer Matrix und dimensionsreduzierten Kontrollen getestet werden. Metriklernen ist in der maschinellen Lernliteratur etabliert; Brain-5D überträgt die Idee auf eine dynamische neuronale Topologie (</w:t>
      </w:r>
      <w:hyperlink w:anchor="ref-Weinberger2009">
        <w:r>
          <w:rPr>
            <w:rStyle w:val="Hyperlink"/>
          </w:rPr>
          <w:t>Weinberger &amp; Saul, 2009</w:t>
        </w:r>
      </w:hyperlink>
      <w:r>
        <w:rPr/>
        <w:t>).</w:t>
      </w:r>
    </w:p>
    <w:p>
      <w:pPr>
        <w:pStyle w:val="CaptionedFigure"/>
        <w:rPr/>
      </w:pPr>
      <w:r>
        <w:rPr/>
        <w:drawing>
          <wp:inline distT="0" distB="0" distL="0" distR="0">
            <wp:extent cx="5984240" cy="3238500"/>
            <wp:effectExtent l="0" t="0" r="0" b="0"/>
            <wp:docPr id="2" name="Image2" descr="Konzeptioneller Übergang vom 5D-Adressraum zu einer effektiven, gegebenenfalls gelernten funktionalen Geometri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Konzeptioneller Übergang vom 5D-Adressraum zu einer effektiven, gegebenenfalls gelernten funktionalen Geometrie." title=""/>
                    <pic:cNvPicPr>
                      <a:picLocks noChangeAspect="1" noChangeArrowheads="1"/>
                    </pic:cNvPicPr>
                  </pic:nvPicPr>
                  <pic:blipFill>
                    <a:blip r:embed="rId4"/>
                    <a:stretch>
                      <a:fillRect/>
                    </a:stretch>
                  </pic:blipFill>
                  <pic:spPr bwMode="auto">
                    <a:xfrm>
                      <a:off x="0" y="0"/>
                      <a:ext cx="5984240" cy="3238500"/>
                    </a:xfrm>
                    <a:prstGeom prst="rect">
                      <a:avLst/>
                    </a:prstGeom>
                    <a:noFill/>
                  </pic:spPr>
                </pic:pic>
              </a:graphicData>
            </a:graphic>
          </wp:inline>
        </w:drawing>
      </w:r>
    </w:p>
    <w:p>
      <w:pPr>
        <w:pStyle w:val="ImageCaption"/>
        <w:rPr/>
      </w:pPr>
      <w:bookmarkStart w:id="110" w:name="lernbare-metrik"/>
      <w:r>
        <w:rPr/>
        <w:t>Konzeptioneller Übergang vom 5D-Adressraum zu einer effektiven, gegebenenfalls gelernten funktionalen Geometrie.</w:t>
      </w:r>
      <w:bookmarkEnd w:id="110"/>
    </w:p>
    <w:p>
      <w:pPr>
        <w:pStyle w:val="Heading3"/>
        <w:keepNext w:val="true"/>
        <w:widowControl/>
        <w:rPr/>
      </w:pPr>
      <w:bookmarkStart w:id="111" w:name="adressraum-oder-funktionale-geometrie"/>
      <w:r>
        <w:rPr/>
        <w:t>10.5 Adressraum oder funktionale Geometrie?</w:t>
      </w:r>
    </w:p>
    <w:p>
      <w:pPr>
        <w:pStyle w:val="FirstParagraph"/>
        <w:rPr/>
      </w:pPr>
      <w:r>
        <w:rPr/>
        <w:t>Die zentrale Geometriefrage lautet:</w:t>
      </w:r>
    </w:p>
    <w:p>
      <w:pPr>
        <w:pStyle w:val="BlockText"/>
        <w:rPr/>
      </w:pPr>
      <w:r>
        <w:rPr>
          <w:b/>
          <w:bCs/>
        </w:rPr>
        <w:t>Ist 5D nur eine effiziente Adressierung, oder bildet beziehungsweise lernt das Netzwerk eine Geometrie, deren Nachbarschaften funktionale Vorhersagekraft besitzen?</w:t>
      </w:r>
    </w:p>
    <w:p>
      <w:pPr>
        <w:pStyle w:val="FirstParagraph"/>
        <w:rPr/>
      </w:pPr>
      <w:bookmarkStart w:id="112" w:name="adressraum-oder-funktionale-geometrie"/>
      <w:r>
        <w:rPr/>
        <w:t>Eine funktionale Geometrie wäre nur dann belegt, wenn Distanz oder geodätische Nähe über reine Koordinatenkonvention hinaus mit Konnektivität, Verzögerung, Kodierung, Transfer oder Läsionseffekten zusammenhängt und gegenüber Nullmodellen zusätzliche Erklärungskraft besitzt.</w:t>
      </w:r>
      <w:bookmarkEnd w:id="112"/>
    </w:p>
    <w:p>
      <w:pPr>
        <w:pStyle w:val="Heading3"/>
        <w:keepNext w:val="true"/>
        <w:widowControl/>
        <w:rPr/>
      </w:pPr>
      <w:bookmarkStart w:id="113" w:name="normierung-und-einheiten"/>
      <w:r>
        <w:rPr/>
        <w:t>10.6 Normierung und Einheiten</w:t>
      </w:r>
    </w:p>
    <w:p>
      <w:pPr>
        <w:pStyle w:val="FirstParagraph"/>
        <w:rPr/>
      </w:pPr>
      <w:bookmarkStart w:id="114" w:name="normierung-und-einheiten"/>
      <w:r>
        <w:rPr/>
        <w:t>Sind Koordinatenachsen unterschiedlich skaliert, kann die Metrik allein wegen der Einheiten verzerrt werden. Vor Vergleichsversuchen sind daher Achsenbereiche, Randbedingungen und Normalisierung festzulegen. Mögliche Randbedingungen sind offen, reflektierend oder toroidal. Eine toroidale Distanz kann Randartefakte reduzieren, verändert jedoch die Topologie und muss als eigene Bedingung behandelt werden.</w:t>
      </w:r>
      <w:bookmarkEnd w:id="114"/>
    </w:p>
    <w:p>
      <w:pPr>
        <w:pStyle w:val="Heading3"/>
        <w:keepNext w:val="true"/>
        <w:widowControl/>
        <w:rPr/>
      </w:pPr>
      <w:bookmarkStart w:id="115" w:name="dimensionsablation"/>
      <w:r>
        <w:rPr/>
        <w:t>10.7 Dimensionsablation</w:t>
      </w:r>
    </w:p>
    <w:p>
      <w:pPr>
        <w:pStyle w:val="FirstParagraph"/>
        <w:rPr/>
      </w:pPr>
      <w:r>
        <w:rPr>
          <w:b/>
          <w:bCs/>
        </w:rPr>
        <w:t>[HYP | CLAIM-GEO-001]</w:t>
      </w:r>
      <w:r>
        <w:rPr/>
        <w:t xml:space="preserve"> Fünf Dimensionen können bei gleicher Neuronen- und Synapsenzahl eine günstigere Trennung funktionaler Nachbarschaften ermöglichen. Die Nullhypothese lautet, dass 5D gegenüber geeigneten Kontrollen keinen Vorteil besitzt.</w:t>
      </w:r>
    </w:p>
    <w:p>
      <w:pPr>
        <w:pStyle w:val="BodyText"/>
        <w:rPr/>
      </w:pPr>
      <w:r>
        <w:rPr/>
        <w:t xml:space="preserve">Verglichen werden mindestens </w:t>
      </w:r>
      <w:r>
        <w:rPr/>
      </w:r>
      <m:oMath xmlns:m="http://schemas.openxmlformats.org/officeDocument/2006/math">
        <m:r>
          <m:t xml:space="preserve">D</m:t>
        </m:r>
        <m:r>
          <m:t xml:space="preserve">∈</m:t>
        </m:r>
        <m:r>
          <m:t xml:space="preserve">{</m:t>
        </m:r>
        <m:r>
          <m:t xml:space="preserve">2</m:t>
        </m:r>
        <m:r>
          <m:t xml:space="preserve">,</m:t>
        </m:r>
        <m:r>
          <m:t xml:space="preserve">3</m:t>
        </m:r>
        <m:r>
          <m:t xml:space="preserve">,</m:t>
        </m:r>
        <m:r>
          <m:t xml:space="preserve">4</m:t>
        </m:r>
        <m:r>
          <m:t xml:space="preserve">,</m:t>
        </m:r>
        <m:r>
          <m:t xml:space="preserve">5</m:t>
        </m:r>
        <m:r>
          <m:t xml:space="preserve">,</m:t>
        </m:r>
        <m:r>
          <m:t xml:space="preserve">6</m:t>
        </m:r>
        <m:r>
          <m:t xml:space="preserve">}</m:t>
        </m:r>
      </m:oMath>
      <w:r>
        <w:rPr/>
        <w:t xml:space="preserve"> sowie:</w:t>
      </w:r>
    </w:p>
    <w:p>
      <w:pPr>
        <w:pStyle w:val="Compact"/>
        <w:numPr>
          <w:ilvl w:val="0"/>
          <w:numId w:val="113"/>
        </w:numPr>
        <w:rPr/>
      </w:pPr>
      <w:r>
        <w:rPr/>
        <w:t>ein Erdos-Renyi-artiges Sparse-Netz mit gematchtem Grad;</w:t>
      </w:r>
    </w:p>
    <w:p>
      <w:pPr>
        <w:pStyle w:val="Compact"/>
        <w:numPr>
          <w:ilvl w:val="0"/>
          <w:numId w:val="114"/>
        </w:numPr>
        <w:rPr/>
      </w:pPr>
      <w:r>
        <w:rPr/>
        <w:t>ein gradverteilungserhaltend rewired Netzwerk;</w:t>
      </w:r>
    </w:p>
    <w:p>
      <w:pPr>
        <w:pStyle w:val="Compact"/>
        <w:numPr>
          <w:ilvl w:val="0"/>
          <w:numId w:val="115"/>
        </w:numPr>
        <w:rPr/>
      </w:pPr>
      <w:r>
        <w:rPr/>
        <w:t>ein nichtgeometrisches Reservoir;</w:t>
      </w:r>
    </w:p>
    <w:p>
      <w:pPr>
        <w:pStyle w:val="Compact"/>
        <w:numPr>
          <w:ilvl w:val="0"/>
          <w:numId w:val="116"/>
        </w:numPr>
        <w:rPr/>
      </w:pPr>
      <w:r>
        <w:rPr/>
        <w:t>ein 5D-Netz mit permutierten Koordinaten;</w:t>
      </w:r>
    </w:p>
    <w:p>
      <w:pPr>
        <w:pStyle w:val="Compact"/>
        <w:numPr>
          <w:ilvl w:val="0"/>
          <w:numId w:val="117"/>
        </w:numPr>
        <w:rPr/>
      </w:pPr>
      <w:r>
        <w:rPr/>
        <w:t>ein 5D-Netz mit identischer Topologie, aber deaktivierter Distanzverwendung.</w:t>
      </w:r>
    </w:p>
    <w:p>
      <w:pPr>
        <w:pStyle w:val="FirstParagraph"/>
        <w:rPr/>
      </w:pPr>
      <w:bookmarkStart w:id="116" w:name="der-fünfdimensionale-raum"/>
      <w:bookmarkStart w:id="117" w:name="dimensionsablation"/>
      <w:r>
        <w:rPr/>
        <w:t>Gematcht werden soweit möglich Neuronenzahl, Synapsenzahl, Gradverteilung, Verzögerungsbudget, Gesamtgewicht, Eingangsenergie, Lernregeln und Simulationszeit. Ohne diese Kontrollen wäre ein Vorteil von 5D möglicherweise nur ein Vorteil höherer Konnektivität oder größerer Ressourcen.</w:t>
      </w:r>
      <w:bookmarkEnd w:id="116"/>
      <w:bookmarkEnd w:id="117"/>
    </w:p>
    <w:p>
      <w:pPr>
        <w:pStyle w:val="Heading2"/>
        <w:keepNext w:val="true"/>
        <w:widowControl/>
        <w:rPr/>
      </w:pPr>
      <w:bookmarkStart w:id="118" w:name="__RefHeading___Toc10123_954062153"/>
      <w:bookmarkStart w:id="119" w:name="dynamischer-graph-und-graphentheorie"/>
      <w:bookmarkEnd w:id="118"/>
      <w:r>
        <w:rPr/>
        <w:t>11. Dynamischer Graph und Graphentheorie</w:t>
      </w:r>
    </w:p>
    <w:p>
      <w:pPr>
        <w:pStyle w:val="Heading3"/>
        <w:keepNext w:val="true"/>
        <w:widowControl/>
        <w:rPr/>
      </w:pPr>
      <w:bookmarkStart w:id="120" w:name="formale-graphdefinition"/>
      <w:r>
        <w:rPr/>
        <w:t>11.1 Formale Graphdefinition</w:t>
      </w:r>
    </w:p>
    <w:p>
      <w:pPr>
        <w:pStyle w:val="FirstParagraph"/>
        <w:rPr/>
      </w:pPr>
      <w:r>
        <w:rPr>
          <w:b/>
          <w:bCs/>
        </w:rPr>
        <w:t>[DEF]</w:t>
      </w:r>
      <w:r>
        <w:rPr/>
        <w:t xml:space="preserve"> Der materialisierte Netzwerkgraph zum Zeitpunkt </w:t>
      </w:r>
      <w:r>
        <w:rPr/>
      </w:r>
      <m:oMath xmlns:m="http://schemas.openxmlformats.org/officeDocument/2006/math">
        <m:r>
          <m:t xml:space="preserve">t</m:t>
        </m:r>
      </m:oMath>
      <w:r>
        <w:rPr/>
        <w:t xml:space="preserve"> ist</w:t>
      </w:r>
    </w:p>
    <w:p>
      <w:pPr>
        <w:pStyle w:val="BodyText"/>
        <w:jc w:val="center"/>
        <w:rPr/>
      </w:pPr>
      <w:r>
        <w:rPr/>
      </w:r>
      <m:oMathPara xmlns:m="http://schemas.openxmlformats.org/officeDocument/2006/math">
        <m:oMathParaPr>
          <m:jc m:val="center"/>
        </m:oMathParaPr>
        <m:oMath>
          <m:sSub>
            <m:e>
              <m:r>
                <m:t xml:space="preserve">G</m:t>
              </m:r>
            </m:e>
            <m:sub>
              <m:r>
                <m:t xml:space="preserve">t</m:t>
              </m:r>
            </m:sub>
          </m:sSub>
          <m:r>
            <m:t xml:space="preserve">=</m:t>
          </m:r>
          <m:d>
            <m:dPr>
              <m:begChr m:val="("/>
              <m:endChr m:val=")"/>
            </m:dPr>
            <m:e>
              <m:sSub>
                <m:e>
                  <m:r>
                    <m:t xml:space="preserve">V</m:t>
                  </m:r>
                </m:e>
                <m:sub>
                  <m:r>
                    <m:t xml:space="preserve">t</m:t>
                  </m:r>
                </m:sub>
              </m:sSub>
              <m:r>
                <m:t xml:space="preserve">,</m:t>
              </m:r>
              <m:sSub>
                <m:e>
                  <m:r>
                    <m:t xml:space="preserve">E</m:t>
                  </m:r>
                </m:e>
                <m:sub>
                  <m:r>
                    <m:t xml:space="preserve">t</m:t>
                  </m:r>
                </m:sub>
              </m:sSub>
              <m:r>
                <m:t xml:space="preserve">,</m:t>
              </m:r>
              <m:sSub>
                <m:e>
                  <m:r>
                    <m:t xml:space="preserve">W</m:t>
                  </m:r>
                </m:e>
                <m:sub>
                  <m:r>
                    <m:t xml:space="preserve">t</m:t>
                  </m:r>
                </m:sub>
              </m:sSub>
              <m:r>
                <m:t xml:space="preserve">,</m:t>
              </m:r>
              <m:sSub>
                <m:e>
                  <m:r>
                    <m:t xml:space="preserve">D</m:t>
                  </m:r>
                </m:e>
                <m:sub>
                  <m:r>
                    <m:t xml:space="preserve">t</m:t>
                  </m:r>
                </m:sub>
              </m:sSub>
              <m:r>
                <m:t xml:space="preserve">,</m:t>
              </m:r>
              <m:sSub>
                <m:e>
                  <m:r>
                    <m:t xml:space="preserve">T</m:t>
                  </m:r>
                </m:e>
                <m:sub>
                  <m:r>
                    <m:t xml:space="preserve">t</m:t>
                  </m:r>
                </m:sub>
              </m:sSub>
              <m:r>
                <m:t xml:space="preserve">,</m:t>
              </m:r>
              <m:sSub>
                <m:e>
                  <m:r>
                    <m:t xml:space="preserve">R</m:t>
                  </m:r>
                </m:e>
                <m:sub>
                  <m:r>
                    <m:t xml:space="preserve">t</m:t>
                  </m:r>
                </m:sub>
              </m:sSub>
            </m:e>
          </m:d>
          <m:r>
            <m:t xml:space="preserve">,</m:t>
          </m:r>
        </m:oMath>
      </m:oMathPara>
    </w:p>
    <w:p>
      <w:pPr>
        <w:pStyle w:val="FirstParagraph"/>
        <w:rPr/>
      </w:pPr>
      <w:r>
        <w:rPr/>
        <w:t xml:space="preserve">mit Knoten </w:t>
      </w:r>
      <w:r>
        <w:rPr/>
      </w:r>
      <m:oMath xmlns:m="http://schemas.openxmlformats.org/officeDocument/2006/math">
        <m:sSub>
          <m:e>
            <m:r>
              <m:t xml:space="preserve">V</m:t>
            </m:r>
          </m:e>
          <m:sub>
            <m:r>
              <m:t xml:space="preserve">t</m:t>
            </m:r>
          </m:sub>
        </m:sSub>
      </m:oMath>
      <w:r>
        <w:rPr/>
        <w:t xml:space="preserve">, gerichteten Kanten </w:t>
      </w:r>
      <w:r>
        <w:rPr/>
      </w:r>
      <m:oMath xmlns:m="http://schemas.openxmlformats.org/officeDocument/2006/math">
        <m:sSub>
          <m:e>
            <m:r>
              <m:t xml:space="preserve">E</m:t>
            </m:r>
          </m:e>
          <m:sub>
            <m:r>
              <m:t xml:space="preserve">t</m:t>
            </m:r>
          </m:sub>
        </m:sSub>
      </m:oMath>
      <w:r>
        <w:rPr/>
        <w:t xml:space="preserve">, Gewichten </w:t>
      </w:r>
      <w:r>
        <w:rPr/>
      </w:r>
      <m:oMath xmlns:m="http://schemas.openxmlformats.org/officeDocument/2006/math">
        <m:sSub>
          <m:e>
            <m:r>
              <m:t xml:space="preserve">W</m:t>
            </m:r>
          </m:e>
          <m:sub>
            <m:r>
              <m:t xml:space="preserve">t</m:t>
            </m:r>
          </m:sub>
        </m:sSub>
      </m:oMath>
      <w:r>
        <w:rPr/>
        <w:t xml:space="preserve">, Verzögerungen </w:t>
      </w:r>
      <w:r>
        <w:rPr/>
      </w:r>
      <m:oMath xmlns:m="http://schemas.openxmlformats.org/officeDocument/2006/math">
        <m:sSub>
          <m:e>
            <m:r>
              <m:t xml:space="preserve">D</m:t>
            </m:r>
          </m:e>
          <m:sub>
            <m:r>
              <m:t xml:space="preserve">t</m:t>
            </m:r>
          </m:sub>
        </m:sSub>
      </m:oMath>
      <w:r>
        <w:rPr/>
        <w:t xml:space="preserve">, Synapsentypen </w:t>
      </w:r>
      <w:r>
        <w:rPr/>
      </w:r>
      <m:oMath xmlns:m="http://schemas.openxmlformats.org/officeDocument/2006/math">
        <m:sSub>
          <m:e>
            <m:r>
              <m:t xml:space="preserve">T</m:t>
            </m:r>
          </m:e>
          <m:sub>
            <m:r>
              <m:t xml:space="preserve">t</m:t>
            </m:r>
          </m:sub>
        </m:sSub>
      </m:oMath>
      <w:r>
        <w:rPr/>
        <w:t xml:space="preserve"> und Ressourcen-/Provenienzattributen </w:t>
      </w:r>
      <w:r>
        <w:rPr/>
      </w:r>
      <m:oMath xmlns:m="http://schemas.openxmlformats.org/officeDocument/2006/math">
        <m:sSub>
          <m:e>
            <m:r>
              <m:t xml:space="preserve">R</m:t>
            </m:r>
          </m:e>
          <m:sub>
            <m:r>
              <m:t xml:space="preserve">t</m:t>
            </m:r>
          </m:sub>
        </m:sSub>
      </m:oMath>
      <w:r>
        <w:rPr/>
        <w:t xml:space="preserve">. Da Knoten und Kanten entstehen oder verschwinden können, ist </w:t>
      </w:r>
      <w:r>
        <w:rPr/>
      </w:r>
      <m:oMath xmlns:m="http://schemas.openxmlformats.org/officeDocument/2006/math">
        <m:sSub>
          <m:e>
            <m:r>
              <m:t xml:space="preserve">G</m:t>
            </m:r>
          </m:e>
          <m:sub>
            <m:r>
              <m:t xml:space="preserve">t</m:t>
            </m:r>
          </m:sub>
        </m:sSub>
      </m:oMath>
      <w:r>
        <w:rPr/>
        <w:t xml:space="preserve"> ein dynamischer, gewichteter, gerichteter, typisierter und räumlich eingebetteter Graph.</w:t>
      </w:r>
      <w:bookmarkEnd w:id="120"/>
    </w:p>
    <w:p>
      <w:pPr>
        <w:pStyle w:val="Heading3"/>
        <w:keepNext w:val="true"/>
        <w:widowControl/>
        <w:rPr/>
      </w:pPr>
      <w:bookmarkStart w:id="121" w:name="verbindungswahrscheinlichkeit"/>
      <w:r>
        <w:rPr/>
        <w:t>11.2 Verbindungswahrscheinlichkeit</w:t>
      </w:r>
    </w:p>
    <w:p>
      <w:pPr>
        <w:pStyle w:val="FirstParagraph"/>
        <w:rPr/>
      </w:pPr>
      <w:r>
        <w:rPr/>
        <w:t>Eine allgemeine Modellfamilie lautet:</w:t>
      </w:r>
    </w:p>
    <w:p>
      <w:pPr>
        <w:pStyle w:val="BodyText"/>
        <w:rPr/>
      </w:pPr>
      <w:r>
        <w:rPr>
          <w:b/>
          <w:bCs/>
        </w:rPr>
        <w:t>[MODEL]</w:t>
      </w:r>
    </w:p>
    <w:p>
      <w:pPr>
        <w:pStyle w:val="BodyText"/>
        <w:jc w:val="center"/>
        <w:rPr/>
      </w:pPr>
      <w:r>
        <w:rPr/>
      </w:r>
      <m:oMathPara xmlns:m="http://schemas.openxmlformats.org/officeDocument/2006/math">
        <m:oMathParaPr>
          <m:jc m:val="center"/>
        </m:oMathParaPr>
        <m:oMath>
          <m:sSub>
            <m:e>
              <m:r>
                <m:t xml:space="preserve">P</m:t>
              </m:r>
            </m:e>
            <m:sub>
              <m:r>
                <m:t xml:space="preserve">t</m:t>
              </m:r>
            </m:sub>
          </m:sSub>
          <m:d>
            <m:dPr>
              <m:begChr m:val="("/>
              <m:endChr m:val=")"/>
            </m:dPr>
            <m:e>
              <m:r>
                <m:t xml:space="preserve">i</m:t>
              </m:r>
              <m:r>
                <m:t xml:space="preserve">→</m:t>
              </m:r>
              <m:r>
                <m:t xml:space="preserve">j</m:t>
              </m:r>
            </m:e>
          </m:d>
          <m:r>
            <m:t xml:space="preserve">=</m:t>
          </m:r>
          <m:r>
            <m:t xml:space="preserve">σ</m:t>
          </m:r>
          <m:d>
            <m:dPr>
              <m:begChr m:val="("/>
              <m:endChr m:val=")"/>
            </m:dPr>
            <m:e>
              <m:sSub>
                <m:e>
                  <m:r>
                    <m:t xml:space="preserve">β</m:t>
                  </m:r>
                </m:e>
                <m:sub>
                  <m:r>
                    <m:t xml:space="preserve">0</m:t>
                  </m:r>
                </m:sub>
              </m:sSub>
              <m:r>
                <m:t xml:space="preserve">−</m:t>
              </m:r>
              <m:sSub>
                <m:e>
                  <m:r>
                    <m:t xml:space="preserve">β</m:t>
                  </m:r>
                </m:e>
                <m:sub>
                  <m:r>
                    <m:t xml:space="preserve">d</m:t>
                  </m:r>
                </m:sub>
              </m:sSub>
              <m:sSub>
                <m:e>
                  <m:r>
                    <m:t xml:space="preserve">d</m:t>
                  </m:r>
                </m:e>
                <m:sub>
                  <m:r>
                    <m:t xml:space="preserve">M</m:t>
                  </m:r>
                </m:sub>
              </m:sSub>
              <m:d>
                <m:dPr>
                  <m:begChr m:val="("/>
                  <m:endChr m:val=")"/>
                </m:dPr>
                <m:e>
                  <m:sSub>
                    <m:e>
                      <m:r>
                        <m:t xml:space="preserve">p</m:t>
                      </m:r>
                    </m:e>
                    <m:sub>
                      <m:r>
                        <m:t xml:space="preserve">i</m:t>
                      </m:r>
                    </m:sub>
                  </m:sSub>
                  <m:r>
                    <m:t xml:space="preserve">,</m:t>
                  </m:r>
                  <m:sSub>
                    <m:e>
                      <m:r>
                        <m:t xml:space="preserve">p</m:t>
                      </m:r>
                    </m:e>
                    <m:sub>
                      <m:r>
                        <m:t xml:space="preserve">j</m:t>
                      </m:r>
                    </m:sub>
                  </m:sSub>
                </m:e>
              </m:d>
              <m:r>
                <m:t xml:space="preserve">+</m:t>
              </m:r>
              <m:sSub>
                <m:e>
                  <m:r>
                    <m:t xml:space="preserve">β</m:t>
                  </m:r>
                </m:e>
                <m:sub>
                  <m:r>
                    <m:t xml:space="preserve">c</m:t>
                  </m:r>
                </m:sub>
              </m:sSub>
              <m:sSub>
                <m:e>
                  <m:r>
                    <m:t xml:space="preserve">C</m:t>
                  </m:r>
                </m:e>
                <m:sub>
                  <m:r>
                    <m:t xml:space="preserve">i</m:t>
                  </m:r>
                  <m:r>
                    <m:t xml:space="preserve">j</m:t>
                  </m:r>
                </m:sub>
              </m:sSub>
              <m:d>
                <m:dPr>
                  <m:begChr m:val="("/>
                  <m:endChr m:val=")"/>
                </m:dPr>
                <m:e>
                  <m:r>
                    <m:t xml:space="preserve">t</m:t>
                  </m:r>
                </m:e>
              </m:d>
              <m:r>
                <m:t xml:space="preserve">+</m:t>
              </m:r>
              <m:sSub>
                <m:e>
                  <m:r>
                    <m:t xml:space="preserve">β</m:t>
                  </m:r>
                </m:e>
                <m:sub>
                  <m:r>
                    <m:t xml:space="preserve">h</m:t>
                  </m:r>
                </m:sub>
              </m:sSub>
              <m:sSub>
                <m:e>
                  <m:r>
                    <m:t xml:space="preserve">H</m:t>
                  </m:r>
                </m:e>
                <m:sub>
                  <m:r>
                    <m:t xml:space="preserve">i</m:t>
                  </m:r>
                  <m:r>
                    <m:t xml:space="preserve">j</m:t>
                  </m:r>
                </m:sub>
              </m:sSub>
              <m:d>
                <m:dPr>
                  <m:begChr m:val="("/>
                  <m:endChr m:val=")"/>
                </m:dPr>
                <m:e>
                  <m:r>
                    <m:t xml:space="preserve">t</m:t>
                  </m:r>
                </m:e>
              </m:d>
              <m:r>
                <m:t xml:space="preserve">+</m:t>
              </m:r>
              <m:sSub>
                <m:e>
                  <m:r>
                    <m:t xml:space="preserve">β</m:t>
                  </m:r>
                </m:e>
                <m:sub>
                  <m:r>
                    <m:t xml:space="preserve">r</m:t>
                  </m:r>
                </m:sub>
              </m:sSub>
              <m:sSub>
                <m:e>
                  <m:r>
                    <m:t xml:space="preserve">R</m:t>
                  </m:r>
                </m:e>
                <m:sub>
                  <m:r>
                    <m:t xml:space="preserve">i</m:t>
                  </m:r>
                  <m:r>
                    <m:t xml:space="preserve">j</m:t>
                  </m:r>
                </m:sub>
              </m:sSub>
              <m:d>
                <m:dPr>
                  <m:begChr m:val="("/>
                  <m:endChr m:val=")"/>
                </m:dPr>
                <m:e>
                  <m:r>
                    <m:t xml:space="preserve">t</m:t>
                  </m:r>
                </m:e>
              </m:d>
            </m:e>
          </m:d>
          <m:r>
            <m:t xml:space="preserve">,</m:t>
          </m:r>
        </m:oMath>
      </m:oMathPara>
    </w:p>
    <w:p>
      <w:pPr>
        <w:pStyle w:val="FirstParagraph"/>
        <w:rPr/>
      </w:pPr>
      <w:r>
        <w:rPr/>
        <w:t xml:space="preserve">wobei </w:t>
      </w:r>
      <w:r>
        <w:rPr/>
      </w:r>
      <m:oMath xmlns:m="http://schemas.openxmlformats.org/officeDocument/2006/math">
        <m:r>
          <m:t xml:space="preserve">σ</m:t>
        </m:r>
      </m:oMath>
      <w:r>
        <w:rPr/>
        <w:t xml:space="preserve"> eine begrenzende Linkfunktion ist, </w:t>
      </w:r>
      <w:r>
        <w:rPr/>
      </w:r>
      <m:oMath xmlns:m="http://schemas.openxmlformats.org/officeDocument/2006/math">
        <m:sSub>
          <m:e>
            <m:r>
              <m:t xml:space="preserve">C</m:t>
            </m:r>
          </m:e>
          <m:sub>
            <m:r>
              <m:t xml:space="preserve">i</m:t>
            </m:r>
            <m:r>
              <m:t xml:space="preserve">j</m:t>
            </m:r>
          </m:sub>
        </m:sSub>
      </m:oMath>
      <w:r>
        <w:rPr/>
        <w:t xml:space="preserve"> Aktivitätskopplung, </w:t>
      </w:r>
      <w:r>
        <w:rPr/>
      </w:r>
      <m:oMath xmlns:m="http://schemas.openxmlformats.org/officeDocument/2006/math">
        <m:sSub>
          <m:e>
            <m:r>
              <m:t xml:space="preserve">H</m:t>
            </m:r>
          </m:e>
          <m:sub>
            <m:r>
              <m:t xml:space="preserve">i</m:t>
            </m:r>
            <m:r>
              <m:t xml:space="preserve">j</m:t>
            </m:r>
          </m:sub>
        </m:sSub>
      </m:oMath>
      <w:r>
        <w:rPr/>
        <w:t xml:space="preserve"> Homophilie beziehungsweise Typkompatibilität und </w:t>
      </w:r>
      <w:r>
        <w:rPr/>
      </w:r>
      <m:oMath xmlns:m="http://schemas.openxmlformats.org/officeDocument/2006/math">
        <m:sSub>
          <m:e>
            <m:r>
              <m:t xml:space="preserve">R</m:t>
            </m:r>
          </m:e>
          <m:sub>
            <m:r>
              <m:t xml:space="preserve">i</m:t>
            </m:r>
            <m:r>
              <m:t xml:space="preserve">j</m:t>
            </m:r>
          </m:sub>
        </m:sSub>
      </m:oMath>
      <w:r>
        <w:rPr/>
        <w:t xml:space="preserve"> Ressourcen- oder Entwicklungsbedingungen ausdrückt. Die einfache Exponentialform</w:t>
      </w:r>
    </w:p>
    <w:p>
      <w:pPr>
        <w:pStyle w:val="BodyText"/>
        <w:jc w:val="center"/>
        <w:rPr/>
      </w:pPr>
      <w:r>
        <w:rPr/>
      </w:r>
      <m:oMathPara xmlns:m="http://schemas.openxmlformats.org/officeDocument/2006/math">
        <m:oMathParaPr>
          <m:jc m:val="center"/>
        </m:oMathParaPr>
        <m:oMath>
          <m:r>
            <m:t xml:space="preserve">P</m:t>
          </m:r>
          <m:d>
            <m:dPr>
              <m:begChr m:val="("/>
              <m:endChr m:val=")"/>
            </m:dPr>
            <m:e>
              <m:r>
                <m:t xml:space="preserve">i</m:t>
              </m:r>
              <m:r>
                <m:t xml:space="preserve">→</m:t>
              </m:r>
              <m:r>
                <m:t xml:space="preserve">j</m:t>
              </m:r>
            </m:e>
          </m:d>
          <m:r>
            <m:t xml:space="preserve">=</m:t>
          </m:r>
          <m:sSub>
            <m:e>
              <m:r>
                <m:t xml:space="preserve">P</m:t>
              </m:r>
            </m:e>
            <m:sub>
              <m:r>
                <m:t xml:space="preserve">0</m:t>
              </m:r>
            </m:sub>
          </m:sSub>
          <m:sSup>
            <m:e>
              <m:r>
                <m:t xml:space="preserve">e</m:t>
              </m:r>
            </m:e>
            <m:sup>
              <m:r>
                <m:t xml:space="preserve">−</m:t>
              </m:r>
              <m:f>
                <m:fPr>
                  <m:type m:val="lin"/>
                </m:fPr>
                <m:num>
                  <m:sSub>
                    <m:e>
                      <m:r>
                        <m:t xml:space="preserve">d</m:t>
                      </m:r>
                    </m:e>
                    <m:sub>
                      <m:r>
                        <m:t xml:space="preserve">M</m:t>
                      </m:r>
                    </m:sub>
                  </m:sSub>
                </m:num>
                <m:den>
                  <m:sSub>
                    <m:e>
                      <m:r>
                        <m:t xml:space="preserve">σ</m:t>
                      </m:r>
                    </m:e>
                    <m:sub>
                      <m:r>
                        <m:t xml:space="preserve">d</m:t>
                      </m:r>
                    </m:sub>
                  </m:sSub>
                </m:den>
              </m:f>
            </m:sup>
          </m:sSup>
        </m:oMath>
      </m:oMathPara>
    </w:p>
    <w:p>
      <w:pPr>
        <w:pStyle w:val="FirstParagraph"/>
        <w:rPr/>
      </w:pPr>
      <w:bookmarkStart w:id="122" w:name="verbindungswahrscheinlichkeit"/>
      <w:r>
        <w:rPr/>
        <w:t>ist ein Spezialfall. Die Verwendung einer Wahrscheinlichkeit bedeutet nicht, dass Verbindungen bei jedem Tick neu gezogen werden; Erzeugungszeitpunkt und Persistence-Regeln sind Teil der Strukturplastizität.</w:t>
      </w:r>
      <w:bookmarkEnd w:id="122"/>
    </w:p>
    <w:p>
      <w:pPr>
        <w:pStyle w:val="Heading3"/>
        <w:keepNext w:val="true"/>
        <w:widowControl/>
        <w:rPr/>
      </w:pPr>
      <w:bookmarkStart w:id="123" w:name="messgrößen"/>
      <w:r>
        <w:rPr/>
        <w:t>11.3 Messgrößen</w:t>
      </w:r>
    </w:p>
    <w:p>
      <w:pPr>
        <w:pStyle w:val="FirstParagraph"/>
        <w:rPr/>
      </w:pPr>
      <w:r>
        <w:rPr/>
        <w:t>Für Brain-5D sind mindestens folgende Graphmaße relevant (</w:t>
      </w:r>
      <w:hyperlink w:anchor="ref-Newman2010">
        <w:r>
          <w:rPr>
            <w:rStyle w:val="Hyperlink"/>
          </w:rPr>
          <w:t>Newman, 2010</w:t>
        </w:r>
      </w:hyperlink>
      <w:r>
        <w:rPr/>
        <w:t xml:space="preserve">; </w:t>
      </w:r>
      <w:hyperlink w:anchor="ref-Rubinov2010">
        <w:r>
          <w:rPr>
            <w:rStyle w:val="Hyperlink"/>
          </w:rPr>
          <w:t>Rubinov &amp; Sporns, 2010</w:t>
        </w:r>
      </w:hyperlink>
      <w:r>
        <w:rPr/>
        <w:t>):</w:t>
      </w:r>
    </w:p>
    <w:p>
      <w:pPr>
        <w:pStyle w:val="Compact"/>
        <w:numPr>
          <w:ilvl w:val="0"/>
          <w:numId w:val="118"/>
        </w:numPr>
        <w:rPr/>
      </w:pPr>
      <w:r>
        <w:rPr/>
        <w:t>In-/Out-Degree und gewichtete Strength-Verteilungen;</w:t>
      </w:r>
    </w:p>
    <w:p>
      <w:pPr>
        <w:pStyle w:val="Compact"/>
        <w:numPr>
          <w:ilvl w:val="0"/>
          <w:numId w:val="119"/>
        </w:numPr>
        <w:rPr/>
      </w:pPr>
      <w:r>
        <w:rPr/>
        <w:t>lokale und globale Clustering-Koeffizienten;</w:t>
      </w:r>
    </w:p>
    <w:p>
      <w:pPr>
        <w:pStyle w:val="Compact"/>
        <w:numPr>
          <w:ilvl w:val="0"/>
          <w:numId w:val="120"/>
        </w:numPr>
        <w:rPr/>
      </w:pPr>
      <w:r>
        <w:rPr/>
        <w:t>kürzeste Pfade beziehungsweise verzögerungsgewichtete Pfade;</w:t>
      </w:r>
    </w:p>
    <w:p>
      <w:pPr>
        <w:pStyle w:val="Compact"/>
        <w:numPr>
          <w:ilvl w:val="0"/>
          <w:numId w:val="121"/>
        </w:numPr>
        <w:rPr/>
      </w:pPr>
      <w:r>
        <w:rPr/>
        <w:t>globale und lokale Effizienz;</w:t>
      </w:r>
    </w:p>
    <w:p>
      <w:pPr>
        <w:pStyle w:val="Compact"/>
        <w:numPr>
          <w:ilvl w:val="0"/>
          <w:numId w:val="122"/>
        </w:numPr>
        <w:rPr/>
      </w:pPr>
      <w:r>
        <w:rPr/>
        <w:t>Assortativität nach Zelltyp, Alter, Region und Aktivität;</w:t>
      </w:r>
    </w:p>
    <w:p>
      <w:pPr>
        <w:pStyle w:val="Compact"/>
        <w:numPr>
          <w:ilvl w:val="0"/>
          <w:numId w:val="123"/>
        </w:numPr>
        <w:rPr/>
      </w:pPr>
      <w:r>
        <w:rPr/>
        <w:t>Modularität und Community-Stabilität;</w:t>
      </w:r>
    </w:p>
    <w:p>
      <w:pPr>
        <w:pStyle w:val="Compact"/>
        <w:numPr>
          <w:ilvl w:val="0"/>
          <w:numId w:val="124"/>
        </w:numPr>
        <w:rPr/>
      </w:pPr>
      <w:r>
        <w:rPr/>
        <w:t>Motif-Häufigkeiten und Feedforward-/Feedback-Strukturen;</w:t>
      </w:r>
    </w:p>
    <w:p>
      <w:pPr>
        <w:pStyle w:val="Compact"/>
        <w:numPr>
          <w:ilvl w:val="0"/>
          <w:numId w:val="125"/>
        </w:numPr>
        <w:rPr/>
      </w:pPr>
      <w:r>
        <w:rPr/>
        <w:t>spektrale Größen des Adjazenz- und Laplaceoperators;</w:t>
      </w:r>
    </w:p>
    <w:p>
      <w:pPr>
        <w:pStyle w:val="Compact"/>
        <w:numPr>
          <w:ilvl w:val="0"/>
          <w:numId w:val="126"/>
        </w:numPr>
        <w:rPr/>
      </w:pPr>
      <w:r>
        <w:rPr/>
        <w:t>räumliche Kantenlängen, Wiring Cost und Delay-Verteilung;</w:t>
      </w:r>
    </w:p>
    <w:p>
      <w:pPr>
        <w:pStyle w:val="Compact"/>
        <w:numPr>
          <w:ilvl w:val="0"/>
          <w:numId w:val="127"/>
        </w:numPr>
        <w:rPr/>
      </w:pPr>
      <w:r>
        <w:rPr/>
        <w:t>zeitliche Persistenz und Turnover von Knoten und Kanten.</w:t>
      </w:r>
    </w:p>
    <w:p>
      <w:pPr>
        <w:pStyle w:val="FirstParagraph"/>
        <w:rPr/>
      </w:pPr>
      <w:bookmarkStart w:id="124" w:name="messgrößen"/>
      <w:r>
        <w:rPr/>
        <w:t>Graphmetriken sind stark voneinander und von Dichte abhängig. Ihre Interpretation erfordert deshalb Nullmodelle, Dichtekontrolle und Unsicherheitsintervalle.</w:t>
      </w:r>
      <w:bookmarkEnd w:id="124"/>
    </w:p>
    <w:p>
      <w:pPr>
        <w:pStyle w:val="Heading3"/>
        <w:keepNext w:val="true"/>
        <w:widowControl/>
        <w:rPr/>
      </w:pPr>
      <w:bookmarkStart w:id="125" w:name="nullmodelle"/>
      <w:r>
        <w:rPr/>
        <w:t>11.4 Nullmodelle</w:t>
      </w:r>
    </w:p>
    <w:p>
      <w:pPr>
        <w:pStyle w:val="FirstParagraph"/>
        <w:rPr/>
      </w:pPr>
      <w:r>
        <w:rPr/>
        <w:t>Ein Nullmodell soll die zu prüfende Eigenschaft zerstören, ohne irrelevante Größen zu verändern. Beispiele:</w:t>
      </w:r>
    </w:p>
    <w:p>
      <w:pPr>
        <w:pStyle w:val="Compact"/>
        <w:numPr>
          <w:ilvl w:val="0"/>
          <w:numId w:val="128"/>
        </w:numPr>
        <w:rPr/>
      </w:pPr>
      <w:r>
        <w:rPr/>
        <w:t>degree-preserving edge swaps (</w:t>
      </w:r>
      <w:hyperlink w:anchor="ref-Maslov2002">
        <w:r>
          <w:rPr>
            <w:rStyle w:val="Hyperlink"/>
          </w:rPr>
          <w:t>Maslov &amp; Sneppen, 2002</w:t>
        </w:r>
      </w:hyperlink>
      <w:r>
        <w:rPr/>
        <w:t>);</w:t>
      </w:r>
    </w:p>
    <w:p>
      <w:pPr>
        <w:pStyle w:val="Compact"/>
        <w:numPr>
          <w:ilvl w:val="0"/>
          <w:numId w:val="129"/>
        </w:numPr>
        <w:rPr/>
      </w:pPr>
      <w:r>
        <w:rPr/>
        <w:t>Gewichtsshuffle bei fester Topologie;</w:t>
      </w:r>
    </w:p>
    <w:p>
      <w:pPr>
        <w:pStyle w:val="Compact"/>
        <w:numPr>
          <w:ilvl w:val="0"/>
          <w:numId w:val="130"/>
        </w:numPr>
        <w:rPr/>
      </w:pPr>
      <w:r>
        <w:rPr/>
        <w:t>Koordinatenpermutation bei festen Kanten;</w:t>
      </w:r>
    </w:p>
    <w:p>
      <w:pPr>
        <w:pStyle w:val="Compact"/>
        <w:numPr>
          <w:ilvl w:val="0"/>
          <w:numId w:val="131"/>
        </w:numPr>
        <w:rPr/>
      </w:pPr>
      <w:r>
        <w:rPr/>
        <w:t>zeitliche Spike-Shuffles unter Erhalt individueller Raten;</w:t>
      </w:r>
    </w:p>
    <w:p>
      <w:pPr>
        <w:pStyle w:val="Compact"/>
        <w:numPr>
          <w:ilvl w:val="0"/>
          <w:numId w:val="132"/>
        </w:numPr>
        <w:rPr/>
      </w:pPr>
      <w:r>
        <w:rPr/>
        <w:t>Regionenlabel-Shuffles;</w:t>
      </w:r>
    </w:p>
    <w:p>
      <w:pPr>
        <w:pStyle w:val="Compact"/>
        <w:numPr>
          <w:ilvl w:val="0"/>
          <w:numId w:val="133"/>
        </w:numPr>
        <w:rPr/>
      </w:pPr>
      <w:r>
        <w:rPr/>
        <w:t>geometrische Zufallsgraphen mit gematchter Dichte (</w:t>
      </w:r>
      <w:hyperlink w:anchor="ref-Penrose2003">
        <w:r>
          <w:rPr>
            <w:rStyle w:val="Hyperlink"/>
          </w:rPr>
          <w:t>Penrose, 2003</w:t>
        </w:r>
      </w:hyperlink>
      <w:r>
        <w:rPr/>
        <w:t>);</w:t>
      </w:r>
    </w:p>
    <w:p>
      <w:pPr>
        <w:pStyle w:val="Compact"/>
        <w:numPr>
          <w:ilvl w:val="0"/>
          <w:numId w:val="134"/>
        </w:numPr>
        <w:rPr/>
      </w:pPr>
      <w:r>
        <w:rPr/>
        <w:t>Delay-Shuffles bei identischer Gewichtsstruktur.</w:t>
      </w:r>
    </w:p>
    <w:p>
      <w:pPr>
        <w:pStyle w:val="FirstParagraph"/>
        <w:rPr/>
      </w:pPr>
      <w:r>
        <w:rPr/>
        <w:t>Ein Vergleich mit nur einem zufälligen Graphen ist selten ausreichend. Besonders Community Detection besitzt Auflösungs- und Degenerationsprobleme; Resultate sollten über Algorithmen, Parameter und Seeds geprüft werden (</w:t>
      </w:r>
      <w:hyperlink w:anchor="ref-Fortunato2010">
        <w:r>
          <w:rPr>
            <w:rStyle w:val="Hyperlink"/>
          </w:rPr>
          <w:t>Fortunato, 2010</w:t>
        </w:r>
      </w:hyperlink>
      <w:r>
        <w:rPr/>
        <w:t>).</w:t>
      </w:r>
      <w:bookmarkEnd w:id="125"/>
    </w:p>
    <w:p>
      <w:pPr>
        <w:pStyle w:val="Heading3"/>
        <w:keepNext w:val="true"/>
        <w:widowControl/>
        <w:rPr/>
      </w:pPr>
      <w:bookmarkStart w:id="126" w:name="spektrale-perspektive"/>
      <w:r>
        <w:rPr/>
        <w:t>11.5 Spektrale Perspektive</w:t>
      </w:r>
    </w:p>
    <w:p>
      <w:pPr>
        <w:pStyle w:val="FirstParagraph"/>
        <w:rPr/>
      </w:pPr>
      <w:r>
        <w:rPr/>
        <w:t>Eigenwerte von Adjazenz-, Laplace- oder linearisierter Dynamikmatrix können Hinweise auf Konnektivität, Diffusion und lokale Stabilität liefern (</w:t>
      </w:r>
      <w:hyperlink w:anchor="ref-Chung1997">
        <w:r>
          <w:rPr>
            <w:rStyle w:val="Hyperlink"/>
          </w:rPr>
          <w:t>Chung, 1997</w:t>
        </w:r>
      </w:hyperlink>
      <w:r>
        <w:rPr/>
        <w:t>). Sie ersetzen jedoch keine vollständige Analyse eines nichtlinearen Reset-Systems. Wird eine spektrale Größe als Prädiktor verwendet, ist zu zeigen, dass sie über triviale Größen wie Dichte und mittleres Gewicht hinaus erklärt.</w:t>
      </w:r>
      <w:bookmarkEnd w:id="126"/>
    </w:p>
    <w:p>
      <w:pPr>
        <w:pStyle w:val="Heading3"/>
        <w:keepNext w:val="true"/>
        <w:widowControl/>
        <w:rPr/>
      </w:pPr>
      <w:bookmarkStart w:id="127" w:name="graphgeodäten-und-umgebungsdistanz"/>
      <w:r>
        <w:rPr/>
        <w:t>11.6 Graphgeodäten und Umgebungsdistanz</w:t>
      </w:r>
    </w:p>
    <w:p>
      <w:pPr>
        <w:pStyle w:val="FirstParagraph"/>
        <w:rPr/>
      </w:pPr>
      <w:r>
        <w:rPr/>
        <w:t>Brain-5D unterscheidet:</w:t>
      </w:r>
    </w:p>
    <w:p>
      <w:pPr>
        <w:pStyle w:val="BodyText"/>
        <w:jc w:val="center"/>
        <w:rPr/>
      </w:pPr>
      <w:r>
        <w:rPr/>
      </w:r>
      <m:oMathPara xmlns:m="http://schemas.openxmlformats.org/officeDocument/2006/math">
        <m:oMathParaPr>
          <m:jc m:val="center"/>
        </m:oMathParaPr>
        <m:oMath>
          <m:sSub>
            <m:e>
              <m:r>
                <m:t xml:space="preserve">d</m:t>
              </m:r>
            </m:e>
            <m:sub>
              <m:r>
                <m:t xml:space="preserve">M</m:t>
              </m:r>
            </m:sub>
          </m:sSub>
          <m:d>
            <m:dPr>
              <m:begChr m:val="("/>
              <m:endChr m:val=")"/>
            </m:dPr>
            <m:e>
              <m:sSub>
                <m:e>
                  <m:r>
                    <m:t xml:space="preserve">p</m:t>
                  </m:r>
                </m:e>
                <m:sub>
                  <m:r>
                    <m:t xml:space="preserve">i</m:t>
                  </m:r>
                </m:sub>
              </m:sSub>
              <m:r>
                <m:t xml:space="preserve">,</m:t>
              </m:r>
              <m:sSub>
                <m:e>
                  <m:r>
                    <m:t xml:space="preserve">p</m:t>
                  </m:r>
                </m:e>
                <m:sub>
                  <m:r>
                    <m:t xml:space="preserve">j</m:t>
                  </m:r>
                </m:sub>
              </m:sSub>
            </m:e>
          </m:d>
          <m:r>
            <m:rPr>
              <m:lit/>
              <m:nor/>
            </m:rPr>
            <m:t xml:space="preserve">\(Umgebungs- oder Metrikdistanz\)</m:t>
          </m:r>
        </m:oMath>
      </m:oMathPara>
    </w:p>
    <w:p>
      <w:pPr>
        <w:pStyle w:val="FirstParagraph"/>
        <w:rPr/>
      </w:pPr>
      <w:r>
        <w:rPr/>
        <w:t>von</w:t>
      </w:r>
    </w:p>
    <w:p>
      <w:pPr>
        <w:pStyle w:val="BodyText"/>
        <w:jc w:val="center"/>
        <w:rPr/>
      </w:pPr>
      <w:r>
        <w:rPr/>
      </w:r>
      <m:oMathPara xmlns:m="http://schemas.openxmlformats.org/officeDocument/2006/math">
        <m:oMathParaPr>
          <m:jc m:val="center"/>
        </m:oMathParaPr>
        <m:oMath>
          <m:sSub>
            <m:e>
              <m:r>
                <m:t xml:space="preserve">d</m:t>
              </m:r>
            </m:e>
            <m:sub>
              <m:r>
                <m:t xml:space="preserve">G</m:t>
              </m:r>
            </m:sub>
          </m:sSub>
          <m:d>
            <m:dPr>
              <m:begChr m:val="("/>
              <m:endChr m:val=")"/>
            </m:dPr>
            <m:e>
              <m:r>
                <m:t xml:space="preserve">i</m:t>
              </m:r>
              <m:r>
                <m:t xml:space="preserve">,</m:t>
              </m:r>
              <m:r>
                <m:t xml:space="preserve">j</m:t>
              </m:r>
            </m:e>
          </m:d>
          <m:r>
            <m:rPr>
              <m:lit/>
              <m:nor/>
            </m:rPr>
            <m:t xml:space="preserve">\(kürzeste oder kostenminimale Pfaddistanz im Graphen\)</m:t>
          </m:r>
          <m:r>
            <m:t xml:space="preserve">.</m:t>
          </m:r>
        </m:oMath>
      </m:oMathPara>
    </w:p>
    <w:p>
      <w:pPr>
        <w:pStyle w:val="FirstParagraph"/>
        <w:rPr/>
      </w:pPr>
      <w:bookmarkStart w:id="128" w:name="dynamischer-graph-und-graphentheorie"/>
      <w:bookmarkStart w:id="129" w:name="graphgeodäten-und-umgebungsdistanz"/>
      <w:r>
        <w:rPr/>
        <w:t>Eine kleine Umgebungsdistanz garantiert keine Verbindung, und eine kurze Graphgeodäte kann weit entfernte Koordinaten durch Langstreckenkanten koppeln. Die Differenz zwischen beiden ist selbst eine messbare Systemeigenschaft.</w:t>
      </w:r>
      <w:bookmarkEnd w:id="128"/>
      <w:bookmarkEnd w:id="129"/>
    </w:p>
    <w:p>
      <w:pPr>
        <w:pStyle w:val="Heading2"/>
        <w:keepNext w:val="true"/>
        <w:widowControl/>
        <w:rPr/>
      </w:pPr>
      <w:bookmarkStart w:id="130" w:name="__RefHeading___Toc10125_954062153"/>
      <w:bookmarkStart w:id="131" w:name="neuronale-dynamikmodelle"/>
      <w:bookmarkEnd w:id="130"/>
      <w:r>
        <w:rPr/>
        <w:t>12. Neuronale Dynamikmodelle</w:t>
      </w:r>
    </w:p>
    <w:p>
      <w:pPr>
        <w:pStyle w:val="Heading3"/>
        <w:keepNext w:val="true"/>
        <w:widowControl/>
        <w:rPr/>
      </w:pPr>
      <w:bookmarkStart w:id="132" w:name="modellpluralismus"/>
      <w:r>
        <w:rPr/>
        <w:t>12.1 Modellpluralismus</w:t>
      </w:r>
    </w:p>
    <w:p>
      <w:pPr>
        <w:pStyle w:val="FirstParagraph"/>
        <w:rPr/>
      </w:pPr>
      <w:r>
        <w:rPr/>
        <w:t>Brain-5D sollte keine zentrale Hypothese von einem einzigen Neuronenmodell abhängig machen. LIF, AdEx und Izhikevich bilden unterschiedliche Kompromisse zwischen Rechenaufwand und dynamischer Vielfalt (</w:t>
      </w:r>
      <w:hyperlink w:anchor="ref-Brette2005">
        <w:r>
          <w:rPr>
            <w:rStyle w:val="Hyperlink"/>
          </w:rPr>
          <w:t>Brette &amp; Gerstner, 2005</w:t>
        </w:r>
      </w:hyperlink>
      <w:r>
        <w:rPr/>
        <w:t xml:space="preserve">; </w:t>
      </w:r>
      <w:hyperlink w:anchor="ref-Gerstner2014">
        <w:r>
          <w:rPr>
            <w:rStyle w:val="Hyperlink"/>
          </w:rPr>
          <w:t>Gerstner et al., 2014</w:t>
        </w:r>
      </w:hyperlink>
      <w:r>
        <w:rPr/>
        <w:t xml:space="preserve">; </w:t>
      </w:r>
      <w:hyperlink w:anchor="ref-Izhikevich2003">
        <w:r>
          <w:rPr>
            <w:rStyle w:val="Hyperlink"/>
          </w:rPr>
          <w:t>Izhikevich, 2003</w:t>
        </w:r>
      </w:hyperlink>
      <w:r>
        <w:rPr/>
        <w:t>). Für ausgewählte Benchmarks ist deshalb eine Modellablation vorzusehen.</w:t>
      </w:r>
      <w:bookmarkEnd w:id="132"/>
    </w:p>
    <w:p>
      <w:pPr>
        <w:pStyle w:val="Heading3"/>
        <w:keepNext w:val="true"/>
        <w:widowControl/>
        <w:rPr/>
      </w:pPr>
      <w:bookmarkStart w:id="133" w:name="izhikevich-modell"/>
      <w:r>
        <w:rPr/>
        <w:t>12.2 Izhikevich-Modell</w:t>
      </w:r>
    </w:p>
    <w:p>
      <w:pPr>
        <w:pStyle w:val="FirstParagraph"/>
        <w:rPr/>
      </w:pPr>
      <w:r>
        <w:rPr>
          <w:b/>
          <w:bCs/>
        </w:rPr>
        <w:t>[MODEL]</w:t>
      </w:r>
    </w:p>
    <w:p>
      <w:pPr>
        <w:pStyle w:val="BodyText"/>
        <w:jc w:val="center"/>
        <w:rPr/>
      </w:pPr>
      <w:r>
        <w:rPr/>
      </w:r>
      <m:oMathPara xmlns:m="http://schemas.openxmlformats.org/officeDocument/2006/math">
        <m:oMathParaPr>
          <m:jc m:val="center"/>
        </m:oMathParaPr>
        <m:oMath>
          <m:f>
            <m:num>
              <m:r>
                <m:t xml:space="preserve">d</m:t>
              </m:r>
              <m:sSub>
                <m:e>
                  <m:r>
                    <m:t xml:space="preserve">v</m:t>
                  </m:r>
                </m:e>
                <m:sub>
                  <m:r>
                    <m:t xml:space="preserve">i</m:t>
                  </m:r>
                </m:sub>
              </m:sSub>
            </m:num>
            <m:den>
              <m:r>
                <m:t xml:space="preserve">d</m:t>
              </m:r>
              <m:r>
                <m:t xml:space="preserve">t</m:t>
              </m:r>
            </m:den>
          </m:f>
          <m:r>
            <m:t xml:space="preserve">=</m:t>
          </m:r>
          <m:r>
            <m:t xml:space="preserve">0.04</m:t>
          </m:r>
          <m:sSubSup>
            <m:e>
              <m:r>
                <m:t xml:space="preserve">v</m:t>
              </m:r>
            </m:e>
            <m:sub>
              <m:r>
                <m:t xml:space="preserve">i</m:t>
              </m:r>
            </m:sub>
            <m:sup>
              <m:r>
                <m:t xml:space="preserve">2</m:t>
              </m:r>
            </m:sup>
          </m:sSubSup>
          <m:r>
            <m:t xml:space="preserve">+</m:t>
          </m:r>
          <m:r>
            <m:t xml:space="preserve">5</m:t>
          </m:r>
          <m:sSub>
            <m:e>
              <m:r>
                <m:t xml:space="preserve">v</m:t>
              </m:r>
            </m:e>
            <m:sub>
              <m:r>
                <m:t xml:space="preserve">i</m:t>
              </m:r>
            </m:sub>
          </m:sSub>
          <m:r>
            <m:t xml:space="preserve">+</m:t>
          </m:r>
          <m:r>
            <m:t xml:space="preserve">140</m:t>
          </m:r>
          <m:r>
            <m:t xml:space="preserve">−</m:t>
          </m:r>
          <m:sSub>
            <m:e>
              <m:r>
                <m:t xml:space="preserve">u</m:t>
              </m:r>
            </m:e>
            <m:sub>
              <m:r>
                <m:t xml:space="preserve">i</m:t>
              </m:r>
            </m:sub>
          </m:sSub>
          <m:r>
            <m:t xml:space="preserve">+</m:t>
          </m:r>
          <m:sSub>
            <m:e>
              <m:r>
                <m:t xml:space="preserve">I</m:t>
              </m:r>
            </m:e>
            <m:sub>
              <m:r>
                <m:t xml:space="preserve">i</m:t>
              </m:r>
            </m:sub>
          </m:sSub>
          <m:d>
            <m:dPr>
              <m:begChr m:val="("/>
              <m:endChr m:val=")"/>
            </m:dPr>
            <m:e>
              <m:r>
                <m:t xml:space="preserve">t</m:t>
              </m:r>
            </m:e>
          </m:d>
          <m:r>
            <m:t xml:space="preserve">,</m:t>
          </m:r>
        </m:oMath>
      </m:oMathPara>
    </w:p>
    <w:p>
      <w:pPr>
        <w:pStyle w:val="FirstParagraph"/>
        <w:jc w:val="center"/>
        <w:rPr/>
      </w:pPr>
      <w:r>
        <w:rPr/>
      </w:r>
      <m:oMathPara xmlns:m="http://schemas.openxmlformats.org/officeDocument/2006/math">
        <m:oMathParaPr>
          <m:jc m:val="center"/>
        </m:oMathParaPr>
        <m:oMath>
          <m:f>
            <m:num>
              <m:r>
                <m:t xml:space="preserve">d</m:t>
              </m:r>
              <m:sSub>
                <m:e>
                  <m:r>
                    <m:t xml:space="preserve">u</m:t>
                  </m:r>
                </m:e>
                <m:sub>
                  <m:r>
                    <m:t xml:space="preserve">i</m:t>
                  </m:r>
                </m:sub>
              </m:sSub>
            </m:num>
            <m:den>
              <m:r>
                <m:t xml:space="preserve">d</m:t>
              </m:r>
              <m:r>
                <m:t xml:space="preserve">t</m:t>
              </m:r>
            </m:den>
          </m:f>
          <m:r>
            <m:t xml:space="preserve">=</m:t>
          </m:r>
          <m:sSub>
            <m:e>
              <m:r>
                <m:t xml:space="preserve">a</m:t>
              </m:r>
            </m:e>
            <m:sub>
              <m:r>
                <m:t xml:space="preserve">i</m:t>
              </m:r>
            </m:sub>
          </m:sSub>
          <m:d>
            <m:dPr>
              <m:begChr m:val="("/>
              <m:endChr m:val=")"/>
            </m:dPr>
            <m:e>
              <m:sSub>
                <m:e>
                  <m:r>
                    <m:t xml:space="preserve">b</m:t>
                  </m:r>
                </m:e>
                <m:sub>
                  <m:r>
                    <m:t xml:space="preserve">i</m:t>
                  </m:r>
                </m:sub>
              </m:sSub>
              <m:sSub>
                <m:e>
                  <m:r>
                    <m:t xml:space="preserve">v</m:t>
                  </m:r>
                </m:e>
                <m:sub>
                  <m:r>
                    <m:t xml:space="preserve">i</m:t>
                  </m:r>
                </m:sub>
              </m:sSub>
              <m:r>
                <m:t xml:space="preserve">−</m:t>
              </m:r>
              <m:sSub>
                <m:e>
                  <m:r>
                    <m:t xml:space="preserve">u</m:t>
                  </m:r>
                </m:e>
                <m:sub>
                  <m:r>
                    <m:t xml:space="preserve">i</m:t>
                  </m:r>
                </m:sub>
              </m:sSub>
            </m:e>
          </m:d>
          <m:r>
            <m:t xml:space="preserve">.</m:t>
          </m:r>
        </m:oMath>
      </m:oMathPara>
    </w:p>
    <w:p>
      <w:pPr>
        <w:pStyle w:val="FirstParagraph"/>
        <w:rPr/>
      </w:pPr>
      <w:r>
        <w:rPr/>
        <w:t xml:space="preserve">Bei </w:t>
      </w:r>
      <w:r>
        <w:rPr/>
      </w:r>
      <m:oMath xmlns:m="http://schemas.openxmlformats.org/officeDocument/2006/math">
        <m:sSub>
          <m:e>
            <m:r>
              <m:t xml:space="preserve">v</m:t>
            </m:r>
          </m:e>
          <m:sub>
            <m:r>
              <m:t xml:space="preserve">i</m:t>
            </m:r>
          </m:sub>
        </m:sSub>
        <m:r>
          <m:t xml:space="preserve">≥</m:t>
        </m:r>
        <m:r>
          <m:t xml:space="preserve">30</m:t>
        </m:r>
        <m:r>
          <m:t xml:space="preserve">m</m:t>
        </m:r>
        <m:r>
          <m:t xml:space="preserve">V</m:t>
        </m:r>
      </m:oMath>
      <w:r>
        <w:rPr/>
        <w:t xml:space="preserve"> erfolgt der Sprung</w:t>
      </w:r>
    </w:p>
    <w:p>
      <w:pPr>
        <w:pStyle w:val="BodyText"/>
        <w:jc w:val="center"/>
        <w:rPr/>
      </w:pPr>
      <w:r>
        <w:rPr/>
      </w:r>
      <m:oMathPara xmlns:m="http://schemas.openxmlformats.org/officeDocument/2006/math">
        <m:oMathParaPr>
          <m:jc m:val="center"/>
        </m:oMathParaPr>
        <m:oMath>
          <m:sSub>
            <m:e>
              <m:r>
                <m:t xml:space="preserve">v</m:t>
              </m:r>
            </m:e>
            <m:sub>
              <m:r>
                <m:t xml:space="preserve">i</m:t>
              </m:r>
            </m:sub>
          </m:sSub>
          <m:r>
            <m:t xml:space="preserve">←</m:t>
          </m:r>
          <m:sSub>
            <m:e>
              <m:r>
                <m:t xml:space="preserve">c</m:t>
              </m:r>
            </m:e>
            <m:sub>
              <m:r>
                <m:t xml:space="preserve">i</m:t>
              </m:r>
            </m:sub>
          </m:sSub>
          <m:r>
            <m:t xml:space="preserve">,</m:t>
          </m:r>
          <m:sSub>
            <m:e>
              <m:r>
                <m:t xml:space="preserve">u</m:t>
              </m:r>
            </m:e>
            <m:sub>
              <m:r>
                <m:t xml:space="preserve">i</m:t>
              </m:r>
            </m:sub>
          </m:sSub>
          <m:r>
            <m:t xml:space="preserve">←</m:t>
          </m:r>
          <m:sSub>
            <m:e>
              <m:r>
                <m:t xml:space="preserve">u</m:t>
              </m:r>
            </m:e>
            <m:sub>
              <m:r>
                <m:t xml:space="preserve">i</m:t>
              </m:r>
            </m:sub>
          </m:sSub>
          <m:r>
            <m:t xml:space="preserve">+</m:t>
          </m:r>
          <m:sSub>
            <m:e>
              <m:r>
                <m:t xml:space="preserve">d</m:t>
              </m:r>
            </m:e>
            <m:sub>
              <m:r>
                <m:t xml:space="preserve">i</m:t>
              </m:r>
            </m:sub>
          </m:sSub>
          <m:r>
            <m:t xml:space="preserve">.</m:t>
          </m:r>
        </m:oMath>
      </m:oMathPara>
    </w:p>
    <w:p>
      <w:pPr>
        <w:pStyle w:val="FirstParagraph"/>
        <w:rPr/>
      </w:pPr>
      <w:r>
        <w:rPr/>
        <w:t xml:space="preserve">Die Parameter </w:t>
      </w:r>
      <w:r>
        <w:rPr/>
      </w:r>
      <m:oMath xmlns:m="http://schemas.openxmlformats.org/officeDocument/2006/math">
        <m:r>
          <m:t xml:space="preserve">a</m:t>
        </m:r>
        <m:r>
          <m:t xml:space="preserve">,</m:t>
        </m:r>
        <m:r>
          <m:t xml:space="preserve">b</m:t>
        </m:r>
        <m:r>
          <m:t xml:space="preserve">,</m:t>
        </m:r>
        <m:r>
          <m:t xml:space="preserve">c</m:t>
        </m:r>
        <m:r>
          <m:t xml:space="preserve">,</m:t>
        </m:r>
        <m:r>
          <m:t xml:space="preserve">d</m:t>
        </m:r>
      </m:oMath>
      <w:r>
        <w:rPr/>
        <w:t xml:space="preserve"> können unterschiedliche Spike-Regime approximieren (</w:t>
      </w:r>
      <w:hyperlink w:anchor="ref-Izhikevich2003">
        <w:r>
          <w:rPr>
            <w:rStyle w:val="Hyperlink"/>
          </w:rPr>
          <w:t>Izhikevich, 2003</w:t>
        </w:r>
      </w:hyperlink>
      <w:r>
        <w:rPr/>
        <w:t>). Numerische Schrittweite, Integrationsmethode und Rundungsregeln müssen dokumentiert werden, weil sie das qualitative Verhalten verändern können.</w:t>
      </w:r>
      <w:bookmarkEnd w:id="133"/>
    </w:p>
    <w:p>
      <w:pPr>
        <w:pStyle w:val="Heading3"/>
        <w:keepNext w:val="true"/>
        <w:widowControl/>
        <w:rPr/>
      </w:pPr>
      <w:bookmarkStart w:id="134" w:name="leaky-integrate-and-fire"/>
      <w:r>
        <w:rPr/>
        <w:t>12.3 Leaky Integrate-and-Fire</w:t>
      </w:r>
    </w:p>
    <w:p>
      <w:pPr>
        <w:pStyle w:val="FirstParagraph"/>
        <w:rPr/>
      </w:pPr>
      <w:r>
        <w:rPr>
          <w:b/>
          <w:bCs/>
        </w:rPr>
        <w:t>[MODEL]</w:t>
      </w:r>
    </w:p>
    <w:p>
      <w:pPr>
        <w:pStyle w:val="BodyText"/>
        <w:jc w:val="center"/>
        <w:rPr/>
      </w:pPr>
      <w:r>
        <w:rPr/>
      </w:r>
      <m:oMathPara xmlns:m="http://schemas.openxmlformats.org/officeDocument/2006/math">
        <m:oMathParaPr>
          <m:jc m:val="center"/>
        </m:oMathParaPr>
        <m:oMath>
          <m:sSub>
            <m:e>
              <m:r>
                <m:t xml:space="preserve">τ</m:t>
              </m:r>
            </m:e>
            <m:sub>
              <m:r>
                <m:t xml:space="preserve">m</m:t>
              </m:r>
            </m:sub>
          </m:sSub>
          <m:f>
            <m:num>
              <m:r>
                <m:t xml:space="preserve">d</m:t>
              </m:r>
              <m:sSub>
                <m:e>
                  <m:r>
                    <m:t xml:space="preserve">V</m:t>
                  </m:r>
                </m:e>
                <m:sub>
                  <m:r>
                    <m:t xml:space="preserve">i</m:t>
                  </m:r>
                </m:sub>
              </m:sSub>
            </m:num>
            <m:den>
              <m:r>
                <m:t xml:space="preserve">d</m:t>
              </m:r>
              <m:r>
                <m:t xml:space="preserve">t</m:t>
              </m:r>
            </m:den>
          </m:f>
          <m:r>
            <m:t xml:space="preserve">=</m:t>
          </m:r>
          <m:r>
            <m:t xml:space="preserve">−</m:t>
          </m:r>
          <m:d>
            <m:dPr>
              <m:begChr m:val="("/>
              <m:endChr m:val=")"/>
            </m:dPr>
            <m:e>
              <m:sSub>
                <m:e>
                  <m:r>
                    <m:t xml:space="preserve">V</m:t>
                  </m:r>
                </m:e>
                <m:sub>
                  <m:r>
                    <m:t xml:space="preserve">i</m:t>
                  </m:r>
                </m:sub>
              </m:sSub>
              <m:r>
                <m:t xml:space="preserve">−</m:t>
              </m:r>
              <m:sSub>
                <m:e>
                  <m:r>
                    <m:t xml:space="preserve">E</m:t>
                  </m:r>
                </m:e>
                <m:sub>
                  <m:r>
                    <m:t xml:space="preserve">L</m:t>
                  </m:r>
                </m:sub>
              </m:sSub>
            </m:e>
          </m:d>
          <m:r>
            <m:t xml:space="preserve">+</m:t>
          </m:r>
          <m:sSub>
            <m:e>
              <m:r>
                <m:t xml:space="preserve">R</m:t>
              </m:r>
            </m:e>
            <m:sub>
              <m:r>
                <m:t xml:space="preserve">m</m:t>
              </m:r>
            </m:sub>
          </m:sSub>
          <m:sSub>
            <m:e>
              <m:r>
                <m:t xml:space="preserve">I</m:t>
              </m:r>
            </m:e>
            <m:sub>
              <m:r>
                <m:t xml:space="preserve">i</m:t>
              </m:r>
            </m:sub>
          </m:sSub>
          <m:d>
            <m:dPr>
              <m:begChr m:val="("/>
              <m:endChr m:val=")"/>
            </m:dPr>
            <m:e>
              <m:r>
                <m:t xml:space="preserve">t</m:t>
              </m:r>
            </m:e>
          </m:d>
          <m:r>
            <m:t xml:space="preserve">.</m:t>
          </m:r>
        </m:oMath>
      </m:oMathPara>
    </w:p>
    <w:p>
      <w:pPr>
        <w:pStyle w:val="FirstParagraph"/>
        <w:rPr/>
      </w:pPr>
      <w:r>
        <w:rPr/>
        <w:t xml:space="preserve">Bei Schwellenüberschreitung wird ein Spike ausgelöst und </w:t>
      </w:r>
      <w:r>
        <w:rPr/>
      </w:r>
      <m:oMath xmlns:m="http://schemas.openxmlformats.org/officeDocument/2006/math">
        <m:sSub>
          <m:e>
            <m:r>
              <m:t xml:space="preserve">V</m:t>
            </m:r>
          </m:e>
          <m:sub>
            <m:r>
              <m:t xml:space="preserve">i</m:t>
            </m:r>
          </m:sub>
        </m:sSub>
      </m:oMath>
      <w:r>
        <w:rPr/>
        <w:t xml:space="preserve"> nach einer definierten Regel zurückgesetzt. LIF ist für große Skalierungen attraktiv, bildet jedoch nicht alle intrinsischen Burst- und Adaptationsregime ab.</w:t>
      </w:r>
      <w:bookmarkEnd w:id="134"/>
    </w:p>
    <w:p>
      <w:pPr>
        <w:pStyle w:val="Heading3"/>
        <w:keepNext w:val="true"/>
        <w:widowControl/>
        <w:rPr/>
      </w:pPr>
      <w:bookmarkStart w:id="135" w:name="adaptive-exponential-integrate-and-fire"/>
      <w:r>
        <w:rPr/>
        <w:t>12.4 Adaptive Exponential Integrate-and-Fire</w:t>
      </w:r>
    </w:p>
    <w:p>
      <w:pPr>
        <w:pStyle w:val="FirstParagraph"/>
        <w:rPr/>
      </w:pPr>
      <w:r>
        <w:rPr>
          <w:b/>
          <w:bCs/>
        </w:rPr>
        <w:t>[MODEL]</w:t>
      </w:r>
    </w:p>
    <w:p>
      <w:pPr>
        <w:pStyle w:val="BodyText"/>
        <w:jc w:val="center"/>
        <w:rPr/>
      </w:pPr>
      <w:r>
        <w:rPr/>
      </w:r>
      <m:oMathPara xmlns:m="http://schemas.openxmlformats.org/officeDocument/2006/math">
        <m:oMathParaPr>
          <m:jc m:val="center"/>
        </m:oMathParaPr>
        <m:oMath>
          <m:r>
            <m:t xml:space="preserve">C</m:t>
          </m:r>
          <m:acc>
            <m:accPr>
              <m:chr m:val="˙"/>
            </m:accPr>
            <m:e>
              <m:r>
                <m:t xml:space="preserve">V</m:t>
              </m:r>
            </m:e>
          </m:acc>
          <m:r>
            <m:t xml:space="preserve">=</m:t>
          </m:r>
          <m:r>
            <m:t xml:space="preserve">−</m:t>
          </m:r>
          <m:sSub>
            <m:e>
              <m:r>
                <m:t xml:space="preserve">g</m:t>
              </m:r>
            </m:e>
            <m:sub>
              <m:r>
                <m:t xml:space="preserve">L</m:t>
              </m:r>
            </m:sub>
          </m:sSub>
          <m:d>
            <m:dPr>
              <m:begChr m:val="("/>
              <m:endChr m:val=")"/>
            </m:dPr>
            <m:e>
              <m:r>
                <m:t xml:space="preserve">V</m:t>
              </m:r>
              <m:r>
                <m:t xml:space="preserve">−</m:t>
              </m:r>
              <m:sSub>
                <m:e>
                  <m:r>
                    <m:t xml:space="preserve">E</m:t>
                  </m:r>
                </m:e>
                <m:sub>
                  <m:r>
                    <m:t xml:space="preserve">L</m:t>
                  </m:r>
                </m:sub>
              </m:sSub>
            </m:e>
          </m:d>
          <m:r>
            <m:t xml:space="preserve">+</m:t>
          </m:r>
          <m:sSub>
            <m:e>
              <m:r>
                <m:t xml:space="preserve">g</m:t>
              </m:r>
            </m:e>
            <m:sub>
              <m:r>
                <m:t xml:space="preserve">L</m:t>
              </m:r>
            </m:sub>
          </m:sSub>
          <m:sSub>
            <m:e>
              <m:r>
                <m:t xml:space="preserve">Δ</m:t>
              </m:r>
            </m:e>
            <m:sub>
              <m:r>
                <m:t xml:space="preserve">T</m:t>
              </m:r>
            </m:sub>
          </m:sSub>
          <m:r>
            <m:t xml:space="preserve">exp</m:t>
          </m:r>
          <m:d>
            <m:dPr>
              <m:begChr m:val="("/>
              <m:endChr m:val=")"/>
            </m:dPr>
            <m:e>
              <m:f>
                <m:num>
                  <m:r>
                    <m:t xml:space="preserve">V</m:t>
                  </m:r>
                  <m:r>
                    <m:t xml:space="preserve">−</m:t>
                  </m:r>
                  <m:sSub>
                    <m:e>
                      <m:r>
                        <m:t xml:space="preserve">V</m:t>
                      </m:r>
                    </m:e>
                    <m:sub>
                      <m:r>
                        <m:t xml:space="preserve">T</m:t>
                      </m:r>
                    </m:sub>
                  </m:sSub>
                </m:num>
                <m:den>
                  <m:sSub>
                    <m:e>
                      <m:r>
                        <m:t xml:space="preserve">Δ</m:t>
                      </m:r>
                    </m:e>
                    <m:sub>
                      <m:r>
                        <m:t xml:space="preserve">T</m:t>
                      </m:r>
                    </m:sub>
                  </m:sSub>
                </m:den>
              </m:f>
            </m:e>
          </m:d>
          <m:r>
            <m:t xml:space="preserve">−</m:t>
          </m:r>
          <m:r>
            <m:t xml:space="preserve">w</m:t>
          </m:r>
          <m:r>
            <m:t xml:space="preserve">+</m:t>
          </m:r>
          <m:r>
            <m:t xml:space="preserve">I</m:t>
          </m:r>
          <m:d>
            <m:dPr>
              <m:begChr m:val="("/>
              <m:endChr m:val=")"/>
            </m:dPr>
            <m:e>
              <m:r>
                <m:t xml:space="preserve">t</m:t>
              </m:r>
            </m:e>
          </m:d>
          <m:r>
            <m:t xml:space="preserve">,</m:t>
          </m:r>
        </m:oMath>
      </m:oMathPara>
    </w:p>
    <w:p>
      <w:pPr>
        <w:pStyle w:val="FirstParagraph"/>
        <w:jc w:val="center"/>
        <w:rPr/>
      </w:pPr>
      <w:r>
        <w:rPr/>
      </w:r>
      <m:oMathPara xmlns:m="http://schemas.openxmlformats.org/officeDocument/2006/math">
        <m:oMathParaPr>
          <m:jc m:val="center"/>
        </m:oMathParaPr>
        <m:oMath>
          <m:sSub>
            <m:e>
              <m:r>
                <m:t xml:space="preserve">τ</m:t>
              </m:r>
            </m:e>
            <m:sub>
              <m:r>
                <m:t xml:space="preserve">w</m:t>
              </m:r>
            </m:sub>
          </m:sSub>
          <m:acc>
            <m:accPr>
              <m:chr m:val="˙"/>
            </m:accPr>
            <m:e>
              <m:r>
                <m:t xml:space="preserve">w</m:t>
              </m:r>
            </m:e>
          </m:acc>
          <m:r>
            <m:t xml:space="preserve">=</m:t>
          </m:r>
          <m:r>
            <m:t xml:space="preserve">a</m:t>
          </m:r>
          <m:d>
            <m:dPr>
              <m:begChr m:val="("/>
              <m:endChr m:val=")"/>
            </m:dPr>
            <m:e>
              <m:r>
                <m:t xml:space="preserve">V</m:t>
              </m:r>
              <m:r>
                <m:t xml:space="preserve">−</m:t>
              </m:r>
              <m:sSub>
                <m:e>
                  <m:r>
                    <m:t xml:space="preserve">E</m:t>
                  </m:r>
                </m:e>
                <m:sub>
                  <m:r>
                    <m:t xml:space="preserve">L</m:t>
                  </m:r>
                </m:sub>
              </m:sSub>
            </m:e>
          </m:d>
          <m:r>
            <m:t xml:space="preserve">−</m:t>
          </m:r>
          <m:r>
            <m:t xml:space="preserve">w</m:t>
          </m:r>
          <m:r>
            <m:t xml:space="preserve">.</m:t>
          </m:r>
        </m:oMath>
      </m:oMathPara>
    </w:p>
    <w:p>
      <w:pPr>
        <w:pStyle w:val="FirstParagraph"/>
        <w:rPr/>
      </w:pPr>
      <w:r>
        <w:rPr/>
        <w:t>AdEx erweitert LIF um exponentielle Spike-Initiation und Adaptation (</w:t>
      </w:r>
      <w:hyperlink w:anchor="ref-Brette2005">
        <w:r>
          <w:rPr>
            <w:rStyle w:val="Hyperlink"/>
          </w:rPr>
          <w:t>Brette &amp; Gerstner, 2005</w:t>
        </w:r>
      </w:hyperlink>
      <w:r>
        <w:rPr/>
        <w:t>). Die Modellablation soll prüfen, ob zentrale Ergebnisse an einer spezifischen intrinsischen Dynamik hängen.</w:t>
      </w:r>
      <w:bookmarkEnd w:id="135"/>
    </w:p>
    <w:p>
      <w:pPr>
        <w:pStyle w:val="Heading3"/>
        <w:keepNext w:val="true"/>
        <w:widowControl/>
        <w:rPr/>
      </w:pPr>
      <w:bookmarkStart w:id="136" w:name="X99cf3153d39fdd78a84e9d4da224f65f5ee2f05"/>
      <w:r>
        <w:rPr/>
        <w:t>12.5 Eingangsströme, Verzögerungen und Synapsentypen</w:t>
      </w:r>
    </w:p>
    <w:p>
      <w:pPr>
        <w:pStyle w:val="FirstParagraph"/>
        <w:rPr/>
      </w:pPr>
      <w:r>
        <w:rPr/>
        <w:t>Der Gesamteingang kann geschrieben werden als</w:t>
      </w:r>
    </w:p>
    <w:p>
      <w:pPr>
        <w:pStyle w:val="BodyText"/>
        <w:rPr/>
      </w:pPr>
      <w:r>
        <w:rPr>
          <w:b/>
          <w:bCs/>
        </w:rPr>
        <w:t>[MODEL]</w:t>
      </w:r>
    </w:p>
    <w:p>
      <w:pPr>
        <w:pStyle w:val="BodyText"/>
        <w:jc w:val="center"/>
        <w:rPr/>
      </w:pPr>
      <w:r>
        <w:rPr/>
      </w:r>
      <m:oMathPara xmlns:m="http://schemas.openxmlformats.org/officeDocument/2006/math">
        <m:oMathParaPr>
          <m:jc m:val="center"/>
        </m:oMathParaPr>
        <m:oMath>
          <m:sSub>
            <m:e>
              <m:r>
                <m:t xml:space="preserve">I</m:t>
              </m:r>
            </m:e>
            <m:sub>
              <m:r>
                <m:t xml:space="preserve">i</m:t>
              </m:r>
            </m:sub>
          </m:sSub>
          <m:d>
            <m:dPr>
              <m:begChr m:val="("/>
              <m:endChr m:val=")"/>
            </m:dPr>
            <m:e>
              <m:r>
                <m:t xml:space="preserve">t</m:t>
              </m:r>
            </m:e>
          </m:d>
          <m:r>
            <m:t xml:space="preserve">=</m:t>
          </m:r>
          <m:sSubSup>
            <m:e>
              <m:r>
                <m:t xml:space="preserve">I</m:t>
              </m:r>
            </m:e>
            <m:sub>
              <m:r>
                <m:t xml:space="preserve">i</m:t>
              </m:r>
            </m:sub>
            <m:sup>
              <m:r>
                <m:t xml:space="preserve">e</m:t>
              </m:r>
              <m:r>
                <m:t xml:space="preserve">x</m:t>
              </m:r>
              <m:r>
                <m:t xml:space="preserve">t</m:t>
              </m:r>
            </m:sup>
          </m:sSubSup>
          <m:d>
            <m:dPr>
              <m:begChr m:val="("/>
              <m:endChr m:val=")"/>
            </m:dPr>
            <m:e>
              <m:r>
                <m:t xml:space="preserve">t</m:t>
              </m:r>
            </m:e>
          </m:d>
          <m:r>
            <m:t xml:space="preserve">+</m:t>
          </m:r>
          <m:nary>
            <m:naryPr>
              <m:chr m:val="∑"/>
              <m:supHide m:val="1"/>
            </m:naryPr>
            <m:sub>
              <m:r>
                <m:t xml:space="preserve">j</m:t>
              </m:r>
            </m:sub>
            <m:sup/>
            <m:e>
              <m:sSub>
                <m:e>
                  <m:r>
                    <m:t xml:space="preserve">w</m:t>
                  </m:r>
                </m:e>
                <m:sub>
                  <m:r>
                    <m:t xml:space="preserve">j</m:t>
                  </m:r>
                  <m:r>
                    <m:t xml:space="preserve">i</m:t>
                  </m:r>
                </m:sub>
              </m:sSub>
            </m:e>
          </m:nary>
          <m:d>
            <m:dPr>
              <m:begChr m:val="("/>
              <m:endChr m:val=")"/>
            </m:dPr>
            <m:e>
              <m:r>
                <m:t xml:space="preserve">t</m:t>
              </m:r>
            </m:e>
          </m:d>
          <m:sSub>
            <m:e>
              <m:r>
                <m:t xml:space="preserve">k</m:t>
              </m:r>
            </m:e>
            <m:sub>
              <m:r>
                <m:t xml:space="preserve">j</m:t>
              </m:r>
              <m:r>
                <m:t xml:space="preserve">i</m:t>
              </m:r>
            </m:sub>
          </m:sSub>
          <m:d>
            <m:dPr>
              <m:begChr m:val="("/>
              <m:endChr m:val=")"/>
            </m:dPr>
            <m:e>
              <m:r>
                <m:t xml:space="preserve">t</m:t>
              </m:r>
              <m:r>
                <m:t xml:space="preserve">−</m:t>
              </m:r>
              <m:sSubSup>
                <m:e>
                  <m:r>
                    <m:t xml:space="preserve">t</m:t>
                  </m:r>
                </m:e>
                <m:sub>
                  <m:r>
                    <m:t xml:space="preserve">j</m:t>
                  </m:r>
                </m:sub>
                <m:sup>
                  <m:r>
                    <m:t xml:space="preserve">s</m:t>
                  </m:r>
                  <m:r>
                    <m:t xml:space="preserve">p</m:t>
                  </m:r>
                  <m:r>
                    <m:t xml:space="preserve">i</m:t>
                  </m:r>
                  <m:r>
                    <m:t xml:space="preserve">k</m:t>
                  </m:r>
                  <m:r>
                    <m:t xml:space="preserve">e</m:t>
                  </m:r>
                </m:sup>
              </m:sSubSup>
              <m:r>
                <m:t xml:space="preserve">−</m:t>
              </m:r>
              <m:sSub>
                <m:e>
                  <m:r>
                    <m:t xml:space="preserve">δ</m:t>
                  </m:r>
                </m:e>
                <m:sub>
                  <m:r>
                    <m:t xml:space="preserve">j</m:t>
                  </m:r>
                  <m:r>
                    <m:t xml:space="preserve">i</m:t>
                  </m:r>
                </m:sub>
              </m:sSub>
            </m:e>
          </m:d>
          <m:r>
            <m:t xml:space="preserve">+</m:t>
          </m:r>
          <m:sSubSup>
            <m:e>
              <m:r>
                <m:t xml:space="preserve">I</m:t>
              </m:r>
            </m:e>
            <m:sub>
              <m:r>
                <m:t xml:space="preserve">i</m:t>
              </m:r>
            </m:sub>
            <m:sup>
              <m:r>
                <m:t xml:space="preserve">m</m:t>
              </m:r>
              <m:r>
                <m:t xml:space="preserve">o</m:t>
              </m:r>
              <m:r>
                <m:t xml:space="preserve">d</m:t>
              </m:r>
            </m:sup>
          </m:sSubSup>
          <m:d>
            <m:dPr>
              <m:begChr m:val="("/>
              <m:endChr m:val=")"/>
            </m:dPr>
            <m:e>
              <m:r>
                <m:t xml:space="preserve">t</m:t>
              </m:r>
            </m:e>
          </m:d>
          <m:r>
            <m:t xml:space="preserve">+</m:t>
          </m:r>
          <m:sSub>
            <m:e>
              <m:r>
                <m:t xml:space="preserve">η</m:t>
              </m:r>
            </m:e>
            <m:sub>
              <m:r>
                <m:t xml:space="preserve">i</m:t>
              </m:r>
            </m:sub>
          </m:sSub>
          <m:d>
            <m:dPr>
              <m:begChr m:val="("/>
              <m:endChr m:val=")"/>
            </m:dPr>
            <m:e>
              <m:r>
                <m:t xml:space="preserve">t</m:t>
              </m:r>
            </m:e>
          </m:d>
          <m:r>
            <m:t xml:space="preserve">,</m:t>
          </m:r>
        </m:oMath>
      </m:oMathPara>
    </w:p>
    <w:p>
      <w:pPr>
        <w:pStyle w:val="FirstParagraph"/>
        <w:rPr/>
      </w:pPr>
      <w:r>
        <w:rPr/>
        <w:t xml:space="preserve">mit synaptischem Kernel </w:t>
      </w:r>
      <w:r>
        <w:rPr/>
      </w:r>
      <m:oMath xmlns:m="http://schemas.openxmlformats.org/officeDocument/2006/math">
        <m:r>
          <m:t xml:space="preserve">k</m:t>
        </m:r>
      </m:oMath>
      <w:r>
        <w:rPr/>
        <w:t xml:space="preserve">, Verzögerung </w:t>
      </w:r>
      <w:r>
        <w:rPr/>
      </w:r>
      <m:oMath xmlns:m="http://schemas.openxmlformats.org/officeDocument/2006/math">
        <m:r>
          <m:t xml:space="preserve">δ</m:t>
        </m:r>
      </m:oMath>
      <w:r>
        <w:rPr/>
        <w:t xml:space="preserve">, modulatorischem Eingang und Rauschen </w:t>
      </w:r>
      <w:r>
        <w:rPr/>
      </w:r>
      <m:oMath xmlns:m="http://schemas.openxmlformats.org/officeDocument/2006/math">
        <m:r>
          <m:t xml:space="preserve">η</m:t>
        </m:r>
      </m:oMath>
      <w:r>
        <w:rPr/>
        <w:t>. Exzitatorische und inhibitorische Wirkungen werden nicht nur durch Vorzeichen, sondern vorzugsweise durch typisierte Synapsen und getrennte Grenzwerte repräsentiert. Dale-artige Beschränkungen können als Versuchsbedingung aktiviert werden.</w:t>
      </w:r>
      <w:bookmarkEnd w:id="136"/>
    </w:p>
    <w:p>
      <w:pPr>
        <w:pStyle w:val="Heading3"/>
        <w:keepNext w:val="true"/>
        <w:widowControl/>
        <w:rPr/>
      </w:pPr>
      <w:bookmarkStart w:id="137" w:name="populationsstabilität-und-ei-balance"/>
      <w:r>
        <w:rPr/>
        <w:t>12.6 Populationsstabilität und E/I-Balance</w:t>
      </w:r>
    </w:p>
    <w:p>
      <w:pPr>
        <w:pStyle w:val="FirstParagraph"/>
        <w:rPr/>
      </w:pPr>
      <w:r>
        <w:rPr/>
        <w:t>Ein einfacher E/I-Index</w:t>
      </w:r>
    </w:p>
    <w:p>
      <w:pPr>
        <w:pStyle w:val="BodyText"/>
        <w:jc w:val="center"/>
        <w:rPr/>
      </w:pPr>
      <w:r>
        <w:rPr/>
      </w:r>
      <m:oMathPara xmlns:m="http://schemas.openxmlformats.org/officeDocument/2006/math">
        <m:oMathParaPr>
          <m:jc m:val="center"/>
        </m:oMathParaPr>
        <m:oMath>
          <m:sSub>
            <m:e>
              <m:r>
                <m:t xml:space="preserve">B</m:t>
              </m:r>
            </m:e>
            <m:sub>
              <m:r>
                <m:t xml:space="preserve">E</m:t>
              </m:r>
              <m:r>
                <m:t xml:space="preserve">I</m:t>
              </m:r>
            </m:sub>
          </m:sSub>
          <m:d>
            <m:dPr>
              <m:begChr m:val="("/>
              <m:endChr m:val=")"/>
            </m:dPr>
            <m:e>
              <m:r>
                <m:t xml:space="preserve">t</m:t>
              </m:r>
            </m:e>
          </m:d>
          <m:r>
            <m:t xml:space="preserve">=</m:t>
          </m:r>
          <m:f>
            <m:num>
              <m:nary>
                <m:naryPr>
                  <m:chr m:val="∑"/>
                  <m:supHide m:val="1"/>
                </m:naryPr>
                <m:sub>
                  <m:d>
                    <m:dPr>
                      <m:begChr m:val="("/>
                      <m:endChr m:val=")"/>
                    </m:dPr>
                    <m:e>
                      <m:r>
                        <m:t xml:space="preserve">i</m:t>
                      </m:r>
                      <m:r>
                        <m:t xml:space="preserve">,</m:t>
                      </m:r>
                      <m:r>
                        <m:t xml:space="preserve">j</m:t>
                      </m:r>
                    </m:e>
                  </m:d>
                  <m:r>
                    <m:t xml:space="preserve">∈</m:t>
                  </m:r>
                  <m:sSub>
                    <m:e>
                      <m:r>
                        <m:t xml:space="preserve">E</m:t>
                      </m:r>
                    </m:e>
                    <m:sub>
                      <m:r>
                        <m:t xml:space="preserve">e</m:t>
                      </m:r>
                      <m:r>
                        <m:t xml:space="preserve">x</m:t>
                      </m:r>
                      <m:r>
                        <m:t xml:space="preserve">c</m:t>
                      </m:r>
                    </m:sub>
                  </m:sSub>
                </m:sub>
                <m:sup/>
                <m:e>
                  <m:d>
                    <m:dPr>
                      <m:begChr m:val="|"/>
                      <m:endChr m:val=")"/>
                    </m:dPr>
                    <m:e>
                      <m:sSub>
                        <m:e>
                          <m:r>
                            <m:t xml:space="preserve">w</m:t>
                          </m:r>
                        </m:e>
                        <m:sub>
                          <m:r>
                            <m:t xml:space="preserve">i</m:t>
                          </m:r>
                          <m:r>
                            <m:t xml:space="preserve">j</m:t>
                          </m:r>
                        </m:sub>
                      </m:sSub>
                      <m:d>
                        <m:dPr>
                          <m:begChr m:val="("/>
                          <m:endChr m:val=")"/>
                        </m:dPr>
                        <m:e>
                          <m:r>
                            <m:t xml:space="preserve">t</m:t>
                          </m:r>
                        </m:e>
                      </m:d>
                    </m:e>
                  </m:d>
                </m:e>
              </m:nary>
            </m:num>
            <m:den>
              <m:nary>
                <m:naryPr>
                  <m:chr m:val="∑"/>
                  <m:supHide m:val="1"/>
                </m:naryPr>
                <m:sub>
                  <m:d>
                    <m:dPr>
                      <m:begChr m:val="("/>
                      <m:endChr m:val=")"/>
                    </m:dPr>
                    <m:e>
                      <m:r>
                        <m:t xml:space="preserve">i</m:t>
                      </m:r>
                      <m:r>
                        <m:t xml:space="preserve">,</m:t>
                      </m:r>
                      <m:r>
                        <m:t xml:space="preserve">j</m:t>
                      </m:r>
                    </m:e>
                  </m:d>
                  <m:r>
                    <m:t xml:space="preserve">∈</m:t>
                  </m:r>
                  <m:sSub>
                    <m:e>
                      <m:r>
                        <m:t xml:space="preserve">E</m:t>
                      </m:r>
                    </m:e>
                    <m:sub>
                      <m:r>
                        <m:t xml:space="preserve">i</m:t>
                      </m:r>
                      <m:r>
                        <m:t xml:space="preserve">n</m:t>
                      </m:r>
                      <m:r>
                        <m:t xml:space="preserve">h</m:t>
                      </m:r>
                    </m:sub>
                  </m:sSub>
                </m:sub>
                <m:sup/>
                <m:e>
                  <m:d>
                    <m:dPr>
                      <m:begChr m:val="|"/>
                      <m:endChr m:val=")"/>
                    </m:dPr>
                    <m:e>
                      <m:sSub>
                        <m:e>
                          <m:r>
                            <m:t xml:space="preserve">w</m:t>
                          </m:r>
                        </m:e>
                        <m:sub>
                          <m:r>
                            <m:t xml:space="preserve">i</m:t>
                          </m:r>
                          <m:r>
                            <m:t xml:space="preserve">j</m:t>
                          </m:r>
                        </m:sub>
                      </m:sSub>
                      <m:d>
                        <m:dPr>
                          <m:begChr m:val="("/>
                          <m:endChr m:val=")"/>
                        </m:dPr>
                        <m:e>
                          <m:r>
                            <m:t xml:space="preserve">t</m:t>
                          </m:r>
                        </m:e>
                      </m:d>
                    </m:e>
                  </m:d>
                </m:e>
              </m:nary>
              <m:r>
                <m:t xml:space="preserve">+</m:t>
              </m:r>
              <m:r>
                <m:t xml:space="preserve">ϵ</m:t>
              </m:r>
            </m:den>
          </m:f>
        </m:oMath>
      </m:oMathPara>
    </w:p>
    <w:p>
      <w:pPr>
        <w:pStyle w:val="FirstParagraph"/>
        <w:rPr/>
      </w:pPr>
      <w:r>
        <w:rPr/>
        <w:t>ist nur eine grobe Strukturmetrik. Funktionale Balance betrifft zeitabhängige Ströme, Korrelationen und Netzwerkrückkopplungen. Balancierte Netze können irreguläre Aktivität erzeugen (</w:t>
      </w:r>
      <w:hyperlink w:anchor="ref-Brunel2000">
        <w:r>
          <w:rPr>
            <w:rStyle w:val="Hyperlink"/>
          </w:rPr>
          <w:t>Brunel, 2000</w:t>
        </w:r>
      </w:hyperlink>
      <w:r>
        <w:rPr/>
        <w:t xml:space="preserve">; </w:t>
      </w:r>
      <w:hyperlink w:anchor="ref-VanVreeswijk1996">
        <w:r>
          <w:rPr>
            <w:rStyle w:val="Hyperlink"/>
          </w:rPr>
          <w:t>Vreeswijk &amp; Sompolinsky, 1996</w:t>
        </w:r>
      </w:hyperlink>
      <w:r>
        <w:rPr/>
        <w:t>); ein einzelnes Gewichtsverhältnis genügt nicht als Nachweis.</w:t>
      </w:r>
      <w:bookmarkEnd w:id="131"/>
      <w:bookmarkEnd w:id="137"/>
    </w:p>
    <w:p>
      <w:pPr>
        <w:pStyle w:val="Heading2"/>
        <w:keepNext w:val="true"/>
        <w:widowControl/>
        <w:rPr/>
      </w:pPr>
      <w:bookmarkStart w:id="138" w:name="__RefHeading___Toc10127_954062153"/>
      <w:bookmarkStart w:id="139" w:name="X38f2ac30b33742ac18f884d42a829f7b9103fe1"/>
      <w:bookmarkEnd w:id="138"/>
      <w:r>
        <w:rPr/>
        <w:t>13. Synaptische, modulatorische und intrinsische Plastizität</w:t>
      </w:r>
    </w:p>
    <w:p>
      <w:pPr>
        <w:pStyle w:val="Heading3"/>
        <w:keepNext w:val="true"/>
        <w:widowControl/>
        <w:rPr/>
      </w:pPr>
      <w:bookmarkStart w:id="140" w:name="pair-based-stdp"/>
      <w:r>
        <w:rPr/>
        <w:t>13.1 Pair-based STDP</w:t>
      </w:r>
    </w:p>
    <w:p>
      <w:pPr>
        <w:pStyle w:val="FirstParagraph"/>
        <w:rPr/>
      </w:pPr>
      <w:r>
        <w:rPr>
          <w:b/>
          <w:bCs/>
        </w:rPr>
        <w:t>[MODEL]</w:t>
      </w:r>
      <w:r>
        <w:rPr/>
        <w:t xml:space="preserve"> Für </w:t>
      </w:r>
      <w:r>
        <w:rPr/>
      </w:r>
      <m:oMath xmlns:m="http://schemas.openxmlformats.org/officeDocument/2006/math">
        <m:r>
          <m:t xml:space="preserve">Δ</m:t>
        </m:r>
        <m:r>
          <m:t xml:space="preserve">t</m:t>
        </m:r>
        <m:r>
          <m:t xml:space="preserve">=</m:t>
        </m:r>
        <m:sSub>
          <m:e>
            <m:r>
              <m:t xml:space="preserve">t</m:t>
            </m:r>
          </m:e>
          <m:sub>
            <m:r>
              <m:t xml:space="preserve">p</m:t>
            </m:r>
            <m:r>
              <m:t xml:space="preserve">o</m:t>
            </m:r>
            <m:r>
              <m:t xml:space="preserve">s</m:t>
            </m:r>
            <m:r>
              <m:t xml:space="preserve">t</m:t>
            </m:r>
          </m:sub>
        </m:sSub>
        <m:r>
          <m:t xml:space="preserve">−</m:t>
        </m:r>
        <m:sSub>
          <m:e>
            <m:r>
              <m:t xml:space="preserve">t</m:t>
            </m:r>
          </m:e>
          <m:sub>
            <m:r>
              <m:t xml:space="preserve">p</m:t>
            </m:r>
            <m:r>
              <m:t xml:space="preserve">r</m:t>
            </m:r>
            <m:r>
              <m:t xml:space="preserve">e</m:t>
            </m:r>
          </m:sub>
        </m:sSub>
      </m:oMath>
      <w:r>
        <w:rPr/>
        <w:t>:</w:t>
      </w:r>
    </w:p>
    <w:p>
      <w:pPr>
        <w:pStyle w:val="BodyText"/>
        <w:jc w:val="center"/>
        <w:rPr/>
      </w:pPr>
      <w:r>
        <w:rPr/>
      </w:r>
      <m:oMathPara xmlns:m="http://schemas.openxmlformats.org/officeDocument/2006/math">
        <m:oMathParaPr>
          <m:jc m:val="center"/>
        </m:oMathParaPr>
        <m:oMath>
          <m:r>
            <m:t xml:space="preserve">Δ</m:t>
          </m:r>
          <m:r>
            <m:t xml:space="preserve">w</m:t>
          </m:r>
          <m:r>
            <m:t xml:space="preserve">=</m:t>
          </m:r>
        </m:oMath>
      </m:oMathPara>
    </w:p>
    <w:p>
      <w:pPr>
        <w:pStyle w:val="FirstParagraph"/>
        <w:rPr/>
      </w:pPr>
      <w:r>
        <w:rPr/>
        <w:t>Die Form abstrahiert experimentell beobachtete timingabhängige Änderungen (</w:t>
      </w:r>
      <w:hyperlink w:anchor="ref-Bi1998">
        <w:r>
          <w:rPr>
            <w:rStyle w:val="Hyperlink"/>
          </w:rPr>
          <w:t>Bi &amp; Poo, 1998</w:t>
        </w:r>
      </w:hyperlink>
      <w:r>
        <w:rPr/>
        <w:t xml:space="preserve">; </w:t>
      </w:r>
      <w:hyperlink w:anchor="ref-Markram1997">
        <w:r>
          <w:rPr>
            <w:rStyle w:val="Hyperlink"/>
          </w:rPr>
          <w:t>Markram et al., 1997</w:t>
        </w:r>
      </w:hyperlink>
      <w:r>
        <w:rPr/>
        <w:t>). Sie ist nicht universell: Zelltyp, Frequenz, Spannung, Kalzium und Spike-Triplets können die Regel verändern (</w:t>
      </w:r>
      <w:hyperlink w:anchor="ref-Clopath2010">
        <w:r>
          <w:rPr>
            <w:rStyle w:val="Hyperlink"/>
          </w:rPr>
          <w:t>Clopath et al., 2010</w:t>
        </w:r>
      </w:hyperlink>
      <w:r>
        <w:rPr/>
        <w:t xml:space="preserve">; </w:t>
      </w:r>
      <w:hyperlink w:anchor="ref-Graupner2012">
        <w:r>
          <w:rPr>
            <w:rStyle w:val="Hyperlink"/>
          </w:rPr>
          <w:t>Graupner &amp; Brunel, 2012</w:t>
        </w:r>
      </w:hyperlink>
      <w:r>
        <w:rPr/>
        <w:t xml:space="preserve">; </w:t>
      </w:r>
      <w:hyperlink w:anchor="ref-Pfister2006">
        <w:r>
          <w:rPr>
            <w:rStyle w:val="Hyperlink"/>
          </w:rPr>
          <w:t>Pfister &amp; Gerstner, 2006</w:t>
        </w:r>
      </w:hyperlink>
      <w:r>
        <w:rPr/>
        <w:t>).</w:t>
      </w:r>
      <w:bookmarkEnd w:id="140"/>
    </w:p>
    <w:p>
      <w:pPr>
        <w:pStyle w:val="Heading3"/>
        <w:keepNext w:val="true"/>
        <w:widowControl/>
        <w:rPr/>
      </w:pPr>
      <w:bookmarkStart w:id="141" w:name="gewichtsgrenzen-und-soft-bounds"/>
      <w:r>
        <w:rPr/>
        <w:t>13.2 Gewichtsgrenzen und Soft Bounds</w:t>
      </w:r>
    </w:p>
    <w:p>
      <w:pPr>
        <w:pStyle w:val="FirstParagraph"/>
        <w:rPr/>
      </w:pPr>
      <w:r>
        <w:rPr/>
        <w:t>Harte Begrenzung lautet</w:t>
      </w:r>
    </w:p>
    <w:p>
      <w:pPr>
        <w:pStyle w:val="BodyText"/>
        <w:jc w:val="center"/>
        <w:rPr/>
      </w:pPr>
      <w:r>
        <w:rPr/>
      </w:r>
      <m:oMathPara xmlns:m="http://schemas.openxmlformats.org/officeDocument/2006/math">
        <m:oMathParaPr>
          <m:jc m:val="center"/>
        </m:oMathParaPr>
        <m:oMath>
          <m:sSub>
            <m:e>
              <m:r>
                <m:t xml:space="preserve">w</m:t>
              </m:r>
            </m:e>
            <m:sub>
              <m:r>
                <m:t xml:space="preserve">i</m:t>
              </m:r>
              <m:r>
                <m:t xml:space="preserve">j</m:t>
              </m:r>
            </m:sub>
          </m:sSub>
          <m:r>
            <m:t xml:space="preserve">←</m:t>
          </m:r>
          <m:r>
            <m:t xml:space="preserve">clip</m:t>
          </m:r>
          <m:d>
            <m:dPr>
              <m:begChr m:val="("/>
              <m:endChr m:val=")"/>
            </m:dPr>
            <m:e>
              <m:sSub>
                <m:e>
                  <m:r>
                    <m:t xml:space="preserve">w</m:t>
                  </m:r>
                </m:e>
                <m:sub>
                  <m:r>
                    <m:t xml:space="preserve">i</m:t>
                  </m:r>
                  <m:r>
                    <m:t xml:space="preserve">j</m:t>
                  </m:r>
                </m:sub>
              </m:sSub>
              <m:r>
                <m:t xml:space="preserve">+</m:t>
              </m:r>
              <m:r>
                <m:t xml:space="preserve">Δ</m:t>
              </m:r>
              <m:r>
                <m:t xml:space="preserve">w</m:t>
              </m:r>
              <m:r>
                <m:t xml:space="preserve">,</m:t>
              </m:r>
              <m:sSub>
                <m:e>
                  <m:r>
                    <m:t xml:space="preserve">w</m:t>
                  </m:r>
                </m:e>
                <m:sub>
                  <m:r>
                    <m:t xml:space="preserve">m</m:t>
                  </m:r>
                  <m:r>
                    <m:t xml:space="preserve">i</m:t>
                  </m:r>
                  <m:r>
                    <m:t xml:space="preserve">n</m:t>
                  </m:r>
                </m:sub>
              </m:sSub>
              <m:r>
                <m:t xml:space="preserve">,</m:t>
              </m:r>
              <m:sSub>
                <m:e>
                  <m:r>
                    <m:t xml:space="preserve">w</m:t>
                  </m:r>
                </m:e>
                <m:sub>
                  <m:r>
                    <m:t xml:space="preserve">m</m:t>
                  </m:r>
                  <m:r>
                    <m:t xml:space="preserve">a</m:t>
                  </m:r>
                  <m:r>
                    <m:t xml:space="preserve">x</m:t>
                  </m:r>
                </m:sub>
              </m:sSub>
            </m:e>
          </m:d>
          <m:r>
            <m:t xml:space="preserve">.</m:t>
          </m:r>
        </m:oMath>
      </m:oMathPara>
    </w:p>
    <w:p>
      <w:pPr>
        <w:pStyle w:val="FirstParagraph"/>
        <w:rPr/>
      </w:pPr>
      <w:bookmarkStart w:id="142" w:name="gewichtsgrenzen-und-soft-bounds"/>
      <w:r>
        <w:rPr/>
        <w:t>Alternativ können multiplicative oder gewichtabhängige Updates Sättigung modellieren. Die Grenzregel beeinflusst langfristige Verteilungen und ist als eigener Faktor zu behandeln.</w:t>
      </w:r>
      <w:bookmarkEnd w:id="142"/>
    </w:p>
    <w:p>
      <w:pPr>
        <w:pStyle w:val="Heading3"/>
        <w:keepNext w:val="true"/>
        <w:widowControl/>
        <w:rPr/>
      </w:pPr>
      <w:bookmarkStart w:id="143" w:name="eligibility-und-three-factor-learning"/>
      <w:r>
        <w:rPr/>
        <w:t>13.3 Eligibility und Three-Factor Learning</w:t>
      </w:r>
    </w:p>
    <w:p>
      <w:pPr>
        <w:pStyle w:val="FirstParagraph"/>
        <w:rPr/>
      </w:pPr>
      <w:r>
        <w:rPr>
          <w:b/>
          <w:bCs/>
        </w:rPr>
        <w:t>[MODEL]</w:t>
      </w:r>
      <w:r>
        <w:rPr/>
        <w:t xml:space="preserve"> Ein Eligibility Trace kann durch</w:t>
      </w:r>
    </w:p>
    <w:p>
      <w:pPr>
        <w:pStyle w:val="BodyText"/>
        <w:jc w:val="center"/>
        <w:rPr/>
      </w:pPr>
      <w:r>
        <w:rPr/>
      </w:r>
      <m:oMathPara xmlns:m="http://schemas.openxmlformats.org/officeDocument/2006/math">
        <m:oMathParaPr>
          <m:jc m:val="center"/>
        </m:oMathParaPr>
        <m:oMath>
          <m:sSub>
            <m:e>
              <m:r>
                <m:t xml:space="preserve">τ</m:t>
              </m:r>
            </m:e>
            <m:sub>
              <m:r>
                <m:t xml:space="preserve">e</m:t>
              </m:r>
            </m:sub>
          </m:sSub>
          <m:sSub>
            <m:e>
              <m:acc>
                <m:accPr>
                  <m:chr m:val="˙"/>
                </m:accPr>
                <m:e>
                  <m:r>
                    <m:t xml:space="preserve">e</m:t>
                  </m:r>
                </m:e>
              </m:acc>
            </m:e>
            <m:sub>
              <m:r>
                <m:t xml:space="preserve">i</m:t>
              </m:r>
              <m:r>
                <m:t xml:space="preserve">j</m:t>
              </m:r>
            </m:sub>
          </m:sSub>
          <m:r>
            <m:t xml:space="preserve">=</m:t>
          </m:r>
          <m:r>
            <m:t xml:space="preserve">−</m:t>
          </m:r>
          <m:sSub>
            <m:e>
              <m:r>
                <m:t xml:space="preserve">e</m:t>
              </m:r>
            </m:e>
            <m:sub>
              <m:r>
                <m:t xml:space="preserve">i</m:t>
              </m:r>
              <m:r>
                <m:t xml:space="preserve">j</m:t>
              </m:r>
            </m:sub>
          </m:sSub>
          <m:r>
            <m:t xml:space="preserve">+</m:t>
          </m:r>
          <m:r>
            <m:t xml:space="preserve">ϕ</m:t>
          </m:r>
          <m:d>
            <m:dPr>
              <m:begChr m:val="("/>
              <m:endChr m:val=")"/>
            </m:dPr>
            <m:e>
              <m:sSubSup>
                <m:e>
                  <m:r>
                    <m:t xml:space="preserve">s</m:t>
                  </m:r>
                </m:e>
                <m:sub>
                  <m:r>
                    <m:t xml:space="preserve">i</m:t>
                  </m:r>
                </m:sub>
                <m:sup>
                  <m:r>
                    <m:t xml:space="preserve">p</m:t>
                  </m:r>
                  <m:r>
                    <m:t xml:space="preserve">r</m:t>
                  </m:r>
                  <m:r>
                    <m:t xml:space="preserve">e</m:t>
                  </m:r>
                </m:sup>
              </m:sSubSup>
              <m:r>
                <m:t xml:space="preserve">,</m:t>
              </m:r>
              <m:sSubSup>
                <m:e>
                  <m:r>
                    <m:t xml:space="preserve">s</m:t>
                  </m:r>
                </m:e>
                <m:sub>
                  <m:r>
                    <m:t xml:space="preserve">j</m:t>
                  </m:r>
                </m:sub>
                <m:sup>
                  <m:r>
                    <m:t xml:space="preserve">p</m:t>
                  </m:r>
                  <m:r>
                    <m:t xml:space="preserve">o</m:t>
                  </m:r>
                  <m:r>
                    <m:t xml:space="preserve">s</m:t>
                  </m:r>
                  <m:r>
                    <m:t xml:space="preserve">t</m:t>
                  </m:r>
                </m:sup>
              </m:sSubSup>
            </m:e>
          </m:d>
        </m:oMath>
      </m:oMathPara>
    </w:p>
    <w:p>
      <w:pPr>
        <w:pStyle w:val="FirstParagraph"/>
        <w:rPr/>
      </w:pPr>
      <w:r>
        <w:rPr/>
        <w:t>und eine modulierte Änderung durch</w:t>
      </w:r>
    </w:p>
    <w:p>
      <w:pPr>
        <w:pStyle w:val="BodyText"/>
        <w:jc w:val="center"/>
        <w:rPr/>
      </w:pPr>
      <w:r>
        <w:rPr/>
      </w:r>
      <m:oMathPara xmlns:m="http://schemas.openxmlformats.org/officeDocument/2006/math">
        <m:oMathParaPr>
          <m:jc m:val="center"/>
        </m:oMathParaPr>
        <m:oMath>
          <m:sSub>
            <m:e>
              <m:acc>
                <m:accPr>
                  <m:chr m:val="˙"/>
                </m:accPr>
                <m:e>
                  <m:r>
                    <m:t xml:space="preserve">w</m:t>
                  </m:r>
                </m:e>
              </m:acc>
            </m:e>
            <m:sub>
              <m:r>
                <m:t xml:space="preserve">i</m:t>
              </m:r>
              <m:r>
                <m:t xml:space="preserve">j</m:t>
              </m:r>
            </m:sub>
          </m:sSub>
          <m:r>
            <m:t xml:space="preserve">=</m:t>
          </m:r>
          <m:r>
            <m:t xml:space="preserve">η</m:t>
          </m:r>
          <m:r>
            <m:t xml:space="preserve">m</m:t>
          </m:r>
          <m:d>
            <m:dPr>
              <m:begChr m:val="("/>
              <m:endChr m:val=")"/>
            </m:dPr>
            <m:e>
              <m:r>
                <m:t xml:space="preserve">t</m:t>
              </m:r>
            </m:e>
          </m:d>
          <m:sSub>
            <m:e>
              <m:r>
                <m:t xml:space="preserve">e</m:t>
              </m:r>
            </m:e>
            <m:sub>
              <m:r>
                <m:t xml:space="preserve">i</m:t>
              </m:r>
              <m:r>
                <m:t xml:space="preserve">j</m:t>
              </m:r>
            </m:sub>
          </m:sSub>
          <m:d>
            <m:dPr>
              <m:begChr m:val="("/>
              <m:endChr m:val=")"/>
            </m:dPr>
            <m:e>
              <m:r>
                <m:t xml:space="preserve">t</m:t>
              </m:r>
            </m:e>
          </m:d>
        </m:oMath>
      </m:oMathPara>
    </w:p>
    <w:p>
      <w:pPr>
        <w:pStyle w:val="FirstParagraph"/>
        <w:rPr/>
      </w:pPr>
      <w:r>
        <w:rPr/>
        <w:t xml:space="preserve">beschrieben werden. </w:t>
      </w:r>
      <w:r>
        <w:rPr/>
      </w:r>
      <m:oMath xmlns:m="http://schemas.openxmlformats.org/officeDocument/2006/math">
        <m:r>
          <m:t xml:space="preserve">m</m:t>
        </m:r>
        <m:d>
          <m:dPr>
            <m:begChr m:val="("/>
            <m:endChr m:val=")"/>
          </m:dPr>
          <m:e>
            <m:r>
              <m:t xml:space="preserve">t</m:t>
            </m:r>
          </m:e>
        </m:d>
      </m:oMath>
      <w:r>
        <w:rPr/>
        <w:t xml:space="preserve"> kann Reward Prediction Error, regionales Modulationssignal oder experimentell kontrollierten Verstärker darstellen. Three-Factor-Regeln adressieren die zeitliche Lücke zwischen lokaler Aktivität und späterem Reward (</w:t>
      </w:r>
      <w:hyperlink w:anchor="ref-Fremaux2016">
        <w:r>
          <w:rPr>
            <w:rStyle w:val="Hyperlink"/>
          </w:rPr>
          <w:t>Frémaux &amp; Gerstner, 2016</w:t>
        </w:r>
      </w:hyperlink>
      <w:r>
        <w:rPr/>
        <w:t xml:space="preserve">; </w:t>
      </w:r>
      <w:hyperlink w:anchor="ref-Gerstner2018eligibility">
        <w:r>
          <w:rPr>
            <w:rStyle w:val="Hyperlink"/>
          </w:rPr>
          <w:t>Gerstner et al., 2018</w:t>
        </w:r>
      </w:hyperlink>
      <w:r>
        <w:rPr/>
        <w:t xml:space="preserve">; </w:t>
      </w:r>
      <w:hyperlink w:anchor="ref-Izhikevich2007reward">
        <w:r>
          <w:rPr>
            <w:rStyle w:val="Hyperlink"/>
          </w:rPr>
          <w:t>Izhikevich, 2007b</w:t>
        </w:r>
      </w:hyperlink>
      <w:r>
        <w:rPr/>
        <w:t>). Ein globales Signal ist jedoch nicht automatisch „Dopamin“; biologische Benennungen werden nur verwendet, wenn das Modell die entsprechende Funktion und Einschränkung tatsächlich abbildet.</w:t>
      </w:r>
      <w:bookmarkEnd w:id="143"/>
    </w:p>
    <w:p>
      <w:pPr>
        <w:pStyle w:val="Heading3"/>
        <w:keepNext w:val="true"/>
        <w:widowControl/>
        <w:rPr/>
      </w:pPr>
      <w:bookmarkStart w:id="144" w:name="inhibitorische-plastizität"/>
      <w:r>
        <w:rPr/>
        <w:t>13.4 Inhibitorische Plastizität</w:t>
      </w:r>
    </w:p>
    <w:p>
      <w:pPr>
        <w:pStyle w:val="FirstParagraph"/>
        <w:rPr/>
      </w:pPr>
      <w:r>
        <w:rPr/>
        <w:t>Inhibitorische Anpassung kann E/I-Regime und Feuerraten stabilisieren (</w:t>
      </w:r>
      <w:hyperlink w:anchor="ref-Vogels2011">
        <w:r>
          <w:rPr>
            <w:rStyle w:val="Hyperlink"/>
          </w:rPr>
          <w:t>Vogels et al., 2011</w:t>
        </w:r>
      </w:hyperlink>
      <w:r>
        <w:rPr/>
        <w:t>). Sie darf nicht als bloßes negatives STDP implementiert werden, ohne Zelltyp, Zielrate und Vorzeichenkonvention zu dokumentieren. Eine Ablation muss prüfen, ob der beobachtete Stabilitätseffekt spezifisch inhibitorisch oder nur Folge zusätzlicher Gewichtsnormalisierung ist.</w:t>
      </w:r>
      <w:bookmarkEnd w:id="144"/>
    </w:p>
    <w:p>
      <w:pPr>
        <w:pStyle w:val="Heading3"/>
        <w:keepNext w:val="true"/>
        <w:widowControl/>
        <w:rPr/>
      </w:pPr>
      <w:bookmarkStart w:id="145" w:name="intrinsische-plastizität"/>
      <w:r>
        <w:rPr/>
        <w:t>13.5 Intrinsische Plastizität</w:t>
      </w:r>
    </w:p>
    <w:p>
      <w:pPr>
        <w:pStyle w:val="FirstParagraph"/>
        <w:rPr/>
      </w:pPr>
      <w:r>
        <w:rPr/>
        <w:t>Neuronale Schwellen, Adaptationsparameter oder Membranzeitkonstanten können langsam angepasst werden. Eine einfache Zielratenregel ist</w:t>
      </w:r>
    </w:p>
    <w:p>
      <w:pPr>
        <w:pStyle w:val="BodyText"/>
        <w:rPr/>
      </w:pPr>
      <w:r>
        <w:rPr>
          <w:b/>
          <w:bCs/>
        </w:rPr>
        <w:t>[MODEL]</w:t>
      </w:r>
    </w:p>
    <w:p>
      <w:pPr>
        <w:pStyle w:val="BodyText"/>
        <w:jc w:val="center"/>
        <w:rPr/>
      </w:pPr>
      <w:r>
        <w:rPr/>
      </w:r>
      <m:oMathPara xmlns:m="http://schemas.openxmlformats.org/officeDocument/2006/math">
        <m:oMathParaPr>
          <m:jc m:val="center"/>
        </m:oMathParaPr>
        <m:oMath>
          <m:sSub>
            <m:e>
              <m:r>
                <m:t xml:space="preserve">θ</m:t>
              </m:r>
            </m:e>
            <m:sub>
              <m:r>
                <m:t xml:space="preserve">i</m:t>
              </m:r>
            </m:sub>
          </m:sSub>
          <m:d>
            <m:dPr>
              <m:begChr m:val="("/>
              <m:endChr m:val=")"/>
            </m:dPr>
            <m:e>
              <m:r>
                <m:t xml:space="preserve">t</m:t>
              </m:r>
              <m:r>
                <m:t xml:space="preserve">+</m:t>
              </m:r>
              <m:r>
                <m:t xml:space="preserve">Δ</m:t>
              </m:r>
              <m:r>
                <m:t xml:space="preserve">t</m:t>
              </m:r>
            </m:e>
          </m:d>
          <m:r>
            <m:t xml:space="preserve">=</m:t>
          </m:r>
          <m:sSub>
            <m:e>
              <m:r>
                <m:t xml:space="preserve">θ</m:t>
              </m:r>
            </m:e>
            <m:sub>
              <m:r>
                <m:t xml:space="preserve">i</m:t>
              </m:r>
            </m:sub>
          </m:sSub>
          <m:d>
            <m:dPr>
              <m:begChr m:val="("/>
              <m:endChr m:val=")"/>
            </m:dPr>
            <m:e>
              <m:r>
                <m:t xml:space="preserve">t</m:t>
              </m:r>
            </m:e>
          </m:d>
          <m:r>
            <m:t xml:space="preserve">+</m:t>
          </m:r>
          <m:sSub>
            <m:e>
              <m:r>
                <m:t xml:space="preserve">η</m:t>
              </m:r>
            </m:e>
            <m:sub>
              <m:r>
                <m:t xml:space="preserve">h</m:t>
              </m:r>
            </m:sub>
          </m:sSub>
          <m:d>
            <m:dPr>
              <m:begChr m:val="("/>
              <m:endChr m:val=")"/>
            </m:dPr>
            <m:e>
              <m:sSub>
                <m:e>
                  <m:acc>
                    <m:accPr>
                      <m:chr m:val="´"/>
                    </m:accPr>
                    <m:e>
                      <m:r>
                        <m:t xml:space="preserve">r</m:t>
                      </m:r>
                    </m:e>
                  </m:acc>
                </m:e>
                <m:sub>
                  <m:r>
                    <m:t xml:space="preserve">i</m:t>
                  </m:r>
                </m:sub>
              </m:sSub>
              <m:d>
                <m:dPr>
                  <m:begChr m:val="("/>
                  <m:endChr m:val=")"/>
                </m:dPr>
                <m:e>
                  <m:r>
                    <m:t xml:space="preserve">t</m:t>
                  </m:r>
                </m:e>
              </m:d>
              <m:r>
                <m:t xml:space="preserve">−</m:t>
              </m:r>
              <m:sSubSup>
                <m:e>
                  <m:r>
                    <m:t xml:space="preserve">r</m:t>
                  </m:r>
                </m:e>
                <m:sub>
                  <m:r>
                    <m:t xml:space="preserve">i</m:t>
                  </m:r>
                </m:sub>
                <m:sup/>
              </m:sSubSup>
            </m:e>
          </m:d>
          <m:r>
            <m:t xml:space="preserve">.</m:t>
          </m:r>
        </m:oMath>
      </m:oMathPara>
    </w:p>
    <w:p>
      <w:pPr>
        <w:pStyle w:val="FirstParagraph"/>
        <w:rPr/>
      </w:pPr>
      <w:r>
        <w:rPr/>
        <w:t>Dies ist eine technische Homeostaseform. Biologische homeostatische Plastizität umfasst mehrere Mechanismen und Zeitskalen (</w:t>
      </w:r>
      <w:hyperlink w:anchor="ref-Turrigiano1998">
        <w:r>
          <w:rPr>
            <w:rStyle w:val="Hyperlink"/>
          </w:rPr>
          <w:t>Turrigiano et al., 1998</w:t>
        </w:r>
      </w:hyperlink>
      <w:r>
        <w:rPr/>
        <w:t xml:space="preserve">; </w:t>
      </w:r>
      <w:hyperlink w:anchor="ref-Turrigiano2004">
        <w:r>
          <w:rPr>
            <w:rStyle w:val="Hyperlink"/>
          </w:rPr>
          <w:t>Turrigiano &amp; Nelson, 2004</w:t>
        </w:r>
      </w:hyperlink>
      <w:r>
        <w:rPr/>
        <w:t>).</w:t>
      </w:r>
      <w:bookmarkEnd w:id="145"/>
    </w:p>
    <w:p>
      <w:pPr>
        <w:pStyle w:val="Heading3"/>
        <w:keepNext w:val="true"/>
        <w:widowControl/>
        <w:rPr/>
      </w:pPr>
      <w:bookmarkStart w:id="146" w:name="metaplastizität"/>
      <w:r>
        <w:rPr/>
        <w:t>13.6 Metaplastizität</w:t>
      </w:r>
    </w:p>
    <w:p>
      <w:pPr>
        <w:pStyle w:val="FirstParagraph"/>
        <w:rPr/>
      </w:pPr>
      <w:r>
        <w:rPr/>
        <w:t>Metaplastizität verändert nicht unmittelbar das Gewicht, sondern die Lernbereitschaft oder Regelparameter. Ein BCM-artiger gleitender Schwellenwert kann geschrieben werden als</w:t>
      </w:r>
    </w:p>
    <w:p>
      <w:pPr>
        <w:pStyle w:val="BodyText"/>
        <w:jc w:val="center"/>
        <w:rPr/>
      </w:pPr>
      <w:r>
        <w:rPr/>
      </w:r>
      <m:oMathPara xmlns:m="http://schemas.openxmlformats.org/officeDocument/2006/math">
        <m:oMathParaPr>
          <m:jc m:val="center"/>
        </m:oMathParaPr>
        <m:oMath>
          <m:sSub>
            <m:e>
              <m:r>
                <m:t xml:space="preserve">τ</m:t>
              </m:r>
            </m:e>
            <m:sub>
              <m:r>
                <m:t xml:space="preserve">θ</m:t>
              </m:r>
            </m:sub>
          </m:sSub>
          <m:sSub>
            <m:e>
              <m:acc>
                <m:accPr>
                  <m:chr m:val="˙"/>
                </m:accPr>
                <m:e>
                  <m:r>
                    <m:t xml:space="preserve">θ</m:t>
                  </m:r>
                </m:e>
              </m:acc>
            </m:e>
            <m:sub>
              <m:r>
                <m:t xml:space="preserve">i</m:t>
              </m:r>
            </m:sub>
          </m:sSub>
          <m:r>
            <m:t xml:space="preserve">=</m:t>
          </m:r>
          <m:sSubSup>
            <m:e>
              <m:acc>
                <m:accPr>
                  <m:chr m:val="´"/>
                </m:accPr>
                <m:e>
                  <m:r>
                    <m:t xml:space="preserve">r</m:t>
                  </m:r>
                </m:e>
              </m:acc>
            </m:e>
            <m:sub>
              <m:r>
                <m:t xml:space="preserve">i</m:t>
              </m:r>
            </m:sub>
            <m:sup>
              <m:r>
                <m:t xml:space="preserve">2</m:t>
              </m:r>
            </m:sup>
          </m:sSubSup>
          <m:r>
            <m:t xml:space="preserve">−</m:t>
          </m:r>
          <m:sSub>
            <m:e>
              <m:r>
                <m:t xml:space="preserve">θ</m:t>
              </m:r>
            </m:e>
            <m:sub>
              <m:r>
                <m:t xml:space="preserve">i</m:t>
              </m:r>
            </m:sub>
          </m:sSub>
          <m:r>
            <m:t xml:space="preserve">,</m:t>
          </m:r>
        </m:oMath>
      </m:oMathPara>
    </w:p>
    <w:p>
      <w:pPr>
        <w:pStyle w:val="FirstParagraph"/>
        <w:rPr/>
      </w:pPr>
      <w:r>
        <w:rPr/>
        <w:t xml:space="preserve">während die synaptische Änderung von </w:t>
      </w:r>
      <w:r>
        <w:rPr/>
      </w:r>
      <m:oMath xmlns:m="http://schemas.openxmlformats.org/officeDocument/2006/math">
        <m:sSub>
          <m:e>
            <m:r>
              <m:t xml:space="preserve">r</m:t>
            </m:r>
          </m:e>
          <m:sub>
            <m:r>
              <m:t xml:space="preserve">i</m:t>
            </m:r>
          </m:sub>
        </m:sSub>
        <m:d>
          <m:dPr>
            <m:begChr m:val="("/>
            <m:endChr m:val=")"/>
          </m:dPr>
          <m:e>
            <m:sSub>
              <m:e>
                <m:r>
                  <m:t xml:space="preserve">r</m:t>
                </m:r>
              </m:e>
              <m:sub>
                <m:r>
                  <m:t xml:space="preserve">i</m:t>
                </m:r>
              </m:sub>
            </m:sSub>
            <m:r>
              <m:t xml:space="preserve">−</m:t>
            </m:r>
            <m:sSub>
              <m:e>
                <m:r>
                  <m:t xml:space="preserve">θ</m:t>
                </m:r>
              </m:e>
              <m:sub>
                <m:r>
                  <m:t xml:space="preserve">i</m:t>
                </m:r>
              </m:sub>
            </m:sSub>
          </m:e>
        </m:d>
      </m:oMath>
      <w:r>
        <w:rPr/>
        <w:t xml:space="preserve"> abhängt (</w:t>
      </w:r>
      <w:hyperlink w:anchor="ref-Bienenstock1982">
        <w:r>
          <w:rPr>
            <w:rStyle w:val="Hyperlink"/>
          </w:rPr>
          <w:t>Bienenstock et al., 1982</w:t>
        </w:r>
      </w:hyperlink>
      <w:r>
        <w:rPr/>
        <w:t>). In Brain-5D ist Metaplastizität ein Kandidat zur Kontrolle langfristiger Interferenz, nicht vorausgesetzte Lösung.</w:t>
      </w:r>
      <w:bookmarkEnd w:id="146"/>
    </w:p>
    <w:p>
      <w:pPr>
        <w:pStyle w:val="Heading3"/>
        <w:keepNext w:val="true"/>
        <w:widowControl/>
        <w:rPr/>
      </w:pPr>
      <w:bookmarkStart w:id="147" w:name="stabilitäts-plastizitäts-konflikt"/>
      <w:r>
        <w:rPr/>
        <w:t>13.7 Stabilitäts-Plastizitäts-Konflikt</w:t>
      </w:r>
    </w:p>
    <w:p>
      <w:pPr>
        <w:pStyle w:val="FirstParagraph"/>
        <w:rPr/>
      </w:pPr>
      <w:r>
        <w:rPr/>
        <w:t>Hebb-artige positive Rückkopplung kann zu Runaway-Aktivität führen. Homeostase wirkt dem entgegen, kann aber zu langsam sein oder Lernsignale neutralisieren (</w:t>
      </w:r>
      <w:hyperlink w:anchor="ref-Zenke2013">
        <w:r>
          <w:rPr>
            <w:rStyle w:val="Hyperlink"/>
          </w:rPr>
          <w:t>Zenke et al., 2013</w:t>
        </w:r>
      </w:hyperlink>
      <w:r>
        <w:rPr/>
        <w:t xml:space="preserve">; </w:t>
      </w:r>
      <w:hyperlink w:anchor="ref-Zenke2017homeostasis">
        <w:r>
          <w:rPr>
            <w:rStyle w:val="Hyperlink"/>
          </w:rPr>
          <w:t>Zenke &amp; Gerstner, 2017</w:t>
        </w:r>
      </w:hyperlink>
      <w:r>
        <w:rPr/>
        <w:t>). Brain-5D untersucht daher Zeitskalenverhältnisse, nicht nur das An-/Ausschalten einzelner Mechanismen. Ein stabiler Mittelwert kann zudem dynamische Pathologien verbergen; Varianz, Burststruktur, Korrelation und regionale Verteilung sind mitzuerfassen.</w:t>
      </w:r>
      <w:bookmarkEnd w:id="139"/>
      <w:bookmarkEnd w:id="147"/>
    </w:p>
    <w:p>
      <w:pPr>
        <w:pStyle w:val="Heading2"/>
        <w:keepNext w:val="true"/>
        <w:widowControl/>
        <w:rPr/>
      </w:pPr>
      <w:bookmarkStart w:id="148" w:name="__RefHeading___Toc10129_954062153"/>
      <w:bookmarkStart w:id="149" w:name="strukturelle-plastizität-und-neurogenese"/>
      <w:bookmarkEnd w:id="148"/>
      <w:r>
        <w:rPr/>
        <w:t>14. Strukturelle Plastizität und Neurogenese</w:t>
      </w:r>
    </w:p>
    <w:p>
      <w:pPr>
        <w:pStyle w:val="Heading3"/>
        <w:keepNext w:val="true"/>
        <w:widowControl/>
        <w:rPr/>
      </w:pPr>
      <w:bookmarkStart w:id="150" w:name="funktionale-versus-strukturelle-änderung"/>
      <w:r>
        <w:rPr/>
        <w:t>14.1 Funktionale versus strukturelle Änderung</w:t>
      </w:r>
    </w:p>
    <w:p>
      <w:pPr>
        <w:pStyle w:val="FirstParagraph"/>
        <w:rPr/>
      </w:pPr>
      <w:r>
        <w:rPr>
          <w:b/>
          <w:bCs/>
        </w:rPr>
        <w:t>[DEF]</w:t>
      </w:r>
      <w:r>
        <w:rPr/>
        <w:t xml:space="preserve"> Funktionale Plastizität verändert Attribute bestehender Kanten oder Knoten. Strukturelle Plastizität verändert </w:t>
      </w:r>
      <w:r>
        <w:rPr/>
      </w:r>
      <m:oMath xmlns:m="http://schemas.openxmlformats.org/officeDocument/2006/math">
        <m:sSub>
          <m:e>
            <m:r>
              <m:t xml:space="preserve">V</m:t>
            </m:r>
          </m:e>
          <m:sub>
            <m:r>
              <m:t xml:space="preserve">t</m:t>
            </m:r>
          </m:sub>
        </m:sSub>
      </m:oMath>
      <w:r>
        <w:rPr/>
        <w:t xml:space="preserve"> oder </w:t>
      </w:r>
      <w:r>
        <w:rPr/>
      </w:r>
      <m:oMath xmlns:m="http://schemas.openxmlformats.org/officeDocument/2006/math">
        <m:sSub>
          <m:e>
            <m:r>
              <m:t xml:space="preserve">E</m:t>
            </m:r>
          </m:e>
          <m:sub>
            <m:r>
              <m:t xml:space="preserve">t</m:t>
            </m:r>
          </m:sub>
        </m:sSub>
      </m:oMath>
      <w:r>
        <w:rPr/>
        <w:t xml:space="preserve"> selbst. Beide können zusammenwirken, müssen im Event-Log aber unterscheidbar bleiben.</w:t>
      </w:r>
      <w:bookmarkEnd w:id="150"/>
    </w:p>
    <w:p>
      <w:pPr>
        <w:pStyle w:val="Heading3"/>
        <w:keepNext w:val="true"/>
        <w:widowControl/>
        <w:rPr/>
      </w:pPr>
      <w:bookmarkStart w:id="151" w:name="synapsenentstehung"/>
      <w:r>
        <w:rPr/>
        <w:t>14.2 Synapsenentstehung</w:t>
      </w:r>
    </w:p>
    <w:p>
      <w:pPr>
        <w:pStyle w:val="FirstParagraph"/>
        <w:rPr/>
      </w:pPr>
      <w:r>
        <w:rPr/>
        <w:t>Eine neue Kante kann nur entstehen, wenn harte Constraints und ein probabilistisches beziehungsweise heuristisches Auswahlkriterium erfüllt sind:</w:t>
      </w:r>
    </w:p>
    <w:p>
      <w:pPr>
        <w:pStyle w:val="BodyText"/>
        <w:rPr/>
      </w:pPr>
      <w:r>
        <w:rPr>
          <w:b/>
          <w:bCs/>
        </w:rPr>
        <w:t>[HEUR]</w:t>
      </w:r>
    </w:p>
    <w:p>
      <w:pPr>
        <w:pStyle w:val="BodyText"/>
        <w:jc w:val="center"/>
        <w:rPr/>
      </w:pPr>
      <w:r>
        <w:rPr/>
      </w:r>
      <m:oMathPara xmlns:m="http://schemas.openxmlformats.org/officeDocument/2006/math">
        <m:oMathParaPr>
          <m:jc m:val="center"/>
        </m:oMathParaPr>
        <m:oMath>
          <m:sSub>
            <m:e>
              <m:r>
                <m:rPr>
                  <m:lit/>
                  <m:nor/>
                </m:rPr>
                <m:t xml:space="preserve">create</m:t>
              </m:r>
            </m:e>
            <m:sub>
              <m:r>
                <m:t xml:space="preserve">i</m:t>
              </m:r>
              <m:r>
                <m:t xml:space="preserve">j</m:t>
              </m:r>
            </m:sub>
          </m:sSub>
          <m:r>
            <m:t xml:space="preserve">=</m:t>
          </m:r>
          <m:r>
            <m:t xml:space="preserve">1</m:t>
          </m:r>
          <m:d>
            <m:dPr>
              <m:begChr m:val="["/>
              <m:endChr m:val=")"/>
            </m:dPr>
            <m:e>
              <m:sSub>
                <m:e>
                  <m:r>
                    <m:t xml:space="preserve">d</m:t>
                  </m:r>
                </m:e>
                <m:sub>
                  <m:r>
                    <m:t xml:space="preserve">M</m:t>
                  </m:r>
                </m:sub>
              </m:sSub>
              <m:d>
                <m:dPr>
                  <m:begChr m:val="("/>
                  <m:endChr m:val=")"/>
                </m:dPr>
                <m:e>
                  <m:r>
                    <m:t xml:space="preserve">i</m:t>
                  </m:r>
                  <m:r>
                    <m:t xml:space="preserve">,</m:t>
                  </m:r>
                  <m:r>
                    <m:t xml:space="preserve">j</m:t>
                  </m:r>
                </m:e>
              </m:d>
              <m:r>
                <m:t xml:space="preserve">&lt;</m:t>
              </m:r>
              <m:sSub>
                <m:e>
                  <m:r>
                    <m:t xml:space="preserve">d</m:t>
                  </m:r>
                </m:e>
                <m:sub>
                  <m:r>
                    <m:t xml:space="preserve">m</m:t>
                  </m:r>
                  <m:r>
                    <m:t xml:space="preserve">a</m:t>
                  </m:r>
                  <m:r>
                    <m:t xml:space="preserve">x</m:t>
                  </m:r>
                </m:sub>
              </m:sSub>
            </m:e>
          </m:d>
          <m:r>
            <m:t xml:space="preserve">1</m:t>
          </m:r>
          <m:d>
            <m:dPr>
              <m:begChr m:val="["/>
              <m:endChr m:val=")"/>
            </m:dPr>
            <m:e>
              <m:sSubSup>
                <m:e>
                  <m:r>
                    <m:t xml:space="preserve">B</m:t>
                  </m:r>
                </m:e>
                <m:sub>
                  <m:r>
                    <m:t xml:space="preserve">t</m:t>
                  </m:r>
                </m:sub>
                <m:sup>
                  <m:r>
                    <m:t xml:space="preserve">s</m:t>
                  </m:r>
                  <m:r>
                    <m:t xml:space="preserve">y</m:t>
                  </m:r>
                  <m:r>
                    <m:t xml:space="preserve">n</m:t>
                  </m:r>
                </m:sup>
              </m:sSubSup>
              <m:r>
                <m:t xml:space="preserve">&gt;</m:t>
              </m:r>
              <m:r>
                <m:t xml:space="preserve">0</m:t>
              </m:r>
            </m:e>
          </m:d>
          <m:r>
            <m:t xml:space="preserve">1</m:t>
          </m:r>
          <m:d>
            <m:dPr>
              <m:begChr m:val="["/>
              <m:endChr m:val=")"/>
            </m:dPr>
            <m:e>
              <m:sSub>
                <m:e>
                  <m:r>
                    <m:t xml:space="preserve">C</m:t>
                  </m:r>
                </m:e>
                <m:sub>
                  <m:r>
                    <m:t xml:space="preserve">i</m:t>
                  </m:r>
                  <m:r>
                    <m:t xml:space="preserve">j</m:t>
                  </m:r>
                </m:sub>
              </m:sSub>
              <m:r>
                <m:t xml:space="preserve">&gt;</m:t>
              </m:r>
              <m:sSub>
                <m:e>
                  <m:r>
                    <m:t xml:space="preserve">C</m:t>
                  </m:r>
                </m:e>
                <m:sub>
                  <m:r>
                    <m:t xml:space="preserve">m</m:t>
                  </m:r>
                  <m:r>
                    <m:t xml:space="preserve">i</m:t>
                  </m:r>
                  <m:r>
                    <m:t xml:space="preserve">n</m:t>
                  </m:r>
                </m:sub>
              </m:sSub>
            </m:e>
          </m:d>
          <m:r>
            <m:t xml:space="preserve">⋅</m:t>
          </m:r>
          <m:r>
            <m:t xml:space="preserve">Bernoulli</m:t>
          </m:r>
          <m:d>
            <m:dPr>
              <m:begChr m:val="("/>
              <m:endChr m:val=")"/>
            </m:dPr>
            <m:e>
              <m:sSub>
                <m:e>
                  <m:r>
                    <m:t xml:space="preserve">P</m:t>
                  </m:r>
                </m:e>
                <m:sub>
                  <m:r>
                    <m:t xml:space="preserve">i</m:t>
                  </m:r>
                  <m:r>
                    <m:t xml:space="preserve">j</m:t>
                  </m:r>
                </m:sub>
              </m:sSub>
            </m:e>
          </m:d>
          <m:r>
            <m:t xml:space="preserve">.</m:t>
          </m:r>
        </m:oMath>
      </m:oMathPara>
    </w:p>
    <w:p>
      <w:pPr>
        <w:pStyle w:val="FirstParagraph"/>
        <w:rPr/>
      </w:pPr>
      <w:r>
        <w:rPr/>
      </w:r>
      <m:oMath xmlns:m="http://schemas.openxmlformats.org/officeDocument/2006/math">
        <m:sSubSup>
          <m:e>
            <m:r>
              <m:t xml:space="preserve">B</m:t>
            </m:r>
          </m:e>
          <m:sub>
            <m:r>
              <m:t xml:space="preserve">t</m:t>
            </m:r>
          </m:sub>
          <m:sup>
            <m:r>
              <m:t xml:space="preserve">s</m:t>
            </m:r>
            <m:r>
              <m:t xml:space="preserve">y</m:t>
            </m:r>
            <m:r>
              <m:t xml:space="preserve">n</m:t>
            </m:r>
          </m:sup>
        </m:sSubSup>
      </m:oMath>
      <w:r>
        <w:rPr/>
        <w:t xml:space="preserve"> </w:t>
      </w:r>
      <w:r>
        <w:rPr/>
        <w:t xml:space="preserve">ist das verbleibende Synapsenbudget. Die Korrelation </w:t>
      </w:r>
      <w:r>
        <w:rPr/>
      </w:r>
      <m:oMath xmlns:m="http://schemas.openxmlformats.org/officeDocument/2006/math">
        <m:sSub>
          <m:e>
            <m:r>
              <m:t xml:space="preserve">C</m:t>
            </m:r>
          </m:e>
          <m:sub>
            <m:r>
              <m:t xml:space="preserve">i</m:t>
            </m:r>
            <m:r>
              <m:t xml:space="preserve">j</m:t>
            </m:r>
          </m:sub>
        </m:sSub>
      </m:oMath>
      <w:r>
        <w:rPr/>
        <w:t xml:space="preserve"> muss mit einem kausal sauberen Zeitfenster berechnet werden; sonst können gemeinsame Inputs fälschlich direkte Beziehung suggerieren.</w:t>
      </w:r>
      <w:bookmarkEnd w:id="151"/>
    </w:p>
    <w:p>
      <w:pPr>
        <w:pStyle w:val="Heading3"/>
        <w:keepNext w:val="true"/>
        <w:widowControl/>
        <w:rPr/>
      </w:pPr>
      <w:bookmarkStart w:id="152" w:name="pruning"/>
      <w:r>
        <w:rPr/>
        <w:t>14.3 Pruning</w:t>
      </w:r>
    </w:p>
    <w:p>
      <w:pPr>
        <w:pStyle w:val="FirstParagraph"/>
        <w:rPr/>
      </w:pPr>
      <w:r>
        <w:rPr>
          <w:b/>
          <w:bCs/>
        </w:rPr>
        <w:t>[HEUR]</w:t>
      </w:r>
      <w:r>
        <w:rPr/>
        <w:t xml:space="preserve"> Eine Kante wird zum Pruning-Kandidaten, wenn</w:t>
      </w:r>
    </w:p>
    <w:p>
      <w:pPr>
        <w:pStyle w:val="BodyText"/>
        <w:jc w:val="center"/>
        <w:rPr/>
      </w:pPr>
      <w:r>
        <w:rPr/>
      </w:r>
      <m:oMathPara xmlns:m="http://schemas.openxmlformats.org/officeDocument/2006/math">
        <m:oMathParaPr>
          <m:jc m:val="center"/>
        </m:oMathParaPr>
        <m:oMath>
          <m:d>
            <m:dPr>
              <m:begChr m:val="|"/>
              <m:endChr m:val=")"/>
            </m:dPr>
            <m:e>
              <m:sSub>
                <m:e>
                  <m:r>
                    <m:t xml:space="preserve">w</m:t>
                  </m:r>
                </m:e>
                <m:sub>
                  <m:r>
                    <m:t xml:space="preserve">i</m:t>
                  </m:r>
                  <m:r>
                    <m:t xml:space="preserve">j</m:t>
                  </m:r>
                </m:sub>
              </m:sSub>
              <m:d>
                <m:dPr>
                  <m:begChr m:val="("/>
                  <m:endChr m:val=")"/>
                </m:dPr>
                <m:e>
                  <m:r>
                    <m:t xml:space="preserve">t</m:t>
                  </m:r>
                </m:e>
              </m:d>
            </m:e>
          </m:d>
          <m:r>
            <m:t xml:space="preserve">&lt;</m:t>
          </m:r>
          <m:sSub>
            <m:e>
              <m:r>
                <m:t xml:space="preserve">w</m:t>
              </m:r>
            </m:e>
            <m:sub>
              <m:r>
                <m:t xml:space="preserve">p</m:t>
              </m:r>
              <m:r>
                <m:t xml:space="preserve">r</m:t>
              </m:r>
              <m:r>
                <m:t xml:space="preserve">u</m:t>
              </m:r>
              <m:r>
                <m:t xml:space="preserve">n</m:t>
              </m:r>
              <m:r>
                <m:t xml:space="preserve">e</m:t>
              </m:r>
            </m:sub>
          </m:sSub>
          <m:r>
            <m:t xml:space="preserve">,</m:t>
          </m:r>
          <m:sSub>
            <m:e>
              <m:r>
                <m:t xml:space="preserve">U</m:t>
              </m:r>
            </m:e>
            <m:sub>
              <m:r>
                <m:t xml:space="preserve">i</m:t>
              </m:r>
              <m:r>
                <m:t xml:space="preserve">j</m:t>
              </m:r>
            </m:sub>
          </m:sSub>
          <m:d>
            <m:dPr>
              <m:begChr m:val="("/>
              <m:endChr m:val=")"/>
            </m:dPr>
            <m:e>
              <m:r>
                <m:t xml:space="preserve">t</m:t>
              </m:r>
            </m:e>
          </m:d>
          <m:r>
            <m:t xml:space="preserve">&lt;</m:t>
          </m:r>
          <m:sSub>
            <m:e>
              <m:r>
                <m:t xml:space="preserve">u</m:t>
              </m:r>
            </m:e>
            <m:sub>
              <m:r>
                <m:t xml:space="preserve">m</m:t>
              </m:r>
              <m:r>
                <m:t xml:space="preserve">i</m:t>
              </m:r>
              <m:r>
                <m:t xml:space="preserve">n</m:t>
              </m:r>
            </m:sub>
          </m:sSub>
          <m:r>
            <m:t xml:space="preserve">,</m:t>
          </m:r>
          <m:r>
            <m:t xml:space="preserve">a</m:t>
          </m:r>
          <m:r>
            <m:t xml:space="preserve">g</m:t>
          </m:r>
          <m:sSub>
            <m:e>
              <m:r>
                <m:t xml:space="preserve">e</m:t>
              </m:r>
            </m:e>
            <m:sub>
              <m:r>
                <m:t xml:space="preserve">i</m:t>
              </m:r>
              <m:r>
                <m:t xml:space="preserve">j</m:t>
              </m:r>
            </m:sub>
          </m:sSub>
          <m:r>
            <m:t xml:space="preserve">&gt;</m:t>
          </m:r>
          <m:sSub>
            <m:e>
              <m:r>
                <m:t xml:space="preserve">T</m:t>
              </m:r>
            </m:e>
            <m:sub>
              <m:r>
                <m:t xml:space="preserve">g</m:t>
              </m:r>
              <m:r>
                <m:t xml:space="preserve">r</m:t>
              </m:r>
              <m:r>
                <m:t xml:space="preserve">a</m:t>
              </m:r>
              <m:r>
                <m:t xml:space="preserve">c</m:t>
              </m:r>
              <m:r>
                <m:t xml:space="preserve">e</m:t>
              </m:r>
            </m:sub>
          </m:sSub>
        </m:oMath>
      </m:oMathPara>
    </w:p>
    <w:p>
      <w:pPr>
        <w:pStyle w:val="FirstParagraph"/>
        <w:rPr/>
      </w:pPr>
      <w:r>
        <w:rPr/>
        <w:t xml:space="preserve">über ein Mindestintervall gilt. </w:t>
      </w:r>
      <w:r>
        <w:rPr/>
      </w:r>
      <m:oMath xmlns:m="http://schemas.openxmlformats.org/officeDocument/2006/math">
        <m:sSub>
          <m:e>
            <m:r>
              <m:t xml:space="preserve">U</m:t>
            </m:r>
          </m:e>
          <m:sub>
            <m:r>
              <m:t xml:space="preserve">i</m:t>
            </m:r>
            <m:r>
              <m:t xml:space="preserve">j</m:t>
            </m:r>
          </m:sub>
        </m:sSub>
      </m:oMath>
      <w:r>
        <w:rPr/>
        <w:t xml:space="preserve"> kann Nutzung, Contribution oder Eligibility zusammenfassen. Sofortiges Pruning nach kurzfristiger Inaktivität würde langsame oder episodische Verbindungen benachteiligen.</w:t>
      </w:r>
      <w:bookmarkEnd w:id="152"/>
    </w:p>
    <w:p>
      <w:pPr>
        <w:pStyle w:val="Heading3"/>
        <w:keepNext w:val="true"/>
        <w:widowControl/>
        <w:rPr/>
      </w:pPr>
      <w:bookmarkStart w:id="153" w:name="neurogenese"/>
      <w:r>
        <w:rPr/>
        <w:t>14.4 Neurogenese</w:t>
      </w:r>
    </w:p>
    <w:p>
      <w:pPr>
        <w:pStyle w:val="FirstParagraph"/>
        <w:rPr/>
      </w:pPr>
      <w:r>
        <w:rPr/>
        <w:t>Neue Neuronen dürfen nicht als Synapsenwachstum bezeichnet werden. Ein Growth-Score ist eine explizite Heuristik:</w:t>
      </w:r>
    </w:p>
    <w:p>
      <w:pPr>
        <w:pStyle w:val="BodyText"/>
        <w:rPr/>
      </w:pPr>
      <w:r>
        <w:rPr>
          <w:b/>
          <w:bCs/>
        </w:rPr>
        <w:t>[HEUR]</w:t>
      </w:r>
    </w:p>
    <w:p>
      <w:pPr>
        <w:pStyle w:val="BodyText"/>
        <w:jc w:val="center"/>
        <w:rPr/>
      </w:pPr>
      <w:r>
        <w:rPr/>
      </w:r>
      <m:oMathPara xmlns:m="http://schemas.openxmlformats.org/officeDocument/2006/math">
        <m:oMathParaPr>
          <m:jc m:val="center"/>
        </m:oMathParaPr>
        <m:oMath>
          <m:sSub>
            <m:e>
              <m:r>
                <m:t xml:space="preserve">G</m:t>
              </m:r>
            </m:e>
            <m:sub>
              <m:r>
                <m:t xml:space="preserve">r</m:t>
              </m:r>
            </m:sub>
          </m:sSub>
          <m:r>
            <m:t xml:space="preserve">=</m:t>
          </m:r>
          <m:r>
            <m:t xml:space="preserve">α</m:t>
          </m:r>
          <m:sSub>
            <m:e>
              <m:r>
                <m:t xml:space="preserve">O</m:t>
              </m:r>
            </m:e>
            <m:sub>
              <m:r>
                <m:t xml:space="preserve">r</m:t>
              </m:r>
            </m:sub>
          </m:sSub>
          <m:r>
            <m:t xml:space="preserve">+</m:t>
          </m:r>
          <m:r>
            <m:t xml:space="preserve">β</m:t>
          </m:r>
          <m:sSub>
            <m:e>
              <m:r>
                <m:t xml:space="preserve">E</m:t>
              </m:r>
            </m:e>
            <m:sub>
              <m:r>
                <m:t xml:space="preserve">r</m:t>
              </m:r>
            </m:sub>
          </m:sSub>
          <m:r>
            <m:t xml:space="preserve">+</m:t>
          </m:r>
          <m:r>
            <m:t xml:space="preserve">γ</m:t>
          </m:r>
          <m:sSub>
            <m:e>
              <m:r>
                <m:t xml:space="preserve">D</m:t>
              </m:r>
            </m:e>
            <m:sub>
              <m:r>
                <m:t xml:space="preserve">r</m:t>
              </m:r>
            </m:sub>
          </m:sSub>
          <m:r>
            <m:t xml:space="preserve">+</m:t>
          </m:r>
          <m:r>
            <m:t xml:space="preserve">ζ</m:t>
          </m:r>
          <m:sSub>
            <m:e>
              <m:r>
                <m:t xml:space="preserve">U</m:t>
              </m:r>
            </m:e>
            <m:sub>
              <m:r>
                <m:t xml:space="preserve">r</m:t>
              </m:r>
            </m:sub>
          </m:sSub>
          <m:r>
            <m:t xml:space="preserve">−</m:t>
          </m:r>
          <m:r>
            <m:t xml:space="preserve">δ</m:t>
          </m:r>
          <m:sSub>
            <m:e>
              <m:r>
                <m:t xml:space="preserve">C</m:t>
              </m:r>
            </m:e>
            <m:sub>
              <m:r>
                <m:t xml:space="preserve">r</m:t>
              </m:r>
            </m:sub>
          </m:sSub>
          <m:r>
            <m:t xml:space="preserve">,</m:t>
          </m:r>
        </m:oMath>
      </m:oMathPara>
    </w:p>
    <w:p>
      <w:pPr>
        <w:pStyle w:val="FirstParagraph"/>
        <w:rPr/>
      </w:pPr>
      <w:r>
        <w:rPr/>
        <w:t xml:space="preserve">mit regionaler Überlastung </w:t>
      </w:r>
      <w:r>
        <w:rPr/>
      </w:r>
      <m:oMath xmlns:m="http://schemas.openxmlformats.org/officeDocument/2006/math">
        <m:sSub>
          <m:e>
            <m:r>
              <m:t xml:space="preserve">O</m:t>
            </m:r>
          </m:e>
          <m:sub>
            <m:r>
              <m:t xml:space="preserve">r</m:t>
            </m:r>
          </m:sub>
        </m:sSub>
      </m:oMath>
      <w:r>
        <w:rPr/>
        <w:t xml:space="preserve">, wiederkehrendem Fehler </w:t>
      </w:r>
      <w:r>
        <w:rPr/>
      </w:r>
      <m:oMath xmlns:m="http://schemas.openxmlformats.org/officeDocument/2006/math">
        <m:sSub>
          <m:e>
            <m:r>
              <m:t xml:space="preserve">E</m:t>
            </m:r>
          </m:e>
          <m:sub>
            <m:r>
              <m:t xml:space="preserve">r</m:t>
            </m:r>
          </m:sub>
        </m:sSub>
      </m:oMath>
      <w:r>
        <w:rPr/>
        <w:t xml:space="preserve">, Diversitätsbedarf </w:t>
      </w:r>
      <w:r>
        <w:rPr/>
      </w:r>
      <m:oMath xmlns:m="http://schemas.openxmlformats.org/officeDocument/2006/math">
        <m:sSub>
          <m:e>
            <m:r>
              <m:t xml:space="preserve">D</m:t>
            </m:r>
          </m:e>
          <m:sub>
            <m:r>
              <m:t xml:space="preserve">r</m:t>
            </m:r>
          </m:sub>
        </m:sSub>
      </m:oMath>
      <w:r>
        <w:rPr/>
        <w:t xml:space="preserve">, unzureichender Kapazitätsnutzung </w:t>
      </w:r>
      <w:r>
        <w:rPr/>
      </w:r>
      <m:oMath xmlns:m="http://schemas.openxmlformats.org/officeDocument/2006/math">
        <m:sSub>
          <m:e>
            <m:r>
              <m:t xml:space="preserve">U</m:t>
            </m:r>
          </m:e>
          <m:sub>
            <m:r>
              <m:t xml:space="preserve">r</m:t>
            </m:r>
          </m:sub>
        </m:sSub>
      </m:oMath>
      <w:r>
        <w:rPr/>
        <w:t xml:space="preserve"> und Kosten </w:t>
      </w:r>
      <w:r>
        <w:rPr/>
      </w:r>
      <m:oMath xmlns:m="http://schemas.openxmlformats.org/officeDocument/2006/math">
        <m:sSub>
          <m:e>
            <m:r>
              <m:t xml:space="preserve">C</m:t>
            </m:r>
          </m:e>
          <m:sub>
            <m:r>
              <m:t xml:space="preserve">r</m:t>
            </m:r>
          </m:sub>
        </m:sSub>
      </m:oMath>
      <w:r>
        <w:rPr/>
        <w:t xml:space="preserve">. Wachstum erfolgt nur bei </w:t>
      </w:r>
      <w:r>
        <w:rPr/>
      </w:r>
      <m:oMath xmlns:m="http://schemas.openxmlformats.org/officeDocument/2006/math">
        <m:sSub>
          <m:e>
            <m:r>
              <m:t xml:space="preserve">G</m:t>
            </m:r>
          </m:e>
          <m:sub>
            <m:r>
              <m:t xml:space="preserve">r</m:t>
            </m:r>
          </m:sub>
        </m:sSub>
        <m:r>
          <m:t xml:space="preserve">&gt;</m:t>
        </m:r>
        <m:sSub>
          <m:e>
            <m:r>
              <m:t xml:space="preserve">G</m:t>
            </m:r>
          </m:e>
          <m:sub>
            <m:r>
              <m:t xml:space="preserve">t</m:t>
            </m:r>
            <m:r>
              <m:t xml:space="preserve">h</m:t>
            </m:r>
            <m:r>
              <m:t xml:space="preserve">r</m:t>
            </m:r>
            <m:r>
              <m:t xml:space="preserve">e</m:t>
            </m:r>
            <m:r>
              <m:t xml:space="preserve">s</m:t>
            </m:r>
            <m:r>
              <m:t xml:space="preserve">h</m:t>
            </m:r>
            <m:r>
              <m:t xml:space="preserve">o</m:t>
            </m:r>
            <m:r>
              <m:t xml:space="preserve">l</m:t>
            </m:r>
            <m:r>
              <m:t xml:space="preserve">d</m:t>
            </m:r>
          </m:sub>
        </m:sSub>
      </m:oMath>
      <w:r>
        <w:rPr/>
        <w:t>, vorhandener Adresskapazität und globalem Budget. Die Heuristik muss gegen einfachere Alternativen wie mehr Anfangsneuronen oder erhöhte Synapsendichte getestet werden.</w:t>
      </w:r>
      <w:bookmarkEnd w:id="153"/>
    </w:p>
    <w:p>
      <w:pPr>
        <w:pStyle w:val="Heading3"/>
        <w:keepNext w:val="true"/>
        <w:widowControl/>
        <w:rPr/>
      </w:pPr>
      <w:bookmarkStart w:id="154" w:name="entwicklungs--und-altersattribute"/>
      <w:r>
        <w:rPr/>
        <w:t>14.5 Entwicklungs- und Altersattribute</w:t>
      </w:r>
    </w:p>
    <w:p>
      <w:pPr>
        <w:pStyle w:val="FirstParagraph"/>
        <w:rPr/>
      </w:pPr>
      <w:bookmarkStart w:id="155" w:name="entwicklungs--und-altersattribute"/>
      <w:r>
        <w:rPr/>
        <w:t>Knoten und Kanten erhalten Erzeugungszeitpunkt, Alter, letzte Nutzung, kumulative Aktivität und gegebenenfalls Entwicklungsphase. Diese Attribute ermöglichen Fragen wie: Werden neue Neuronen funktional integriert? Steigt ihre Survival Rate selektiv? Verändert sich Turnover mit Aufgabenwechseln? Eine bloße Erhöhung der Neuronenzahl ist kein Nachweis nützlicher Neurogenese.</w:t>
      </w:r>
      <w:bookmarkEnd w:id="155"/>
    </w:p>
    <w:p>
      <w:pPr>
        <w:pStyle w:val="Heading3"/>
        <w:keepNext w:val="true"/>
        <w:widowControl/>
        <w:rPr/>
      </w:pPr>
      <w:bookmarkStart w:id="156" w:name="ressourcenmodell"/>
      <w:r>
        <w:rPr/>
        <w:t>14.6 Ressourcenmodell</w:t>
      </w:r>
    </w:p>
    <w:p>
      <w:pPr>
        <w:pStyle w:val="FirstParagraph"/>
        <w:rPr/>
      </w:pPr>
      <w:r>
        <w:rPr>
          <w:b/>
          <w:bCs/>
        </w:rPr>
        <w:t>[MODEL]</w:t>
      </w:r>
      <w:r>
        <w:rPr/>
        <w:t xml:space="preserve"> Eine abstrakte Kostenfunktion lautet</w:t>
      </w:r>
    </w:p>
    <w:p>
      <w:pPr>
        <w:pStyle w:val="BodyText"/>
        <w:jc w:val="center"/>
        <w:rPr/>
      </w:pPr>
      <w:r>
        <w:rPr/>
      </w:r>
      <m:oMathPara xmlns:m="http://schemas.openxmlformats.org/officeDocument/2006/math">
        <m:oMathParaPr>
          <m:jc m:val="center"/>
        </m:oMathParaPr>
        <m:oMath>
          <m:sSub>
            <m:e>
              <m:r>
                <m:t xml:space="preserve">C</m:t>
              </m:r>
            </m:e>
            <m:sub>
              <m:r>
                <m:t xml:space="preserve">t</m:t>
              </m:r>
            </m:sub>
          </m:sSub>
          <m:r>
            <m:t xml:space="preserve">=</m:t>
          </m:r>
          <m:sSub>
            <m:e>
              <m:r>
                <m:t xml:space="preserve">c</m:t>
              </m:r>
            </m:e>
            <m:sub>
              <m:r>
                <m:t xml:space="preserve">N</m:t>
              </m:r>
            </m:sub>
          </m:sSub>
          <m:d>
            <m:dPr>
              <m:begChr m:val="|"/>
              <m:endChr m:val=")"/>
            </m:dPr>
            <m:e>
              <m:sSub>
                <m:e>
                  <m:r>
                    <m:t xml:space="preserve">V</m:t>
                  </m:r>
                </m:e>
                <m:sub>
                  <m:r>
                    <m:t xml:space="preserve">t</m:t>
                  </m:r>
                </m:sub>
              </m:sSub>
            </m:e>
          </m:d>
          <m:r>
            <m:t xml:space="preserve">+</m:t>
          </m:r>
          <m:sSub>
            <m:e>
              <m:r>
                <m:t xml:space="preserve">c</m:t>
              </m:r>
            </m:e>
            <m:sub>
              <m:r>
                <m:t xml:space="preserve">E</m:t>
              </m:r>
            </m:sub>
          </m:sSub>
          <m:d>
            <m:dPr>
              <m:begChr m:val="|"/>
              <m:endChr m:val=")"/>
            </m:dPr>
            <m:e>
              <m:sSub>
                <m:e>
                  <m:r>
                    <m:t xml:space="preserve">E</m:t>
                  </m:r>
                </m:e>
                <m:sub>
                  <m:r>
                    <m:t xml:space="preserve">t</m:t>
                  </m:r>
                </m:sub>
              </m:sSub>
            </m:e>
          </m:d>
          <m:r>
            <m:t xml:space="preserve">+</m:t>
          </m:r>
          <m:sSub>
            <m:e>
              <m:r>
                <m:t xml:space="preserve">c</m:t>
              </m:r>
            </m:e>
            <m:sub>
              <m:r>
                <m:t xml:space="preserve">P</m:t>
              </m:r>
            </m:sub>
          </m:sSub>
          <m:sSub>
            <m:e>
              <m:r>
                <m:t xml:space="preserve">N</m:t>
              </m:r>
            </m:e>
            <m:sub>
              <m:r>
                <m:t xml:space="preserve">s</m:t>
              </m:r>
              <m:r>
                <m:t xml:space="preserve">p</m:t>
              </m:r>
              <m:r>
                <m:t xml:space="preserve">i</m:t>
              </m:r>
              <m:r>
                <m:t xml:space="preserve">k</m:t>
              </m:r>
              <m:r>
                <m:t xml:space="preserve">e</m:t>
              </m:r>
            </m:sub>
          </m:sSub>
          <m:d>
            <m:dPr>
              <m:begChr m:val="("/>
              <m:endChr m:val=")"/>
            </m:dPr>
            <m:e>
              <m:r>
                <m:t xml:space="preserve">t</m:t>
              </m:r>
            </m:e>
          </m:d>
          <m:r>
            <m:t xml:space="preserve">+</m:t>
          </m:r>
          <m:sSub>
            <m:e>
              <m:r>
                <m:t xml:space="preserve">c</m:t>
              </m:r>
            </m:e>
            <m:sub>
              <m:r>
                <m:t xml:space="preserve">U</m:t>
              </m:r>
            </m:sub>
          </m:sSub>
          <m:sSub>
            <m:e>
              <m:r>
                <m:t xml:space="preserve">N</m:t>
              </m:r>
            </m:e>
            <m:sub>
              <m:r>
                <m:t xml:space="preserve">u</m:t>
              </m:r>
              <m:r>
                <m:t xml:space="preserve">p</m:t>
              </m:r>
              <m:r>
                <m:t xml:space="preserve">d</m:t>
              </m:r>
              <m:r>
                <m:t xml:space="preserve">a</m:t>
              </m:r>
              <m:r>
                <m:t xml:space="preserve">t</m:t>
              </m:r>
              <m:r>
                <m:t xml:space="preserve">e</m:t>
              </m:r>
            </m:sub>
          </m:sSub>
          <m:d>
            <m:dPr>
              <m:begChr m:val="("/>
              <m:endChr m:val=")"/>
            </m:dPr>
            <m:e>
              <m:r>
                <m:t xml:space="preserve">t</m:t>
              </m:r>
            </m:e>
          </m:d>
          <m:r>
            <m:t xml:space="preserve">+</m:t>
          </m:r>
          <m:sSub>
            <m:e>
              <m:r>
                <m:t xml:space="preserve">c</m:t>
              </m:r>
            </m:e>
            <m:sub>
              <m:r>
                <m:t xml:space="preserve">G</m:t>
              </m:r>
            </m:sub>
          </m:sSub>
          <m:sSub>
            <m:e>
              <m:r>
                <m:t xml:space="preserve">N</m:t>
              </m:r>
            </m:e>
            <m:sub>
              <m:r>
                <m:t xml:space="preserve">s</m:t>
              </m:r>
              <m:r>
                <m:t xml:space="preserve">t</m:t>
              </m:r>
              <m:r>
                <m:t xml:space="preserve">r</m:t>
              </m:r>
              <m:r>
                <m:t xml:space="preserve">u</m:t>
              </m:r>
              <m:r>
                <m:t xml:space="preserve">c</m:t>
              </m:r>
              <m:r>
                <m:t xml:space="preserve">t</m:t>
              </m:r>
            </m:sub>
          </m:sSub>
          <m:d>
            <m:dPr>
              <m:begChr m:val="("/>
              <m:endChr m:val=")"/>
            </m:dPr>
            <m:e>
              <m:r>
                <m:t xml:space="preserve">t</m:t>
              </m:r>
            </m:e>
          </m:d>
          <m:r>
            <m:t xml:space="preserve">+</m:t>
          </m:r>
          <m:sSub>
            <m:e>
              <m:r>
                <m:t xml:space="preserve">c</m:t>
              </m:r>
            </m:e>
            <m:sub>
              <m:r>
                <m:t xml:space="preserve">I</m:t>
              </m:r>
              <m:r>
                <m:t xml:space="preserve">O</m:t>
              </m:r>
            </m:sub>
          </m:sSub>
          <m:sSub>
            <m:e>
              <m:r>
                <m:t xml:space="preserve">B</m:t>
              </m:r>
            </m:e>
            <m:sub>
              <m:r>
                <m:t xml:space="preserve">I</m:t>
              </m:r>
              <m:r>
                <m:t xml:space="preserve">O</m:t>
              </m:r>
            </m:sub>
          </m:sSub>
          <m:d>
            <m:dPr>
              <m:begChr m:val="("/>
              <m:endChr m:val=")"/>
            </m:dPr>
            <m:e>
              <m:r>
                <m:t xml:space="preserve">t</m:t>
              </m:r>
            </m:e>
          </m:d>
          <m:r>
            <m:t xml:space="preserve">.</m:t>
          </m:r>
        </m:oMath>
      </m:oMathPara>
    </w:p>
    <w:p>
      <w:pPr>
        <w:pStyle w:val="FirstParagraph"/>
        <w:rPr/>
      </w:pPr>
      <w:r>
        <w:rPr/>
        <w:t>Das System arbeitet unter</w:t>
      </w:r>
    </w:p>
    <w:p>
      <w:pPr>
        <w:pStyle w:val="BodyText"/>
        <w:jc w:val="center"/>
        <w:rPr/>
      </w:pPr>
      <w:r>
        <w:rPr/>
      </w:r>
      <m:oMathPara xmlns:m="http://schemas.openxmlformats.org/officeDocument/2006/math">
        <m:oMathParaPr>
          <m:jc m:val="center"/>
        </m:oMathParaPr>
        <m:oMath>
          <m:sSub>
            <m:e>
              <m:r>
                <m:t xml:space="preserve">C</m:t>
              </m:r>
            </m:e>
            <m:sub>
              <m:r>
                <m:t xml:space="preserve">t</m:t>
              </m:r>
            </m:sub>
          </m:sSub>
          <m:r>
            <m:t xml:space="preserve">≤</m:t>
          </m:r>
          <m:sSub>
            <m:e>
              <m:r>
                <m:t xml:space="preserve">C</m:t>
              </m:r>
            </m:e>
            <m:sub>
              <m:r>
                <m:t xml:space="preserve">m</m:t>
              </m:r>
              <m:r>
                <m:t xml:space="preserve">a</m:t>
              </m:r>
              <m:r>
                <m:t xml:space="preserve">x</m:t>
              </m:r>
            </m:sub>
          </m:sSub>
          <m:r>
            <m:t xml:space="preserve">,</m:t>
          </m:r>
          <m:d>
            <m:dPr>
              <m:begChr m:val="|"/>
              <m:endChr m:val=")"/>
            </m:dPr>
            <m:e>
              <m:sSub>
                <m:e>
                  <m:r>
                    <m:t xml:space="preserve">V</m:t>
                  </m:r>
                </m:e>
                <m:sub>
                  <m:r>
                    <m:t xml:space="preserve">t</m:t>
                  </m:r>
                </m:sub>
              </m:sSub>
            </m:e>
          </m:d>
          <m:r>
            <m:t xml:space="preserve">≤</m:t>
          </m:r>
          <m:sSub>
            <m:e>
              <m:r>
                <m:t xml:space="preserve">N</m:t>
              </m:r>
            </m:e>
            <m:sub>
              <m:r>
                <m:t xml:space="preserve">m</m:t>
              </m:r>
              <m:r>
                <m:t xml:space="preserve">a</m:t>
              </m:r>
              <m:r>
                <m:t xml:space="preserve">x</m:t>
              </m:r>
            </m:sub>
          </m:sSub>
          <m:r>
            <m:t xml:space="preserve">,</m:t>
          </m:r>
          <m:d>
            <m:dPr>
              <m:begChr m:val="|"/>
              <m:endChr m:val=")"/>
            </m:dPr>
            <m:e>
              <m:sSub>
                <m:e>
                  <m:r>
                    <m:t xml:space="preserve">E</m:t>
                  </m:r>
                </m:e>
                <m:sub>
                  <m:r>
                    <m:t xml:space="preserve">t</m:t>
                  </m:r>
                </m:sub>
              </m:sSub>
            </m:e>
          </m:d>
          <m:r>
            <m:t xml:space="preserve">≤</m:t>
          </m:r>
          <m:sSub>
            <m:e>
              <m:r>
                <m:t xml:space="preserve">S</m:t>
              </m:r>
            </m:e>
            <m:sub>
              <m:r>
                <m:t xml:space="preserve">m</m:t>
              </m:r>
              <m:r>
                <m:t xml:space="preserve">a</m:t>
              </m:r>
              <m:r>
                <m:t xml:space="preserve">x</m:t>
              </m:r>
            </m:sub>
          </m:sSub>
          <m:r>
            <m:t xml:space="preserve">.</m:t>
          </m:r>
        </m:oMath>
      </m:oMathPara>
    </w:p>
    <w:p>
      <w:pPr>
        <w:pStyle w:val="FirstParagraph"/>
        <w:rPr/>
      </w:pPr>
      <w:bookmarkStart w:id="157" w:name="ressourcenmodell"/>
      <w:r>
        <w:rPr/>
        <w:t>Die Koeffizienten können reale Laufzeit, Energieproxy oder normierte Ressourcen repräsentieren. Sie sind zu kalibrieren und dürfen nicht ohne Messung als physikalische Energie interpretiert werden.</w:t>
      </w:r>
      <w:bookmarkEnd w:id="157"/>
    </w:p>
    <w:p>
      <w:pPr>
        <w:pStyle w:val="Heading3"/>
        <w:keepNext w:val="true"/>
        <w:widowControl/>
        <w:rPr/>
      </w:pPr>
      <w:bookmarkStart w:id="158" w:name="X6075e56608978e7e90bf163dd1f86a531f2642c"/>
      <w:r>
        <w:rPr/>
        <w:t>14.7 Stand der Forschung und Brain-5D-Hypothese</w:t>
      </w:r>
    </w:p>
    <w:p>
      <w:pPr>
        <w:pStyle w:val="FirstParagraph"/>
        <w:rPr/>
      </w:pPr>
      <w:r>
        <w:rPr/>
        <w:t>Erfahrungsabhängige strukturelle Plastizität und aktivitätsabhängiges Rewiring sind etablierte Forschungsfelder (</w:t>
      </w:r>
      <w:hyperlink w:anchor="ref-Butz2009">
        <w:r>
          <w:rPr>
            <w:rStyle w:val="Hyperlink"/>
          </w:rPr>
          <w:t>Butz et al., 2009</w:t>
        </w:r>
      </w:hyperlink>
      <w:r>
        <w:rPr/>
        <w:t xml:space="preserve">; </w:t>
      </w:r>
      <w:hyperlink w:anchor="ref-Holtmaat2009">
        <w:r>
          <w:rPr>
            <w:rStyle w:val="Hyperlink"/>
          </w:rPr>
          <w:t>Holtmaat &amp; Svoboda, 2009</w:t>
        </w:r>
      </w:hyperlink>
      <w:r>
        <w:rPr/>
        <w:t xml:space="preserve">; </w:t>
      </w:r>
      <w:hyperlink w:anchor="ref-Li2024rewiring">
        <w:r>
          <w:rPr>
            <w:rStyle w:val="Hyperlink"/>
          </w:rPr>
          <w:t>Li et al., 2024</w:t>
        </w:r>
      </w:hyperlink>
      <w:r>
        <w:rPr/>
        <w:t>). Neuere Modelle untersuchen die Bildung mehrerer Engramme mit strukturellen und homeostatischen Mechanismen (</w:t>
      </w:r>
      <w:hyperlink w:anchor="ref-Kaster2024">
        <w:r>
          <w:rPr>
            <w:rStyle w:val="Hyperlink"/>
          </w:rPr>
          <w:t>Kaster et al., 2024</w:t>
        </w:r>
      </w:hyperlink>
      <w:r>
        <w:rPr/>
        <w:t>). Brain-5D leitet daraus keine automatische Gedächtnisfunktion ab, sondern formuliert die prüfbare Hypothese, dass Turnover und Ressourcenregeln Continual Learning unter bestimmten Aufgabenverteilungen verbessern können.</w:t>
      </w:r>
      <w:bookmarkEnd w:id="149"/>
      <w:bookmarkEnd w:id="158"/>
    </w:p>
    <w:p>
      <w:pPr>
        <w:pStyle w:val="Heading2"/>
        <w:keepNext w:val="true"/>
        <w:widowControl/>
        <w:rPr/>
      </w:pPr>
      <w:bookmarkStart w:id="159" w:name="__RefHeading___Toc10131_954062153"/>
      <w:bookmarkStart w:id="160" w:name="X4ae6a4cd6e761af6aa5d9339e76f33a36bcc153"/>
      <w:bookmarkEnd w:id="159"/>
      <w:r>
        <w:rPr/>
        <w:t>15. Stabilität, Attraktoren, Metastabilität und Bifurkation</w:t>
      </w:r>
    </w:p>
    <w:p>
      <w:pPr>
        <w:pStyle w:val="Heading3"/>
        <w:keepNext w:val="true"/>
        <w:widowControl/>
        <w:rPr/>
      </w:pPr>
      <w:bookmarkStart w:id="161" w:name="X8a953d0f251d392c6c5e6a99730447edf996bea"/>
      <w:r>
        <w:rPr/>
        <w:t>15.1 Stabilität als mehrdimensionales Konstrukt</w:t>
      </w:r>
    </w:p>
    <w:p>
      <w:pPr>
        <w:pStyle w:val="FirstParagraph"/>
        <w:rPr/>
      </w:pPr>
      <w:r>
        <w:rPr/>
        <w:t>Stabilität bedeutet in Brain-5D nicht „keine Veränderung“. Ein lernfähiges System soll auf Inputs reagieren und langfristig adaptieren. Es sind mindestens folgende Stabilitätsdimensionen zu unterscheiden:</w:t>
      </w:r>
    </w:p>
    <w:p>
      <w:pPr>
        <w:pStyle w:val="Compact"/>
        <w:numPr>
          <w:ilvl w:val="0"/>
          <w:numId w:val="135"/>
        </w:numPr>
        <w:rPr/>
      </w:pPr>
      <w:r>
        <w:rPr>
          <w:b/>
          <w:bCs/>
        </w:rPr>
        <w:t>numerische Stabilität:</w:t>
      </w:r>
      <w:r>
        <w:rPr/>
        <w:t xml:space="preserve"> Integration und Datenstrukturen bleiben innerhalb technischer Grenzen;</w:t>
      </w:r>
    </w:p>
    <w:p>
      <w:pPr>
        <w:pStyle w:val="Compact"/>
        <w:numPr>
          <w:ilvl w:val="0"/>
          <w:numId w:val="136"/>
        </w:numPr>
        <w:rPr/>
      </w:pPr>
      <w:r>
        <w:rPr>
          <w:b/>
          <w:bCs/>
        </w:rPr>
        <w:t>dynamische Stabilität:</w:t>
      </w:r>
      <w:r>
        <w:rPr/>
        <w:t xml:space="preserve"> Zustände bleiben in einem zulässigen Bereich;</w:t>
      </w:r>
    </w:p>
    <w:p>
      <w:pPr>
        <w:pStyle w:val="Compact"/>
        <w:numPr>
          <w:ilvl w:val="0"/>
          <w:numId w:val="137"/>
        </w:numPr>
        <w:rPr/>
      </w:pPr>
      <w:r>
        <w:rPr>
          <w:b/>
          <w:bCs/>
        </w:rPr>
        <w:t>statistische Stationarität:</w:t>
      </w:r>
      <w:r>
        <w:rPr/>
        <w:t xml:space="preserve"> ausgewählte Verteilungen verändern sich nicht unkontrolliert;</w:t>
      </w:r>
    </w:p>
    <w:p>
      <w:pPr>
        <w:pStyle w:val="Compact"/>
        <w:numPr>
          <w:ilvl w:val="0"/>
          <w:numId w:val="138"/>
        </w:numPr>
        <w:rPr/>
      </w:pPr>
      <w:r>
        <w:rPr>
          <w:b/>
          <w:bCs/>
        </w:rPr>
        <w:t>funktionale Stabilität:</w:t>
      </w:r>
      <w:r>
        <w:rPr/>
        <w:t xml:space="preserve"> erworbene Leistung bleibt trotz Störungen erhalten;</w:t>
      </w:r>
    </w:p>
    <w:p>
      <w:pPr>
        <w:pStyle w:val="Compact"/>
        <w:numPr>
          <w:ilvl w:val="0"/>
          <w:numId w:val="139"/>
        </w:numPr>
        <w:rPr/>
      </w:pPr>
      <w:r>
        <w:rPr>
          <w:b/>
          <w:bCs/>
        </w:rPr>
        <w:t>strukturelle Stabilität:</w:t>
      </w:r>
      <w:r>
        <w:rPr/>
        <w:t xml:space="preserve"> Graphwachstum und Turnover bleiben budgetiert;</w:t>
      </w:r>
    </w:p>
    <w:p>
      <w:pPr>
        <w:pStyle w:val="Compact"/>
        <w:numPr>
          <w:ilvl w:val="0"/>
          <w:numId w:val="140"/>
        </w:numPr>
        <w:rPr/>
      </w:pPr>
      <w:r>
        <w:rPr>
          <w:b/>
          <w:bCs/>
        </w:rPr>
        <w:t>adaptive Stabilität:</w:t>
      </w:r>
      <w:r>
        <w:rPr/>
        <w:t xml:space="preserve"> das System kann auf neue Anforderungen reagieren, ohne frühere Funktion vollständig zu verlieren.</w:t>
      </w:r>
      <w:bookmarkEnd w:id="161"/>
    </w:p>
    <w:p>
      <w:pPr>
        <w:pStyle w:val="Heading3"/>
        <w:keepNext w:val="true"/>
        <w:widowControl/>
        <w:rPr/>
      </w:pPr>
      <w:bookmarkStart w:id="162" w:name="lokale-lineare-analyse"/>
      <w:r>
        <w:rPr/>
        <w:t>15.2 Lokale lineare Analyse</w:t>
      </w:r>
    </w:p>
    <w:p>
      <w:pPr>
        <w:pStyle w:val="FirstParagraph"/>
        <w:rPr/>
      </w:pPr>
      <w:r>
        <w:rPr/>
        <w:t xml:space="preserve">Für eine glatte diskrete Abbildung </w:t>
      </w:r>
      <w:r>
        <w:rPr/>
      </w:r>
      <m:oMath xmlns:m="http://schemas.openxmlformats.org/officeDocument/2006/math">
        <m:sSub>
          <m:e>
            <m:r>
              <m:t xml:space="preserve">x</m:t>
            </m:r>
          </m:e>
          <m:sub>
            <m:r>
              <m:t xml:space="preserve">t</m:t>
            </m:r>
            <m:r>
              <m:t xml:space="preserve">+</m:t>
            </m:r>
            <m:r>
              <m:t xml:space="preserve">1</m:t>
            </m:r>
          </m:sub>
        </m:sSub>
        <m:r>
          <m:t xml:space="preserve">=</m:t>
        </m:r>
        <m:r>
          <m:t xml:space="preserve">F</m:t>
        </m:r>
        <m:d>
          <m:dPr>
            <m:begChr m:val="("/>
            <m:endChr m:val=")"/>
          </m:dPr>
          <m:e>
            <m:sSub>
              <m:e>
                <m:r>
                  <m:t xml:space="preserve">x</m:t>
                </m:r>
              </m:e>
              <m:sub>
                <m:r>
                  <m:t xml:space="preserve">t</m:t>
                </m:r>
              </m:sub>
            </m:sSub>
          </m:e>
        </m:d>
      </m:oMath>
      <w:r>
        <w:rPr/>
        <w:t xml:space="preserve"> und einen Fixpunkt </w:t>
      </w:r>
      <w:r>
        <w:rPr/>
      </w:r>
      <m:oMath xmlns:m="http://schemas.openxmlformats.org/officeDocument/2006/math">
        <m:sSup>
          <m:e>
            <m:r>
              <m:t xml:space="preserve">x</m:t>
            </m:r>
          </m:e>
          <m:sup/>
        </m:sSup>
      </m:oMath>
      <w:r>
        <w:rPr/>
        <w:t xml:space="preserve"> mit </w:t>
      </w:r>
      <w:r>
        <w:rPr/>
      </w:r>
      <m:oMath xmlns:m="http://schemas.openxmlformats.org/officeDocument/2006/math">
        <m:r>
          <m:t xml:space="preserve">F</m:t>
        </m:r>
        <m:d>
          <m:dPr>
            <m:begChr m:val="("/>
            <m:endChr m:val=")"/>
          </m:dPr>
          <m:e>
            <m:sSup>
              <m:e>
                <m:r>
                  <m:t xml:space="preserve">x</m:t>
                </m:r>
              </m:e>
              <m:sup/>
            </m:sSup>
          </m:e>
        </m:d>
        <m:r>
          <m:t xml:space="preserve">=</m:t>
        </m:r>
        <m:sSup>
          <m:e>
            <m:r>
              <m:t xml:space="preserve">x</m:t>
            </m:r>
          </m:e>
          <m:sup/>
        </m:sSup>
      </m:oMath>
      <w:r>
        <w:rPr/>
        <w:t xml:space="preserve"> ist lokale asymptotische Stabilität gegeben, wenn</w:t>
      </w:r>
    </w:p>
    <w:p>
      <w:pPr>
        <w:pStyle w:val="BodyText"/>
        <w:rPr/>
      </w:pPr>
      <w:r>
        <w:rPr>
          <w:b/>
          <w:bCs/>
        </w:rPr>
        <w:t>[MODEL/THEOREM-CONDITION]</w:t>
      </w:r>
    </w:p>
    <w:p>
      <w:pPr>
        <w:pStyle w:val="BodyText"/>
        <w:jc w:val="center"/>
        <w:rPr/>
      </w:pPr>
      <w:r>
        <w:rPr/>
      </w:r>
      <m:oMathPara xmlns:m="http://schemas.openxmlformats.org/officeDocument/2006/math">
        <m:oMathParaPr>
          <m:jc m:val="center"/>
        </m:oMathParaPr>
        <m:oMath>
          <m:r>
            <m:t xml:space="preserve">ρ</m:t>
          </m:r>
          <m:d>
            <m:dPr>
              <m:begChr m:val="("/>
              <m:endChr m:val=")"/>
            </m:dPr>
            <m:e>
              <m:sSub>
                <m:e>
                  <m:r>
                    <m:t xml:space="preserve">J</m:t>
                  </m:r>
                </m:e>
                <m:sub>
                  <m:r>
                    <m:t xml:space="preserve">F</m:t>
                  </m:r>
                </m:sub>
              </m:sSub>
              <m:d>
                <m:dPr>
                  <m:begChr m:val="("/>
                  <m:endChr m:val=")"/>
                </m:dPr>
                <m:e>
                  <m:sSup>
                    <m:e>
                      <m:r>
                        <m:t xml:space="preserve">x</m:t>
                      </m:r>
                    </m:e>
                    <m:sup/>
                  </m:sSup>
                </m:e>
              </m:d>
            </m:e>
          </m:d>
          <m:r>
            <m:t xml:space="preserve">&lt;</m:t>
          </m:r>
          <m:r>
            <m:t xml:space="preserve">1</m:t>
          </m:r>
          <m:r>
            <m:t xml:space="preserve">,</m:t>
          </m:r>
        </m:oMath>
      </m:oMathPara>
    </w:p>
    <w:p>
      <w:pPr>
        <w:pStyle w:val="FirstParagraph"/>
        <w:rPr/>
      </w:pPr>
      <w:r>
        <w:rPr/>
        <w:t xml:space="preserve">wobei </w:t>
      </w:r>
      <w:r>
        <w:rPr/>
      </w:r>
      <m:oMath xmlns:m="http://schemas.openxmlformats.org/officeDocument/2006/math">
        <m:r>
          <m:t xml:space="preserve">ρ</m:t>
        </m:r>
      </m:oMath>
      <w:r>
        <w:rPr/>
        <w:t xml:space="preserve"> der Spektralradius ist. Für kontinuierliche Systeme verlangt die lineare Näherung negative Realteile der Eigenwerte. Spikes, Resets, diskrete Strukturänderungen und stochastische Inputs verletzen jedoch häufig die Voraussetzungen einer einfachen glatten Analyse. Die Bedingung ist daher nur lokal und komponentenbezogen nutzbar (</w:t>
      </w:r>
      <w:hyperlink w:anchor="ref-Kuznetsov2004">
        <w:r>
          <w:rPr>
            <w:rStyle w:val="Hyperlink"/>
          </w:rPr>
          <w:t>Kuznetsov, 2004</w:t>
        </w:r>
      </w:hyperlink>
      <w:r>
        <w:rPr/>
        <w:t xml:space="preserve">; </w:t>
      </w:r>
      <w:hyperlink w:anchor="ref-Strogatz2015">
        <w:r>
          <w:rPr>
            <w:rStyle w:val="Hyperlink"/>
          </w:rPr>
          <w:t>Strogatz, 2015</w:t>
        </w:r>
      </w:hyperlink>
      <w:r>
        <w:rPr/>
        <w:t>).</w:t>
      </w:r>
      <w:bookmarkEnd w:id="162"/>
    </w:p>
    <w:p>
      <w:pPr>
        <w:pStyle w:val="Heading3"/>
        <w:keepNext w:val="true"/>
        <w:widowControl/>
        <w:rPr/>
      </w:pPr>
      <w:bookmarkStart w:id="163" w:name="empirische-perturbationsanalyse"/>
      <w:r>
        <w:rPr/>
        <w:t>15.3 Empirische Perturbationsanalyse</w:t>
      </w:r>
    </w:p>
    <w:p>
      <w:pPr>
        <w:pStyle w:val="FirstParagraph"/>
        <w:rPr/>
      </w:pPr>
      <w:r>
        <w:rPr/>
        <w:t>Für das Gesamtsystem wird eine perturbationsbasierte Stabilitätsmetrik vorgeschlagen:</w:t>
      </w:r>
    </w:p>
    <w:p>
      <w:pPr>
        <w:pStyle w:val="BodyText"/>
        <w:rPr/>
      </w:pPr>
      <w:r>
        <w:rPr>
          <w:b/>
          <w:bCs/>
        </w:rPr>
        <w:t>[EMP]</w:t>
      </w:r>
    </w:p>
    <w:p>
      <w:pPr>
        <w:pStyle w:val="BodyText"/>
        <w:jc w:val="center"/>
        <w:rPr/>
      </w:pPr>
      <w:r>
        <w:rPr/>
      </w:r>
      <m:oMathPara xmlns:m="http://schemas.openxmlformats.org/officeDocument/2006/math">
        <m:oMathParaPr>
          <m:jc m:val="center"/>
        </m:oMathParaPr>
        <m:oMath>
          <m:r>
            <m:t xml:space="preserve">D</m:t>
          </m:r>
          <m:d>
            <m:dPr>
              <m:begChr m:val="("/>
              <m:endChr m:val=")"/>
            </m:dPr>
            <m:e>
              <m:r>
                <m:t xml:space="preserve">τ</m:t>
              </m:r>
            </m:e>
          </m:d>
          <m:r>
            <m:t xml:space="preserve">=</m:t>
          </m:r>
          <m:r>
            <m:t xml:space="preserve">E</m:t>
          </m:r>
          <m:d>
            <m:dPr>
              <m:begChr m:val="["/>
              <m:endChr m:val=")"/>
            </m:dPr>
            <m:e>
              <m:r>
                <m:t xml:space="preserve">∥</m:t>
              </m:r>
              <m:sSub>
                <m:e>
                  <m:r>
                    <m:t xml:space="preserve">Φ</m:t>
                  </m:r>
                </m:e>
                <m:sub>
                  <m:r>
                    <m:t xml:space="preserve">τ</m:t>
                  </m:r>
                </m:sub>
              </m:sSub>
              <m:d>
                <m:dPr>
                  <m:begChr m:val="("/>
                  <m:endChr m:val=")"/>
                </m:dPr>
                <m:e>
                  <m:sSub>
                    <m:e>
                      <m:r>
                        <m:t xml:space="preserve">X</m:t>
                      </m:r>
                    </m:e>
                    <m:sub>
                      <m:r>
                        <m:t xml:space="preserve">t</m:t>
                      </m:r>
                    </m:sub>
                  </m:sSub>
                  <m:r>
                    <m:t xml:space="preserve">+</m:t>
                  </m:r>
                  <m:r>
                    <m:t xml:space="preserve">δ</m:t>
                  </m:r>
                </m:e>
              </m:d>
              <m:r>
                <m:t xml:space="preserve">−</m:t>
              </m:r>
              <m:sSub>
                <m:e>
                  <m:r>
                    <m:t xml:space="preserve">Φ</m:t>
                  </m:r>
                </m:e>
                <m:sub>
                  <m:r>
                    <m:t xml:space="preserve">τ</m:t>
                  </m:r>
                </m:sub>
              </m:sSub>
              <m:d>
                <m:dPr>
                  <m:begChr m:val="("/>
                  <m:endChr m:val=")"/>
                </m:dPr>
                <m:e>
                  <m:sSub>
                    <m:e>
                      <m:r>
                        <m:t xml:space="preserve">X</m:t>
                      </m:r>
                    </m:e>
                    <m:sub>
                      <m:r>
                        <m:t xml:space="preserve">t</m:t>
                      </m:r>
                    </m:sub>
                  </m:sSub>
                </m:e>
              </m:d>
              <m:r>
                <m:t xml:space="preserve">∥</m:t>
              </m:r>
            </m:e>
          </m:d>
          <m:r>
            <m:t xml:space="preserve">,</m:t>
          </m:r>
        </m:oMath>
      </m:oMathPara>
    </w:p>
    <w:p>
      <w:pPr>
        <w:pStyle w:val="FirstParagraph"/>
        <w:rPr/>
      </w:pPr>
      <w:r>
        <w:rPr/>
        <w:t xml:space="preserve">wobei </w:t>
      </w:r>
      <w:r>
        <w:rPr/>
      </w:r>
      <m:oMath xmlns:m="http://schemas.openxmlformats.org/officeDocument/2006/math">
        <m:sSub>
          <m:e>
            <m:r>
              <m:t xml:space="preserve">Φ</m:t>
            </m:r>
          </m:e>
          <m:sub>
            <m:r>
              <m:t xml:space="preserve">τ</m:t>
            </m:r>
          </m:sub>
        </m:sSub>
      </m:oMath>
      <w:r>
        <w:rPr/>
        <w:t xml:space="preserve"> die Entwicklung über </w:t>
      </w:r>
      <w:r>
        <w:rPr/>
      </w:r>
      <m:oMath xmlns:m="http://schemas.openxmlformats.org/officeDocument/2006/math">
        <m:r>
          <m:t xml:space="preserve">τ</m:t>
        </m:r>
      </m:oMath>
      <w:r>
        <w:rPr/>
        <w:t xml:space="preserve"> Schritte bezeichnet. Je nach Fragestellung wird </w:t>
      </w:r>
      <w:r>
        <w:rPr/>
      </w:r>
      <m:oMath xmlns:m="http://schemas.openxmlformats.org/officeDocument/2006/math">
        <m:r>
          <m:t xml:space="preserve">D</m:t>
        </m:r>
      </m:oMath>
      <w:r>
        <w:rPr/>
        <w:t xml:space="preserve"> auf Zustände, Aktivitätsverteilungen, Graphstruktur oder Verhalten angewandt. Wächst </w:t>
      </w:r>
      <w:r>
        <w:rPr/>
      </w:r>
      <m:oMath xmlns:m="http://schemas.openxmlformats.org/officeDocument/2006/math">
        <m:r>
          <m:t xml:space="preserve">D</m:t>
        </m:r>
      </m:oMath>
      <w:r>
        <w:rPr/>
        <w:t xml:space="preserve"> exponentiell, kann dies auf sensitive Dynamik hinweisen; eine begrenzte Divergenz kann zugleich für reichhaltige Berechnung nützlich sein.</w:t>
      </w:r>
      <w:bookmarkEnd w:id="163"/>
    </w:p>
    <w:p>
      <w:pPr>
        <w:pStyle w:val="Heading3"/>
        <w:keepNext w:val="true"/>
        <w:widowControl/>
        <w:rPr/>
      </w:pPr>
      <w:bookmarkStart w:id="164" w:name="attraktoren-und-transiente-berechnung"/>
      <w:r>
        <w:rPr/>
        <w:t>15.4 Attraktoren und transiente Berechnung</w:t>
      </w:r>
    </w:p>
    <w:p>
      <w:pPr>
        <w:pStyle w:val="FirstParagraph"/>
        <w:rPr/>
      </w:pPr>
      <w:r>
        <w:rPr/>
        <w:t>Klassische assoziative Speicher verwenden Attraktoren (</w:t>
      </w:r>
      <w:hyperlink w:anchor="ref-Hopfield1982">
        <w:r>
          <w:rPr>
            <w:rStyle w:val="Hyperlink"/>
          </w:rPr>
          <w:t>Hopfield, 1982</w:t>
        </w:r>
      </w:hyperlink>
      <w:r>
        <w:rPr/>
        <w:t>). Reservoir- und Liquid-State-Ansätze nutzen dagegen reichhaltige transiente Zustände ohne notwendige Konvergenz auf einen Fixpunkt (</w:t>
      </w:r>
      <w:hyperlink w:anchor="ref-Lukosevicius2009">
        <w:r>
          <w:rPr>
            <w:rStyle w:val="Hyperlink"/>
          </w:rPr>
          <w:t>Lukoševičius &amp; Jaeger, 2009</w:t>
        </w:r>
      </w:hyperlink>
      <w:r>
        <w:rPr/>
        <w:t xml:space="preserve">; </w:t>
      </w:r>
      <w:hyperlink w:anchor="ref-Maass2002LSM">
        <w:r>
          <w:rPr>
            <w:rStyle w:val="Hyperlink"/>
          </w:rPr>
          <w:t>Maass et al., 2002</w:t>
        </w:r>
      </w:hyperlink>
      <w:r>
        <w:rPr/>
        <w:t>). Brain-5D setzt daher nicht voraus, dass Gedächtnis stets ein statischer Attraktor ist. Kandidaten sind:</w:t>
      </w:r>
    </w:p>
    <w:p>
      <w:pPr>
        <w:pStyle w:val="Compact"/>
        <w:numPr>
          <w:ilvl w:val="0"/>
          <w:numId w:val="141"/>
        </w:numPr>
        <w:rPr/>
      </w:pPr>
      <w:r>
        <w:rPr/>
        <w:t>Fixpunkt- oder Grenzzyklusattraktoren;</w:t>
      </w:r>
    </w:p>
    <w:p>
      <w:pPr>
        <w:pStyle w:val="Compact"/>
        <w:numPr>
          <w:ilvl w:val="0"/>
          <w:numId w:val="142"/>
        </w:numPr>
        <w:rPr/>
      </w:pPr>
      <w:r>
        <w:rPr/>
        <w:t>metastabile Zustände mit endlicher Verweilzeit;</w:t>
      </w:r>
    </w:p>
    <w:p>
      <w:pPr>
        <w:pStyle w:val="Compact"/>
        <w:numPr>
          <w:ilvl w:val="0"/>
          <w:numId w:val="143"/>
        </w:numPr>
        <w:rPr/>
      </w:pPr>
      <w:r>
        <w:rPr/>
        <w:t>wiederkehrende Trajektorien;</w:t>
      </w:r>
    </w:p>
    <w:p>
      <w:pPr>
        <w:pStyle w:val="Compact"/>
        <w:numPr>
          <w:ilvl w:val="0"/>
          <w:numId w:val="144"/>
        </w:numPr>
        <w:rPr/>
      </w:pPr>
      <w:r>
        <w:rPr/>
        <w:t>verteilte synaptische Konsolidierung;</w:t>
      </w:r>
    </w:p>
    <w:p>
      <w:pPr>
        <w:pStyle w:val="Compact"/>
        <w:numPr>
          <w:ilvl w:val="0"/>
          <w:numId w:val="145"/>
        </w:numPr>
        <w:rPr/>
      </w:pPr>
      <w:bookmarkStart w:id="165" w:name="attraktoren-und-transiente-berechnung"/>
      <w:r>
        <w:rPr/>
        <w:t>cue-induzierte Rekonstruktion ohne dauerhafte Aktivität.</w:t>
      </w:r>
      <w:bookmarkEnd w:id="165"/>
    </w:p>
    <w:p>
      <w:pPr>
        <w:pStyle w:val="Heading3"/>
        <w:keepNext w:val="true"/>
        <w:widowControl/>
        <w:rPr/>
      </w:pPr>
      <w:bookmarkStart w:id="166" w:name="bifurkations--und-phasenkarten"/>
      <w:r>
        <w:rPr/>
        <w:t>15.5 Bifurkations- und Phasenkarten</w:t>
      </w:r>
    </w:p>
    <w:p>
      <w:pPr>
        <w:pStyle w:val="FirstParagraph"/>
        <w:rPr/>
      </w:pPr>
      <w:r>
        <w:rPr/>
        <w:t xml:space="preserve">Ein Parametervektor </w:t>
      </w:r>
      <w:r>
        <w:rPr/>
      </w:r>
      <m:oMath xmlns:m="http://schemas.openxmlformats.org/officeDocument/2006/math">
        <m:r>
          <m:t xml:space="preserve">ϑ</m:t>
        </m:r>
      </m:oMath>
      <w:r>
        <w:rPr/>
        <w:t xml:space="preserve"> kann Lernrate, E/I-Verhältnis, Homöostasezeit, Delay, Rauschstärke, Konnektivität und Ressourcenbudgets umfassen. Brain-5D soll empirische Phasenkarten erstellen:</w:t>
      </w:r>
    </w:p>
    <w:p>
      <w:pPr>
        <w:pStyle w:val="BodyText"/>
        <w:jc w:val="center"/>
        <w:rPr/>
      </w:pPr>
      <w:r>
        <w:rPr/>
      </w:r>
      <m:oMathPara xmlns:m="http://schemas.openxmlformats.org/officeDocument/2006/math">
        <m:oMathParaPr>
          <m:jc m:val="center"/>
        </m:oMathParaPr>
        <m:oMath>
          <m:r>
            <m:t xml:space="preserve">Π</m:t>
          </m:r>
          <m:d>
            <m:dPr>
              <m:begChr m:val="("/>
              <m:endChr m:val=")"/>
            </m:dPr>
            <m:e>
              <m:r>
                <m:t xml:space="preserve">ϑ</m:t>
              </m:r>
            </m:e>
          </m:d>
          <m:r>
            <m:t xml:space="preserve">∈</m:t>
          </m:r>
          <m:r>
            <m:t xml:space="preserve">{</m:t>
          </m:r>
          <m:r>
            <m:rPr>
              <m:lit/>
              <m:nor/>
            </m:rPr>
            <m:t xml:space="preserve">silent</m:t>
          </m:r>
          <m:r>
            <m:t xml:space="preserve">,</m:t>
          </m:r>
          <m:r>
            <m:rPr>
              <m:lit/>
              <m:nor/>
            </m:rPr>
            <m:t xml:space="preserve">irregular</m:t>
          </m:r>
          <m:r>
            <m:t xml:space="preserve">,</m:t>
          </m:r>
          <m:r>
            <m:rPr>
              <m:lit/>
              <m:nor/>
            </m:rPr>
            <m:t xml:space="preserve">metastable</m:t>
          </m:r>
          <m:r>
            <m:t xml:space="preserve">,</m:t>
          </m:r>
          <m:r>
            <m:rPr>
              <m:lit/>
              <m:nor/>
            </m:rPr>
            <m:t xml:space="preserve">synchronous</m:t>
          </m:r>
          <m:r>
            <m:t xml:space="preserve">,</m:t>
          </m:r>
          <m:r>
            <m:rPr>
              <m:lit/>
              <m:nor/>
            </m:rPr>
            <m:t xml:space="preserve">runaway</m:t>
          </m:r>
          <m:r>
            <m:t xml:space="preserve">,</m:t>
          </m:r>
          <m:r>
            <m:rPr>
              <m:lit/>
              <m:nor/>
            </m:rPr>
            <m:t xml:space="preserve">resource-collapse</m:t>
          </m:r>
          <m:r>
            <m:t xml:space="preserve">}</m:t>
          </m:r>
          <m:r>
            <m:t xml:space="preserve">.</m:t>
          </m:r>
        </m:oMath>
      </m:oMathPara>
    </w:p>
    <w:p>
      <w:pPr>
        <w:pStyle w:val="FirstParagraph"/>
        <w:rPr/>
      </w:pPr>
      <w:bookmarkStart w:id="167" w:name="bifurkations--und-phasenkarten"/>
      <w:r>
        <w:rPr/>
        <w:t>Klassen und Schwellen werden vorab operationalisiert. Übergänge sind nicht automatisch mathematische Bifurkationen; dieser Begriff wird nur verwendet, wenn eine qualitative Änderung unter systematischer Parametervariation und geeigneter Analyse nachgewiesen ist.</w:t>
      </w:r>
      <w:bookmarkEnd w:id="167"/>
    </w:p>
    <w:p>
      <w:pPr>
        <w:pStyle w:val="Heading3"/>
        <w:keepNext w:val="true"/>
        <w:widowControl/>
        <w:rPr/>
      </w:pPr>
      <w:bookmarkStart w:id="168" w:name="kritikalität"/>
      <w:r>
        <w:rPr/>
        <w:t>15.6 Kritikalität</w:t>
      </w:r>
    </w:p>
    <w:p>
      <w:pPr>
        <w:pStyle w:val="FirstParagraph"/>
        <w:rPr/>
      </w:pPr>
      <w:r>
        <w:rPr/>
        <w:t>Neuronale Kritikalität ist eine einflussreiche, aber kontrovers diskutierte Hypothese (</w:t>
      </w:r>
      <w:hyperlink w:anchor="ref-Beggs2003">
        <w:r>
          <w:rPr>
            <w:rStyle w:val="Hyperlink"/>
          </w:rPr>
          <w:t>Beggs &amp; Plenz, 2003</w:t>
        </w:r>
      </w:hyperlink>
      <w:r>
        <w:rPr/>
        <w:t xml:space="preserve">; </w:t>
      </w:r>
      <w:hyperlink w:anchor="ref-Shew2013">
        <w:r>
          <w:rPr>
            <w:rStyle w:val="Hyperlink"/>
          </w:rPr>
          <w:t>Shew &amp; Plenz, 2013</w:t>
        </w:r>
      </w:hyperlink>
      <w:r>
        <w:rPr/>
        <w:t xml:space="preserve">; </w:t>
      </w:r>
      <w:hyperlink w:anchor="ref-Wilting2019">
        <w:r>
          <w:rPr>
            <w:rStyle w:val="Hyperlink"/>
          </w:rPr>
          <w:t>Wilting &amp; Priesemann, 2019</w:t>
        </w:r>
      </w:hyperlink>
      <w:r>
        <w:rPr/>
        <w:t>). Brain-5D behandelt „kritisch“ weder als Synonym für intelligent noch als vorgegebenes Optimierungsziel. Kandidatenmaße sind Avalanche-Verteilungen, Branching Ratio, Suszeptibilität und Korrelationslänge. Erforderlich sind Finite-Size-Analysen, Subsampling-Kontrollen, alternative Verteilungsmodelle und ein Vergleich mit nichtkritischen Systemen. Ein Potenzgesetz-Fit allein genügt nicht.</w:t>
      </w:r>
      <w:bookmarkEnd w:id="168"/>
    </w:p>
    <w:p>
      <w:pPr>
        <w:pStyle w:val="Heading3"/>
        <w:keepNext w:val="true"/>
        <w:widowControl/>
        <w:rPr/>
      </w:pPr>
      <w:bookmarkStart w:id="169" w:name="anti-oszillation-und-regelung"/>
      <w:r>
        <w:rPr/>
        <w:t>15.7 Anti-Oszillation und Regelung</w:t>
      </w:r>
    </w:p>
    <w:p>
      <w:pPr>
        <w:pStyle w:val="FirstParagraph"/>
        <w:rPr/>
      </w:pPr>
      <w:bookmarkStart w:id="170" w:name="X4ae6a4cd6e761af6aa5d9339e76f33a36bcc153"/>
      <w:bookmarkStart w:id="171" w:name="anti-oszillation-und-regelung"/>
      <w:r>
        <w:rPr/>
        <w:t>Technische Anti-Oszillationsregeln können Aktivität begrenzen, aber zugleich funktionale Oszillationen zerstören. Jede Regel muss deshalb eine Zielgröße, Bandbreite und Interventionsschwelle besitzen. Eine Safety-Regel darf harte Grenzwerte durchsetzen; eine lernbezogene Homöostase soll dagegen graduell und analysierbar wirken.</w:t>
      </w:r>
      <w:bookmarkEnd w:id="170"/>
      <w:bookmarkEnd w:id="171"/>
    </w:p>
    <w:p>
      <w:pPr>
        <w:pStyle w:val="Heading2"/>
        <w:keepNext w:val="true"/>
        <w:widowControl/>
        <w:rPr/>
      </w:pPr>
      <w:bookmarkStart w:id="172" w:name="__RefHeading___Toc10133_954062153"/>
      <w:bookmarkStart w:id="173" w:name="informationsmaße-und-decodability"/>
      <w:bookmarkEnd w:id="172"/>
      <w:r>
        <w:rPr/>
        <w:t>16. Informationsmaße und Decodability</w:t>
      </w:r>
    </w:p>
    <w:p>
      <w:pPr>
        <w:pStyle w:val="Heading3"/>
        <w:keepNext w:val="true"/>
        <w:widowControl/>
        <w:rPr/>
      </w:pPr>
      <w:bookmarkStart w:id="174" w:name="entropie-und-mutual-information"/>
      <w:r>
        <w:rPr/>
        <w:t>16.1 Entropie und Mutual Information</w:t>
      </w:r>
    </w:p>
    <w:p>
      <w:pPr>
        <w:pStyle w:val="FirstParagraph"/>
        <w:rPr/>
      </w:pPr>
      <w:r>
        <w:rPr>
          <w:b/>
          <w:bCs/>
        </w:rPr>
        <w:t>[DEF]</w:t>
      </w:r>
      <w:r>
        <w:rPr/>
        <w:t xml:space="preserve"> Für eine diskrete Variable </w:t>
      </w:r>
      <w:r>
        <w:rPr/>
      </w:r>
      <m:oMath xmlns:m="http://schemas.openxmlformats.org/officeDocument/2006/math">
        <m:r>
          <m:t xml:space="preserve">Y</m:t>
        </m:r>
      </m:oMath>
      <w:r>
        <w:rPr/>
        <w:t xml:space="preserve"> gilt</w:t>
      </w:r>
    </w:p>
    <w:p>
      <w:pPr>
        <w:pStyle w:val="BodyText"/>
        <w:jc w:val="center"/>
        <w:rPr/>
      </w:pPr>
      <w:r>
        <w:rPr/>
      </w:r>
      <m:oMathPara xmlns:m="http://schemas.openxmlformats.org/officeDocument/2006/math">
        <m:oMathParaPr>
          <m:jc m:val="center"/>
        </m:oMathParaPr>
        <m:oMath>
          <m:r>
            <m:t xml:space="preserve">H</m:t>
          </m:r>
          <m:d>
            <m:dPr>
              <m:begChr m:val="("/>
              <m:endChr m:val=")"/>
            </m:dPr>
            <m:e>
              <m:r>
                <m:t xml:space="preserve">Y</m:t>
              </m:r>
            </m:e>
          </m:d>
          <m:r>
            <m:t xml:space="preserve">=</m:t>
          </m:r>
          <m:r>
            <m:t xml:space="preserve">−</m:t>
          </m:r>
          <m:nary>
            <m:naryPr>
              <m:chr m:val="∑"/>
              <m:supHide m:val="1"/>
            </m:naryPr>
            <m:sub>
              <m:r>
                <m:t xml:space="preserve">y</m:t>
              </m:r>
            </m:sub>
            <m:sup/>
            <m:e>
              <m:r>
                <m:t xml:space="preserve">p</m:t>
              </m:r>
            </m:e>
          </m:nary>
          <m:d>
            <m:dPr>
              <m:begChr m:val="("/>
              <m:endChr m:val=")"/>
            </m:dPr>
            <m:e>
              <m:r>
                <m:t xml:space="preserve">y</m:t>
              </m:r>
            </m:e>
          </m:d>
          <m:r>
            <m:t xml:space="preserve">log</m:t>
          </m:r>
          <m:r>
            <m:t xml:space="preserve">p</m:t>
          </m:r>
          <m:d>
            <m:dPr>
              <m:begChr m:val="("/>
              <m:endChr m:val=")"/>
            </m:dPr>
            <m:e>
              <m:r>
                <m:t xml:space="preserve">y</m:t>
              </m:r>
            </m:e>
          </m:d>
          <m:r>
            <m:t xml:space="preserve">.</m:t>
          </m:r>
        </m:oMath>
      </m:oMathPara>
    </w:p>
    <w:p>
      <w:pPr>
        <w:pStyle w:val="FirstParagraph"/>
        <w:rPr/>
      </w:pPr>
      <w:r>
        <w:rPr/>
        <w:t xml:space="preserve">Die Mutual Information zwischen internem Zustand </w:t>
      </w:r>
      <w:r>
        <w:rPr/>
      </w:r>
      <m:oMath xmlns:m="http://schemas.openxmlformats.org/officeDocument/2006/math">
        <m:r>
          <m:t xml:space="preserve">Z</m:t>
        </m:r>
      </m:oMath>
      <w:r>
        <w:rPr/>
        <w:t xml:space="preserve"> und Merkmal </w:t>
      </w:r>
      <w:r>
        <w:rPr/>
      </w:r>
      <m:oMath xmlns:m="http://schemas.openxmlformats.org/officeDocument/2006/math">
        <m:r>
          <m:t xml:space="preserve">Y</m:t>
        </m:r>
      </m:oMath>
      <w:r>
        <w:rPr/>
        <w:t xml:space="preserve"> lautet</w:t>
      </w:r>
    </w:p>
    <w:p>
      <w:pPr>
        <w:pStyle w:val="BodyText"/>
        <w:jc w:val="center"/>
        <w:rPr/>
      </w:pPr>
      <w:r>
        <w:rPr/>
      </w:r>
      <m:oMathPara xmlns:m="http://schemas.openxmlformats.org/officeDocument/2006/math">
        <m:oMathParaPr>
          <m:jc m:val="center"/>
        </m:oMathParaPr>
        <m:oMath>
          <m:r>
            <m:t xml:space="preserve">I</m:t>
          </m:r>
          <m:d>
            <m:dPr>
              <m:begChr m:val="("/>
              <m:endChr m:val=")"/>
            </m:dPr>
            <m:e>
              <m:r>
                <m:t xml:space="preserve">Z</m:t>
              </m:r>
              <m:r>
                <m:t xml:space="preserve">;</m:t>
              </m:r>
              <m:r>
                <m:t xml:space="preserve">Y</m:t>
              </m:r>
            </m:e>
          </m:d>
          <m:r>
            <m:t xml:space="preserve">=</m:t>
          </m:r>
          <m:nary>
            <m:naryPr>
              <m:chr m:val="∑"/>
              <m:supHide m:val="1"/>
            </m:naryPr>
            <m:sub>
              <m:r>
                <m:t xml:space="preserve">z</m:t>
              </m:r>
              <m:r>
                <m:t xml:space="preserve">,</m:t>
              </m:r>
              <m:r>
                <m:t xml:space="preserve">y</m:t>
              </m:r>
            </m:sub>
            <m:sup/>
            <m:e>
              <m:r>
                <m:t xml:space="preserve">p</m:t>
              </m:r>
            </m:e>
          </m:nary>
          <m:d>
            <m:dPr>
              <m:begChr m:val="("/>
              <m:endChr m:val=")"/>
            </m:dPr>
            <m:e>
              <m:r>
                <m:t xml:space="preserve">z</m:t>
              </m:r>
              <m:r>
                <m:t xml:space="preserve">,</m:t>
              </m:r>
              <m:r>
                <m:t xml:space="preserve">y</m:t>
              </m:r>
            </m:e>
          </m:d>
          <m:r>
            <m:t xml:space="preserve">log</m:t>
          </m:r>
          <m:f>
            <m:num>
              <m:r>
                <m:t xml:space="preserve">p</m:t>
              </m:r>
              <m:d>
                <m:dPr>
                  <m:begChr m:val="("/>
                  <m:endChr m:val=")"/>
                </m:dPr>
                <m:e>
                  <m:r>
                    <m:t xml:space="preserve">z</m:t>
                  </m:r>
                  <m:r>
                    <m:t xml:space="preserve">,</m:t>
                  </m:r>
                  <m:r>
                    <m:t xml:space="preserve">y</m:t>
                  </m:r>
                </m:e>
              </m:d>
            </m:num>
            <m:den>
              <m:r>
                <m:t xml:space="preserve">p</m:t>
              </m:r>
              <m:d>
                <m:dPr>
                  <m:begChr m:val="("/>
                  <m:endChr m:val=")"/>
                </m:dPr>
                <m:e>
                  <m:r>
                    <m:t xml:space="preserve">z</m:t>
                  </m:r>
                </m:e>
              </m:d>
              <m:r>
                <m:t xml:space="preserve">p</m:t>
              </m:r>
              <m:d>
                <m:dPr>
                  <m:begChr m:val="("/>
                  <m:endChr m:val=")"/>
                </m:dPr>
                <m:e>
                  <m:r>
                    <m:t xml:space="preserve">y</m:t>
                  </m:r>
                </m:e>
              </m:d>
            </m:den>
          </m:f>
          <m:r>
            <m:t xml:space="preserve">.</m:t>
          </m:r>
        </m:oMath>
      </m:oMathPara>
    </w:p>
    <w:p>
      <w:pPr>
        <w:pStyle w:val="FirstParagraph"/>
        <w:rPr/>
      </w:pPr>
      <w:r>
        <w:rPr/>
        <w:t>Sie misst statistische Abhängigkeit, nicht automatisch Kausalität oder semantische Repräsentation (</w:t>
      </w:r>
      <w:hyperlink w:anchor="ref-Cover2006">
        <w:r>
          <w:rPr>
            <w:rStyle w:val="Hyperlink"/>
          </w:rPr>
          <w:t>Cover &amp; Thomas, 2006</w:t>
        </w:r>
      </w:hyperlink>
      <w:r>
        <w:rPr/>
        <w:t xml:space="preserve">; </w:t>
      </w:r>
      <w:hyperlink w:anchor="ref-Shannon1948">
        <w:r>
          <w:rPr>
            <w:rStyle w:val="Hyperlink"/>
          </w:rPr>
          <w:t>Shannon, 1948</w:t>
        </w:r>
      </w:hyperlink>
      <w:r>
        <w:rPr/>
        <w:t>).</w:t>
      </w:r>
      <w:bookmarkEnd w:id="174"/>
    </w:p>
    <w:p>
      <w:pPr>
        <w:pStyle w:val="Heading3"/>
        <w:keepNext w:val="true"/>
        <w:widowControl/>
        <w:rPr/>
      </w:pPr>
      <w:bookmarkStart w:id="175" w:name="bedingte-information-und-confounds"/>
      <w:r>
        <w:rPr/>
        <w:t>16.2 Bedingte Information und Confounds</w:t>
      </w:r>
    </w:p>
    <w:p>
      <w:pPr>
        <w:pStyle w:val="FirstParagraph"/>
        <w:rPr/>
      </w:pPr>
      <w:r>
        <w:rPr/>
        <w:t xml:space="preserve">Wenn aktueller Sensorinput </w:t>
      </w:r>
      <w:r>
        <w:rPr/>
      </w:r>
      <m:oMath xmlns:m="http://schemas.openxmlformats.org/officeDocument/2006/math">
        <m:r>
          <m:t xml:space="preserve">X</m:t>
        </m:r>
      </m:oMath>
      <w:r>
        <w:rPr/>
        <w:t xml:space="preserve"> sowohl </w:t>
      </w:r>
      <w:r>
        <w:rPr/>
      </w:r>
      <m:oMath xmlns:m="http://schemas.openxmlformats.org/officeDocument/2006/math">
        <m:r>
          <m:t xml:space="preserve">Z</m:t>
        </m:r>
      </m:oMath>
      <w:r>
        <w:rPr/>
        <w:t xml:space="preserve"> als auch </w:t>
      </w:r>
      <w:r>
        <w:rPr/>
      </w:r>
      <m:oMath xmlns:m="http://schemas.openxmlformats.org/officeDocument/2006/math">
        <m:r>
          <m:t xml:space="preserve">Y</m:t>
        </m:r>
      </m:oMath>
      <w:r>
        <w:rPr/>
        <w:t xml:space="preserve"> bestimmt, kann hohe Decodability triviales Durchreichen widerspiegeln. Deshalb ist bedingte Information relevant:</w:t>
      </w:r>
    </w:p>
    <w:p>
      <w:pPr>
        <w:pStyle w:val="BodyText"/>
        <w:jc w:val="center"/>
        <w:rPr/>
      </w:pPr>
      <w:r>
        <w:rPr/>
      </w:r>
      <m:oMathPara xmlns:m="http://schemas.openxmlformats.org/officeDocument/2006/math">
        <m:oMathParaPr>
          <m:jc m:val="center"/>
        </m:oMathParaPr>
        <m:oMath>
          <m:r>
            <m:t xml:space="preserve">I</m:t>
          </m:r>
          <m:d>
            <m:dPr>
              <m:begChr m:val="("/>
              <m:endChr m:val=")"/>
            </m:dPr>
            <m:e>
              <m:r>
                <m:t xml:space="preserve">Z</m:t>
              </m:r>
              <m:r>
                <m:t xml:space="preserve">;</m:t>
              </m:r>
              <m:r>
                <m:t xml:space="preserve">Y</m:t>
              </m:r>
              <m:r>
                <m:t xml:space="preserve">|</m:t>
              </m:r>
              <m:r>
                <m:t xml:space="preserve">X</m:t>
              </m:r>
            </m:e>
          </m:d>
          <m:r>
            <m:t xml:space="preserve">.</m:t>
          </m:r>
        </m:oMath>
      </m:oMathPara>
    </w:p>
    <w:p>
      <w:pPr>
        <w:pStyle w:val="FirstParagraph"/>
        <w:rPr/>
      </w:pPr>
      <w:r>
        <w:rPr/>
        <w:t xml:space="preserve">Für prädiktive Zustände ist beispielsweise zu testen, ob </w:t>
      </w:r>
      <w:r>
        <w:rPr/>
      </w:r>
      <m:oMath xmlns:m="http://schemas.openxmlformats.org/officeDocument/2006/math">
        <m:sSub>
          <m:e>
            <m:r>
              <m:t xml:space="preserve">Z</m:t>
            </m:r>
          </m:e>
          <m:sub>
            <m:r>
              <m:t xml:space="preserve">t</m:t>
            </m:r>
          </m:sub>
        </m:sSub>
      </m:oMath>
      <w:r>
        <w:rPr/>
        <w:t xml:space="preserve"> Information über </w:t>
      </w:r>
      <w:r>
        <w:rPr/>
      </w:r>
      <m:oMath xmlns:m="http://schemas.openxmlformats.org/officeDocument/2006/math">
        <m:sSub>
          <m:e>
            <m:r>
              <m:t xml:space="preserve">S</m:t>
            </m:r>
          </m:e>
          <m:sub>
            <m:r>
              <m:t xml:space="preserve">t</m:t>
            </m:r>
            <m:r>
              <m:t xml:space="preserve">+</m:t>
            </m:r>
            <m:r>
              <m:t xml:space="preserve">1</m:t>
            </m:r>
          </m:sub>
        </m:sSub>
      </m:oMath>
      <w:r>
        <w:rPr/>
        <w:t xml:space="preserve"> enthält, die über </w:t>
      </w:r>
      <w:r>
        <w:rPr/>
      </w:r>
      <m:oMath xmlns:m="http://schemas.openxmlformats.org/officeDocument/2006/math">
        <m:sSub>
          <m:e>
            <m:r>
              <m:t xml:space="preserve">S</m:t>
            </m:r>
          </m:e>
          <m:sub>
            <m:r>
              <m:t xml:space="preserve">t</m:t>
            </m:r>
          </m:sub>
        </m:sSub>
      </m:oMath>
      <w:r>
        <w:rPr/>
        <w:t xml:space="preserve"> und die Aktion </w:t>
      </w:r>
      <w:r>
        <w:rPr/>
      </w:r>
      <m:oMath xmlns:m="http://schemas.openxmlformats.org/officeDocument/2006/math">
        <m:sSub>
          <m:e>
            <m:r>
              <m:t xml:space="preserve">A</m:t>
            </m:r>
          </m:e>
          <m:sub>
            <m:r>
              <m:t xml:space="preserve">t</m:t>
            </m:r>
          </m:sub>
        </m:sSub>
      </m:oMath>
      <w:r>
        <w:rPr/>
        <w:t xml:space="preserve"> hinausgeht.</w:t>
      </w:r>
      <w:bookmarkEnd w:id="175"/>
    </w:p>
    <w:p>
      <w:pPr>
        <w:pStyle w:val="Heading3"/>
        <w:keepNext w:val="true"/>
        <w:widowControl/>
        <w:rPr/>
      </w:pPr>
      <w:bookmarkStart w:id="176" w:name="schätzprobleme"/>
      <w:r>
        <w:rPr/>
        <w:t>16.3 Schätzprobleme</w:t>
      </w:r>
    </w:p>
    <w:p>
      <w:pPr>
        <w:pStyle w:val="FirstParagraph"/>
        <w:rPr/>
      </w:pPr>
      <w:r>
        <w:rPr/>
        <w:t>Neuronale Zustände sind hochdimensional und Stichproben begrenzt. Naive Entropie- und MI-Schätzer sind verzerrt (</w:t>
      </w:r>
      <w:hyperlink w:anchor="ref-Panzeri2007">
        <w:r>
          <w:rPr>
            <w:rStyle w:val="Hyperlink"/>
          </w:rPr>
          <w:t>Panzeri et al., 2007</w:t>
        </w:r>
      </w:hyperlink>
      <w:r>
        <w:rPr/>
        <w:t>). Brain-5D verlangt:</w:t>
      </w:r>
    </w:p>
    <w:p>
      <w:pPr>
        <w:pStyle w:val="Compact"/>
        <w:numPr>
          <w:ilvl w:val="0"/>
          <w:numId w:val="146"/>
        </w:numPr>
        <w:rPr/>
      </w:pPr>
      <w:r>
        <w:rPr/>
        <w:t>vorab definierte Binning- oder Kernelverfahren;</w:t>
      </w:r>
    </w:p>
    <w:p>
      <w:pPr>
        <w:pStyle w:val="Compact"/>
        <w:numPr>
          <w:ilvl w:val="0"/>
          <w:numId w:val="147"/>
        </w:numPr>
        <w:rPr/>
      </w:pPr>
      <w:r>
        <w:rPr/>
        <w:t>Bias-Korrektur beziehungsweise robuste nichtparametrische Schätzer;</w:t>
      </w:r>
    </w:p>
    <w:p>
      <w:pPr>
        <w:pStyle w:val="Compact"/>
        <w:numPr>
          <w:ilvl w:val="0"/>
          <w:numId w:val="148"/>
        </w:numPr>
        <w:rPr/>
      </w:pPr>
      <w:r>
        <w:rPr/>
        <w:t>Konfidenzintervalle durch Bootstrap auf unabhängiger Episodenebene;</w:t>
      </w:r>
    </w:p>
    <w:p>
      <w:pPr>
        <w:pStyle w:val="Compact"/>
        <w:numPr>
          <w:ilvl w:val="0"/>
          <w:numId w:val="149"/>
        </w:numPr>
        <w:rPr/>
      </w:pPr>
      <w:r>
        <w:rPr/>
        <w:t>Permutations- und Zeitshift-Nullmodelle;</w:t>
      </w:r>
    </w:p>
    <w:p>
      <w:pPr>
        <w:pStyle w:val="Compact"/>
        <w:numPr>
          <w:ilvl w:val="0"/>
          <w:numId w:val="150"/>
        </w:numPr>
        <w:rPr/>
      </w:pPr>
      <w:bookmarkStart w:id="177" w:name="schätzprobleme"/>
      <w:r>
        <w:rPr/>
        <w:t>Sensitivitätsanalyse gegenüber Fenstergröße und Dimensionalitätsreduktion.</w:t>
      </w:r>
      <w:bookmarkEnd w:id="177"/>
    </w:p>
    <w:p>
      <w:pPr>
        <w:pStyle w:val="Heading3"/>
        <w:keepNext w:val="true"/>
        <w:widowControl/>
        <w:rPr/>
      </w:pPr>
      <w:bookmarkStart w:id="178" w:name="dekodierung"/>
      <w:r>
        <w:rPr/>
        <w:t>16.4 Dekodierung</w:t>
      </w:r>
    </w:p>
    <w:p>
      <w:pPr>
        <w:pStyle w:val="FirstParagraph"/>
        <w:rPr/>
      </w:pPr>
      <w:r>
        <w:rPr/>
        <w:t xml:space="preserve">Ein Decoder </w:t>
      </w:r>
      <w:r>
        <w:rPr/>
      </w:r>
      <m:oMath xmlns:m="http://schemas.openxmlformats.org/officeDocument/2006/math">
        <m:r>
          <m:t xml:space="preserve">g</m:t>
        </m:r>
      </m:oMath>
      <w:r>
        <w:rPr/>
        <w:t xml:space="preserve"> schätzt </w:t>
      </w:r>
      <w:r>
        <w:rPr/>
      </w:r>
      <m:oMath xmlns:m="http://schemas.openxmlformats.org/officeDocument/2006/math">
        <m:acc>
          <m:accPr>
            <m:chr m:val="^"/>
          </m:accPr>
          <m:e>
            <m:r>
              <m:t xml:space="preserve">Y</m:t>
            </m:r>
          </m:e>
        </m:acc>
        <m:r>
          <m:t xml:space="preserve">=</m:t>
        </m:r>
        <m:r>
          <m:t xml:space="preserve">g</m:t>
        </m:r>
        <m:d>
          <m:dPr>
            <m:begChr m:val="("/>
            <m:endChr m:val=")"/>
          </m:dPr>
          <m:e>
            <m:r>
              <m:t xml:space="preserve">Z</m:t>
            </m:r>
          </m:e>
        </m:d>
      </m:oMath>
      <w:r>
        <w:rPr/>
        <w:t>. Repräsentation wird nicht durch Trainingsgenauigkeit belegt. Erforderlich sind strikt getrennte Trainings-, Validierungs- und Testepisoden, idealerweise mit neuen Instanzen, Kontexten oder Transformationen. Zeitlich benachbarte Fenster derselben Episode dürfen nicht zufällig auf Train und Test verteilt werden, wenn dadurch Leakage entsteht.</w:t>
      </w:r>
      <w:bookmarkEnd w:id="178"/>
    </w:p>
    <w:p>
      <w:pPr>
        <w:pStyle w:val="Heading3"/>
        <w:keepNext w:val="true"/>
        <w:widowControl/>
        <w:rPr/>
      </w:pPr>
      <w:bookmarkStart w:id="179" w:name="representational-similarity-analysis"/>
      <w:r>
        <w:rPr/>
        <w:t>16.5 Representational Similarity Analysis</w:t>
      </w:r>
    </w:p>
    <w:p>
      <w:pPr>
        <w:pStyle w:val="FirstParagraph"/>
        <w:rPr/>
      </w:pPr>
      <w:r>
        <w:rPr/>
        <w:t>RSA vergleicht Geometrien interner Zustände über Repräsentations-Dissimilaritätsmatrizen (</w:t>
      </w:r>
      <w:hyperlink w:anchor="ref-Kriegeskorte2008">
        <w:r>
          <w:rPr>
            <w:rStyle w:val="Hyperlink"/>
          </w:rPr>
          <w:t>Kriegeskorte et al., 2008</w:t>
        </w:r>
      </w:hyperlink>
      <w:r>
        <w:rPr/>
        <w:t>). Für Brain-5D kann RSA prüfen, ob Stimulus-, Aktions- oder Kontextrelationen in neuronalen Zustandsräumen wiederkehren. Ergebnisse hängen jedoch von Distanzmaß, Normalisierung und Sampling ab. Ein RSA-Muster ist deskriptiv; funktionale Kausalität erfordert Intervention.</w:t>
      </w:r>
      <w:bookmarkEnd w:id="179"/>
    </w:p>
    <w:p>
      <w:pPr>
        <w:pStyle w:val="Heading3"/>
        <w:keepNext w:val="true"/>
        <w:widowControl/>
        <w:rPr/>
      </w:pPr>
      <w:bookmarkStart w:id="180" w:name="temporale-generalisierung"/>
      <w:r>
        <w:rPr/>
        <w:t>16.6 Temporale Generalisierung</w:t>
      </w:r>
    </w:p>
    <w:p>
      <w:pPr>
        <w:pStyle w:val="FirstParagraph"/>
        <w:rPr/>
      </w:pPr>
      <w:r>
        <w:rPr/>
        <w:t xml:space="preserve">Ein Decoder, der auf Zeitfenster </w:t>
      </w:r>
      <w:r>
        <w:rPr/>
      </w:r>
      <m:oMath xmlns:m="http://schemas.openxmlformats.org/officeDocument/2006/math">
        <m:r>
          <m:t xml:space="preserve">t</m:t>
        </m:r>
      </m:oMath>
      <w:r>
        <w:rPr/>
        <w:t xml:space="preserve"> trainiert und auf </w:t>
      </w:r>
      <w:r>
        <w:rPr/>
      </w:r>
      <m:oMath xmlns:m="http://schemas.openxmlformats.org/officeDocument/2006/math">
        <m:r>
          <m:t xml:space="preserve">t</m:t>
        </m:r>
        <m:r>
          <m:t xml:space="preserve">′</m:t>
        </m:r>
      </m:oMath>
      <w:r>
        <w:rPr/>
        <w:t xml:space="preserve"> getestet wird, kann stabile oder transformierende Codes sichtbar machen (</w:t>
      </w:r>
      <w:hyperlink w:anchor="ref-King2014">
        <w:r>
          <w:rPr>
            <w:rStyle w:val="Hyperlink"/>
          </w:rPr>
          <w:t>King &amp; Dehaene, 2014</w:t>
        </w:r>
      </w:hyperlink>
      <w:r>
        <w:rPr/>
        <w:t>). Brain-5D kann damit unterscheiden, ob ein Signal nur während unmittelbarer Stimulation existiert oder in eine persistente Zustandsform übergeht.</w:t>
      </w:r>
      <w:bookmarkEnd w:id="180"/>
    </w:p>
    <w:p>
      <w:pPr>
        <w:pStyle w:val="Heading3"/>
        <w:keepNext w:val="true"/>
        <w:widowControl/>
        <w:rPr/>
      </w:pPr>
      <w:bookmarkStart w:id="181" w:name="transfer-entropy"/>
      <w:r>
        <w:rPr/>
        <w:t>16.7 Transfer Entropy</w:t>
      </w:r>
    </w:p>
    <w:p>
      <w:pPr>
        <w:pStyle w:val="FirstParagraph"/>
        <w:rPr/>
      </w:pPr>
      <w:r>
        <w:rPr>
          <w:b/>
          <w:bCs/>
        </w:rPr>
        <w:t>[DEF]</w:t>
      </w:r>
      <w:r>
        <w:rPr/>
        <w:t xml:space="preserve"> Transfer Entropy quantifiziert gerichtete prädiktive Information aus der Vergangenheit einer Variable in eine andere (</w:t>
      </w:r>
      <w:hyperlink w:anchor="ref-Schreiber2000">
        <w:r>
          <w:rPr>
            <w:rStyle w:val="Hyperlink"/>
          </w:rPr>
          <w:t>Schreiber, 2000</w:t>
        </w:r>
      </w:hyperlink>
      <w:r>
        <w:rPr/>
        <w:t>). Sie ist nicht ohne zusätzliche Annahmen ein Beweis kausaler Wirkung. Gemeinsame Ursachen, unvollständige Beobachtung und unterschiedliche Zeitskalen können gerichtete Abhängigkeiten erzeugen. Transfer Entropy wird deshalb als exploratives Maß, nicht als alleinige Kausalanalyse verwendet.</w:t>
      </w:r>
      <w:bookmarkEnd w:id="181"/>
    </w:p>
    <w:p>
      <w:pPr>
        <w:pStyle w:val="Heading3"/>
        <w:keepNext w:val="true"/>
        <w:widowControl/>
        <w:rPr/>
      </w:pPr>
      <w:bookmarkStart w:id="182" w:name="decodability-repräsentation-und-funktion"/>
      <w:r>
        <w:rPr/>
        <w:t>16.8 Decodability, Repräsentation und Funktion</w:t>
      </w:r>
    </w:p>
    <w:p>
      <w:pPr>
        <w:pStyle w:val="FirstParagraph"/>
        <w:rPr/>
      </w:pPr>
      <w:r>
        <w:rPr/>
        <w:t>Brain-5D verwendet eine dreistufige Unterscheidung:</w:t>
      </w:r>
    </w:p>
    <w:p>
      <w:pPr>
        <w:pStyle w:val="Compact"/>
        <w:numPr>
          <w:ilvl w:val="0"/>
          <w:numId w:val="151"/>
        </w:numPr>
        <w:rPr/>
      </w:pPr>
      <w:r>
        <w:rPr>
          <w:b/>
          <w:bCs/>
        </w:rPr>
        <w:t>Decodability:</w:t>
      </w:r>
      <w:r>
        <w:rPr/>
        <w:t xml:space="preserve"> </w:t>
      </w:r>
      <w:r>
        <w:rPr/>
      </w:r>
      <m:oMath xmlns:m="http://schemas.openxmlformats.org/officeDocument/2006/math">
        <m:r>
          <m:t xml:space="preserve">Y</m:t>
        </m:r>
      </m:oMath>
      <w:r>
        <w:rPr/>
        <w:t xml:space="preserve"> kann über Zufall aus </w:t>
      </w:r>
      <w:r>
        <w:rPr/>
      </w:r>
      <m:oMath xmlns:m="http://schemas.openxmlformats.org/officeDocument/2006/math">
        <m:r>
          <m:t xml:space="preserve">Z</m:t>
        </m:r>
      </m:oMath>
      <w:r>
        <w:rPr/>
        <w:t xml:space="preserve"> geschätzt werden;</w:t>
      </w:r>
    </w:p>
    <w:p>
      <w:pPr>
        <w:pStyle w:val="Compact"/>
        <w:numPr>
          <w:ilvl w:val="0"/>
          <w:numId w:val="152"/>
        </w:numPr>
        <w:rPr/>
      </w:pPr>
      <w:r>
        <w:rPr>
          <w:b/>
          <w:bCs/>
        </w:rPr>
        <w:t>Representation candidate:</w:t>
      </w:r>
      <w:r>
        <w:rPr/>
        <w:t xml:space="preserve"> Decodability ist stabil, generalisiert und übersteht Confound-Kontrollen;</w:t>
      </w:r>
    </w:p>
    <w:p>
      <w:pPr>
        <w:pStyle w:val="Compact"/>
        <w:numPr>
          <w:ilvl w:val="0"/>
          <w:numId w:val="153"/>
        </w:numPr>
        <w:rPr/>
      </w:pPr>
      <w:r>
        <w:rPr>
          <w:b/>
          <w:bCs/>
        </w:rPr>
        <w:t>Functional representation:</w:t>
      </w:r>
      <w:r>
        <w:rPr/>
        <w:t xml:space="preserve"> gezielte Manipulation von </w:t>
      </w:r>
      <w:r>
        <w:rPr/>
      </w:r>
      <m:oMath xmlns:m="http://schemas.openxmlformats.org/officeDocument/2006/math">
        <m:r>
          <m:t xml:space="preserve">Z</m:t>
        </m:r>
      </m:oMath>
      <w:r>
        <w:rPr/>
        <w:t xml:space="preserve"> verändert die auf </w:t>
      </w:r>
      <w:r>
        <w:rPr/>
      </w:r>
      <m:oMath xmlns:m="http://schemas.openxmlformats.org/officeDocument/2006/math">
        <m:r>
          <m:t xml:space="preserve">Y</m:t>
        </m:r>
      </m:oMath>
      <w:r>
        <w:rPr/>
        <w:t xml:space="preserve"> bezogene Leistung spezifisch.</w:t>
      </w:r>
    </w:p>
    <w:p>
      <w:pPr>
        <w:pStyle w:val="FirstParagraph"/>
        <w:rPr/>
      </w:pPr>
      <w:r>
        <w:rPr/>
        <w:t>Diese Trennung reagiert auf die Gefahr der Überinterpretation neuronaler Aktivitätsmuster und des Reverse Inference (</w:t>
      </w:r>
      <w:hyperlink w:anchor="ref-Jonas2017">
        <w:r>
          <w:rPr>
            <w:rStyle w:val="Hyperlink"/>
          </w:rPr>
          <w:t>Jonas &amp; Kording, 2017</w:t>
        </w:r>
      </w:hyperlink>
      <w:r>
        <w:rPr/>
        <w:t xml:space="preserve">; </w:t>
      </w:r>
      <w:hyperlink w:anchor="ref-Poldrack2006">
        <w:r>
          <w:rPr>
            <w:rStyle w:val="Hyperlink"/>
          </w:rPr>
          <w:t>Poldrack, 2006</w:t>
        </w:r>
      </w:hyperlink>
      <w:r>
        <w:rPr/>
        <w:t>).</w:t>
      </w:r>
      <w:bookmarkEnd w:id="173"/>
      <w:bookmarkEnd w:id="182"/>
    </w:p>
    <w:p>
      <w:pPr>
        <w:pStyle w:val="Heading2"/>
        <w:keepNext w:val="true"/>
        <w:widowControl/>
        <w:rPr/>
      </w:pPr>
      <w:bookmarkStart w:id="183" w:name="__RefHeading___Toc10135_954062153"/>
      <w:bookmarkStart w:id="184" w:name="X601b4a7e6c98ce9d1c4bd38c74e07b1c7dfbc79"/>
      <w:bookmarkEnd w:id="183"/>
      <w:r>
        <w:rPr/>
        <w:t>17. Repräsentation, Gedächtnis und Continual Learning</w:t>
      </w:r>
    </w:p>
    <w:p>
      <w:pPr>
        <w:pStyle w:val="Heading3"/>
        <w:keepNext w:val="true"/>
        <w:widowControl/>
        <w:rPr/>
      </w:pPr>
      <w:bookmarkStart w:id="185" w:name="operationalisierte-repräsentation"/>
      <w:r>
        <w:rPr/>
        <w:t>17.1 Operationalisierte Repräsentation</w:t>
      </w:r>
    </w:p>
    <w:p>
      <w:pPr>
        <w:pStyle w:val="FirstParagraph"/>
        <w:rPr/>
      </w:pPr>
      <w:r>
        <w:rPr>
          <w:b/>
          <w:bCs/>
        </w:rPr>
        <w:t>[DEF]</w:t>
      </w:r>
      <w:r>
        <w:rPr/>
        <w:t xml:space="preserve"> Ein Zustand oder eine Zustandsfamilie </w:t>
      </w:r>
      <w:r>
        <w:rPr/>
      </w:r>
      <m:oMath xmlns:m="http://schemas.openxmlformats.org/officeDocument/2006/math">
        <m:r>
          <m:t xml:space="preserve">Z</m:t>
        </m:r>
      </m:oMath>
      <w:r>
        <w:rPr/>
        <w:t xml:space="preserve"> gilt als Kandidat für eine Repräsentation des Merkmals </w:t>
      </w:r>
      <w:r>
        <w:rPr/>
      </w:r>
      <m:oMath xmlns:m="http://schemas.openxmlformats.org/officeDocument/2006/math">
        <m:r>
          <m:t xml:space="preserve">Y</m:t>
        </m:r>
      </m:oMath>
      <w:r>
        <w:rPr/>
        <w:t>, wenn:</w:t>
      </w:r>
    </w:p>
    <w:p>
      <w:pPr>
        <w:pStyle w:val="Compact"/>
        <w:numPr>
          <w:ilvl w:val="0"/>
          <w:numId w:val="154"/>
        </w:numPr>
        <w:rPr/>
      </w:pPr>
      <w:r>
        <w:rPr/>
      </w:r>
      <m:oMath xmlns:m="http://schemas.openxmlformats.org/officeDocument/2006/math">
        <m:r>
          <m:t xml:space="preserve">Y</m:t>
        </m:r>
      </m:oMath>
      <w:r>
        <w:rPr/>
        <w:t xml:space="preserve"> </w:t>
      </w:r>
      <w:r>
        <w:rPr/>
        <w:t xml:space="preserve">aus </w:t>
      </w:r>
      <w:r>
        <w:rPr/>
      </w:r>
      <m:oMath xmlns:m="http://schemas.openxmlformats.org/officeDocument/2006/math">
        <m:r>
          <m:t xml:space="preserve">Z</m:t>
        </m:r>
      </m:oMath>
      <w:r>
        <w:rPr/>
        <w:t xml:space="preserve"> über Zufall dekodierbar ist;</w:t>
      </w:r>
    </w:p>
    <w:p>
      <w:pPr>
        <w:pStyle w:val="Compact"/>
        <w:numPr>
          <w:ilvl w:val="0"/>
          <w:numId w:val="155"/>
        </w:numPr>
        <w:rPr/>
      </w:pPr>
      <w:r>
        <w:rPr/>
        <w:t>die Beziehung über unabhängige Seeds und Episoden reproduzierbar ist;</w:t>
      </w:r>
    </w:p>
    <w:p>
      <w:pPr>
        <w:pStyle w:val="Compact"/>
        <w:numPr>
          <w:ilvl w:val="0"/>
          <w:numId w:val="156"/>
        </w:numPr>
        <w:rPr/>
      </w:pPr>
      <w:r>
        <w:rPr/>
        <w:t>sie auf nicht identische Beispiele oder Kontexte generalisiert;</w:t>
      </w:r>
    </w:p>
    <w:p>
      <w:pPr>
        <w:pStyle w:val="Compact"/>
        <w:numPr>
          <w:ilvl w:val="0"/>
          <w:numId w:val="157"/>
        </w:numPr>
        <w:rPr/>
      </w:pPr>
      <w:r>
        <w:rPr/>
        <w:t>Kontrollzustände und Leakage-Quellen keine vergleichbare Leistung erzeugen;</w:t>
      </w:r>
    </w:p>
    <w:p>
      <w:pPr>
        <w:pStyle w:val="Compact"/>
        <w:numPr>
          <w:ilvl w:val="0"/>
          <w:numId w:val="158"/>
        </w:numPr>
        <w:rPr/>
      </w:pPr>
      <w:r>
        <w:rPr/>
        <w:t>der Geltungsbereich explizit angegeben ist.</w:t>
      </w:r>
    </w:p>
    <w:p>
      <w:pPr>
        <w:pStyle w:val="FirstParagraph"/>
        <w:rPr/>
      </w:pPr>
      <w:bookmarkStart w:id="186" w:name="operationalisierte-repräsentation"/>
      <w:r>
        <w:rPr/>
        <w:t>Ein funktionaler Status erfordert zusätzlich eine kausale Manipulation.</w:t>
      </w:r>
      <w:bookmarkEnd w:id="186"/>
    </w:p>
    <w:p>
      <w:pPr>
        <w:pStyle w:val="Heading3"/>
        <w:keepNext w:val="true"/>
        <w:widowControl/>
        <w:rPr/>
      </w:pPr>
      <w:bookmarkStart w:id="187" w:name="gedächtnisdefinition"/>
      <w:r>
        <w:rPr/>
        <w:t>17.2 Gedächtnisdefinition</w:t>
      </w:r>
    </w:p>
    <w:p>
      <w:pPr>
        <w:pStyle w:val="FirstParagraph"/>
        <w:rPr/>
      </w:pPr>
      <w:r>
        <w:rPr>
          <w:b/>
          <w:bCs/>
        </w:rPr>
        <w:t>[DEF]</w:t>
      </w:r>
      <w:r>
        <w:rPr/>
        <w:t xml:space="preserve"> Für Lerninhalt </w:t>
      </w:r>
      <w:r>
        <w:rPr/>
      </w:r>
      <m:oMath xmlns:m="http://schemas.openxmlformats.org/officeDocument/2006/math">
        <m:r>
          <m:t xml:space="preserve">K</m:t>
        </m:r>
      </m:oMath>
      <w:r>
        <w:rPr/>
        <w:t xml:space="preserve"> wird Gedächtnis als Tupel</w:t>
      </w:r>
    </w:p>
    <w:p>
      <w:pPr>
        <w:pStyle w:val="BodyText"/>
        <w:jc w:val="center"/>
        <w:rPr/>
      </w:pPr>
      <w:r>
        <w:rPr/>
      </w:r>
      <m:oMathPara xmlns:m="http://schemas.openxmlformats.org/officeDocument/2006/math">
        <m:oMathParaPr>
          <m:jc m:val="center"/>
        </m:oMathParaPr>
        <m:oMath>
          <m:sSub>
            <m:e>
              <m:r>
                <m:t xml:space="preserve">M</m:t>
              </m:r>
            </m:e>
            <m:sub>
              <m:r>
                <m:t xml:space="preserve">K</m:t>
              </m:r>
            </m:sub>
          </m:sSub>
          <m:r>
            <m:t xml:space="preserve">=</m:t>
          </m:r>
          <m:d>
            <m:dPr>
              <m:begChr m:val="("/>
              <m:endChr m:val=")"/>
            </m:dPr>
            <m:e>
              <m:sSub>
                <m:e>
                  <m:r>
                    <m:t xml:space="preserve">R</m:t>
                  </m:r>
                </m:e>
                <m:sub>
                  <m:r>
                    <m:t xml:space="preserve">K</m:t>
                  </m:r>
                </m:sub>
              </m:sSub>
              <m:r>
                <m:t xml:space="preserve">,</m:t>
              </m:r>
              <m:sSub>
                <m:e>
                  <m:r>
                    <m:t xml:space="preserve">C</m:t>
                  </m:r>
                </m:e>
                <m:sub>
                  <m:r>
                    <m:t xml:space="preserve">K</m:t>
                  </m:r>
                </m:sub>
              </m:sSub>
              <m:r>
                <m:t xml:space="preserve">,</m:t>
              </m:r>
              <m:sSub>
                <m:e>
                  <m:r>
                    <m:t xml:space="preserve">S</m:t>
                  </m:r>
                </m:e>
                <m:sub>
                  <m:r>
                    <m:t xml:space="preserve">K</m:t>
                  </m:r>
                </m:sub>
              </m:sSub>
              <m:r>
                <m:t xml:space="preserve">,</m:t>
              </m:r>
              <m:sSub>
                <m:e>
                  <m:r>
                    <m:t xml:space="preserve">G</m:t>
                  </m:r>
                </m:e>
                <m:sub>
                  <m:r>
                    <m:t xml:space="preserve">K</m:t>
                  </m:r>
                </m:sub>
              </m:sSub>
            </m:e>
          </m:d>
        </m:oMath>
      </m:oMathPara>
    </w:p>
    <w:p>
      <w:pPr>
        <w:pStyle w:val="FirstParagraph"/>
        <w:rPr/>
      </w:pPr>
      <w:r>
        <w:rPr/>
        <w:t>definiert:</w:t>
      </w:r>
    </w:p>
    <w:p>
      <w:pPr>
        <w:pStyle w:val="Compact"/>
        <w:numPr>
          <w:ilvl w:val="0"/>
          <w:numId w:val="159"/>
        </w:numPr>
        <w:rPr/>
      </w:pPr>
      <w:r>
        <w:rPr/>
      </w:r>
      <m:oMath xmlns:m="http://schemas.openxmlformats.org/officeDocument/2006/math">
        <m:sSub>
          <m:e>
            <m:r>
              <m:t xml:space="preserve">R</m:t>
            </m:r>
          </m:e>
          <m:sub>
            <m:r>
              <m:t xml:space="preserve">K</m:t>
            </m:r>
          </m:sub>
        </m:sSub>
      </m:oMath>
      <w:r>
        <w:rPr/>
        <w:t>: Retention über eine definierte Zeit oder Anzahl von Interferenzen;</w:t>
      </w:r>
    </w:p>
    <w:p>
      <w:pPr>
        <w:pStyle w:val="Compact"/>
        <w:numPr>
          <w:ilvl w:val="0"/>
          <w:numId w:val="160"/>
        </w:numPr>
        <w:rPr/>
      </w:pPr>
      <w:r>
        <w:rPr/>
      </w:r>
      <m:oMath xmlns:m="http://schemas.openxmlformats.org/officeDocument/2006/math">
        <m:sSub>
          <m:e>
            <m:r>
              <m:t xml:space="preserve">C</m:t>
            </m:r>
          </m:e>
          <m:sub>
            <m:r>
              <m:t xml:space="preserve">K</m:t>
            </m:r>
          </m:sub>
        </m:sSub>
      </m:oMath>
      <w:r>
        <w:rPr/>
        <w:t>: cue-abhängiger Recall;</w:t>
      </w:r>
    </w:p>
    <w:p>
      <w:pPr>
        <w:pStyle w:val="Compact"/>
        <w:numPr>
          <w:ilvl w:val="0"/>
          <w:numId w:val="161"/>
        </w:numPr>
        <w:rPr/>
      </w:pPr>
      <w:r>
        <w:rPr/>
      </w:r>
      <m:oMath xmlns:m="http://schemas.openxmlformats.org/officeDocument/2006/math">
        <m:sSub>
          <m:e>
            <m:r>
              <m:t xml:space="preserve">S</m:t>
            </m:r>
          </m:e>
          <m:sub>
            <m:r>
              <m:t xml:space="preserve">K</m:t>
            </m:r>
          </m:sub>
        </m:sSub>
      </m:oMath>
      <w:r>
        <w:rPr/>
        <w:t>: Spezifität gegenüber Kontrollreizen;</w:t>
      </w:r>
    </w:p>
    <w:p>
      <w:pPr>
        <w:pStyle w:val="Compact"/>
        <w:numPr>
          <w:ilvl w:val="0"/>
          <w:numId w:val="162"/>
        </w:numPr>
        <w:rPr/>
      </w:pPr>
      <w:r>
        <w:rPr/>
      </w:r>
      <m:oMath xmlns:m="http://schemas.openxmlformats.org/officeDocument/2006/math">
        <m:sSub>
          <m:e>
            <m:r>
              <m:t xml:space="preserve">G</m:t>
            </m:r>
          </m:e>
          <m:sub>
            <m:r>
              <m:t xml:space="preserve">K</m:t>
            </m:r>
          </m:sub>
        </m:sSub>
      </m:oMath>
      <w:r>
        <w:rPr/>
        <w:t>: Generalisierung auf variierte Abfragen.</w:t>
      </w:r>
    </w:p>
    <w:p>
      <w:pPr>
        <w:pStyle w:val="FirstParagraph"/>
        <w:rPr/>
      </w:pPr>
      <w:r>
        <w:rPr/>
        <w:t>Eine zusammengesetzte Kennzahl kann</w:t>
      </w:r>
    </w:p>
    <w:p>
      <w:pPr>
        <w:pStyle w:val="BodyText"/>
        <w:jc w:val="center"/>
        <w:rPr/>
      </w:pPr>
      <w:r>
        <w:rPr/>
      </w:r>
      <m:oMathPara xmlns:m="http://schemas.openxmlformats.org/officeDocument/2006/math">
        <m:oMathParaPr>
          <m:jc m:val="center"/>
        </m:oMathParaPr>
        <m:oMath>
          <m:sSub>
            <m:e>
              <m:r>
                <m:t xml:space="preserve">Q</m:t>
              </m:r>
            </m:e>
            <m:sub>
              <m:r>
                <m:t xml:space="preserve">M</m:t>
              </m:r>
            </m:sub>
          </m:sSub>
          <m:r>
            <m:t xml:space="preserve">=</m:t>
          </m:r>
          <m:sSup>
            <m:e>
              <m:d>
                <m:dPr>
                  <m:begChr m:val="("/>
                  <m:endChr m:val=")"/>
                </m:dPr>
                <m:e>
                  <m:sSub>
                    <m:e>
                      <m:r>
                        <m:t xml:space="preserve">R</m:t>
                      </m:r>
                    </m:e>
                    <m:sub>
                      <m:r>
                        <m:t xml:space="preserve">K</m:t>
                      </m:r>
                    </m:sub>
                  </m:sSub>
                  <m:sSub>
                    <m:e>
                      <m:r>
                        <m:t xml:space="preserve">C</m:t>
                      </m:r>
                    </m:e>
                    <m:sub>
                      <m:r>
                        <m:t xml:space="preserve">K</m:t>
                      </m:r>
                    </m:sub>
                  </m:sSub>
                  <m:sSub>
                    <m:e>
                      <m:r>
                        <m:t xml:space="preserve">S</m:t>
                      </m:r>
                    </m:e>
                    <m:sub>
                      <m:r>
                        <m:t xml:space="preserve">K</m:t>
                      </m:r>
                    </m:sub>
                  </m:sSub>
                  <m:sSub>
                    <m:e>
                      <m:r>
                        <m:t xml:space="preserve">G</m:t>
                      </m:r>
                    </m:e>
                    <m:sub>
                      <m:r>
                        <m:t xml:space="preserve">K</m:t>
                      </m:r>
                    </m:sub>
                  </m:sSub>
                </m:e>
              </m:d>
            </m:e>
            <m:sup>
              <m:f>
                <m:fPr>
                  <m:type m:val="lin"/>
                </m:fPr>
                <m:num>
                  <m:r>
                    <m:t xml:space="preserve">1</m:t>
                  </m:r>
                </m:num>
                <m:den>
                  <m:r>
                    <m:t xml:space="preserve">4</m:t>
                  </m:r>
                </m:den>
              </m:f>
            </m:sup>
          </m:sSup>
        </m:oMath>
      </m:oMathPara>
    </w:p>
    <w:p>
      <w:pPr>
        <w:pStyle w:val="FirstParagraph"/>
        <w:rPr/>
      </w:pPr>
      <w:r>
        <w:rPr/>
        <w:t xml:space="preserve">sein. </w:t>
      </w:r>
      <w:r>
        <w:rPr>
          <w:b/>
          <w:bCs/>
        </w:rPr>
        <w:t>[HEUR]</w:t>
      </w:r>
      <w:r>
        <w:rPr/>
        <w:t xml:space="preserve"> Diese geometrische Aggregation ist nur sinnvoll, wenn alle Komponenten normiert und substantiv erforderlich sind; Einzelmetriken müssen stets berichtet werden.</w:t>
      </w:r>
      <w:bookmarkEnd w:id="187"/>
    </w:p>
    <w:p>
      <w:pPr>
        <w:pStyle w:val="Heading3"/>
        <w:keepNext w:val="true"/>
        <w:widowControl/>
        <w:rPr/>
      </w:pPr>
      <w:bookmarkStart w:id="188" w:name="konsolidierung"/>
      <w:r>
        <w:rPr/>
        <w:t>17.3 Konsolidierung</w:t>
      </w:r>
    </w:p>
    <w:p>
      <w:pPr>
        <w:pStyle w:val="FirstParagraph"/>
        <w:rPr/>
      </w:pPr>
      <w:r>
        <w:rPr/>
        <w:t>Schnelle lokale Anpassung kann störanfällig sein. Modelle synaptischer Kaskaden und komplementärer Lernsysteme motivieren mehrere Zeitskalen (</w:t>
      </w:r>
      <w:hyperlink w:anchor="ref-Benna2016">
        <w:r>
          <w:rPr>
            <w:rStyle w:val="Hyperlink"/>
          </w:rPr>
          <w:t>Benna &amp; Fusi, 2016</w:t>
        </w:r>
      </w:hyperlink>
      <w:r>
        <w:rPr/>
        <w:t xml:space="preserve">; </w:t>
      </w:r>
      <w:hyperlink w:anchor="ref-Fusi2005">
        <w:r>
          <w:rPr>
            <w:rStyle w:val="Hyperlink"/>
          </w:rPr>
          <w:t>Fusi et al., 2005</w:t>
        </w:r>
      </w:hyperlink>
      <w:r>
        <w:rPr/>
        <w:t xml:space="preserve">; </w:t>
      </w:r>
      <w:hyperlink w:anchor="ref-McClelland1995">
        <w:r>
          <w:rPr>
            <w:rStyle w:val="Hyperlink"/>
          </w:rPr>
          <w:t>McClelland et al., 1995</w:t>
        </w:r>
      </w:hyperlink>
      <w:r>
        <w:rPr/>
        <w:t>). Brain-5D kann schnelle Eligibility-/Gewichtsänderung, langsamere Metaplastizität und strukturelle Konsolidierung getrennt modellieren. Eine „Konsolidierungsphase“ darf keine versteckte erneute Exposition enthalten.</w:t>
      </w:r>
      <w:bookmarkEnd w:id="188"/>
    </w:p>
    <w:p>
      <w:pPr>
        <w:pStyle w:val="Heading3"/>
        <w:keepNext w:val="true"/>
        <w:widowControl/>
        <w:rPr/>
      </w:pPr>
      <w:bookmarkStart w:id="189" w:name="arbeitsgedächtnis-und-stille-zustände"/>
      <w:r>
        <w:rPr/>
        <w:t>17.4 Arbeitsgedächtnis und stille Zustände</w:t>
      </w:r>
    </w:p>
    <w:p>
      <w:pPr>
        <w:pStyle w:val="FirstParagraph"/>
        <w:rPr/>
      </w:pPr>
      <w:r>
        <w:rPr/>
        <w:t>Arbeitsgedächtnis kann durch anhaltende Aktivität oder kurzzeitige synaptische Zustände getragen werden (</w:t>
      </w:r>
      <w:hyperlink w:anchor="ref-Mongillo2008">
        <w:r>
          <w:rPr>
            <w:rStyle w:val="Hyperlink"/>
          </w:rPr>
          <w:t>Mongillo et al., 2008</w:t>
        </w:r>
      </w:hyperlink>
      <w:r>
        <w:rPr/>
        <w:t>). Brain-5D soll deshalb sowohl aktive als auch activity-silent Kandidaten untersuchen. Ein Decoder darf jedoch nicht auf Metadaten zugreifen, die dem SNN selbst nicht verfügbar sind.</w:t>
      </w:r>
      <w:bookmarkEnd w:id="189"/>
    </w:p>
    <w:p>
      <w:pPr>
        <w:pStyle w:val="Heading3"/>
        <w:keepNext w:val="true"/>
        <w:widowControl/>
        <w:rPr/>
      </w:pPr>
      <w:bookmarkStart w:id="190" w:name="continual-learning-metriken"/>
      <w:r>
        <w:rPr/>
        <w:t>17.5 Continual-Learning-Metriken</w:t>
      </w:r>
    </w:p>
    <w:p>
      <w:pPr>
        <w:pStyle w:val="FirstParagraph"/>
        <w:rPr/>
      </w:pPr>
      <w:r>
        <w:rPr/>
        <w:t xml:space="preserve">Für Aufgabenfolge </w:t>
      </w:r>
      <w:r>
        <w:rPr/>
      </w:r>
      <m:oMath xmlns:m="http://schemas.openxmlformats.org/officeDocument/2006/math">
        <m:sSub>
          <m:e>
            <m:r>
              <m:t xml:space="preserve">T</m:t>
            </m:r>
          </m:e>
          <m:sub>
            <m:r>
              <m:t xml:space="preserve">1</m:t>
            </m:r>
          </m:sub>
        </m:sSub>
        <m:r>
          <m:t xml:space="preserve">,</m:t>
        </m:r>
        <m:r>
          <m:t xml:space="preserve">…</m:t>
        </m:r>
        <m:r>
          <m:t xml:space="preserve">,</m:t>
        </m:r>
        <m:sSub>
          <m:e>
            <m:r>
              <m:t xml:space="preserve">T</m:t>
            </m:r>
          </m:e>
          <m:sub>
            <m:r>
              <m:t xml:space="preserve">K</m:t>
            </m:r>
          </m:sub>
        </m:sSub>
      </m:oMath>
      <w:r>
        <w:rPr/>
        <w:t xml:space="preserve"> sei </w:t>
      </w:r>
      <w:r>
        <w:rPr/>
      </w:r>
      <m:oMath xmlns:m="http://schemas.openxmlformats.org/officeDocument/2006/math">
        <m:sSub>
          <m:e>
            <m:r>
              <m:t xml:space="preserve">Q</m:t>
            </m:r>
          </m:e>
          <m:sub>
            <m:r>
              <m:t xml:space="preserve">i</m:t>
            </m:r>
            <m:r>
              <m:t xml:space="preserve">,</m:t>
            </m:r>
            <m:r>
              <m:t xml:space="preserve">j</m:t>
            </m:r>
          </m:sub>
        </m:sSub>
      </m:oMath>
      <w:r>
        <w:rPr/>
        <w:t xml:space="preserve"> die Leistung auf Aufgabe </w:t>
      </w:r>
      <w:r>
        <w:rPr/>
      </w:r>
      <m:oMath xmlns:m="http://schemas.openxmlformats.org/officeDocument/2006/math">
        <m:r>
          <m:t xml:space="preserve">i</m:t>
        </m:r>
      </m:oMath>
      <w:r>
        <w:rPr/>
        <w:t xml:space="preserve"> nach Training bis Aufgabe </w:t>
      </w:r>
      <w:r>
        <w:rPr/>
      </w:r>
      <m:oMath xmlns:m="http://schemas.openxmlformats.org/officeDocument/2006/math">
        <m:r>
          <m:t xml:space="preserve">j</m:t>
        </m:r>
      </m:oMath>
      <w:r>
        <w:rPr/>
        <w:t>. Dann kann Forgetting definiert werden als</w:t>
      </w:r>
    </w:p>
    <w:p>
      <w:pPr>
        <w:pStyle w:val="BodyText"/>
        <w:rPr/>
      </w:pPr>
      <w:r>
        <w:rPr>
          <w:b/>
          <w:bCs/>
        </w:rPr>
        <w:t>[DEF]</w:t>
      </w:r>
    </w:p>
    <w:p>
      <w:pPr>
        <w:pStyle w:val="BodyText"/>
        <w:jc w:val="center"/>
        <w:rPr/>
      </w:pPr>
      <w:r>
        <w:rPr/>
      </w:r>
      <m:oMathPara xmlns:m="http://schemas.openxmlformats.org/officeDocument/2006/math">
        <m:oMathParaPr>
          <m:jc m:val="center"/>
        </m:oMathParaPr>
        <m:oMath>
          <m:sSub>
            <m:e>
              <m:r>
                <m:t xml:space="preserve">F</m:t>
              </m:r>
            </m:e>
            <m:sub>
              <m:r>
                <m:t xml:space="preserve">i</m:t>
              </m:r>
            </m:sub>
          </m:sSub>
          <m:r>
            <m:t xml:space="preserve">=</m:t>
          </m:r>
          <m:limLow>
            <m:e>
              <m:r>
                <m:t xml:space="preserve">max</m:t>
              </m:r>
            </m:e>
            <m:lim>
              <m:r>
                <m:t xml:space="preserve">j</m:t>
              </m:r>
              <m:r>
                <m:t xml:space="preserve">&lt;</m:t>
              </m:r>
              <m:r>
                <m:t xml:space="preserve">i</m:t>
              </m:r>
            </m:lim>
          </m:limLow>
          <m:sSub>
            <m:e>
              <m:r>
                <m:t xml:space="preserve">Q</m:t>
              </m:r>
            </m:e>
            <m:sub>
              <m:r>
                <m:t xml:space="preserve">i</m:t>
              </m:r>
              <m:r>
                <m:t xml:space="preserve">,</m:t>
              </m:r>
              <m:r>
                <m:t xml:space="preserve">j</m:t>
              </m:r>
            </m:sub>
          </m:sSub>
          <m:r>
            <m:t xml:space="preserve">−</m:t>
          </m:r>
          <m:sSub>
            <m:e>
              <m:r>
                <m:t xml:space="preserve">Q</m:t>
              </m:r>
            </m:e>
            <m:sub>
              <m:r>
                <m:t xml:space="preserve">i</m:t>
              </m:r>
              <m:r>
                <m:t xml:space="preserve">,</m:t>
              </m:r>
              <m:r>
                <m:t xml:space="preserve">K</m:t>
              </m:r>
            </m:sub>
          </m:sSub>
          <m:r>
            <m:t xml:space="preserve">.</m:t>
          </m:r>
        </m:oMath>
      </m:oMathPara>
    </w:p>
    <w:p>
      <w:pPr>
        <w:pStyle w:val="FirstParagraph"/>
        <w:rPr/>
      </w:pPr>
      <w:r>
        <w:rPr/>
        <w:t>Weitere Größen sind:</w:t>
      </w:r>
    </w:p>
    <w:p>
      <w:pPr>
        <w:pStyle w:val="BodyText"/>
        <w:jc w:val="center"/>
        <w:rPr/>
      </w:pPr>
      <w:r>
        <w:rPr/>
      </w:r>
      <m:oMathPara xmlns:m="http://schemas.openxmlformats.org/officeDocument/2006/math">
        <m:oMathParaPr>
          <m:jc m:val="center"/>
        </m:oMathParaPr>
        <m:oMath>
          <m:r>
            <m:rPr>
              <m:lit/>
              <m:nor/>
            </m:rPr>
            <m:t xml:space="preserve">BWT</m:t>
          </m:r>
          <m:r>
            <m:t xml:space="preserve">=</m:t>
          </m:r>
          <m:f>
            <m:num>
              <m:r>
                <m:t xml:space="preserve">1</m:t>
              </m:r>
            </m:num>
            <m:den>
              <m:r>
                <m:t xml:space="preserve">K</m:t>
              </m:r>
              <m:r>
                <m:t xml:space="preserve">−</m:t>
              </m:r>
              <m:r>
                <m:t xml:space="preserve">1</m:t>
              </m:r>
            </m:den>
          </m:f>
          <m:nary>
            <m:naryPr>
              <m:chr m:val="∑"/>
            </m:naryPr>
            <m:sub>
              <m:r>
                <m:t xml:space="preserve">i</m:t>
              </m:r>
              <m:r>
                <m:t xml:space="preserve">=</m:t>
              </m:r>
              <m:r>
                <m:t xml:space="preserve">1</m:t>
              </m:r>
            </m:sub>
            <m:sup>
              <m:r>
                <m:t xml:space="preserve">K</m:t>
              </m:r>
              <m:r>
                <m:t xml:space="preserve">−</m:t>
              </m:r>
              <m:r>
                <m:t xml:space="preserve">1</m:t>
              </m:r>
            </m:sup>
            <m:e>
              <m:d>
                <m:dPr>
                  <m:begChr m:val="("/>
                  <m:endChr m:val=")"/>
                </m:dPr>
                <m:e>
                  <m:sSub>
                    <m:e>
                      <m:r>
                        <m:t xml:space="preserve">Q</m:t>
                      </m:r>
                    </m:e>
                    <m:sub>
                      <m:r>
                        <m:t xml:space="preserve">i</m:t>
                      </m:r>
                      <m:r>
                        <m:t xml:space="preserve">,</m:t>
                      </m:r>
                      <m:r>
                        <m:t xml:space="preserve">K</m:t>
                      </m:r>
                    </m:sub>
                  </m:sSub>
                  <m:r>
                    <m:t xml:space="preserve">−</m:t>
                  </m:r>
                  <m:sSub>
                    <m:e>
                      <m:r>
                        <m:t xml:space="preserve">Q</m:t>
                      </m:r>
                    </m:e>
                    <m:sub>
                      <m:r>
                        <m:t xml:space="preserve">i</m:t>
                      </m:r>
                      <m:r>
                        <m:t xml:space="preserve">,</m:t>
                      </m:r>
                      <m:r>
                        <m:t xml:space="preserve">i</m:t>
                      </m:r>
                    </m:sub>
                  </m:sSub>
                </m:e>
              </m:d>
            </m:e>
          </m:nary>
          <m:r>
            <m:t xml:space="preserve">,</m:t>
          </m:r>
        </m:oMath>
      </m:oMathPara>
    </w:p>
    <w:p>
      <w:pPr>
        <w:pStyle w:val="FirstParagraph"/>
        <w:jc w:val="center"/>
        <w:rPr/>
      </w:pPr>
      <w:r>
        <w:rPr/>
      </w:r>
      <m:oMathPara xmlns:m="http://schemas.openxmlformats.org/officeDocument/2006/math">
        <m:oMathParaPr>
          <m:jc m:val="center"/>
        </m:oMathParaPr>
        <m:oMath>
          <m:r>
            <m:rPr>
              <m:lit/>
              <m:nor/>
            </m:rPr>
            <m:t xml:space="preserve">FWT</m:t>
          </m:r>
          <m:r>
            <m:t xml:space="preserve">=</m:t>
          </m:r>
          <m:f>
            <m:num>
              <m:r>
                <m:t xml:space="preserve">1</m:t>
              </m:r>
            </m:num>
            <m:den>
              <m:r>
                <m:t xml:space="preserve">K</m:t>
              </m:r>
              <m:r>
                <m:t xml:space="preserve">−</m:t>
              </m:r>
              <m:r>
                <m:t xml:space="preserve">1</m:t>
              </m:r>
            </m:den>
          </m:f>
          <m:nary>
            <m:naryPr>
              <m:chr m:val="∑"/>
            </m:naryPr>
            <m:sub>
              <m:r>
                <m:t xml:space="preserve">i</m:t>
              </m:r>
              <m:r>
                <m:t xml:space="preserve">=</m:t>
              </m:r>
              <m:r>
                <m:t xml:space="preserve">2</m:t>
              </m:r>
            </m:sub>
            <m:sup>
              <m:r>
                <m:t xml:space="preserve">K</m:t>
              </m:r>
            </m:sup>
            <m:e>
              <m:d>
                <m:dPr>
                  <m:begChr m:val="("/>
                  <m:endChr m:val=")"/>
                </m:dPr>
                <m:e>
                  <m:sSub>
                    <m:e>
                      <m:r>
                        <m:t xml:space="preserve">Q</m:t>
                      </m:r>
                    </m:e>
                    <m:sub>
                      <m:r>
                        <m:t xml:space="preserve">i</m:t>
                      </m:r>
                      <m:r>
                        <m:t xml:space="preserve">,</m:t>
                      </m:r>
                      <m:r>
                        <m:t xml:space="preserve">i</m:t>
                      </m:r>
                      <m:r>
                        <m:t xml:space="preserve">−</m:t>
                      </m:r>
                      <m:r>
                        <m:t xml:space="preserve">1</m:t>
                      </m:r>
                    </m:sub>
                  </m:sSub>
                  <m:r>
                    <m:t xml:space="preserve">−</m:t>
                  </m:r>
                  <m:sSub>
                    <m:e>
                      <m:r>
                        <m:t xml:space="preserve">b</m:t>
                      </m:r>
                    </m:e>
                    <m:sub>
                      <m:r>
                        <m:t xml:space="preserve">i</m:t>
                      </m:r>
                    </m:sub>
                  </m:sSub>
                </m:e>
              </m:d>
            </m:e>
          </m:nary>
          <m:r>
            <m:t xml:space="preserve">,</m:t>
          </m:r>
        </m:oMath>
      </m:oMathPara>
    </w:p>
    <w:p>
      <w:pPr>
        <w:pStyle w:val="FirstParagraph"/>
        <w:rPr/>
      </w:pPr>
      <w:r>
        <w:rPr/>
        <w:t xml:space="preserve">mit Baseline </w:t>
      </w:r>
      <w:r>
        <w:rPr/>
      </w:r>
      <m:oMath xmlns:m="http://schemas.openxmlformats.org/officeDocument/2006/math">
        <m:sSub>
          <m:e>
            <m:r>
              <m:t xml:space="preserve">b</m:t>
            </m:r>
          </m:e>
          <m:sub>
            <m:r>
              <m:t xml:space="preserve">i</m:t>
            </m:r>
          </m:sub>
        </m:sSub>
      </m:oMath>
      <w:r>
        <w:rPr/>
        <w:t>. Catastrophic forgetting ist ein langjähriges Problem sequenziellen Lernens (</w:t>
      </w:r>
      <w:hyperlink w:anchor="ref-French1999">
        <w:r>
          <w:rPr>
            <w:rStyle w:val="Hyperlink"/>
          </w:rPr>
          <w:t>French, 1999</w:t>
        </w:r>
      </w:hyperlink>
      <w:r>
        <w:rPr/>
        <w:t xml:space="preserve">; </w:t>
      </w:r>
      <w:hyperlink w:anchor="ref-Kirkpatrick2017">
        <w:r>
          <w:rPr>
            <w:rStyle w:val="Hyperlink"/>
          </w:rPr>
          <w:t>Kirkpatrick et al., 2017</w:t>
        </w:r>
      </w:hyperlink>
      <w:r>
        <w:rPr/>
        <w:t xml:space="preserve">; </w:t>
      </w:r>
      <w:hyperlink w:anchor="ref-McCloskey1989">
        <w:r>
          <w:rPr>
            <w:rStyle w:val="Hyperlink"/>
          </w:rPr>
          <w:t>McCloskey &amp; Cohen, 1989</w:t>
        </w:r>
      </w:hyperlink>
      <w:r>
        <w:rPr/>
        <w:t xml:space="preserve">; </w:t>
      </w:r>
      <w:hyperlink w:anchor="ref-Parisi2019">
        <w:r>
          <w:rPr>
            <w:rStyle w:val="Hyperlink"/>
          </w:rPr>
          <w:t>Parisi et al., 2019</w:t>
        </w:r>
      </w:hyperlink>
      <w:r>
        <w:rPr/>
        <w:t>). Brain-5D untersucht lokale und strukturelle Alternativen, sollte aber etablierte Baselines wie Regularisierung, Replay oder Synaptic Intelligence einbeziehen (</w:t>
      </w:r>
      <w:hyperlink w:anchor="ref-LopezPaz2017">
        <w:r>
          <w:rPr>
            <w:rStyle w:val="Hyperlink"/>
          </w:rPr>
          <w:t>Lopez-Paz &amp; Ranzato, 2017</w:t>
        </w:r>
      </w:hyperlink>
      <w:r>
        <w:rPr/>
        <w:t xml:space="preserve">; </w:t>
      </w:r>
      <w:hyperlink w:anchor="ref-Zenke2017CL">
        <w:r>
          <w:rPr>
            <w:rStyle w:val="Hyperlink"/>
          </w:rPr>
          <w:t>Zenke et al., 2017</w:t>
        </w:r>
      </w:hyperlink>
      <w:r>
        <w:rPr/>
        <w:t>).</w:t>
      </w:r>
      <w:bookmarkEnd w:id="190"/>
    </w:p>
    <w:p>
      <w:pPr>
        <w:pStyle w:val="Heading3"/>
        <w:keepNext w:val="true"/>
        <w:widowControl/>
        <w:rPr/>
      </w:pPr>
      <w:bookmarkStart w:id="191" w:name="retrieval-ist-nicht-lernen"/>
      <w:r>
        <w:rPr/>
        <w:t>17.6 Retrieval ist nicht Lernen</w:t>
      </w:r>
    </w:p>
    <w:p>
      <w:pPr>
        <w:pStyle w:val="FirstParagraph"/>
        <w:rPr/>
      </w:pPr>
      <w:r>
        <w:rPr>
          <w:b/>
          <w:bCs/>
        </w:rPr>
        <w:t>[DEF]</w:t>
      </w:r>
      <w:r>
        <w:rPr/>
        <w:t xml:space="preserve"> Retrieval liefert Information aus einer externen Quelle oder einem expliziten Speicher an die aktuelle Verarbeitung. Lernen verändert den zukünftigen internen Zustand oder die Leistung aufgrund einer Erfahrung. Ein System kann beides kombinieren; der Nachweis erfordert Isolation.</w:t>
      </w:r>
    </w:p>
    <w:p>
      <w:pPr>
        <w:pStyle w:val="BodyText"/>
        <w:rPr/>
      </w:pPr>
      <w:r>
        <w:rPr/>
        <w:t>Das Minimalprotokoll lautet:</w:t>
      </w:r>
    </w:p>
    <w:p>
      <w:pPr>
        <w:pStyle w:val="Compact"/>
        <w:numPr>
          <w:ilvl w:val="0"/>
          <w:numId w:val="163"/>
        </w:numPr>
        <w:rPr/>
      </w:pPr>
      <w:r>
        <w:rPr/>
        <w:t>Baseline-Abfrage vor Exposition;</w:t>
      </w:r>
    </w:p>
    <w:p>
      <w:pPr>
        <w:pStyle w:val="Compact"/>
        <w:numPr>
          <w:ilvl w:val="0"/>
          <w:numId w:val="164"/>
        </w:numPr>
        <w:rPr/>
      </w:pPr>
      <w:r>
        <w:rPr/>
        <w:t xml:space="preserve">kontrollierte Exposition über </w:t>
      </w:r>
      <w:r>
        <w:rPr>
          <w:rStyle w:val="VerbatimChar"/>
        </w:rPr>
        <w:t>StimulusPlan</w:t>
      </w:r>
      <w:r>
        <w:rPr/>
        <w:t>;</w:t>
      </w:r>
    </w:p>
    <w:p>
      <w:pPr>
        <w:pStyle w:val="Compact"/>
        <w:numPr>
          <w:ilvl w:val="0"/>
          <w:numId w:val="165"/>
        </w:numPr>
        <w:rPr/>
      </w:pPr>
      <w:r>
        <w:rPr/>
        <w:t>Konsolidierungsintervall ohne erneuten Informationsabruf;</w:t>
      </w:r>
    </w:p>
    <w:p>
      <w:pPr>
        <w:pStyle w:val="Compact"/>
        <w:numPr>
          <w:ilvl w:val="0"/>
          <w:numId w:val="166"/>
        </w:numPr>
        <w:rPr/>
      </w:pPr>
      <w:r>
        <w:rPr/>
        <w:t>Abschalten von LLM-Kontext, Retrieval, Cache und Netzwerkzugriff;</w:t>
      </w:r>
    </w:p>
    <w:p>
      <w:pPr>
        <w:pStyle w:val="Compact"/>
        <w:numPr>
          <w:ilvl w:val="0"/>
          <w:numId w:val="167"/>
        </w:numPr>
        <w:rPr/>
      </w:pPr>
      <w:r>
        <w:rPr/>
        <w:t>Recall mit gleicher und variierter Abfrage;</w:t>
      </w:r>
    </w:p>
    <w:p>
      <w:pPr>
        <w:pStyle w:val="Compact"/>
        <w:numPr>
          <w:ilvl w:val="0"/>
          <w:numId w:val="168"/>
        </w:numPr>
        <w:rPr/>
      </w:pPr>
      <w:r>
        <w:rPr/>
        <w:t>Vergleich mit ungeübtem, plastizitätsgesperrtem, zufällig stimuliertem und state-permutiertem Netzwerk.</w:t>
      </w:r>
    </w:p>
    <w:p>
      <w:pPr>
        <w:pStyle w:val="FirstParagraph"/>
        <w:rPr/>
      </w:pPr>
      <w:bookmarkStart w:id="192" w:name="X601b4a7e6c98ce9d1c4bd38c74e07b1c7dfbc79"/>
      <w:bookmarkStart w:id="193" w:name="retrieval-ist-nicht-lernen"/>
      <w:r>
        <w:rPr/>
        <w:t>Nur ein über Kontrollen hinausgehender Recall unterstützt den Claim neuronaler Speicherung.</w:t>
      </w:r>
      <w:bookmarkEnd w:id="192"/>
      <w:bookmarkEnd w:id="193"/>
    </w:p>
    <w:p>
      <w:pPr>
        <w:pStyle w:val="Heading2"/>
        <w:keepNext w:val="true"/>
        <w:widowControl/>
        <w:rPr/>
      </w:pPr>
      <w:bookmarkStart w:id="194" w:name="__RefHeading___Toc10137_954062153"/>
      <w:bookmarkStart w:id="195" w:name="messbare-emergenz-und-kausalität"/>
      <w:bookmarkEnd w:id="194"/>
      <w:r>
        <w:rPr/>
        <w:t>18. Messbare Emergenz und Kausalität</w:t>
      </w:r>
    </w:p>
    <w:p>
      <w:pPr>
        <w:pStyle w:val="Heading3"/>
        <w:keepNext w:val="true"/>
        <w:widowControl/>
        <w:rPr/>
      </w:pPr>
      <w:bookmarkStart w:id="196" w:name="emergenz-ist-keine-erklärung"/>
      <w:r>
        <w:rPr/>
        <w:t>18.1 Emergenz ist keine Erklärung</w:t>
      </w:r>
    </w:p>
    <w:p>
      <w:pPr>
        <w:pStyle w:val="FirstParagraph"/>
        <w:rPr/>
      </w:pPr>
      <w:r>
        <w:rPr/>
        <w:t xml:space="preserve">Der Ausdruck „emergent“ bezeichnet nicht automatisch einen unbekannten, wertvollen oder intelligenten Prozess. </w:t>
      </w:r>
      <w:r>
        <w:rPr>
          <w:b/>
          <w:bCs/>
        </w:rPr>
        <w:t>[DEF]</w:t>
      </w:r>
      <w:r>
        <w:rPr/>
        <w:t xml:space="preserve"> Ein makroskopisches Phänomen </w:t>
      </w:r>
      <w:r>
        <w:rPr/>
      </w:r>
      <m:oMath xmlns:m="http://schemas.openxmlformats.org/officeDocument/2006/math">
        <m:r>
          <m:t xml:space="preserve">Y</m:t>
        </m:r>
      </m:oMath>
      <w:r>
        <w:rPr/>
        <w:t xml:space="preserve"> ist im schwachen methodischen Sinn emergent, wenn es aus lokalen Regeln und Zuständen</w:t>
      </w:r>
    </w:p>
    <w:p>
      <w:pPr>
        <w:pStyle w:val="BodyText"/>
        <w:jc w:val="center"/>
        <w:rPr/>
      </w:pPr>
      <w:r>
        <w:rPr/>
      </w:r>
      <m:oMathPara xmlns:m="http://schemas.openxmlformats.org/officeDocument/2006/math">
        <m:oMathParaPr>
          <m:jc m:val="center"/>
        </m:oMathParaPr>
        <m:oMath>
          <m:r>
            <m:t xml:space="preserve">Y</m:t>
          </m:r>
          <m:r>
            <m:t xml:space="preserve">=</m:t>
          </m:r>
          <m:r>
            <m:t xml:space="preserve">f</m:t>
          </m:r>
          <m:d>
            <m:dPr>
              <m:begChr m:val="("/>
              <m:endChr m:val=")"/>
            </m:dPr>
            <m:e>
              <m:sSub>
                <m:e>
                  <m:r>
                    <m:t xml:space="preserve">X</m:t>
                  </m:r>
                </m:e>
                <m:sub>
                  <m:r>
                    <m:t xml:space="preserve">1</m:t>
                  </m:r>
                </m:sub>
              </m:sSub>
              <m:r>
                <m:t xml:space="preserve">,</m:t>
              </m:r>
              <m:r>
                <m:t xml:space="preserve">…</m:t>
              </m:r>
              <m:r>
                <m:t xml:space="preserve">,</m:t>
              </m:r>
              <m:sSub>
                <m:e>
                  <m:r>
                    <m:t xml:space="preserve">X</m:t>
                  </m:r>
                </m:e>
                <m:sub>
                  <m:r>
                    <m:t xml:space="preserve">n</m:t>
                  </m:r>
                </m:sub>
              </m:sSub>
            </m:e>
          </m:d>
        </m:oMath>
      </m:oMathPara>
    </w:p>
    <w:p>
      <w:pPr>
        <w:pStyle w:val="FirstParagraph"/>
        <w:rPr/>
      </w:pPr>
      <w:r>
        <w:rPr/>
        <w:t>hervorgeht, ohne als identische globale Zielstruktur direkt implementiert worden zu sein, und wenn seine Beschreibung auf Makroebene zusätzlichen analytischen Nutzen besitzt (</w:t>
      </w:r>
      <w:hyperlink w:anchor="ref-Bedau1997">
        <w:r>
          <w:rPr>
            <w:rStyle w:val="Hyperlink"/>
          </w:rPr>
          <w:t>Bedau, 1997</w:t>
        </w:r>
      </w:hyperlink>
      <w:r>
        <w:rPr/>
        <w:t>). Dies ist eine Arbeitsdefinition, keine metaphysische Festlegung.</w:t>
      </w:r>
      <w:bookmarkEnd w:id="196"/>
    </w:p>
    <w:p>
      <w:pPr>
        <w:pStyle w:val="Heading3"/>
        <w:keepNext w:val="true"/>
        <w:widowControl/>
        <w:rPr/>
      </w:pPr>
      <w:bookmarkStart w:id="197" w:name="drei-emergenzstufen"/>
      <w:r>
        <w:rPr/>
        <w:t>18.2 Drei Emergenzstufen</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2483"/>
        <w:gridCol w:w="2484"/>
        <w:gridCol w:w="2484"/>
        <w:gridCol w:w="2484"/>
      </w:tblGrid>
      <w:tr>
        <w:trPr>
          <w:tblHeader w:val="true"/>
        </w:trPr>
        <w:tc>
          <w:tcPr>
            <w:tcW w:w="2483"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Stufe</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Kriterium</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Beispiel</w:t>
            </w:r>
          </w:p>
        </w:tc>
        <w:tc>
          <w:tcPr>
            <w:tcW w:w="2484"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Erforderlicher Test</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strukturell</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nicht vorgegebene Cluster, Regionen oder Motive entstehen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stabile Community nach Lernen</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Nullmodelle, Persistenz, Seed-Replikation</w:t>
            </w:r>
          </w:p>
        </w:tc>
      </w:tr>
      <w:tr>
        <w:trPr/>
        <w:tc>
          <w:tcPr>
            <w:tcW w:w="2483"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dynamisch</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nicht direkt programmierte Oszillation, Sequenz, Metastabilität oder Attraktorstruktur entsteht</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wiederkehrende Aktivitätstrajektorie</w:t>
            </w:r>
          </w:p>
        </w:tc>
        <w:tc>
          <w:tcPr>
            <w:tcW w:w="2484"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Phasen-/Perturbationsanalyse</w:t>
            </w:r>
          </w:p>
        </w:tc>
      </w:tr>
      <w:tr>
        <w:trPr/>
        <w:tc>
          <w:tcPr>
            <w:tcW w:w="2483"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funktional</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entstandene Struktur oder Dynamik verbessert eine Aufgabe oder beeinflusst Verhalten</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Cluster trägt spezifisch Recall</w:t>
            </w:r>
          </w:p>
        </w:tc>
        <w:tc>
          <w:tcPr>
            <w:tcW w:w="2484"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Intervention, matched lesion, Rescue</w:t>
            </w:r>
          </w:p>
        </w:tc>
      </w:tr>
    </w:tbl>
    <w:p>
      <w:pPr>
        <w:pStyle w:val="BodyText"/>
        <w:rPr/>
      </w:pPr>
      <w:bookmarkStart w:id="198" w:name="drei-emergenzstufen"/>
      <w:r>
        <w:rPr/>
        <w:t>Strukturelle oder dynamische Emergenz ist nicht automatisch funktional.</w:t>
      </w:r>
      <w:bookmarkEnd w:id="198"/>
    </w:p>
    <w:p>
      <w:pPr>
        <w:pStyle w:val="Heading3"/>
        <w:keepNext w:val="true"/>
        <w:widowControl/>
        <w:rPr/>
      </w:pPr>
      <w:bookmarkStart w:id="199" w:name="interventionelle-prüfung"/>
      <w:r>
        <w:rPr/>
        <w:t>18.3 Interventionelle Prüfung</w:t>
      </w:r>
    </w:p>
    <w:p>
      <w:pPr>
        <w:pStyle w:val="FirstParagraph"/>
        <w:rPr/>
      </w:pPr>
      <w:r>
        <w:rPr/>
        <w:t xml:space="preserve">Für einen Kandidaten </w:t>
      </w:r>
      <w:r>
        <w:rPr/>
      </w:r>
      <m:oMath xmlns:m="http://schemas.openxmlformats.org/officeDocument/2006/math">
        <m:r>
          <m:t xml:space="preserve">C</m:t>
        </m:r>
      </m:oMath>
      <w:r>
        <w:rPr/>
        <w:t xml:space="preserve"> und Leistung </w:t>
      </w:r>
      <w:r>
        <w:rPr/>
      </w:r>
      <m:oMath xmlns:m="http://schemas.openxmlformats.org/officeDocument/2006/math">
        <m:r>
          <m:t xml:space="preserve">Q</m:t>
        </m:r>
      </m:oMath>
      <w:r>
        <w:rPr/>
        <w:t xml:space="preserve"> wird ein durchschnittlicher kausaler Effekt formalisiert als</w:t>
      </w:r>
    </w:p>
    <w:p>
      <w:pPr>
        <w:pStyle w:val="BodyText"/>
        <w:rPr/>
      </w:pPr>
      <w:r>
        <w:rPr>
          <w:b/>
          <w:bCs/>
        </w:rPr>
        <w:t>[DEF/MODEL]</w:t>
      </w:r>
    </w:p>
    <w:p>
      <w:pPr>
        <w:pStyle w:val="BodyText"/>
        <w:jc w:val="center"/>
        <w:rPr/>
      </w:pPr>
      <w:r>
        <w:rPr/>
      </w:r>
      <m:oMathPara xmlns:m="http://schemas.openxmlformats.org/officeDocument/2006/math">
        <m:oMathParaPr>
          <m:jc m:val="center"/>
        </m:oMathParaPr>
        <m:oMath>
          <m:sSub>
            <m:e>
              <m:r>
                <m:t xml:space="preserve">ACE</m:t>
              </m:r>
            </m:e>
            <m:sub>
              <m:r>
                <m:t xml:space="preserve">C</m:t>
              </m:r>
            </m:sub>
          </m:sSub>
          <m:r>
            <m:t xml:space="preserve">=</m:t>
          </m:r>
          <m:r>
            <m:t xml:space="preserve">E</m:t>
          </m:r>
          <m:d>
            <m:dPr>
              <m:begChr m:val="["/>
              <m:endChr m:val=")"/>
            </m:dPr>
            <m:e>
              <m:r>
                <m:t xml:space="preserve">Q</m:t>
              </m:r>
              <m:r>
                <m:t xml:space="preserve">|</m:t>
              </m:r>
              <m:r>
                <m:t xml:space="preserve">d</m:t>
              </m:r>
              <m:r>
                <m:t xml:space="preserve">o</m:t>
              </m:r>
              <m:d>
                <m:dPr>
                  <m:begChr m:val="("/>
                  <m:endChr m:val=")"/>
                </m:dPr>
                <m:e>
                  <m:r>
                    <m:t xml:space="preserve">C</m:t>
                  </m:r>
                  <m:r>
                    <m:t xml:space="preserve">=</m:t>
                  </m:r>
                  <m:r>
                    <m:t xml:space="preserve">1</m:t>
                  </m:r>
                </m:e>
              </m:d>
            </m:e>
          </m:d>
          <m:r>
            <m:t xml:space="preserve">−</m:t>
          </m:r>
          <m:r>
            <m:t xml:space="preserve">E</m:t>
          </m:r>
          <m:d>
            <m:dPr>
              <m:begChr m:val="["/>
              <m:endChr m:val=")"/>
            </m:dPr>
            <m:e>
              <m:r>
                <m:t xml:space="preserve">Q</m:t>
              </m:r>
              <m:r>
                <m:t xml:space="preserve">|</m:t>
              </m:r>
              <m:r>
                <m:t xml:space="preserve">d</m:t>
              </m:r>
              <m:r>
                <m:t xml:space="preserve">o</m:t>
              </m:r>
              <m:d>
                <m:dPr>
                  <m:begChr m:val="("/>
                  <m:endChr m:val=")"/>
                </m:dPr>
                <m:e>
                  <m:r>
                    <m:t xml:space="preserve">C</m:t>
                  </m:r>
                  <m:r>
                    <m:t xml:space="preserve">=</m:t>
                  </m:r>
                  <m:r>
                    <m:t xml:space="preserve">0</m:t>
                  </m:r>
                </m:e>
              </m:d>
            </m:e>
          </m:d>
          <m:r>
            <m:t xml:space="preserve">.</m:t>
          </m:r>
        </m:oMath>
      </m:oMathPara>
    </w:p>
    <w:p>
      <w:pPr>
        <w:pStyle w:val="FirstParagraph"/>
        <w:rPr/>
      </w:pPr>
      <w:r>
        <w:rPr/>
        <w:t xml:space="preserve">In Simulationen kann </w:t>
      </w:r>
      <w:r>
        <w:rPr>
          <w:rStyle w:val="VerbatimChar"/>
        </w:rPr>
        <w:t>do(C=0)</w:t>
      </w:r>
      <w:r>
        <w:rPr/>
        <w:t xml:space="preserve"> etwa bedeuten: Cluster deaktivieren, interne Kanten entfernen, Spike-Ausgabe blockieren oder Gewichte permutieren. Die Intervention soll die Kandidatenstruktur möglichst spezifisch verändern. Eine unspezifische Läsion, die lediglich Gesamtaktivität reduziert, ist keine hinreichende Kausalanalyse (</w:t>
      </w:r>
      <w:hyperlink w:anchor="ref-Pearl2009">
        <w:r>
          <w:rPr>
            <w:rStyle w:val="Hyperlink"/>
          </w:rPr>
          <w:t>Pearl, 2009</w:t>
        </w:r>
      </w:hyperlink>
      <w:r>
        <w:rPr/>
        <w:t xml:space="preserve">; </w:t>
      </w:r>
      <w:hyperlink w:anchor="ref-Woodward2003">
        <w:r>
          <w:rPr>
            <w:rStyle w:val="Hyperlink"/>
          </w:rPr>
          <w:t>Woodward, 2003</w:t>
        </w:r>
      </w:hyperlink>
      <w:r>
        <w:rPr/>
        <w:t>).</w:t>
      </w:r>
      <w:bookmarkEnd w:id="199"/>
    </w:p>
    <w:p>
      <w:pPr>
        <w:pStyle w:val="Heading3"/>
        <w:keepNext w:val="true"/>
        <w:widowControl/>
        <w:rPr/>
      </w:pPr>
      <w:bookmarkStart w:id="200" w:name="matched-lesions-und-rescue"/>
      <w:r>
        <w:rPr/>
        <w:t>18.4 Matched Lesions und Rescue</w:t>
      </w:r>
    </w:p>
    <w:p>
      <w:pPr>
        <w:pStyle w:val="FirstParagraph"/>
        <w:rPr/>
      </w:pPr>
      <w:bookmarkStart w:id="201" w:name="matched-lesions-und-rescue"/>
      <w:r>
        <w:rPr/>
        <w:t>Zu jeder gezielten Läsion werden Kontrollläsionen mit gleicher Knotenanzahl, ähnlicher Aktivität, gleichem Grad und vergleichbarer räumlicher Lage erzeugt. Ein stärkerer Effekt der gezielten Läsion stützt funktionale Spezifität. Ein anschließender Rescue-Test kann prüfen, ob Wiederherstellung der Struktur oder Ersatzstimulation die Leistung zurückbringt.</w:t>
      </w:r>
      <w:bookmarkEnd w:id="201"/>
    </w:p>
    <w:p>
      <w:pPr>
        <w:pStyle w:val="Heading3"/>
        <w:keepNext w:val="true"/>
        <w:widowControl/>
        <w:rPr/>
      </w:pPr>
      <w:bookmarkStart w:id="202" w:name="makroebenen-und-kausale-emergenz"/>
      <w:r>
        <w:rPr/>
        <w:t>18.5 Makroebenen und kausale Emergenz</w:t>
      </w:r>
    </w:p>
    <w:p>
      <w:pPr>
        <w:pStyle w:val="FirstParagraph"/>
        <w:rPr/>
      </w:pPr>
      <w:r>
        <w:rPr/>
        <w:t>Theorien kausaler Emergenz untersuchen, ob eine Makrobeschreibung kausal informativer sein kann als eine mikroskopische Beschreibung (</w:t>
      </w:r>
      <w:hyperlink w:anchor="ref-Hoel2013">
        <w:r>
          <w:rPr>
            <w:rStyle w:val="Hyperlink"/>
          </w:rPr>
          <w:t>Hoel et al., 2013</w:t>
        </w:r>
      </w:hyperlink>
      <w:r>
        <w:rPr/>
        <w:t>). Brain-5D kann dies explorieren, darf aber Makroüberlegenheit nicht aus besserer Kompression allein ableiten. Makrozustände, Interventionsverteilung und Effektmaß müssen explizit festgelegt werden.</w:t>
      </w:r>
      <w:bookmarkEnd w:id="202"/>
    </w:p>
    <w:p>
      <w:pPr>
        <w:pStyle w:val="Heading3"/>
        <w:keepNext w:val="true"/>
        <w:widowControl/>
        <w:rPr/>
      </w:pPr>
      <w:bookmarkStart w:id="203" w:name="kausalgraph-des-gesamtsystems"/>
      <w:r>
        <w:rPr/>
        <w:t>18.6 Kausalgraph des Gesamtsystems</w:t>
      </w:r>
    </w:p>
    <w:p>
      <w:pPr>
        <w:pStyle w:val="FirstParagraph"/>
        <w:rPr/>
      </w:pPr>
      <w:r>
        <w:rPr/>
        <w:t>Ein vereinfachter Kausalgraph enthält mindestens:</w:t>
      </w:r>
    </w:p>
    <w:p>
      <w:pPr>
        <w:pStyle w:val="BodyText"/>
        <w:jc w:val="center"/>
        <w:rPr/>
      </w:pPr>
      <w:r>
        <w:rPr/>
      </w:r>
      <m:oMathPara xmlns:m="http://schemas.openxmlformats.org/officeDocument/2006/math">
        <m:oMathParaPr>
          <m:jc m:val="center"/>
        </m:oMathParaPr>
        <m:oMath>
          <m:r>
            <m:rPr>
              <m:lit/>
              <m:nor/>
            </m:rPr>
            <m:t xml:space="preserve">Stimulus</m:t>
          </m:r>
          <m:r>
            <m:t xml:space="preserve">→</m:t>
          </m:r>
          <m:sSub>
            <m:e>
              <m:r>
                <m:t xml:space="preserve">X</m:t>
              </m:r>
            </m:e>
            <m:sub>
              <m:r>
                <m:t xml:space="preserve">t</m:t>
              </m:r>
            </m:sub>
          </m:sSub>
          <m:r>
            <m:t xml:space="preserve">→</m:t>
          </m:r>
          <m:r>
            <m:rPr>
              <m:lit/>
              <m:nor/>
            </m:rPr>
            <m:t xml:space="preserve">Action</m:t>
          </m:r>
          <m:r>
            <m:t xml:space="preserve">→</m:t>
          </m:r>
          <m:sSub>
            <m:e>
              <m:r>
                <m:rPr>
                  <m:lit/>
                  <m:nor/>
                </m:rPr>
                <m:t xml:space="preserve">Environment</m:t>
              </m:r>
            </m:e>
            <m:sub>
              <m:r>
                <m:t xml:space="preserve">t</m:t>
              </m:r>
              <m:r>
                <m:t xml:space="preserve">+</m:t>
              </m:r>
              <m:r>
                <m:t xml:space="preserve">1</m:t>
              </m:r>
            </m:sub>
          </m:sSub>
          <m:r>
            <m:t xml:space="preserve">,</m:t>
          </m:r>
        </m:oMath>
      </m:oMathPara>
    </w:p>
    <w:p>
      <w:pPr>
        <w:pStyle w:val="FirstParagraph"/>
        <w:rPr/>
      </w:pPr>
      <w:bookmarkStart w:id="204" w:name="messbare-emergenz-und-kausalität"/>
      <w:bookmarkStart w:id="205" w:name="kausalgraph-des-gesamtsystems"/>
      <w:r>
        <w:rPr/>
        <w:t>sowie Plastizität, Reward, LLM-Interventionen, Retrieval und Scheduler als potenzielle Ursachen. Nicht beobachtete gemeinsame Ursachen, etwa globale Modulatoren, müssen in der Analyse berücksichtigt werden. Die hohe Beobachtbarkeit einer Simulation erleichtert, aber garantiert keine korrekte Kausalinferenz.</w:t>
      </w:r>
      <w:bookmarkEnd w:id="204"/>
      <w:bookmarkEnd w:id="205"/>
    </w:p>
    <w:p>
      <w:pPr>
        <w:pStyle w:val="Heading2"/>
        <w:keepNext w:val="true"/>
        <w:widowControl/>
        <w:rPr/>
      </w:pPr>
      <w:bookmarkStart w:id="206" w:name="__RefHeading___Toc10139_954062153"/>
      <w:bookmarkStart w:id="207" w:name="X7bb044300c10d4d9dba4327fdf87df2604adead"/>
      <w:bookmarkEnd w:id="206"/>
      <w:r>
        <w:rPr/>
        <w:t>19. Kandidat für ein internes prädiktives Zustandsmodell</w:t>
      </w:r>
    </w:p>
    <w:p>
      <w:pPr>
        <w:pStyle w:val="Heading3"/>
        <w:keepNext w:val="true"/>
        <w:widowControl/>
        <w:rPr/>
      </w:pPr>
      <w:bookmarkStart w:id="208" w:name="terminologische-zurückhaltung"/>
      <w:r>
        <w:rPr/>
        <w:t>19.1 Terminologische Zurückhaltung</w:t>
      </w:r>
    </w:p>
    <w:p>
      <w:pPr>
        <w:pStyle w:val="FirstParagraph"/>
        <w:rPr/>
      </w:pPr>
      <w:r>
        <w:rPr/>
        <w:t>Der Begriff „World Model“ wird in der Literatur für unterschiedliche latente oder prädiktive Modelle verwendet (</w:t>
      </w:r>
      <w:hyperlink w:anchor="ref-Ha2018">
        <w:r>
          <w:rPr>
            <w:rStyle w:val="Hyperlink"/>
          </w:rPr>
          <w:t>Ha &amp; Schmidhuber, 2018</w:t>
        </w:r>
      </w:hyperlink>
      <w:r>
        <w:rPr/>
        <w:t xml:space="preserve">; </w:t>
      </w:r>
      <w:hyperlink w:anchor="ref-Hafner2020">
        <w:r>
          <w:rPr>
            <w:rStyle w:val="Hyperlink"/>
          </w:rPr>
          <w:t>Hafner et al., 2020</w:t>
        </w:r>
      </w:hyperlink>
      <w:r>
        <w:rPr/>
        <w:t xml:space="preserve">; </w:t>
      </w:r>
      <w:hyperlink w:anchor="ref-Schrittwieser2020">
        <w:r>
          <w:rPr>
            <w:rStyle w:val="Hyperlink"/>
          </w:rPr>
          <w:t>Schrittwieser et al., 2020</w:t>
        </w:r>
      </w:hyperlink>
      <w:r>
        <w:rPr/>
        <w:t xml:space="preserve">). Brain-5D verwendet in der Roadmap zunächst die vorsichtigere Bezeichnung </w:t>
      </w:r>
      <w:r>
        <w:rPr>
          <w:b/>
          <w:bCs/>
        </w:rPr>
        <w:t>Kandidat für ein internes prädiktives Zustandsmodell</w:t>
      </w:r>
      <w:r>
        <w:rPr/>
        <w:t>. Der Begriff „Weltmodell“ ist erst nach expliziter Operationalisierung zulässig.</w:t>
      </w:r>
      <w:bookmarkEnd w:id="208"/>
    </w:p>
    <w:p>
      <w:pPr>
        <w:pStyle w:val="Heading3"/>
        <w:keepNext w:val="true"/>
        <w:widowControl/>
        <w:rPr/>
      </w:pPr>
      <w:bookmarkStart w:id="209" w:name="minimalmodell"/>
      <w:r>
        <w:rPr/>
        <w:t>19.2 Minimalmodell</w:t>
      </w:r>
    </w:p>
    <w:p>
      <w:pPr>
        <w:pStyle w:val="FirstParagraph"/>
        <w:rPr/>
      </w:pPr>
      <w:r>
        <w:rPr>
          <w:b/>
          <w:bCs/>
        </w:rPr>
        <w:t>[MODEL]</w:t>
      </w:r>
      <w:r>
        <w:rPr/>
        <w:t xml:space="preserve"> Ein interner Zustand </w:t>
      </w:r>
      <w:r>
        <w:rPr/>
      </w:r>
      <m:oMath xmlns:m="http://schemas.openxmlformats.org/officeDocument/2006/math">
        <m:sSub>
          <m:e>
            <m:r>
              <m:t xml:space="preserve">s</m:t>
            </m:r>
          </m:e>
          <m:sub>
            <m:r>
              <m:t xml:space="preserve">t</m:t>
            </m:r>
          </m:sub>
        </m:sSub>
      </m:oMath>
      <w:r>
        <w:rPr/>
        <w:t xml:space="preserve"> und eine Aktion </w:t>
      </w:r>
      <w:r>
        <w:rPr/>
      </w:r>
      <m:oMath xmlns:m="http://schemas.openxmlformats.org/officeDocument/2006/math">
        <m:sSub>
          <m:e>
            <m:r>
              <m:t xml:space="preserve">a</m:t>
            </m:r>
          </m:e>
          <m:sub>
            <m:r>
              <m:t xml:space="preserve">t</m:t>
            </m:r>
          </m:sub>
        </m:sSub>
      </m:oMath>
      <w:r>
        <w:rPr/>
        <w:t xml:space="preserve"> erzeugen eine Vorhersage</w:t>
      </w:r>
    </w:p>
    <w:p>
      <w:pPr>
        <w:pStyle w:val="BodyText"/>
        <w:jc w:val="center"/>
        <w:rPr/>
      </w:pPr>
      <w:r>
        <w:rPr/>
      </w:r>
      <m:oMathPara xmlns:m="http://schemas.openxmlformats.org/officeDocument/2006/math">
        <m:oMathParaPr>
          <m:jc m:val="center"/>
        </m:oMathParaPr>
        <m:oMath>
          <m:sSub>
            <m:e>
              <m:acc>
                <m:accPr>
                  <m:chr m:val="^"/>
                </m:accPr>
                <m:e>
                  <m:r>
                    <m:t xml:space="preserve">s</m:t>
                  </m:r>
                </m:e>
              </m:acc>
            </m:e>
            <m:sub>
              <m:r>
                <m:t xml:space="preserve">t</m:t>
              </m:r>
              <m:r>
                <m:t xml:space="preserve">+</m:t>
              </m:r>
              <m:r>
                <m:t xml:space="preserve">1</m:t>
              </m:r>
            </m:sub>
          </m:sSub>
          <m:r>
            <m:t xml:space="preserve">=</m:t>
          </m:r>
          <m:sSub>
            <m:e>
              <m:r>
                <m:t xml:space="preserve">f</m:t>
              </m:r>
            </m:e>
            <m:sub>
              <m:r>
                <m:t xml:space="preserve">ψ</m:t>
              </m:r>
            </m:sub>
          </m:sSub>
          <m:d>
            <m:dPr>
              <m:begChr m:val="("/>
              <m:endChr m:val=")"/>
            </m:dPr>
            <m:e>
              <m:sSub>
                <m:e>
                  <m:r>
                    <m:t xml:space="preserve">s</m:t>
                  </m:r>
                </m:e>
                <m:sub>
                  <m:r>
                    <m:t xml:space="preserve">t</m:t>
                  </m:r>
                </m:sub>
              </m:sSub>
              <m:r>
                <m:t xml:space="preserve">,</m:t>
              </m:r>
              <m:sSub>
                <m:e>
                  <m:r>
                    <m:t xml:space="preserve">a</m:t>
                  </m:r>
                </m:e>
                <m:sub>
                  <m:r>
                    <m:t xml:space="preserve">t</m:t>
                  </m:r>
                </m:sub>
              </m:sSub>
            </m:e>
          </m:d>
          <m:r>
            <m:t xml:space="preserve">,</m:t>
          </m:r>
        </m:oMath>
      </m:oMathPara>
    </w:p>
    <w:p>
      <w:pPr>
        <w:pStyle w:val="FirstParagraph"/>
        <w:rPr/>
      </w:pPr>
      <w:r>
        <w:rPr/>
        <w:t>beziehungsweise eine Beobachtungsvorhersage</w:t>
      </w:r>
    </w:p>
    <w:p>
      <w:pPr>
        <w:pStyle w:val="BodyText"/>
        <w:jc w:val="center"/>
        <w:rPr/>
      </w:pPr>
      <w:r>
        <w:rPr/>
      </w:r>
      <m:oMathPara xmlns:m="http://schemas.openxmlformats.org/officeDocument/2006/math">
        <m:oMathParaPr>
          <m:jc m:val="center"/>
        </m:oMathParaPr>
        <m:oMath>
          <m:sSub>
            <m:e>
              <m:acc>
                <m:accPr>
                  <m:chr m:val="^"/>
                </m:accPr>
                <m:e>
                  <m:r>
                    <m:t xml:space="preserve">o</m:t>
                  </m:r>
                </m:e>
              </m:acc>
            </m:e>
            <m:sub>
              <m:r>
                <m:t xml:space="preserve">t</m:t>
              </m:r>
              <m:r>
                <m:t xml:space="preserve">+</m:t>
              </m:r>
              <m:r>
                <m:t xml:space="preserve">1</m:t>
              </m:r>
            </m:sub>
          </m:sSub>
          <m:r>
            <m:t xml:space="preserve">=</m:t>
          </m:r>
          <m:sSub>
            <m:e>
              <m:r>
                <m:t xml:space="preserve">g</m:t>
              </m:r>
            </m:e>
            <m:sub>
              <m:r>
                <m:t xml:space="preserve">ω</m:t>
              </m:r>
            </m:sub>
          </m:sSub>
          <m:d>
            <m:dPr>
              <m:begChr m:val="("/>
              <m:endChr m:val=")"/>
            </m:dPr>
            <m:e>
              <m:sSub>
                <m:e>
                  <m:r>
                    <m:t xml:space="preserve">s</m:t>
                  </m:r>
                </m:e>
                <m:sub>
                  <m:r>
                    <m:t xml:space="preserve">t</m:t>
                  </m:r>
                </m:sub>
              </m:sSub>
              <m:r>
                <m:t xml:space="preserve">,</m:t>
              </m:r>
              <m:sSub>
                <m:e>
                  <m:r>
                    <m:t xml:space="preserve">a</m:t>
                  </m:r>
                </m:e>
                <m:sub>
                  <m:r>
                    <m:t xml:space="preserve">t</m:t>
                  </m:r>
                </m:sub>
              </m:sSub>
            </m:e>
          </m:d>
          <m:r>
            <m:t xml:space="preserve">.</m:t>
          </m:r>
        </m:oMath>
      </m:oMathPara>
    </w:p>
    <w:p>
      <w:pPr>
        <w:pStyle w:val="FirstParagraph"/>
        <w:rPr/>
      </w:pPr>
      <w:r>
        <w:rPr/>
        <w:t>Ein Kandidat erfüllt mindestens:</w:t>
      </w:r>
    </w:p>
    <w:p>
      <w:pPr>
        <w:pStyle w:val="Compact"/>
        <w:numPr>
          <w:ilvl w:val="0"/>
          <w:numId w:val="169"/>
        </w:numPr>
        <w:rPr/>
      </w:pPr>
      <w:r>
        <w:rPr/>
        <w:t>Vorhersage über einen zukünftigen Umwelt- oder Sensorzustand;</w:t>
      </w:r>
    </w:p>
    <w:p>
      <w:pPr>
        <w:pStyle w:val="Compact"/>
        <w:numPr>
          <w:ilvl w:val="0"/>
          <w:numId w:val="170"/>
        </w:numPr>
        <w:rPr/>
      </w:pPr>
      <w:r>
        <w:rPr/>
        <w:t>Zusatzinformation über die triviale Kopie des aktuellen Inputs hinaus;</w:t>
      </w:r>
    </w:p>
    <w:p>
      <w:pPr>
        <w:pStyle w:val="Compact"/>
        <w:numPr>
          <w:ilvl w:val="0"/>
          <w:numId w:val="171"/>
        </w:numPr>
        <w:rPr/>
      </w:pPr>
      <w:r>
        <w:rPr/>
        <w:t>Sensitivität gegenüber alternativen Aktionen;</w:t>
      </w:r>
    </w:p>
    <w:p>
      <w:pPr>
        <w:pStyle w:val="Compact"/>
        <w:numPr>
          <w:ilvl w:val="0"/>
          <w:numId w:val="172"/>
        </w:numPr>
        <w:rPr/>
      </w:pPr>
      <w:r>
        <w:rPr/>
        <w:t>Generalisierung auf nicht trainierte Sequenzen oder Kontexte;</w:t>
      </w:r>
    </w:p>
    <w:p>
      <w:pPr>
        <w:pStyle w:val="Compact"/>
        <w:numPr>
          <w:ilvl w:val="0"/>
          <w:numId w:val="173"/>
        </w:numPr>
        <w:rPr/>
      </w:pPr>
      <w:r>
        <w:rPr/>
        <w:t>mehrschrittige Rollouts mit quantifiziertem Fehler;</w:t>
      </w:r>
    </w:p>
    <w:p>
      <w:pPr>
        <w:pStyle w:val="Compact"/>
        <w:numPr>
          <w:ilvl w:val="0"/>
          <w:numId w:val="174"/>
        </w:numPr>
        <w:rPr/>
      </w:pPr>
      <w:r>
        <w:rPr/>
        <w:t>funktionalen Nutzen für Planung oder Verhalten;</w:t>
      </w:r>
    </w:p>
    <w:p>
      <w:pPr>
        <w:pStyle w:val="Compact"/>
        <w:numPr>
          <w:ilvl w:val="0"/>
          <w:numId w:val="175"/>
        </w:numPr>
        <w:rPr/>
      </w:pPr>
      <w:bookmarkStart w:id="210" w:name="minimalmodell"/>
      <w:r>
        <w:rPr/>
        <w:t>Leistungsabfall bei gezielter Ablation des prädiktiven Zustands.</w:t>
      </w:r>
      <w:bookmarkEnd w:id="210"/>
    </w:p>
    <w:p>
      <w:pPr>
        <w:pStyle w:val="Heading3"/>
        <w:keepNext w:val="true"/>
        <w:widowControl/>
        <w:rPr/>
      </w:pPr>
      <w:bookmarkStart w:id="211" w:name="predictive-state-representations"/>
      <w:r>
        <w:rPr/>
        <w:t>19.3 Predictive State Representations</w:t>
      </w:r>
    </w:p>
    <w:p>
      <w:pPr>
        <w:pStyle w:val="FirstParagraph"/>
        <w:rPr/>
      </w:pPr>
      <w:r>
        <w:rPr/>
        <w:t>Predictive State Representations beschreiben Zustand über Vorhersagen zukünftiger Beobachtungen statt über verborgene ontologische Variablen (</w:t>
      </w:r>
      <w:hyperlink w:anchor="ref-Littman2001">
        <w:r>
          <w:rPr>
            <w:rStyle w:val="Hyperlink"/>
          </w:rPr>
          <w:t>Littman et al., 2001</w:t>
        </w:r>
      </w:hyperlink>
      <w:r>
        <w:rPr/>
        <w:t>). Dieses Konzept ist für Brain-5D attraktiv, weil es operationalisierbar bleibt: Entscheidend ist, welche Zukunftsinformation ein interner Zustand trägt und wie sie Verhalten beeinflusst.</w:t>
      </w:r>
      <w:bookmarkEnd w:id="211"/>
    </w:p>
    <w:p>
      <w:pPr>
        <w:pStyle w:val="Heading3"/>
        <w:keepNext w:val="true"/>
        <w:widowControl/>
        <w:rPr/>
      </w:pPr>
      <w:bookmarkStart w:id="212" w:name="dyna-und-interne-simulation"/>
      <w:r>
        <w:rPr/>
        <w:t>19.4 Dyna und interne Simulation</w:t>
      </w:r>
    </w:p>
    <w:p>
      <w:pPr>
        <w:pStyle w:val="FirstParagraph"/>
        <w:rPr/>
      </w:pPr>
      <w:r>
        <w:rPr/>
        <w:t>Dyna-Architekturen verbinden Lernen, Planung und simulierte Erfahrung (</w:t>
      </w:r>
      <w:hyperlink w:anchor="ref-Sutton1991">
        <w:r>
          <w:rPr>
            <w:rStyle w:val="Hyperlink"/>
          </w:rPr>
          <w:t>Sutton, 1991</w:t>
        </w:r>
      </w:hyperlink>
      <w:r>
        <w:rPr/>
        <w:t>). Brain-5D soll erst dann von interner Simulation sprechen, wenn das System intern erzeugte Zustandsübergänge von externen Sensorereignissen unterscheiden kann und diese Übergänge nachweisbar zur Handlungswahl nutzt. Zufällige Replay-Aktivität oder Traumlogs sind noch keine Planung.</w:t>
      </w:r>
      <w:bookmarkEnd w:id="212"/>
    </w:p>
    <w:p>
      <w:pPr>
        <w:pStyle w:val="Heading3"/>
        <w:keepNext w:val="true"/>
        <w:widowControl/>
        <w:rPr/>
      </w:pPr>
      <w:bookmarkStart w:id="213" w:name="prüfbare-hypothese"/>
      <w:r>
        <w:rPr/>
        <w:t>19.5 Prüfbare Hypothese</w:t>
      </w:r>
    </w:p>
    <w:p>
      <w:pPr>
        <w:pStyle w:val="FirstParagraph"/>
        <w:rPr/>
      </w:pPr>
      <w:r>
        <w:rPr>
          <w:b/>
          <w:bCs/>
        </w:rPr>
        <w:t>[E0 | HYPOTHESIS | CLAIM-PRED-001]</w:t>
      </w:r>
      <w:r>
        <w:rPr/>
        <w:t xml:space="preserve"> In einer geschlossenen, partiell beobachtbaren Umgebung können rekurrente Brain-5D-Zustände action-konditionierte Zukunftsinformation akkumulieren, die über aktuellen Sensorinput hinausgeht und die Leistung bei verzögerten Entscheidungsaufgaben verbessert.</w:t>
      </w:r>
    </w:p>
    <w:p>
      <w:pPr>
        <w:pStyle w:val="BodyText"/>
        <w:rPr/>
      </w:pPr>
      <w:bookmarkStart w:id="214" w:name="X1f5d6170fb2594afbffe3fcb338b4ffe5fdbc47"/>
      <w:bookmarkStart w:id="215" w:name="X7bb044300c10d4d9dba4327fdf87df2604adead"/>
      <w:bookmarkStart w:id="216" w:name="prüfbare-hypothese"/>
      <w:r>
        <w:rPr/>
        <w:t>Falsifikation: Ein kontrollierter Decoder findet keine inkrementelle Zukunftsinformation; oder die Ablation prädiktiver Zustände beeinflusst Verhalten nicht stärker als gematchte Kontrollablationen.</w:t>
      </w:r>
      <w:bookmarkEnd w:id="214"/>
      <w:bookmarkEnd w:id="215"/>
      <w:bookmarkEnd w:id="216"/>
      <w:r>
        <w:br w:type="page"/>
      </w:r>
    </w:p>
    <w:p>
      <w:pPr>
        <w:pStyle w:val="Heading1"/>
        <w:keepNext w:val="true"/>
        <w:widowControl/>
        <w:rPr/>
      </w:pPr>
      <w:bookmarkStart w:id="217" w:name="__RefHeading___Toc10141_954062153"/>
      <w:bookmarkStart w:id="218" w:name="Xec3d163506ac895d8c340cb79645270b66b56b4"/>
      <w:bookmarkEnd w:id="217"/>
      <w:r>
        <w:rPr/>
        <w:t>Teil III — Schnittstellen, Sprache, Wissen, Persistenz und Verkörperung</w:t>
      </w:r>
    </w:p>
    <w:p>
      <w:pPr>
        <w:pStyle w:val="Heading2"/>
        <w:keepNext w:val="true"/>
        <w:widowControl/>
        <w:rPr/>
      </w:pPr>
      <w:bookmarkStart w:id="219" w:name="__RefHeading___Toc10143_954062153"/>
      <w:bookmarkStart w:id="220" w:name="signal-interpretation-layer"/>
      <w:bookmarkEnd w:id="219"/>
      <w:r>
        <w:rPr/>
        <w:t>20. Signal Interpretation Layer</w:t>
      </w:r>
    </w:p>
    <w:p>
      <w:pPr>
        <w:pStyle w:val="Heading3"/>
        <w:keepNext w:val="true"/>
        <w:widowControl/>
        <w:rPr/>
      </w:pPr>
      <w:bookmarkStart w:id="221" w:name="wissenschaftliche-funktion"/>
      <w:r>
        <w:rPr/>
        <w:t>20.1 Wissenschaftliche Funktion</w:t>
      </w:r>
    </w:p>
    <w:p>
      <w:pPr>
        <w:pStyle w:val="FirstParagraph"/>
        <w:rPr/>
      </w:pPr>
      <w:r>
        <w:rPr/>
        <w:t>Der Signal Interpretation Layer (SIL) bildet eine deterministische beziehungsweise vollständig versionierte Messschicht zwischen neuronalen Rohereignissen und nachgelagerten Interpretationssystemen. Seine Aufgabe ist nicht, Bedeutung zu erzeugen, sondern definierte, prüfbare Merkmale aus einem Zeitfenster zu berechnen. Diese Trennung schützt vor einem zentralen Confound: Ein leistungsfähiges LLM darf keine semantische Geschichte direkt aus unstrukturierten Spike-Arrays konstruieren und anschließend so behandeln, als habe das SNN selbst diese Geschichte repräsentiert.</w:t>
      </w:r>
    </w:p>
    <w:p>
      <w:pPr>
        <w:pStyle w:val="BodyText"/>
        <w:rPr/>
      </w:pPr>
      <w:r>
        <w:rPr>
          <w:b/>
          <w:bCs/>
        </w:rPr>
        <w:t>[DEF]</w:t>
      </w:r>
    </w:p>
    <w:p>
      <w:pPr>
        <w:pStyle w:val="BodyText"/>
        <w:jc w:val="center"/>
        <w:rPr/>
      </w:pPr>
      <w:r>
        <w:rPr/>
      </w:r>
      <m:oMathPara xmlns:m="http://schemas.openxmlformats.org/officeDocument/2006/math">
        <m:oMathParaPr>
          <m:jc m:val="center"/>
        </m:oMathParaPr>
        <m:oMath>
          <m:sSub>
            <m:e>
              <m:r>
                <m:t xml:space="preserve">S</m:t>
              </m:r>
            </m:e>
            <m:sub>
              <m:r>
                <m:t xml:space="preserve">v</m:t>
              </m:r>
            </m:sub>
          </m:sSub>
          <m:r>
            <m:t xml:space="preserve">:</m:t>
          </m:r>
          <m:d>
            <m:dPr>
              <m:begChr m:val="("/>
              <m:endChr m:val=")"/>
            </m:dPr>
            <m:e>
              <m:r>
                <m:rPr>
                  <m:lit/>
                  <m:nor/>
                </m:rPr>
                <m:t xml:space="preserve">SpikeEvents</m:t>
              </m:r>
              <m:r>
                <m:t xml:space="preserve">,</m:t>
              </m:r>
              <m:sSub>
                <m:e>
                  <m:r>
                    <m:t xml:space="preserve">X</m:t>
                  </m:r>
                </m:e>
                <m:sub>
                  <m:d>
                    <m:dPr>
                      <m:begChr m:val="["/>
                      <m:endChr m:val=")"/>
                    </m:dPr>
                    <m:e>
                      <m:sSub>
                        <m:e>
                          <m:r>
                            <m:t xml:space="preserve">t</m:t>
                          </m:r>
                        </m:e>
                        <m:sub>
                          <m:r>
                            <m:t xml:space="preserve">0</m:t>
                          </m:r>
                        </m:sub>
                      </m:sSub>
                      <m:r>
                        <m:t xml:space="preserve">,</m:t>
                      </m:r>
                      <m:sSub>
                        <m:e>
                          <m:r>
                            <m:t xml:space="preserve">t</m:t>
                          </m:r>
                        </m:e>
                        <m:sub>
                          <m:r>
                            <m:t xml:space="preserve">1</m:t>
                          </m:r>
                        </m:sub>
                      </m:sSub>
                    </m:e>
                  </m:d>
                </m:sub>
              </m:sSub>
              <m:r>
                <m:t xml:space="preserve">,</m:t>
              </m:r>
              <m:r>
                <m:rPr>
                  <m:lit/>
                  <m:nor/>
                </m:rPr>
                <m:t xml:space="preserve">RegionSchema</m:t>
              </m:r>
            </m:e>
          </m:d>
          <m:r>
            <m:t xml:space="preserve">→</m:t>
          </m:r>
          <m:sSub>
            <m:e>
              <m:r>
                <m:rPr>
                  <m:lit/>
                  <m:nor/>
                </m:rPr>
                <m:t xml:space="preserve">SignalFrame</m:t>
              </m:r>
            </m:e>
            <m:sub>
              <m:r>
                <m:t xml:space="preserve">v</m:t>
              </m:r>
            </m:sub>
          </m:sSub>
          <m:r>
            <m:t xml:space="preserve">,</m:t>
          </m:r>
        </m:oMath>
      </m:oMathPara>
    </w:p>
    <w:p>
      <w:pPr>
        <w:pStyle w:val="FirstParagraph"/>
        <w:rPr/>
      </w:pPr>
      <w:r>
        <w:rPr/>
        <w:t xml:space="preserve">wobei </w:t>
      </w:r>
      <w:r>
        <w:rPr/>
      </w:r>
      <m:oMath xmlns:m="http://schemas.openxmlformats.org/officeDocument/2006/math">
        <m:r>
          <m:t xml:space="preserve">v</m:t>
        </m:r>
      </m:oMath>
      <w:r>
        <w:rPr/>
        <w:t xml:space="preserve"> die Version der Transformation bezeichnet. Für identische Eingaben muss ein deterministischer SIL identische Frames erzeugen. Stochastische Schätzer müssen Seed und Unsicherheit mitführen.</w:t>
      </w:r>
      <w:bookmarkEnd w:id="221"/>
    </w:p>
    <w:p>
      <w:pPr>
        <w:pStyle w:val="Heading3"/>
        <w:keepNext w:val="true"/>
        <w:widowControl/>
        <w:rPr/>
      </w:pPr>
      <w:bookmarkStart w:id="222" w:name="minimaler-datenvertrag"/>
      <w:r>
        <w:rPr/>
        <w:t>20.2 Minimaler Datenvertrag</w:t>
      </w:r>
    </w:p>
    <w:p>
      <w:pPr>
        <w:pStyle w:val="SourceCode"/>
        <w:shd w:val="clear" w:fill="F5F7FA"/>
        <w:rPr/>
      </w:pPr>
      <w:r>
        <w:rPr>
          <w:rStyle w:val="ImportTok"/>
        </w:rPr>
        <w:t>from</w:t>
      </w:r>
      <w:r>
        <w:rPr>
          <w:rStyle w:val="NormalTok"/>
        </w:rPr>
        <w:t xml:space="preserve"> dataclasses </w:t>
      </w:r>
      <w:r>
        <w:rPr>
          <w:rStyle w:val="ImportTok"/>
        </w:rPr>
        <w:t>import</w:t>
      </w:r>
      <w:r>
        <w:rPr>
          <w:rStyle w:val="NormalTok"/>
        </w:rPr>
        <w:t xml:space="preserve"> dataclass</w:t>
      </w:r>
      <w:r>
        <w:rPr/>
        <w:br/>
        <w:br/>
      </w:r>
      <w:r>
        <w:rPr>
          <w:rStyle w:val="AttributeTok"/>
        </w:rPr>
        <w:t>@dataclass</w:t>
      </w:r>
      <w:r>
        <w:rPr>
          <w:rStyle w:val="NormalTok"/>
        </w:rPr>
        <w:t>(frozen</w:t>
      </w:r>
      <w:r>
        <w:rPr>
          <w:rStyle w:val="OperatorTok"/>
        </w:rPr>
        <w:t>=</w:t>
      </w:r>
      <w:r>
        <w:rPr>
          <w:rStyle w:val="VariableTok"/>
        </w:rPr>
        <w:t>True</w:t>
      </w:r>
      <w:r>
        <w:rPr>
          <w:rStyle w:val="NormalTok"/>
        </w:rPr>
        <w:t>, slots</w:t>
      </w:r>
      <w:r>
        <w:rPr>
          <w:rStyle w:val="OperatorTok"/>
        </w:rPr>
        <w:t>=</w:t>
      </w:r>
      <w:r>
        <w:rPr>
          <w:rStyle w:val="VariableTok"/>
        </w:rPr>
        <w:t>True</w:t>
      </w:r>
      <w:r>
        <w:rPr>
          <w:rStyle w:val="NormalTok"/>
        </w:rPr>
        <w:t>)</w:t>
      </w:r>
      <w:r>
        <w:rPr/>
        <w:br/>
      </w:r>
      <w:r>
        <w:rPr>
          <w:rStyle w:val="KeywordTok"/>
        </w:rPr>
        <w:t>class</w:t>
      </w:r>
      <w:r>
        <w:rPr>
          <w:rStyle w:val="NormalTok"/>
        </w:rPr>
        <w:t xml:space="preserve"> RegionActivity:</w:t>
      </w:r>
      <w:r>
        <w:rPr/>
        <w:br/>
      </w:r>
      <w:r>
        <w:rPr>
          <w:rStyle w:val="NormalTok"/>
        </w:rPr>
        <w:t xml:space="preserve">    region_id: </w:t>
      </w:r>
      <w:r>
        <w:rPr>
          <w:rStyle w:val="BuiltInTok"/>
        </w:rPr>
        <w:t>str</w:t>
      </w:r>
      <w:r>
        <w:rPr/>
        <w:br/>
      </w:r>
      <w:r>
        <w:rPr>
          <w:rStyle w:val="NormalTok"/>
        </w:rPr>
        <w:t xml:space="preserve">    neuron_count: </w:t>
      </w:r>
      <w:r>
        <w:rPr>
          <w:rStyle w:val="BuiltInTok"/>
        </w:rPr>
        <w:t>int</w:t>
      </w:r>
      <w:r>
        <w:rPr/>
        <w:br/>
      </w:r>
      <w:r>
        <w:rPr>
          <w:rStyle w:val="NormalTok"/>
        </w:rPr>
        <w:t xml:space="preserve">    active_fraction: </w:t>
      </w:r>
      <w:r>
        <w:rPr>
          <w:rStyle w:val="BuiltInTok"/>
        </w:rPr>
        <w:t>float</w:t>
      </w:r>
      <w:r>
        <w:rPr/>
        <w:br/>
      </w:r>
      <w:r>
        <w:rPr>
          <w:rStyle w:val="NormalTok"/>
        </w:rPr>
        <w:t xml:space="preserve">    firing_rate_hz: </w:t>
      </w:r>
      <w:r>
        <w:rPr>
          <w:rStyle w:val="BuiltInTok"/>
        </w:rPr>
        <w:t>float</w:t>
      </w:r>
      <w:r>
        <w:rPr/>
        <w:br/>
      </w:r>
      <w:r>
        <w:rPr>
          <w:rStyle w:val="NormalTok"/>
        </w:rPr>
        <w:t xml:space="preserve">    spike_count: </w:t>
      </w:r>
      <w:r>
        <w:rPr>
          <w:rStyle w:val="BuiltInTok"/>
        </w:rPr>
        <w:t>int</w:t>
      </w:r>
      <w:r>
        <w:rPr/>
        <w:br/>
      </w:r>
      <w:r>
        <w:rPr>
          <w:rStyle w:val="NormalTok"/>
        </w:rPr>
        <w:t xml:space="preserve">    burst_index: </w:t>
      </w:r>
      <w:r>
        <w:rPr>
          <w:rStyle w:val="BuiltInTok"/>
        </w:rPr>
        <w:t>float</w:t>
      </w:r>
      <w:r>
        <w:rPr/>
        <w:br/>
      </w:r>
      <w:r>
        <w:rPr>
          <w:rStyle w:val="NormalTok"/>
        </w:rPr>
        <w:t xml:space="preserve">    synchrony: </w:t>
      </w:r>
      <w:r>
        <w:rPr>
          <w:rStyle w:val="BuiltInTok"/>
        </w:rPr>
        <w:t>float</w:t>
      </w:r>
      <w:r>
        <w:rPr/>
        <w:br/>
        <w:br/>
      </w:r>
      <w:r>
        <w:rPr>
          <w:rStyle w:val="AttributeTok"/>
        </w:rPr>
        <w:t>@dataclass</w:t>
      </w:r>
      <w:r>
        <w:rPr>
          <w:rStyle w:val="NormalTok"/>
        </w:rPr>
        <w:t>(frozen</w:t>
      </w:r>
      <w:r>
        <w:rPr>
          <w:rStyle w:val="OperatorTok"/>
        </w:rPr>
        <w:t>=</w:t>
      </w:r>
      <w:r>
        <w:rPr>
          <w:rStyle w:val="VariableTok"/>
        </w:rPr>
        <w:t>True</w:t>
      </w:r>
      <w:r>
        <w:rPr>
          <w:rStyle w:val="NormalTok"/>
        </w:rPr>
        <w:t>, slots</w:t>
      </w:r>
      <w:r>
        <w:rPr>
          <w:rStyle w:val="OperatorTok"/>
        </w:rPr>
        <w:t>=</w:t>
      </w:r>
      <w:r>
        <w:rPr>
          <w:rStyle w:val="VariableTok"/>
        </w:rPr>
        <w:t>True</w:t>
      </w:r>
      <w:r>
        <w:rPr>
          <w:rStyle w:val="NormalTok"/>
        </w:rPr>
        <w:t>)</w:t>
      </w:r>
      <w:r>
        <w:rPr/>
        <w:br/>
      </w:r>
      <w:r>
        <w:rPr>
          <w:rStyle w:val="KeywordTok"/>
        </w:rPr>
        <w:t>class</w:t>
      </w:r>
      <w:r>
        <w:rPr>
          <w:rStyle w:val="NormalTok"/>
        </w:rPr>
        <w:t xml:space="preserve"> SignalFrame:</w:t>
      </w:r>
      <w:r>
        <w:rPr/>
        <w:br/>
      </w:r>
      <w:r>
        <w:rPr>
          <w:rStyle w:val="NormalTok"/>
        </w:rPr>
        <w:t xml:space="preserve">    frame_id: </w:t>
      </w:r>
      <w:r>
        <w:rPr>
          <w:rStyle w:val="BuiltInTok"/>
        </w:rPr>
        <w:t>str</w:t>
      </w:r>
      <w:r>
        <w:rPr/>
        <w:br/>
      </w:r>
      <w:r>
        <w:rPr>
          <w:rStyle w:val="NormalTok"/>
        </w:rPr>
        <w:t xml:space="preserve">    schema_version: </w:t>
      </w:r>
      <w:r>
        <w:rPr>
          <w:rStyle w:val="BuiltInTok"/>
        </w:rPr>
        <w:t>str</w:t>
      </w:r>
      <w:r>
        <w:rPr/>
        <w:br/>
      </w:r>
      <w:r>
        <w:rPr>
          <w:rStyle w:val="NormalTok"/>
        </w:rPr>
        <w:t xml:space="preserve">    tick_from: </w:t>
      </w:r>
      <w:r>
        <w:rPr>
          <w:rStyle w:val="BuiltInTok"/>
        </w:rPr>
        <w:t>int</w:t>
      </w:r>
      <w:r>
        <w:rPr/>
        <w:br/>
      </w:r>
      <w:r>
        <w:rPr>
          <w:rStyle w:val="NormalTok"/>
        </w:rPr>
        <w:t xml:space="preserve">    tick_to: </w:t>
      </w:r>
      <w:r>
        <w:rPr>
          <w:rStyle w:val="BuiltInTok"/>
        </w:rPr>
        <w:t>int</w:t>
      </w:r>
      <w:r>
        <w:rPr/>
        <w:br/>
      </w:r>
      <w:r>
        <w:rPr>
          <w:rStyle w:val="NormalTok"/>
        </w:rPr>
        <w:t xml:space="preserve">    neuron_selection_hash: </w:t>
      </w:r>
      <w:r>
        <w:rPr>
          <w:rStyle w:val="BuiltInTok"/>
        </w:rPr>
        <w:t>str</w:t>
      </w:r>
      <w:r>
        <w:rPr/>
        <w:br/>
      </w:r>
      <w:r>
        <w:rPr>
          <w:rStyle w:val="NormalTok"/>
        </w:rPr>
        <w:t xml:space="preserve">    population_rate_hz: </w:t>
      </w:r>
      <w:r>
        <w:rPr>
          <w:rStyle w:val="BuiltInTok"/>
        </w:rPr>
        <w:t>float</w:t>
      </w:r>
      <w:r>
        <w:rPr/>
        <w:br/>
      </w:r>
      <w:r>
        <w:rPr>
          <w:rStyle w:val="NormalTok"/>
        </w:rPr>
        <w:t xml:space="preserve">    spike_count: </w:t>
      </w:r>
      <w:r>
        <w:rPr>
          <w:rStyle w:val="BuiltInTok"/>
        </w:rPr>
        <w:t>int</w:t>
      </w:r>
      <w:r>
        <w:rPr/>
        <w:br/>
      </w:r>
      <w:r>
        <w:rPr>
          <w:rStyle w:val="NormalTok"/>
        </w:rPr>
        <w:t xml:space="preserve">    active_fraction: </w:t>
      </w:r>
      <w:r>
        <w:rPr>
          <w:rStyle w:val="BuiltInTok"/>
        </w:rPr>
        <w:t>float</w:t>
      </w:r>
      <w:r>
        <w:rPr/>
        <w:br/>
      </w:r>
      <w:r>
        <w:rPr>
          <w:rStyle w:val="NormalTok"/>
        </w:rPr>
        <w:t xml:space="preserve">    burst_index: </w:t>
      </w:r>
      <w:r>
        <w:rPr>
          <w:rStyle w:val="BuiltInTok"/>
        </w:rPr>
        <w:t>float</w:t>
      </w:r>
      <w:r>
        <w:rPr/>
        <w:br/>
      </w:r>
      <w:r>
        <w:rPr>
          <w:rStyle w:val="NormalTok"/>
        </w:rPr>
        <w:t xml:space="preserve">    synchrony: </w:t>
      </w:r>
      <w:r>
        <w:rPr>
          <w:rStyle w:val="BuiltInTok"/>
        </w:rPr>
        <w:t>float</w:t>
      </w:r>
      <w:r>
        <w:rPr/>
        <w:br/>
      </w:r>
      <w:r>
        <w:rPr>
          <w:rStyle w:val="NormalTok"/>
        </w:rPr>
        <w:t xml:space="preserve">    entropy_estimate: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mean_energy_proxy: </w:t>
      </w:r>
      <w:r>
        <w:rPr>
          <w:rStyle w:val="BuiltInTok"/>
        </w:rPr>
        <w:t>float</w:t>
      </w:r>
      <w:r>
        <w:rPr/>
        <w:br/>
      </w:r>
      <w:r>
        <w:rPr>
          <w:rStyle w:val="NormalTok"/>
        </w:rPr>
        <w:t xml:space="preserve">    active_regions: </w:t>
      </w:r>
      <w:r>
        <w:rPr>
          <w:rStyle w:val="BuiltInTok"/>
        </w:rPr>
        <w:t>tuple</w:t>
      </w:r>
      <w:r>
        <w:rPr>
          <w:rStyle w:val="NormalTok"/>
        </w:rPr>
        <w:t>[RegionActivity, ...]</w:t>
      </w:r>
      <w:r>
        <w:rPr/>
        <w:br/>
      </w:r>
      <w:r>
        <w:rPr>
          <w:rStyle w:val="NormalTok"/>
        </w:rPr>
        <w:t xml:space="preserve">    source_snapshot_id: </w:t>
      </w:r>
      <w:r>
        <w:rPr>
          <w:rStyle w:val="BuiltInTok"/>
        </w:rPr>
        <w:t>str</w:t>
      </w:r>
      <w:r>
        <w:rPr/>
        <w:br/>
      </w:r>
      <w:r>
        <w:rPr>
          <w:rStyle w:val="NormalTok"/>
        </w:rPr>
        <w:t xml:space="preserve">    transformation_hash: </w:t>
      </w:r>
      <w:r>
        <w:rPr>
          <w:rStyle w:val="BuiltInTok"/>
        </w:rPr>
        <w:t>str</w:t>
      </w:r>
    </w:p>
    <w:p>
      <w:pPr>
        <w:pStyle w:val="FirstParagraph"/>
        <w:rPr/>
      </w:pPr>
      <w:r>
        <w:rPr/>
        <w:t xml:space="preserve">Der </w:t>
      </w:r>
      <w:r>
        <w:rPr>
          <w:rStyle w:val="VerbatimChar"/>
        </w:rPr>
        <w:t>neuron_selection_hash</w:t>
      </w:r>
      <w:r>
        <w:rPr/>
        <w:t xml:space="preserve"> verhindert, dass dieselbe Metrik scheinbar vergleichbar ist, obwohl eine andere Population ausgewertet wurde. Der </w:t>
      </w:r>
      <w:r>
        <w:rPr>
          <w:rStyle w:val="VerbatimChar"/>
        </w:rPr>
        <w:t>source_snapshot_id</w:t>
      </w:r>
      <w:r>
        <w:rPr/>
        <w:t xml:space="preserve"> erlaubt die Rückführung auf den zugrunde liegenden Zustand. Ein </w:t>
      </w:r>
      <w:r>
        <w:rPr>
          <w:rStyle w:val="VerbatimChar"/>
        </w:rPr>
        <w:t>SignalFrame</w:t>
      </w:r>
      <w:r>
        <w:rPr/>
        <w:t xml:space="preserve"> enthält keine Felder wie </w:t>
      </w:r>
      <w:r>
        <w:rPr>
          <w:rStyle w:val="VerbatimChar"/>
        </w:rPr>
        <w:t>thought</w:t>
      </w:r>
      <w:r>
        <w:rPr/>
        <w:t xml:space="preserve">, </w:t>
      </w:r>
      <w:r>
        <w:rPr>
          <w:rStyle w:val="VerbatimChar"/>
        </w:rPr>
        <w:t>meaning</w:t>
      </w:r>
      <w:r>
        <w:rPr/>
        <w:t xml:space="preserve"> oder </w:t>
      </w:r>
      <w:r>
        <w:rPr>
          <w:rStyle w:val="VerbatimChar"/>
        </w:rPr>
        <w:t>intent</w:t>
      </w:r>
      <w:r>
        <w:rPr/>
        <w:t>, weil diese Interpretationen und keine Messungen wären.</w:t>
      </w:r>
      <w:bookmarkEnd w:id="222"/>
    </w:p>
    <w:p>
      <w:pPr>
        <w:pStyle w:val="Heading3"/>
        <w:keepNext w:val="true"/>
        <w:widowControl/>
        <w:rPr/>
      </w:pPr>
      <w:bookmarkStart w:id="223" w:name="metrikdefinitionen"/>
      <w:r>
        <w:rPr/>
        <w:t>20.3 Metrikdefinitionen</w:t>
      </w:r>
    </w:p>
    <w:p>
      <w:pPr>
        <w:pStyle w:val="FirstParagraph"/>
        <w:rPr/>
      </w:pPr>
      <w:r>
        <w:rPr/>
        <w:t>Jede Metrik benötigt eine formale Definition. Beispielsweise kann Populationsrate berechnet werden als</w:t>
      </w:r>
    </w:p>
    <w:p>
      <w:pPr>
        <w:pStyle w:val="BodyText"/>
        <w:rPr/>
      </w:pPr>
      <w:r>
        <w:rPr>
          <w:b/>
          <w:bCs/>
        </w:rPr>
        <w:t>[DEF]</w:t>
      </w:r>
    </w:p>
    <w:p>
      <w:pPr>
        <w:pStyle w:val="BodyText"/>
        <w:jc w:val="center"/>
        <w:rPr/>
      </w:pPr>
      <w:r>
        <w:rPr/>
      </w:r>
      <m:oMathPara xmlns:m="http://schemas.openxmlformats.org/officeDocument/2006/math">
        <m:oMathParaPr>
          <m:jc m:val="center"/>
        </m:oMathParaPr>
        <m:oMath>
          <m:sSub>
            <m:e>
              <m:r>
                <m:t xml:space="preserve">r</m:t>
              </m:r>
            </m:e>
            <m:sub>
              <m:r>
                <m:t xml:space="preserve">p</m:t>
              </m:r>
              <m:r>
                <m:t xml:space="preserve">o</m:t>
              </m:r>
              <m:r>
                <m:t xml:space="preserve">p</m:t>
              </m:r>
            </m:sub>
          </m:sSub>
          <m:r>
            <m:t xml:space="preserve">=</m:t>
          </m:r>
          <m:f>
            <m:num>
              <m:sSub>
                <m:e>
                  <m:r>
                    <m:t xml:space="preserve">N</m:t>
                  </m:r>
                </m:e>
                <m:sub>
                  <m:r>
                    <m:t xml:space="preserve">s</m:t>
                  </m:r>
                  <m:r>
                    <m:t xml:space="preserve">p</m:t>
                  </m:r>
                  <m:r>
                    <m:t xml:space="preserve">i</m:t>
                  </m:r>
                  <m:r>
                    <m:t xml:space="preserve">k</m:t>
                  </m:r>
                  <m:r>
                    <m:t xml:space="preserve">e</m:t>
                  </m:r>
                </m:sub>
              </m:sSub>
            </m:num>
            <m:den>
              <m:sSub>
                <m:e>
                  <m:r>
                    <m:t xml:space="preserve">N</m:t>
                  </m:r>
                </m:e>
                <m:sub>
                  <m:r>
                    <m:t xml:space="preserve">n</m:t>
                  </m:r>
                  <m:r>
                    <m:t xml:space="preserve">e</m:t>
                  </m:r>
                  <m:r>
                    <m:t xml:space="preserve">u</m:t>
                  </m:r>
                  <m:r>
                    <m:t xml:space="preserve">r</m:t>
                  </m:r>
                  <m:r>
                    <m:t xml:space="preserve">o</m:t>
                  </m:r>
                  <m:r>
                    <m:t xml:space="preserve">n</m:t>
                  </m:r>
                  <m:r>
                    <m:t xml:space="preserve">s</m:t>
                  </m:r>
                </m:sub>
              </m:sSub>
              <m:d>
                <m:dPr>
                  <m:begChr m:val="("/>
                  <m:endChr m:val=")"/>
                </m:dPr>
                <m:e>
                  <m:sSub>
                    <m:e>
                      <m:r>
                        <m:t xml:space="preserve">t</m:t>
                      </m:r>
                    </m:e>
                    <m:sub>
                      <m:r>
                        <m:t xml:space="preserve">1</m:t>
                      </m:r>
                    </m:sub>
                  </m:sSub>
                  <m:r>
                    <m:t xml:space="preserve">−</m:t>
                  </m:r>
                  <m:sSub>
                    <m:e>
                      <m:r>
                        <m:t xml:space="preserve">t</m:t>
                      </m:r>
                    </m:e>
                    <m:sub>
                      <m:r>
                        <m:t xml:space="preserve">0</m:t>
                      </m:r>
                    </m:sub>
                  </m:sSub>
                </m:e>
              </m:d>
            </m:den>
          </m:f>
          <m:r>
            <m:t xml:space="preserve">.</m:t>
          </m:r>
        </m:oMath>
      </m:oMathPara>
    </w:p>
    <w:p>
      <w:pPr>
        <w:pStyle w:val="FirstParagraph"/>
        <w:rPr/>
      </w:pPr>
      <w:bookmarkStart w:id="224" w:name="metrikdefinitionen"/>
      <w:r>
        <w:rPr/>
        <w:t>Synchronität kann je nach Methode Paar-Korrelation, Phasenkohärenz oder Coincidence-Maß bedeuten. Ohne Angabe der Methode ist der Wert nicht interpretierbar. Burst Index und Entropieschätzer benötigen ebenfalls Version, Fenster und Parameter.</w:t>
      </w:r>
      <w:bookmarkEnd w:id="224"/>
    </w:p>
    <w:p>
      <w:pPr>
        <w:pStyle w:val="Heading3"/>
        <w:keepNext w:val="true"/>
        <w:widowControl/>
        <w:rPr/>
      </w:pPr>
      <w:bookmarkStart w:id="225" w:name="rohdatenzugang"/>
      <w:r>
        <w:rPr/>
        <w:t>20.4 Rohdatenzugang</w:t>
      </w:r>
    </w:p>
    <w:p>
      <w:pPr>
        <w:pStyle w:val="FirstParagraph"/>
        <w:rPr/>
      </w:pPr>
      <w:bookmarkStart w:id="226" w:name="rohdatenzugang"/>
      <w:r>
        <w:rPr/>
        <w:t>Für wissenschaftliche Analysen müssen Rohereignisse oder verlustarm rekonstruierbare Daten erhalten bleiben. Der SIL darf keine irreversible alleinige Datenquelle sein. Aggregierte Frames sind effizient für Monitoring und Decoder, reichen aber nicht für jede spätere Hypothese.</w:t>
      </w:r>
      <w:bookmarkEnd w:id="226"/>
    </w:p>
    <w:p>
      <w:pPr>
        <w:pStyle w:val="Heading3"/>
        <w:keepNext w:val="true"/>
        <w:widowControl/>
        <w:rPr/>
      </w:pPr>
      <w:bookmarkStart w:id="227" w:name="leakage-schutz"/>
      <w:r>
        <w:rPr/>
        <w:t>20.5 Leakage-Schutz</w:t>
      </w:r>
    </w:p>
    <w:p>
      <w:pPr>
        <w:pStyle w:val="FirstParagraph"/>
        <w:rPr/>
      </w:pPr>
      <w:r>
        <w:rPr/>
        <w:t xml:space="preserve">Ein Decoder darf nur Felder erhalten, die in der </w:t>
      </w:r>
      <w:r>
        <w:rPr>
          <w:rStyle w:val="VerbatimChar"/>
        </w:rPr>
        <w:t>ExperimentSpec</w:t>
      </w:r>
      <w:r>
        <w:rPr/>
        <w:t xml:space="preserve"> freigegeben sind. Insbesondere können </w:t>
      </w:r>
      <w:r>
        <w:rPr>
          <w:rStyle w:val="VerbatimChar"/>
        </w:rPr>
        <w:t>stimulus_id</w:t>
      </w:r>
      <w:r>
        <w:rPr/>
        <w:t>, Zielklasse, Rewardlabel oder Dateiname ungewollt die Antwort verraten. Brain-5D soll eine automatische Feature-Allowlist und Leakage-Tests verwenden.</w:t>
      </w:r>
      <w:bookmarkEnd w:id="220"/>
      <w:bookmarkEnd w:id="227"/>
    </w:p>
    <w:p>
      <w:pPr>
        <w:pStyle w:val="Heading2"/>
        <w:keepNext w:val="true"/>
        <w:widowControl/>
        <w:rPr/>
      </w:pPr>
      <w:bookmarkStart w:id="228" w:name="__RefHeading___Toc10145_954062153"/>
      <w:bookmarkStart w:id="229" w:name="language-organ"/>
      <w:bookmarkEnd w:id="228"/>
      <w:r>
        <w:rPr/>
        <w:t>21. Language Organ</w:t>
      </w:r>
    </w:p>
    <w:p>
      <w:pPr>
        <w:pStyle w:val="Heading3"/>
        <w:keepNext w:val="true"/>
        <w:widowControl/>
        <w:rPr/>
      </w:pPr>
      <w:bookmarkStart w:id="230" w:name="rolle-und-nicht-rolle"/>
      <w:r>
        <w:rPr/>
        <w:t>21.1 Rolle und Nicht-Rolle</w:t>
      </w:r>
    </w:p>
    <w:p>
      <w:pPr>
        <w:pStyle w:val="FirstParagraph"/>
        <w:rPr/>
      </w:pPr>
      <w:r>
        <w:rPr/>
        <w:t>Das Language Organ ist ein optionaler Adapter zwischen symbolischen und neuronalen Darstellungen. Es kann Texte strukturieren, Stimulusvorschläge erzeugen, SignalFrames beschreiben oder Antworten formulieren. Es ist nicht Eigentümer des SNN-Zustands, der Lernregeln oder des Runtime-Loops.</w:t>
      </w:r>
    </w:p>
    <w:p>
      <w:pPr>
        <w:pStyle w:val="BodyText"/>
        <w:jc w:val="center"/>
        <w:rPr/>
      </w:pPr>
      <w:r>
        <w:rPr/>
      </w:r>
      <m:oMathPara xmlns:m="http://schemas.openxmlformats.org/officeDocument/2006/math">
        <m:oMathParaPr>
          <m:jc m:val="center"/>
        </m:oMathParaPr>
        <m:oMath>
          <m:r>
            <m:rPr>
              <m:lit/>
              <m:nor/>
            </m:rPr>
            <m:t xml:space="preserve">Language Organ</m:t>
          </m:r>
          <m:r>
            <m:t xml:space="preserve">≢</m:t>
          </m:r>
          <m:r>
            <m:rPr>
              <m:lit/>
              <m:nor/>
            </m:rPr>
            <m:t xml:space="preserve">Brain-5D Core</m:t>
          </m:r>
          <m:r>
            <m:t xml:space="preserve">.</m:t>
          </m:r>
        </m:oMath>
      </m:oMathPara>
    </w:p>
    <w:p>
      <w:pPr>
        <w:pStyle w:val="FirstParagraph"/>
        <w:rPr/>
      </w:pPr>
      <w:r>
        <w:rPr>
          <w:b/>
          <w:bCs/>
        </w:rPr>
        <w:t>[E0 | ARCHITECTURE-SPEC]</w:t>
      </w:r>
      <w:r>
        <w:rPr/>
        <w:t xml:space="preserve"> Jede wissenschaftliche Behauptung über SNN-Kompetenz muss mit einem NullLanguageBackend oder einer anderen geeigneten Ablation prüfbar bleiben.</w:t>
      </w:r>
      <w:bookmarkEnd w:id="230"/>
    </w:p>
    <w:p>
      <w:pPr>
        <w:pStyle w:val="Heading3"/>
        <w:keepNext w:val="true"/>
        <w:widowControl/>
        <w:rPr/>
      </w:pPr>
      <w:bookmarkStart w:id="231" w:name="reines-monitoring"/>
      <w:r>
        <w:rPr/>
        <w:t>21.2 Reines Monitoring</w:t>
      </w:r>
    </w:p>
    <w:p>
      <w:pPr>
        <w:pStyle w:val="FirstParagraph"/>
        <w:rPr/>
      </w:pPr>
      <w:r>
        <w:rPr/>
        <w:t>Der reine Monitoring-Pfad lautet:</w:t>
      </w:r>
    </w:p>
    <w:p>
      <w:pPr>
        <w:pStyle w:val="SourceCode"/>
        <w:shd w:val="clear" w:fill="F5F7FA"/>
        <w:rPr/>
      </w:pPr>
      <w:r>
        <w:rPr>
          <w:rStyle w:val="VerbatimChar"/>
        </w:rPr>
        <w:t>SNN → SignalFrame → Monitor → LogRecord</w:t>
      </w:r>
    </w:p>
    <w:p>
      <w:pPr>
        <w:pStyle w:val="FirstParagraph"/>
        <w:rPr/>
      </w:pPr>
      <w:bookmarkStart w:id="232" w:name="reines-monitoring"/>
      <w:r>
        <w:rPr/>
        <w:t>Der Monitor darf Warnungen, Zusammenfassungen oder Visualisierungen erzeugen. Diese Ausgaben verändern weder den aktuellen noch einen zukünftigen SNN-Zustand. Auch ein Warnsignal ist erst dann eine Intervention, wenn es einen Controller oder Stimulus beeinflusst.</w:t>
      </w:r>
      <w:bookmarkEnd w:id="232"/>
    </w:p>
    <w:p>
      <w:pPr>
        <w:pStyle w:val="Heading3"/>
        <w:keepNext w:val="true"/>
        <w:widowControl/>
        <w:rPr/>
      </w:pPr>
      <w:bookmarkStart w:id="233" w:name="optionaler-feedbackpfad"/>
      <w:r>
        <w:rPr/>
        <w:t>21.3 Optionaler Feedbackpfad</w:t>
      </w:r>
    </w:p>
    <w:p>
      <w:pPr>
        <w:pStyle w:val="FirstParagraph"/>
        <w:rPr/>
      </w:pPr>
      <w:r>
        <w:rPr/>
        <w:t>Der Interventionspfad lautet:</w:t>
      </w:r>
    </w:p>
    <w:p>
      <w:pPr>
        <w:pStyle w:val="SourceCode"/>
        <w:shd w:val="clear" w:fill="F5F7FA"/>
        <w:rPr/>
      </w:pPr>
      <w:r>
        <w:rPr>
          <w:rStyle w:val="VerbatimChar"/>
        </w:rPr>
        <w:t>SignalFrame</w:t>
      </w:r>
      <w:r>
        <w:rPr/>
        <w:br/>
      </w:r>
      <w:r>
        <w:rPr>
          <w:rStyle w:val="VerbatimChar"/>
        </w:rPr>
        <w:t xml:space="preserve">  → LanguageModelBackend</w:t>
      </w:r>
      <w:r>
        <w:rPr/>
        <w:br/>
      </w:r>
      <w:r>
        <w:rPr>
          <w:rStyle w:val="VerbatimChar"/>
        </w:rPr>
        <w:t xml:space="preserve">  → FeedbackProposal</w:t>
      </w:r>
      <w:r>
        <w:rPr/>
        <w:br/>
      </w:r>
      <w:r>
        <w:rPr>
          <w:rStyle w:val="VerbatimChar"/>
        </w:rPr>
        <w:t xml:space="preserve">  → deterministic PolicyGate</w:t>
      </w:r>
      <w:r>
        <w:rPr/>
        <w:br/>
      </w:r>
      <w:r>
        <w:rPr>
          <w:rStyle w:val="VerbatimChar"/>
        </w:rPr>
        <w:t xml:space="preserve">  → accepted StimulusPlan or RejectionRecord</w:t>
      </w:r>
      <w:r>
        <w:rPr/>
        <w:br/>
      </w:r>
      <w:r>
        <w:rPr>
          <w:rStyle w:val="VerbatimChar"/>
        </w:rPr>
        <w:t xml:space="preserve">  → SNN input channel</w:t>
      </w:r>
    </w:p>
    <w:p>
      <w:pPr>
        <w:pStyle w:val="FirstParagraph"/>
        <w:rPr/>
      </w:pPr>
      <w:r>
        <w:rPr/>
        <w:t xml:space="preserve">Ein </w:t>
      </w:r>
      <w:r>
        <w:rPr>
          <w:rStyle w:val="VerbatimChar"/>
        </w:rPr>
        <w:t>FeedbackProposal</w:t>
      </w:r>
      <w:r>
        <w:rPr/>
        <w:t xml:space="preserve"> kann enthalten:</w:t>
      </w:r>
    </w:p>
    <w:p>
      <w:pPr>
        <w:pStyle w:val="SourceCode"/>
        <w:shd w:val="clear" w:fill="F5F7FA"/>
        <w:rPr/>
      </w:pPr>
      <w:r>
        <w:rPr>
          <w:rStyle w:val="AttributeTok"/>
        </w:rPr>
        <w:t>@dataclass</w:t>
      </w:r>
      <w:r>
        <w:rPr>
          <w:rStyle w:val="NormalTok"/>
        </w:rPr>
        <w:t>(frozen</w:t>
      </w:r>
      <w:r>
        <w:rPr>
          <w:rStyle w:val="OperatorTok"/>
        </w:rPr>
        <w:t>=</w:t>
      </w:r>
      <w:r>
        <w:rPr>
          <w:rStyle w:val="VariableTok"/>
        </w:rPr>
        <w:t>True</w:t>
      </w:r>
      <w:r>
        <w:rPr>
          <w:rStyle w:val="NormalTok"/>
        </w:rPr>
        <w:t>, slots</w:t>
      </w:r>
      <w:r>
        <w:rPr>
          <w:rStyle w:val="OperatorTok"/>
        </w:rPr>
        <w:t>=</w:t>
      </w:r>
      <w:r>
        <w:rPr>
          <w:rStyle w:val="VariableTok"/>
        </w:rPr>
        <w:t>True</w:t>
      </w:r>
      <w:r>
        <w:rPr>
          <w:rStyle w:val="NormalTok"/>
        </w:rPr>
        <w:t>)</w:t>
      </w:r>
      <w:r>
        <w:rPr/>
        <w:br/>
      </w:r>
      <w:r>
        <w:rPr>
          <w:rStyle w:val="KeywordTok"/>
        </w:rPr>
        <w:t>class</w:t>
      </w:r>
      <w:r>
        <w:rPr>
          <w:rStyle w:val="NormalTok"/>
        </w:rPr>
        <w:t xml:space="preserve"> FeedbackProposal:</w:t>
      </w:r>
      <w:r>
        <w:rPr/>
        <w:br/>
      </w:r>
      <w:r>
        <w:rPr>
          <w:rStyle w:val="NormalTok"/>
        </w:rPr>
        <w:t xml:space="preserve">    proposal_id: </w:t>
      </w:r>
      <w:r>
        <w:rPr>
          <w:rStyle w:val="BuiltInTok"/>
        </w:rPr>
        <w:t>str</w:t>
      </w:r>
      <w:r>
        <w:rPr/>
        <w:br/>
      </w:r>
      <w:r>
        <w:rPr>
          <w:rStyle w:val="NormalTok"/>
        </w:rPr>
        <w:t xml:space="preserve">    source_frame_ids: </w:t>
      </w:r>
      <w:r>
        <w:rPr>
          <w:rStyle w:val="BuiltInTok"/>
        </w:rPr>
        <w:t>tuple</w:t>
      </w:r>
      <w:r>
        <w:rPr>
          <w:rStyle w:val="NormalTok"/>
        </w:rPr>
        <w:t>[</w:t>
      </w:r>
      <w:r>
        <w:rPr>
          <w:rStyle w:val="BuiltInTok"/>
        </w:rPr>
        <w:t>str</w:t>
      </w:r>
      <w:r>
        <w:rPr>
          <w:rStyle w:val="NormalTok"/>
        </w:rPr>
        <w:t>, ...]</w:t>
      </w:r>
      <w:r>
        <w:rPr/>
        <w:br/>
      </w:r>
      <w:r>
        <w:rPr>
          <w:rStyle w:val="NormalTok"/>
        </w:rPr>
        <w:t xml:space="preserve">    objective: </w:t>
      </w:r>
      <w:r>
        <w:rPr>
          <w:rStyle w:val="BuiltInTok"/>
        </w:rPr>
        <w:t>str</w:t>
      </w:r>
      <w:r>
        <w:rPr/>
        <w:br/>
      </w:r>
      <w:r>
        <w:rPr>
          <w:rStyle w:val="NormalTok"/>
        </w:rPr>
        <w:t xml:space="preserve">    rationale: </w:t>
      </w:r>
      <w:r>
        <w:rPr>
          <w:rStyle w:val="BuiltInTok"/>
        </w:rPr>
        <w:t>str</w:t>
      </w:r>
      <w:r>
        <w:rPr/>
        <w:br/>
      </w:r>
      <w:r>
        <w:rPr>
          <w:rStyle w:val="NormalTok"/>
        </w:rPr>
        <w:t xml:space="preserve">    uncertainty: </w:t>
      </w:r>
      <w:r>
        <w:rPr>
          <w:rStyle w:val="BuiltInTok"/>
        </w:rPr>
        <w:t>float</w:t>
      </w:r>
      <w:r>
        <w:rPr/>
        <w:br/>
      </w:r>
      <w:r>
        <w:rPr>
          <w:rStyle w:val="NormalTok"/>
        </w:rPr>
        <w:t xml:space="preserve">    target_region: </w:t>
      </w:r>
      <w:r>
        <w:rPr>
          <w:rStyle w:val="BuiltInTok"/>
        </w:rPr>
        <w:t>str</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requested_modality: </w:t>
      </w:r>
      <w:r>
        <w:rPr>
          <w:rStyle w:val="BuiltInTok"/>
        </w:rPr>
        <w:t>str</w:t>
      </w:r>
      <w:r>
        <w:rPr/>
        <w:br/>
      </w:r>
      <w:r>
        <w:rPr>
          <w:rStyle w:val="NormalTok"/>
        </w:rPr>
        <w:t xml:space="preserve">    intensity_ceiling: </w:t>
      </w:r>
      <w:r>
        <w:rPr>
          <w:rStyle w:val="BuiltInTok"/>
        </w:rPr>
        <w:t>float</w:t>
      </w:r>
      <w:r>
        <w:rPr/>
        <w:br/>
      </w:r>
      <w:r>
        <w:rPr>
          <w:rStyle w:val="NormalTok"/>
        </w:rPr>
        <w:t xml:space="preserve">    duration_ceiling_ticks: </w:t>
      </w:r>
      <w:r>
        <w:rPr>
          <w:rStyle w:val="BuiltInTok"/>
        </w:rPr>
        <w:t>int</w:t>
      </w:r>
      <w:r>
        <w:rPr/>
        <w:br/>
      </w:r>
      <w:r>
        <w:rPr>
          <w:rStyle w:val="NormalTok"/>
        </w:rPr>
        <w:t xml:space="preserve">    energy_budget: </w:t>
      </w:r>
      <w:r>
        <w:rPr>
          <w:rStyle w:val="BuiltInTok"/>
        </w:rPr>
        <w:t>float</w:t>
      </w:r>
      <w:r>
        <w:rPr/>
        <w:br/>
      </w:r>
      <w:r>
        <w:rPr>
          <w:rStyle w:val="NormalTok"/>
        </w:rPr>
        <w:t xml:space="preserve">    expires_at_tick: </w:t>
      </w:r>
      <w:r>
        <w:rPr>
          <w:rStyle w:val="BuiltInTok"/>
        </w:rPr>
        <w:t>int</w:t>
      </w:r>
      <w:r>
        <w:rPr/>
        <w:br/>
      </w:r>
      <w:r>
        <w:rPr>
          <w:rStyle w:val="NormalTok"/>
        </w:rPr>
        <w:t xml:space="preserve">    backend_id: </w:t>
      </w:r>
      <w:r>
        <w:rPr>
          <w:rStyle w:val="BuiltInTok"/>
        </w:rPr>
        <w:t>str</w:t>
      </w:r>
      <w:r>
        <w:rPr/>
        <w:br/>
      </w:r>
      <w:r>
        <w:rPr>
          <w:rStyle w:val="NormalTok"/>
        </w:rPr>
        <w:t xml:space="preserve">    model_version: </w:t>
      </w:r>
      <w:r>
        <w:rPr>
          <w:rStyle w:val="BuiltInTok"/>
        </w:rPr>
        <w:t>str</w:t>
      </w:r>
      <w:r>
        <w:rPr/>
        <w:br/>
      </w:r>
      <w:r>
        <w:rPr>
          <w:rStyle w:val="NormalTok"/>
        </w:rPr>
        <w:t xml:space="preserve">    prompt_hash: </w:t>
      </w:r>
      <w:r>
        <w:rPr>
          <w:rStyle w:val="BuiltInTok"/>
        </w:rPr>
        <w:t>str</w:t>
      </w:r>
    </w:p>
    <w:p>
      <w:pPr>
        <w:pStyle w:val="FirstParagraph"/>
        <w:rPr/>
      </w:pPr>
      <w:r>
        <w:rPr>
          <w:rStyle w:val="VerbatimChar"/>
        </w:rPr>
        <w:t>rationale</w:t>
      </w:r>
      <w:r>
        <w:rPr/>
        <w:t xml:space="preserve"> ist eine Modelläußerung, kein Beweis. Das PolicyGate prüft erlaubte Ziele, Grenzen, Cooldowns, Konflikte, Provenienz und Experimentmodus. Es kann den Vorschlag ablehnen, begrenzen oder in Quarantäne stellen. Die endgültige Stimulus-ID verweist auf Proposal und Gate-Entscheidung.</w:t>
      </w:r>
      <w:bookmarkEnd w:id="233"/>
    </w:p>
    <w:p>
      <w:pPr>
        <w:pStyle w:val="Heading3"/>
        <w:keepNext w:val="true"/>
        <w:widowControl/>
        <w:rPr/>
      </w:pPr>
      <w:bookmarkStart w:id="234" w:name="backend-abstraktion"/>
      <w:r>
        <w:rPr/>
        <w:t>21.4 Backend-Abstraktion</w:t>
      </w:r>
    </w:p>
    <w:p>
      <w:pPr>
        <w:pStyle w:val="SourceCode"/>
        <w:shd w:val="clear" w:fill="F5F7FA"/>
        <w:rPr/>
      </w:pPr>
      <w:r>
        <w:rPr>
          <w:rStyle w:val="VerbatimChar"/>
        </w:rPr>
        <w:t>LanguageModelBackend</w:t>
      </w:r>
      <w:r>
        <w:rPr/>
        <w:br/>
      </w:r>
      <w:r>
        <w:rPr>
          <w:rStyle w:val="VerbatimChar"/>
        </w:rPr>
        <w:t>├── NullLanguageBackend</w:t>
      </w:r>
      <w:r>
        <w:rPr/>
        <w:br/>
      </w:r>
      <w:r>
        <w:rPr>
          <w:rStyle w:val="VerbatimChar"/>
        </w:rPr>
        <w:t>├── RuleBasedBackend</w:t>
      </w:r>
      <w:r>
        <w:rPr/>
        <w:br/>
      </w:r>
      <w:r>
        <w:rPr>
          <w:rStyle w:val="VerbatimChar"/>
        </w:rPr>
        <w:t>├── LocalLlamaCppBackend</w:t>
      </w:r>
      <w:r>
        <w:rPr/>
        <w:br/>
      </w:r>
      <w:r>
        <w:rPr>
          <w:rStyle w:val="VerbatimChar"/>
        </w:rPr>
        <w:t>├── RemoteAPIBackend</w:t>
      </w:r>
      <w:r>
        <w:rPr/>
        <w:br/>
      </w:r>
      <w:r>
        <w:rPr>
          <w:rStyle w:val="VerbatimChar"/>
        </w:rPr>
        <w:t>└── ExperimentalBackend</w:t>
      </w:r>
    </w:p>
    <w:p>
      <w:pPr>
        <w:pStyle w:val="FirstParagraph"/>
        <w:rPr/>
      </w:pPr>
      <w:bookmarkStart w:id="235" w:name="backend-abstraktion"/>
      <w:r>
        <w:rPr/>
        <w:t>Die konkrete Modellwahl ist eine Deployment- und Experimentvariable. Die wissenschaftliche Theorie darf nicht an ein bestimmtes kommerzielles oder lokales Modell gebunden werden. Modellname, Version, Quantisierung, Kontext, Systemprompt und Samplingparameter sind Teil der Run-Metadaten.</w:t>
      </w:r>
      <w:bookmarkEnd w:id="235"/>
    </w:p>
    <w:p>
      <w:pPr>
        <w:pStyle w:val="Heading3"/>
        <w:keepNext w:val="true"/>
        <w:widowControl/>
        <w:rPr/>
      </w:pPr>
      <w:bookmarkStart w:id="236" w:name="asynchronität-und-latenz"/>
      <w:r>
        <w:rPr/>
        <w:t>21.5 Asynchronität und Latenz</w:t>
      </w:r>
    </w:p>
    <w:p>
      <w:pPr>
        <w:pStyle w:val="FirstParagraph"/>
        <w:rPr/>
      </w:pPr>
      <w:bookmarkStart w:id="237" w:name="asynchronität-und-latenz"/>
      <w:r>
        <w:rPr/>
        <w:t>LLM-Inferenz kann um Größenordnungen langsamer sein als neuronale Ticks. Das Language Organ kommuniziert daher über begrenzte Queues und zeitgestempelte Nachrichten. Ein abgelaufener Vorschlag darf nicht verspätet in einen inzwischen anderen Netzwerkzustand eingreifen. Queue-Länge, Drop-Policy und Timeout werden protokolliert.</w:t>
      </w:r>
      <w:bookmarkEnd w:id="237"/>
    </w:p>
    <w:p>
      <w:pPr>
        <w:pStyle w:val="Heading3"/>
        <w:keepNext w:val="true"/>
        <w:widowControl/>
        <w:rPr/>
      </w:pPr>
      <w:bookmarkStart w:id="238" w:name="decoder-als-hypothesengenerator"/>
      <w:r>
        <w:rPr/>
        <w:t>21.6 Decoder als Hypothesengenerator</w:t>
      </w:r>
    </w:p>
    <w:p>
      <w:pPr>
        <w:pStyle w:val="FirstParagraph"/>
        <w:rPr/>
      </w:pPr>
      <w:r>
        <w:rPr/>
        <w:t>Die Kette</w:t>
      </w:r>
    </w:p>
    <w:p>
      <w:pPr>
        <w:pStyle w:val="BodyText"/>
        <w:jc w:val="center"/>
        <w:rPr/>
      </w:pPr>
      <w:r>
        <w:rPr/>
      </w:r>
      <m:oMathPara xmlns:m="http://schemas.openxmlformats.org/officeDocument/2006/math">
        <m:oMathParaPr>
          <m:jc m:val="center"/>
        </m:oMathParaPr>
        <m:oMath>
          <m:r>
            <m:rPr>
              <m:lit/>
              <m:nor/>
            </m:rPr>
            <m:t xml:space="preserve">SpikeEvents</m:t>
          </m:r>
          <m:r>
            <m:t xml:space="preserve">→</m:t>
          </m:r>
          <m:r>
            <m:rPr>
              <m:lit/>
              <m:nor/>
            </m:rPr>
            <m:t xml:space="preserve">SignalFrame</m:t>
          </m:r>
          <m:r>
            <m:t xml:space="preserve">→</m:t>
          </m:r>
          <m:r>
            <m:rPr>
              <m:lit/>
              <m:nor/>
            </m:rPr>
            <m:t xml:space="preserve">Decoder</m:t>
          </m:r>
          <m:r>
            <m:t xml:space="preserve">→</m:t>
          </m:r>
          <m:r>
            <m:rPr>
              <m:lit/>
              <m:nor/>
            </m:rPr>
            <m:t xml:space="preserve">Interpretation</m:t>
          </m:r>
        </m:oMath>
      </m:oMathPara>
    </w:p>
    <w:p>
      <w:pPr>
        <w:pStyle w:val="FirstParagraph"/>
        <w:rPr/>
      </w:pPr>
      <w:r>
        <w:rPr/>
        <w:t xml:space="preserve">liefert eine </w:t>
      </w:r>
      <w:r>
        <w:rPr>
          <w:b/>
          <w:bCs/>
        </w:rPr>
        <w:t>symbolische Hypothese</w:t>
      </w:r>
      <w:r>
        <w:rPr/>
        <w:t xml:space="preserve">. Jede </w:t>
      </w:r>
      <w:r>
        <w:rPr>
          <w:rStyle w:val="VerbatimChar"/>
        </w:rPr>
        <w:t>Interpretation</w:t>
      </w:r>
      <w:r>
        <w:rPr/>
        <w:t xml:space="preserve"> enthält Confidence, Decoder-Version, Trainingsdatenstatus, freigegebene Features und verknüpfte Frames. Ein sprachlich plausibler Text kann falsch, halluziniert oder stärker vom Decoder-Prior als vom Signal bestimmt sein.</w:t>
      </w:r>
      <w:bookmarkEnd w:id="238"/>
    </w:p>
    <w:p>
      <w:pPr>
        <w:pStyle w:val="Heading3"/>
        <w:keepNext w:val="true"/>
        <w:widowControl/>
        <w:rPr/>
      </w:pPr>
      <w:bookmarkStart w:id="239" w:name="encoder-und-stimulusplan"/>
      <w:r>
        <w:rPr/>
        <w:t>21.7 Encoder und StimulusPlan</w:t>
      </w:r>
    </w:p>
    <w:p>
      <w:pPr>
        <w:pStyle w:val="FirstParagraph"/>
        <w:rPr/>
      </w:pPr>
      <w:r>
        <w:rPr/>
        <w:t>Text wird nicht direkt in Gewichte geschrieben:</w:t>
      </w:r>
    </w:p>
    <w:p>
      <w:pPr>
        <w:pStyle w:val="BodyText"/>
        <w:jc w:val="center"/>
        <w:rPr/>
      </w:pPr>
      <w:r>
        <w:rPr/>
      </w:r>
      <m:oMathPara xmlns:m="http://schemas.openxmlformats.org/officeDocument/2006/math">
        <m:oMathParaPr>
          <m:jc m:val="center"/>
        </m:oMathParaPr>
        <m:oMath>
          <m:r>
            <m:rPr>
              <m:lit/>
              <m:nor/>
            </m:rPr>
            <m:t xml:space="preserve">Text</m:t>
          </m:r>
          <m:r>
            <m:t xml:space="preserve">→</m:t>
          </m:r>
          <m:r>
            <m:rPr>
              <m:lit/>
              <m:nor/>
            </m:rPr>
            <m:t xml:space="preserve">SemanticObject</m:t>
          </m:r>
          <m:r>
            <m:t xml:space="preserve">→</m:t>
          </m:r>
          <m:r>
            <m:rPr>
              <m:lit/>
              <m:nor/>
            </m:rPr>
            <m:t xml:space="preserve">StimulusPlan</m:t>
          </m:r>
          <m:r>
            <m:t xml:space="preserve">→</m:t>
          </m:r>
          <m:r>
            <m:rPr>
              <m:lit/>
              <m:nor/>
            </m:rPr>
            <m:t xml:space="preserve">InputEvents</m:t>
          </m:r>
          <m:r>
            <m:t xml:space="preserve">.</m:t>
          </m:r>
        </m:oMath>
      </m:oMathPara>
    </w:p>
    <w:p>
      <w:pPr>
        <w:pStyle w:val="FirstParagraph"/>
        <w:rPr/>
      </w:pPr>
      <w:r>
        <w:rPr/>
        <w:t xml:space="preserve">Ein minimaler </w:t>
      </w:r>
      <w:r>
        <w:rPr>
          <w:rStyle w:val="VerbatimChar"/>
        </w:rPr>
        <w:t>StimulusPlan</w:t>
      </w:r>
      <w:r>
        <w:rPr/>
        <w:t xml:space="preserve"> enthält:</w:t>
      </w:r>
    </w:p>
    <w:p>
      <w:pPr>
        <w:pStyle w:val="SourceCode"/>
        <w:shd w:val="clear" w:fill="F5F7FA"/>
        <w:rPr/>
      </w:pPr>
      <w:r>
        <w:rPr>
          <w:rStyle w:val="FunctionTok"/>
        </w:rPr>
        <w:t>stimulus_id</w:t>
      </w:r>
      <w:r>
        <w:rPr>
          <w:rStyle w:val="KeywordTok"/>
        </w:rPr>
        <w:t>:</w:t>
      </w:r>
      <w:r>
        <w:rPr>
          <w:rStyle w:val="AttributeTok"/>
        </w:rPr>
        <w:t xml:space="preserve"> STIM-2026-000184</w:t>
      </w:r>
      <w:r>
        <w:rPr/>
        <w:br/>
      </w:r>
      <w:r>
        <w:rPr>
          <w:rStyle w:val="FunctionTok"/>
        </w:rPr>
        <w:t>schema_version</w:t>
      </w:r>
      <w:r>
        <w:rPr>
          <w:rStyle w:val="KeywordTok"/>
        </w:rPr>
        <w:t>:</w:t>
      </w:r>
      <w:r>
        <w:rPr>
          <w:rStyle w:val="AttributeTok"/>
        </w:rPr>
        <w:t xml:space="preserve"> </w:t>
      </w:r>
      <w:r>
        <w:rPr>
          <w:rStyle w:val="FloatTok"/>
        </w:rPr>
        <w:t>2.0</w:t>
      </w:r>
      <w:r>
        <w:rPr/>
        <w:br/>
      </w:r>
      <w:r>
        <w:rPr>
          <w:rStyle w:val="FunctionTok"/>
        </w:rPr>
        <w:t>source_type</w:t>
      </w:r>
      <w:r>
        <w:rPr>
          <w:rStyle w:val="KeywordTok"/>
        </w:rPr>
        <w:t>:</w:t>
      </w:r>
      <w:r>
        <w:rPr>
          <w:rStyle w:val="AttributeTok"/>
        </w:rPr>
        <w:t xml:space="preserve"> language_organ</w:t>
      </w:r>
      <w:r>
        <w:rPr/>
        <w:br/>
      </w:r>
      <w:r>
        <w:rPr>
          <w:rStyle w:val="FunctionTok"/>
        </w:rPr>
        <w:t>source_record_ids</w:t>
      </w:r>
      <w:r>
        <w:rPr>
          <w:rStyle w:val="KeywordTok"/>
        </w:rPr>
        <w:t>:</w:t>
      </w:r>
      <w:r>
        <w:rPr>
          <w:rStyle w:val="AttributeTok"/>
        </w:rPr>
        <w:t xml:space="preserve"> </w:t>
      </w:r>
      <w:r>
        <w:rPr>
          <w:rStyle w:val="KeywordTok"/>
        </w:rPr>
        <w:t>[</w:t>
      </w:r>
      <w:r>
        <w:rPr>
          <w:rStyle w:val="AttributeTok"/>
        </w:rPr>
        <w:t>SRC-018</w:t>
      </w:r>
      <w:r>
        <w:rPr>
          <w:rStyle w:val="KeywordTok"/>
        </w:rPr>
        <w:t>,</w:t>
      </w:r>
      <w:r>
        <w:rPr>
          <w:rStyle w:val="AttributeTok"/>
        </w:rPr>
        <w:t xml:space="preserve"> KI</w:t>
      </w:r>
      <w:r>
        <w:rPr>
          <w:rStyle w:val="DecValTok"/>
        </w:rPr>
        <w:t>-044</w:t>
      </w:r>
      <w:r>
        <w:rPr>
          <w:rStyle w:val="KeywordTok"/>
        </w:rPr>
        <w:t>]</w:t>
      </w:r>
      <w:r>
        <w:rPr/>
        <w:br/>
      </w:r>
      <w:r>
        <w:rPr>
          <w:rStyle w:val="FunctionTok"/>
        </w:rPr>
        <w:t>target_region</w:t>
      </w:r>
      <w:r>
        <w:rPr>
          <w:rStyle w:val="KeywordTok"/>
        </w:rPr>
        <w:t>:</w:t>
      </w:r>
      <w:r>
        <w:rPr>
          <w:rStyle w:val="AttributeTok"/>
        </w:rPr>
        <w:t xml:space="preserve"> input.language.de</w:t>
      </w:r>
      <w:r>
        <w:rPr/>
        <w:br/>
      </w:r>
      <w:r>
        <w:rPr>
          <w:rStyle w:val="FunctionTok"/>
        </w:rPr>
        <w:t>start_tick</w:t>
      </w:r>
      <w:r>
        <w:rPr>
          <w:rStyle w:val="KeywordTok"/>
        </w:rPr>
        <w:t>:</w:t>
      </w:r>
      <w:r>
        <w:rPr>
          <w:rStyle w:val="AttributeTok"/>
        </w:rPr>
        <w:t xml:space="preserve"> </w:t>
      </w:r>
      <w:r>
        <w:rPr>
          <w:rStyle w:val="DecValTok"/>
        </w:rPr>
        <w:t>820000</w:t>
      </w:r>
      <w:r>
        <w:rPr/>
        <w:br/>
      </w:r>
      <w:r>
        <w:rPr>
          <w:rStyle w:val="FunctionTok"/>
        </w:rPr>
        <w:t>duration_ticks</w:t>
      </w:r>
      <w:r>
        <w:rPr>
          <w:rStyle w:val="KeywordTok"/>
        </w:rPr>
        <w:t>:</w:t>
      </w:r>
      <w:r>
        <w:rPr>
          <w:rStyle w:val="AttributeTok"/>
        </w:rPr>
        <w:t xml:space="preserve"> </w:t>
      </w:r>
      <w:r>
        <w:rPr>
          <w:rStyle w:val="DecValTok"/>
        </w:rPr>
        <w:t>400</w:t>
      </w:r>
      <w:r>
        <w:rPr/>
        <w:br/>
      </w:r>
      <w:r>
        <w:rPr>
          <w:rStyle w:val="FunctionTok"/>
        </w:rPr>
        <w:t>pattern_type</w:t>
      </w:r>
      <w:r>
        <w:rPr>
          <w:rStyle w:val="KeywordTok"/>
        </w:rPr>
        <w:t>:</w:t>
      </w:r>
      <w:r>
        <w:rPr>
          <w:rStyle w:val="AttributeTok"/>
        </w:rPr>
        <w:t xml:space="preserve"> population_temporal_code</w:t>
      </w:r>
      <w:r>
        <w:rPr/>
        <w:br/>
      </w:r>
      <w:r>
        <w:rPr>
          <w:rStyle w:val="FunctionTok"/>
        </w:rPr>
        <w:t>frequency_hz</w:t>
      </w:r>
      <w:r>
        <w:rPr>
          <w:rStyle w:val="KeywordTok"/>
        </w:rPr>
        <w:t>:</w:t>
      </w:r>
      <w:r>
        <w:rPr>
          <w:rStyle w:val="AttributeTok"/>
        </w:rPr>
        <w:t xml:space="preserve"> </w:t>
      </w:r>
      <w:r>
        <w:rPr>
          <w:rStyle w:val="FloatTok"/>
        </w:rPr>
        <w:t>18.0</w:t>
      </w:r>
      <w:r>
        <w:rPr/>
        <w:br/>
      </w:r>
      <w:r>
        <w:rPr>
          <w:rStyle w:val="FunctionTok"/>
        </w:rPr>
        <w:t>intensity</w:t>
      </w:r>
      <w:r>
        <w:rPr>
          <w:rStyle w:val="KeywordTok"/>
        </w:rPr>
        <w:t>:</w:t>
      </w:r>
      <w:r>
        <w:rPr>
          <w:rStyle w:val="AttributeTok"/>
        </w:rPr>
        <w:t xml:space="preserve"> </w:t>
      </w:r>
      <w:r>
        <w:rPr>
          <w:rStyle w:val="FloatTok"/>
        </w:rPr>
        <w:t>0.32</w:t>
      </w:r>
      <w:r>
        <w:rPr/>
        <w:br/>
      </w:r>
      <w:r>
        <w:rPr>
          <w:rStyle w:val="FunctionTok"/>
        </w:rPr>
        <w:t>spatial_distribution</w:t>
      </w:r>
      <w:r>
        <w:rPr>
          <w:rStyle w:val="KeywordTok"/>
        </w:rPr>
        <w:t>:</w:t>
      </w:r>
      <w:r>
        <w:rPr>
          <w:rStyle w:val="AttributeTok"/>
        </w:rPr>
        <w:t xml:space="preserve"> gaussian</w:t>
      </w:r>
      <w:r>
        <w:rPr/>
        <w:br/>
      </w:r>
      <w:r>
        <w:rPr>
          <w:rStyle w:val="FunctionTok"/>
        </w:rPr>
        <w:t>random_seed</w:t>
      </w:r>
      <w:r>
        <w:rPr>
          <w:rStyle w:val="KeywordTok"/>
        </w:rPr>
        <w:t>:</w:t>
      </w:r>
      <w:r>
        <w:rPr>
          <w:rStyle w:val="AttributeTok"/>
        </w:rPr>
        <w:t xml:space="preserve"> </w:t>
      </w:r>
      <w:r>
        <w:rPr>
          <w:rStyle w:val="DecValTok"/>
        </w:rPr>
        <w:t>99172</w:t>
      </w:r>
      <w:r>
        <w:rPr/>
        <w:br/>
      </w:r>
      <w:r>
        <w:rPr>
          <w:rStyle w:val="FunctionTok"/>
        </w:rPr>
        <w:t>safety_class</w:t>
      </w:r>
      <w:r>
        <w:rPr>
          <w:rStyle w:val="KeywordTok"/>
        </w:rPr>
        <w:t>:</w:t>
      </w:r>
      <w:r>
        <w:rPr>
          <w:rStyle w:val="AttributeTok"/>
        </w:rPr>
        <w:t xml:space="preserve"> research_low_energy</w:t>
      </w:r>
      <w:r>
        <w:rPr/>
        <w:br/>
      </w:r>
      <w:r>
        <w:rPr>
          <w:rStyle w:val="FunctionTok"/>
        </w:rPr>
        <w:t>encoder_version</w:t>
      </w:r>
      <w:r>
        <w:rPr>
          <w:rStyle w:val="KeywordTok"/>
        </w:rPr>
        <w:t>:</w:t>
      </w:r>
      <w:r>
        <w:rPr>
          <w:rStyle w:val="AttributeTok"/>
        </w:rPr>
        <w:t xml:space="preserve"> semantic-encoder-0.3</w:t>
      </w:r>
      <w:r>
        <w:rPr/>
        <w:br/>
      </w:r>
      <w:r>
        <w:rPr>
          <w:rStyle w:val="FunctionTok"/>
        </w:rPr>
        <w:t>content_hash</w:t>
      </w:r>
      <w:r>
        <w:rPr>
          <w:rStyle w:val="KeywordTok"/>
        </w:rPr>
        <w:t>:</w:t>
      </w:r>
      <w:r>
        <w:rPr>
          <w:rStyle w:val="AttributeTok"/>
        </w:rPr>
        <w:t xml:space="preserve"> sha256:...</w:t>
      </w:r>
      <w:bookmarkEnd w:id="239"/>
    </w:p>
    <w:p>
      <w:pPr>
        <w:pStyle w:val="Heading3"/>
        <w:keepNext w:val="true"/>
        <w:widowControl/>
        <w:rPr/>
      </w:pPr>
      <w:bookmarkStart w:id="240" w:name="language-organ-ablationen"/>
      <w:r>
        <w:rPr/>
        <w:t>21.8 Language-Organ-Ablationen</w:t>
      </w:r>
    </w:p>
    <w:tbl>
      <w:tblPr>
        <w:tblStyle w:val="Table"/>
        <w:tblW w:w="7920" w:type="dxa"/>
        <w:jc w:val="center"/>
        <w:tblInd w:w="0" w:type="dxa"/>
        <w:tblLayout w:type="fixed"/>
        <w:tblCellMar>
          <w:top w:w="85" w:type="dxa"/>
          <w:start w:w="100" w:type="dxa"/>
          <w:bottom w:w="85" w:type="dxa"/>
          <w:end w:w="100" w:type="dxa"/>
        </w:tblCellMar>
        <w:tblLook w:val="04a0" w:noHBand="1" w:noVBand="1" w:firstColumn="0" w:lastRow="0" w:lastColumn="0" w:firstRow="1"/>
      </w:tblPr>
      <w:tblGrid>
        <w:gridCol w:w="1320"/>
        <w:gridCol w:w="1319"/>
        <w:gridCol w:w="1321"/>
        <w:gridCol w:w="1320"/>
        <w:gridCol w:w="1319"/>
        <w:gridCol w:w="1320"/>
      </w:tblGrid>
      <w:tr>
        <w:trPr>
          <w:tblHeader w:val="true"/>
        </w:trPr>
        <w:tc>
          <w:tcPr>
            <w:tcW w:w="1320"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Bedingung</w:t>
            </w:r>
          </w:p>
        </w:tc>
        <w:tc>
          <w:tcPr>
            <w:tcW w:w="1319"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end"/>
              <w:rPr>
                <w:kern w:val="0"/>
                <w:szCs w:val="24"/>
                <w:lang w:val="de-DE" w:eastAsia="en-US" w:bidi="ar-SA"/>
              </w:rPr>
            </w:pPr>
            <w:r>
              <w:rPr>
                <w:rFonts w:eastAsia="Liberation Sans" w:cs="Liberation Sans"/>
                <w:b/>
                <w:i w:val="false"/>
                <w:color w:val="17365D"/>
                <w:kern w:val="0"/>
                <w:sz w:val="17"/>
                <w:szCs w:val="24"/>
                <w:lang w:val="de-DE" w:eastAsia="en-US" w:bidi="ar-SA"/>
              </w:rPr>
              <w:t>Encoder</w:t>
            </w:r>
          </w:p>
        </w:tc>
        <w:tc>
          <w:tcPr>
            <w:tcW w:w="1321"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end"/>
              <w:rPr>
                <w:kern w:val="0"/>
                <w:szCs w:val="24"/>
                <w:lang w:val="de-DE" w:eastAsia="en-US" w:bidi="ar-SA"/>
              </w:rPr>
            </w:pPr>
            <w:r>
              <w:rPr>
                <w:rFonts w:eastAsia="Liberation Sans" w:cs="Liberation Sans"/>
                <w:b/>
                <w:i w:val="false"/>
                <w:color w:val="17365D"/>
                <w:kern w:val="0"/>
                <w:sz w:val="17"/>
                <w:szCs w:val="24"/>
                <w:lang w:val="de-DE" w:eastAsia="en-US" w:bidi="ar-SA"/>
              </w:rPr>
              <w:t>Decoder</w:t>
            </w:r>
          </w:p>
        </w:tc>
        <w:tc>
          <w:tcPr>
            <w:tcW w:w="1320"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end"/>
              <w:rPr>
                <w:kern w:val="0"/>
                <w:szCs w:val="24"/>
                <w:lang w:val="de-DE" w:eastAsia="en-US" w:bidi="ar-SA"/>
              </w:rPr>
            </w:pPr>
            <w:r>
              <w:rPr>
                <w:rFonts w:eastAsia="Liberation Sans" w:cs="Liberation Sans"/>
                <w:b/>
                <w:i w:val="false"/>
                <w:color w:val="17365D"/>
                <w:kern w:val="0"/>
                <w:sz w:val="17"/>
                <w:szCs w:val="24"/>
                <w:lang w:val="de-DE" w:eastAsia="en-US" w:bidi="ar-SA"/>
              </w:rPr>
              <w:t>Feedback</w:t>
            </w:r>
          </w:p>
        </w:tc>
        <w:tc>
          <w:tcPr>
            <w:tcW w:w="1319"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end"/>
              <w:rPr>
                <w:kern w:val="0"/>
                <w:szCs w:val="24"/>
                <w:lang w:val="de-DE" w:eastAsia="en-US" w:bidi="ar-SA"/>
              </w:rPr>
            </w:pPr>
            <w:r>
              <w:rPr>
                <w:rFonts w:eastAsia="Liberation Sans" w:cs="Liberation Sans"/>
                <w:b/>
                <w:i w:val="false"/>
                <w:color w:val="17365D"/>
                <w:kern w:val="0"/>
                <w:sz w:val="17"/>
                <w:szCs w:val="24"/>
                <w:lang w:val="de-DE" w:eastAsia="en-US" w:bidi="ar-SA"/>
              </w:rPr>
              <w:t>Retrieval</w:t>
            </w:r>
          </w:p>
        </w:tc>
        <w:tc>
          <w:tcPr>
            <w:tcW w:w="1320"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Zweck</w:t>
            </w:r>
          </w:p>
        </w:tc>
      </w:tr>
      <w:tr>
        <w:trPr/>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L0</w:t>
            </w:r>
          </w:p>
        </w:tc>
        <w:tc>
          <w:tcPr>
            <w:tcW w:w="131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21"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1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autonomer SNN-Kern</w:t>
            </w:r>
          </w:p>
        </w:tc>
      </w:tr>
      <w:tr>
        <w:trPr/>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L1</w:t>
            </w:r>
          </w:p>
        </w:tc>
        <w:tc>
          <w:tcPr>
            <w:tcW w:w="131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21"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ja</w:t>
            </w:r>
          </w:p>
        </w:tc>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1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reine Output-Interpretation</w:t>
            </w:r>
          </w:p>
        </w:tc>
      </w:tr>
      <w:tr>
        <w:trPr/>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L2</w:t>
            </w:r>
          </w:p>
        </w:tc>
        <w:tc>
          <w:tcPr>
            <w:tcW w:w="131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ja</w:t>
            </w:r>
          </w:p>
        </w:tc>
        <w:tc>
          <w:tcPr>
            <w:tcW w:w="1321"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ja</w:t>
            </w:r>
          </w:p>
        </w:tc>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1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symbolische I/O-Brücke</w:t>
            </w:r>
          </w:p>
        </w:tc>
      </w:tr>
      <w:tr>
        <w:trPr/>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L3</w:t>
            </w:r>
          </w:p>
        </w:tc>
        <w:tc>
          <w:tcPr>
            <w:tcW w:w="131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ja</w:t>
            </w:r>
          </w:p>
        </w:tc>
        <w:tc>
          <w:tcPr>
            <w:tcW w:w="1321"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ja</w:t>
            </w:r>
          </w:p>
        </w:tc>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PolicyGate</w:t>
            </w:r>
          </w:p>
        </w:tc>
        <w:tc>
          <w:tcPr>
            <w:tcW w:w="131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nein</w:t>
            </w:r>
          </w:p>
        </w:tc>
        <w:tc>
          <w:tcPr>
            <w:tcW w:w="132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kontrollierte Rückkopplung</w:t>
            </w:r>
          </w:p>
        </w:tc>
      </w:tr>
      <w:tr>
        <w:trPr/>
        <w:tc>
          <w:tcPr>
            <w:tcW w:w="1320"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bCs/>
                <w:i w:val="false"/>
                <w:color w:val="202020"/>
                <w:kern w:val="0"/>
                <w:sz w:val="16"/>
                <w:szCs w:val="24"/>
                <w:lang w:val="de-DE" w:eastAsia="en-US" w:bidi="ar-SA"/>
              </w:rPr>
              <w:t>L4</w:t>
            </w:r>
          </w:p>
        </w:tc>
        <w:tc>
          <w:tcPr>
            <w:tcW w:w="1319"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ja</w:t>
            </w:r>
          </w:p>
        </w:tc>
        <w:tc>
          <w:tcPr>
            <w:tcW w:w="1321"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ja</w:t>
            </w:r>
          </w:p>
        </w:tc>
        <w:tc>
          <w:tcPr>
            <w:tcW w:w="1320"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PolicyGate</w:t>
            </w:r>
          </w:p>
        </w:tc>
        <w:tc>
          <w:tcPr>
            <w:tcW w:w="1319"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ja</w:t>
            </w:r>
          </w:p>
        </w:tc>
        <w:tc>
          <w:tcPr>
            <w:tcW w:w="1320"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vollständige hybride Bedingung</w:t>
            </w:r>
          </w:p>
        </w:tc>
      </w:tr>
    </w:tbl>
    <w:p>
      <w:pPr>
        <w:pStyle w:val="BodyText"/>
        <w:rPr/>
      </w:pPr>
      <w:bookmarkStart w:id="241" w:name="language-organ"/>
      <w:bookmarkStart w:id="242" w:name="language-organ-ablationen"/>
      <w:r>
        <w:rPr/>
        <w:t>Nach Training in L4 erfolgt die entscheidende Isolation: LLM aus, Retrieval aus, Cache gelöscht, Decoder wahlweise durch festes Baseline-Modell ersetzt. Nur so lässt sich prüfen, ob im SNN persistente Information verbleibt.</w:t>
      </w:r>
      <w:bookmarkEnd w:id="241"/>
      <w:bookmarkEnd w:id="242"/>
    </w:p>
    <w:p>
      <w:pPr>
        <w:pStyle w:val="Heading2"/>
        <w:keepNext w:val="true"/>
        <w:widowControl/>
        <w:rPr/>
      </w:pPr>
      <w:bookmarkStart w:id="243" w:name="__RefHeading___Toc10147_954062153"/>
      <w:bookmarkStart w:id="244" w:name="knowledge-intake-engine"/>
      <w:bookmarkEnd w:id="243"/>
      <w:r>
        <w:rPr/>
        <w:t>22. Knowledge Intake Engine</w:t>
      </w:r>
    </w:p>
    <w:p>
      <w:pPr>
        <w:pStyle w:val="Heading3"/>
        <w:keepNext w:val="true"/>
        <w:widowControl/>
        <w:rPr/>
      </w:pPr>
      <w:bookmarkStart w:id="245" w:name="trennung-von-sprache-und-wissensaufnahme"/>
      <w:r>
        <w:rPr/>
        <w:t>22.1 Trennung von Sprache und Wissensaufnahme</w:t>
      </w:r>
    </w:p>
    <w:p>
      <w:pPr>
        <w:pStyle w:val="FirstParagraph"/>
        <w:rPr/>
      </w:pPr>
      <w:bookmarkStart w:id="246" w:name="trennung-von-sprache-und-wissensaufnahme"/>
      <w:r>
        <w:rPr/>
        <w:t>Die Knowledge Intake Engine (KIE) ist nicht Teil des LLM. Sie verwaltet Herkunft, Abruf, Parsing, Lizenz, Vertrauensstatus, Widersprüche und Versionierung. Ein LLM kann Inhalte extrahieren oder klassifizieren, besitzt aber nicht die Autorität, eine Aussage allein dadurch zum Fakt zu erklären.</w:t>
      </w:r>
      <w:bookmarkEnd w:id="246"/>
    </w:p>
    <w:p>
      <w:pPr>
        <w:pStyle w:val="Heading3"/>
        <w:keepNext w:val="true"/>
        <w:widowControl/>
        <w:rPr/>
      </w:pPr>
      <w:bookmarkStart w:id="247" w:name="provenienzmodell"/>
      <w:r>
        <w:rPr/>
        <w:t>22.2 Provenienzmodell</w:t>
      </w:r>
    </w:p>
    <w:p>
      <w:pPr>
        <w:pStyle w:val="FirstParagraph"/>
        <w:rPr/>
      </w:pPr>
      <w:r>
        <w:rPr/>
        <w:t>Provenienz ist Information über Entitäten, Aktivitäten und Akteure, die an der Erzeugung oder Transformation eines Artefakts beteiligt sind (</w:t>
      </w:r>
      <w:hyperlink w:anchor="ref-Buneman2001">
        <w:r>
          <w:rPr>
            <w:rStyle w:val="Hyperlink"/>
          </w:rPr>
          <w:t>Buneman et al., 2001</w:t>
        </w:r>
      </w:hyperlink>
      <w:r>
        <w:rPr/>
        <w:t xml:space="preserve">; </w:t>
      </w:r>
      <w:hyperlink w:anchor="ref-Moreau2013">
        <w:r>
          <w:rPr>
            <w:rStyle w:val="Hyperlink"/>
          </w:rPr>
          <w:t>Moreau et al., 2013</w:t>
        </w:r>
      </w:hyperlink>
      <w:r>
        <w:rPr/>
        <w:t>). Brain-5D verwendet mindestens:</w:t>
      </w:r>
    </w:p>
    <w:p>
      <w:pPr>
        <w:pStyle w:val="SourceCode"/>
        <w:shd w:val="clear" w:fill="F5F7FA"/>
        <w:rPr/>
      </w:pPr>
      <w:r>
        <w:rPr>
          <w:rStyle w:val="VerbatimChar"/>
        </w:rPr>
        <w:t>SourceRecord</w:t>
      </w:r>
      <w:r>
        <w:rPr/>
        <w:br/>
      </w:r>
      <w:r>
        <w:rPr>
          <w:rStyle w:val="VerbatimChar"/>
        </w:rPr>
        <w:t xml:space="preserve">  └── RetrievalActivity</w:t>
      </w:r>
      <w:r>
        <w:rPr/>
        <w:br/>
      </w:r>
      <w:r>
        <w:rPr>
          <w:rStyle w:val="VerbatimChar"/>
        </w:rPr>
        <w:t xml:space="preserve">       └── RawArtifact</w:t>
      </w:r>
      <w:r>
        <w:rPr/>
        <w:br/>
      </w:r>
      <w:r>
        <w:rPr>
          <w:rStyle w:val="VerbatimChar"/>
        </w:rPr>
        <w:t xml:space="preserve">            └── ParseActivity</w:t>
      </w:r>
      <w:r>
        <w:rPr/>
        <w:br/>
      </w:r>
      <w:r>
        <w:rPr>
          <w:rStyle w:val="VerbatimChar"/>
        </w:rPr>
        <w:t xml:space="preserve">                 └── KnowledgeItem</w:t>
      </w:r>
      <w:r>
        <w:rPr/>
        <w:br/>
      </w:r>
      <w:r>
        <w:rPr>
          <w:rStyle w:val="VerbatimChar"/>
        </w:rPr>
        <w:t xml:space="preserve">                      └── EncodingActivity</w:t>
      </w:r>
      <w:r>
        <w:rPr/>
        <w:br/>
      </w:r>
      <w:r>
        <w:rPr>
          <w:rStyle w:val="VerbatimChar"/>
        </w:rPr>
        <w:t xml:space="preserve">                           └── StimulusPlan</w:t>
      </w:r>
      <w:r>
        <w:rPr/>
        <w:br/>
      </w:r>
      <w:r>
        <w:rPr>
          <w:rStyle w:val="VerbatimChar"/>
        </w:rPr>
        <w:t xml:space="preserve">                                └── Episode</w:t>
      </w:r>
      <w:bookmarkEnd w:id="247"/>
    </w:p>
    <w:p>
      <w:pPr>
        <w:pStyle w:val="Heading3"/>
        <w:keepNext w:val="true"/>
        <w:widowControl/>
        <w:rPr/>
      </w:pPr>
      <w:bookmarkStart w:id="248" w:name="sourcerecord"/>
      <w:r>
        <w:rPr/>
        <w:t>22.3 SourceRecord</w:t>
      </w:r>
    </w:p>
    <w:p>
      <w:pPr>
        <w:pStyle w:val="SourceCode"/>
        <w:shd w:val="clear" w:fill="F5F7FA"/>
        <w:rPr/>
      </w:pPr>
      <w:r>
        <w:rPr>
          <w:rStyle w:val="FunctionTok"/>
        </w:rPr>
        <w:t>source_id</w:t>
      </w:r>
      <w:r>
        <w:rPr>
          <w:rStyle w:val="KeywordTok"/>
        </w:rPr>
        <w:t>:</w:t>
      </w:r>
      <w:r>
        <w:rPr>
          <w:rStyle w:val="AttributeTok"/>
        </w:rPr>
        <w:t xml:space="preserve"> SRC-2026-0012</w:t>
      </w:r>
      <w:r>
        <w:rPr/>
        <w:br/>
      </w:r>
      <w:r>
        <w:rPr>
          <w:rStyle w:val="FunctionTok"/>
        </w:rPr>
        <w:t>canonical_uri</w:t>
      </w:r>
      <w:r>
        <w:rPr>
          <w:rStyle w:val="KeywordTok"/>
        </w:rPr>
        <w:t>:</w:t>
      </w:r>
      <w:r>
        <w:rPr>
          <w:rStyle w:val="AttributeTok"/>
        </w:rPr>
        <w:t xml:space="preserve"> </w:t>
      </w:r>
      <w:r>
        <w:rPr>
          <w:rStyle w:val="StringTok"/>
        </w:rPr>
        <w:t>"..."</w:t>
      </w:r>
      <w:r>
        <w:rPr/>
        <w:br/>
      </w:r>
      <w:r>
        <w:rPr>
          <w:rStyle w:val="FunctionTok"/>
        </w:rPr>
        <w:t>source_type</w:t>
      </w:r>
      <w:r>
        <w:rPr>
          <w:rStyle w:val="KeywordTok"/>
        </w:rPr>
        <w:t>:</w:t>
      </w:r>
      <w:r>
        <w:rPr>
          <w:rStyle w:val="AttributeTok"/>
        </w:rPr>
        <w:t xml:space="preserve"> journal_article</w:t>
      </w:r>
      <w:r>
        <w:rPr/>
        <w:br/>
      </w:r>
      <w:r>
        <w:rPr>
          <w:rStyle w:val="FunctionTok"/>
        </w:rPr>
        <w:t>retrieved_at</w:t>
      </w:r>
      <w:r>
        <w:rPr>
          <w:rStyle w:val="KeywordTok"/>
        </w:rPr>
        <w:t>:</w:t>
      </w:r>
      <w:r>
        <w:rPr>
          <w:rStyle w:val="AttributeTok"/>
        </w:rPr>
        <w:t xml:space="preserve"> 2026-08-16T20:10:00+02:00</w:t>
      </w:r>
      <w:r>
        <w:rPr/>
        <w:br/>
      </w:r>
      <w:r>
        <w:rPr>
          <w:rStyle w:val="FunctionTok"/>
        </w:rPr>
        <w:t>content_hash</w:t>
      </w:r>
      <w:r>
        <w:rPr>
          <w:rStyle w:val="KeywordTok"/>
        </w:rPr>
        <w:t>:</w:t>
      </w:r>
      <w:r>
        <w:rPr>
          <w:rStyle w:val="AttributeTok"/>
        </w:rPr>
        <w:t xml:space="preserve"> sha256:...</w:t>
      </w:r>
      <w:r>
        <w:rPr/>
        <w:br/>
      </w:r>
      <w:r>
        <w:rPr>
          <w:rStyle w:val="FunctionTok"/>
        </w:rPr>
        <w:t>media_type</w:t>
      </w:r>
      <w:r>
        <w:rPr>
          <w:rStyle w:val="KeywordTok"/>
        </w:rPr>
        <w:t>:</w:t>
      </w:r>
      <w:r>
        <w:rPr>
          <w:rStyle w:val="AttributeTok"/>
        </w:rPr>
        <w:t xml:space="preserve"> application/pdf</w:t>
      </w:r>
      <w:r>
        <w:rPr/>
        <w:br/>
      </w:r>
      <w:r>
        <w:rPr>
          <w:rStyle w:val="FunctionTok"/>
        </w:rPr>
        <w:t>license_status</w:t>
      </w:r>
      <w:r>
        <w:rPr>
          <w:rStyle w:val="KeywordTok"/>
        </w:rPr>
        <w:t>:</w:t>
      </w:r>
      <w:r>
        <w:rPr>
          <w:rStyle w:val="AttributeTok"/>
        </w:rPr>
        <w:t xml:space="preserve"> verified_open_access</w:t>
      </w:r>
      <w:r>
        <w:rPr/>
        <w:br/>
      </w:r>
      <w:r>
        <w:rPr>
          <w:rStyle w:val="FunctionTok"/>
        </w:rPr>
        <w:t>publisher</w:t>
      </w:r>
      <w:r>
        <w:rPr>
          <w:rStyle w:val="KeywordTok"/>
        </w:rPr>
        <w:t>:</w:t>
      </w:r>
      <w:r>
        <w:rPr>
          <w:rStyle w:val="AttributeTok"/>
        </w:rPr>
        <w:t xml:space="preserve"> </w:t>
      </w:r>
      <w:r>
        <w:rPr>
          <w:rStyle w:val="StringTok"/>
        </w:rPr>
        <w:t>"..."</w:t>
      </w:r>
      <w:r>
        <w:rPr/>
        <w:br/>
      </w:r>
      <w:r>
        <w:rPr>
          <w:rStyle w:val="FunctionTok"/>
        </w:rPr>
        <w:t>publication_date</w:t>
      </w:r>
      <w:r>
        <w:rPr>
          <w:rStyle w:val="KeywordTok"/>
        </w:rPr>
        <w:t>:</w:t>
      </w:r>
      <w:r>
        <w:rPr>
          <w:rStyle w:val="AttributeTok"/>
        </w:rPr>
        <w:t xml:space="preserve"> </w:t>
      </w:r>
      <w:r>
        <w:rPr>
          <w:rStyle w:val="StringTok"/>
        </w:rPr>
        <w:t>"..."</w:t>
      </w:r>
      <w:r>
        <w:rPr/>
        <w:br/>
      </w:r>
      <w:r>
        <w:rPr>
          <w:rStyle w:val="FunctionTok"/>
        </w:rPr>
        <w:t>retrieval_tool</w:t>
      </w:r>
      <w:r>
        <w:rPr>
          <w:rStyle w:val="KeywordTok"/>
        </w:rPr>
        <w:t>:</w:t>
      </w:r>
      <w:r>
        <w:rPr>
          <w:rStyle w:val="AttributeTok"/>
        </w:rPr>
        <w:t xml:space="preserve"> intake-http-0.4</w:t>
      </w:r>
    </w:p>
    <w:p>
      <w:pPr>
        <w:pStyle w:val="FirstParagraph"/>
        <w:rPr/>
      </w:pPr>
      <w:bookmarkStart w:id="249" w:name="sourcerecord"/>
      <w:r>
        <w:rPr/>
        <w:t>URLs sind nicht ausreichend, weil Inhalte sich ändern können. Content Hash, Abrufdatum und nach Möglichkeit archivierte Kopie oder DOI gehören zum Nachweis.</w:t>
      </w:r>
      <w:bookmarkEnd w:id="249"/>
    </w:p>
    <w:p>
      <w:pPr>
        <w:pStyle w:val="Heading3"/>
        <w:keepNext w:val="true"/>
        <w:widowControl/>
        <w:rPr/>
      </w:pPr>
      <w:bookmarkStart w:id="250" w:name="knowledgeitem"/>
      <w:r>
        <w:rPr/>
        <w:t>22.4 KnowledgeItem</w:t>
      </w:r>
    </w:p>
    <w:p>
      <w:pPr>
        <w:pStyle w:val="SourceCode"/>
        <w:shd w:val="clear" w:fill="F5F7FA"/>
        <w:rPr/>
      </w:pPr>
      <w:r>
        <w:rPr>
          <w:rStyle w:val="FunctionTok"/>
        </w:rPr>
        <w:t>knowledge_id</w:t>
      </w:r>
      <w:r>
        <w:rPr>
          <w:rStyle w:val="KeywordTok"/>
        </w:rPr>
        <w:t>:</w:t>
      </w:r>
      <w:r>
        <w:rPr>
          <w:rStyle w:val="AttributeTok"/>
        </w:rPr>
        <w:t xml:space="preserve"> KI-2026-0044</w:t>
      </w:r>
      <w:r>
        <w:rPr/>
        <w:br/>
      </w:r>
      <w:r>
        <w:rPr>
          <w:rStyle w:val="FunctionTok"/>
        </w:rPr>
        <w:t>content</w:t>
      </w:r>
      <w:r>
        <w:rPr>
          <w:rStyle w:val="KeywordTok"/>
        </w:rPr>
        <w:t>:</w:t>
      </w:r>
      <w:r>
        <w:rPr>
          <w:rStyle w:val="AttributeTok"/>
        </w:rPr>
        <w:t xml:space="preserve"> </w:t>
      </w:r>
      <w:r>
        <w:rPr>
          <w:rStyle w:val="StringTok"/>
        </w:rPr>
        <w:t>"..."</w:t>
      </w:r>
      <w:r>
        <w:rPr/>
        <w:br/>
      </w:r>
      <w:r>
        <w:rPr>
          <w:rStyle w:val="FunctionTok"/>
        </w:rPr>
        <w:t>language</w:t>
      </w:r>
      <w:r>
        <w:rPr>
          <w:rStyle w:val="KeywordTok"/>
        </w:rPr>
        <w:t>:</w:t>
      </w:r>
      <w:r>
        <w:rPr>
          <w:rStyle w:val="AttributeTok"/>
        </w:rPr>
        <w:t xml:space="preserve"> de</w:t>
      </w:r>
      <w:r>
        <w:rPr/>
        <w:br/>
      </w:r>
      <w:r>
        <w:rPr>
          <w:rStyle w:val="FunctionTok"/>
        </w:rPr>
        <w:t>source_ids</w:t>
      </w:r>
      <w:r>
        <w:rPr>
          <w:rStyle w:val="KeywordTok"/>
        </w:rPr>
        <w:t>:</w:t>
      </w:r>
      <w:r>
        <w:rPr>
          <w:rStyle w:val="AttributeTok"/>
        </w:rPr>
        <w:t xml:space="preserve"> </w:t>
      </w:r>
      <w:r>
        <w:rPr>
          <w:rStyle w:val="KeywordTok"/>
        </w:rPr>
        <w:t>[</w:t>
      </w:r>
      <w:r>
        <w:rPr>
          <w:rStyle w:val="AttributeTok"/>
        </w:rPr>
        <w:t>SRC-2026</w:t>
      </w:r>
      <w:r>
        <w:rPr>
          <w:rStyle w:val="DecValTok"/>
        </w:rPr>
        <w:t>-0012</w:t>
      </w:r>
      <w:r>
        <w:rPr>
          <w:rStyle w:val="KeywordTok"/>
        </w:rPr>
        <w:t>]</w:t>
      </w:r>
      <w:r>
        <w:rPr/>
        <w:br/>
      </w:r>
      <w:r>
        <w:rPr>
          <w:rStyle w:val="FunctionTok"/>
        </w:rPr>
        <w:t>extraction_method</w:t>
      </w:r>
      <w:r>
        <w:rPr>
          <w:rStyle w:val="KeywordTok"/>
        </w:rPr>
        <w:t>:</w:t>
      </w:r>
      <w:r>
        <w:rPr>
          <w:rStyle w:val="AttributeTok"/>
        </w:rPr>
        <w:t xml:space="preserve"> human_reviewed_llm_extract</w:t>
      </w:r>
      <w:r>
        <w:rPr/>
        <w:br/>
      </w:r>
      <w:r>
        <w:rPr>
          <w:rStyle w:val="FunctionTok"/>
        </w:rPr>
        <w:t>parser_version</w:t>
      </w:r>
      <w:r>
        <w:rPr>
          <w:rStyle w:val="KeywordTok"/>
        </w:rPr>
        <w:t>:</w:t>
      </w:r>
      <w:r>
        <w:rPr>
          <w:rStyle w:val="AttributeTok"/>
        </w:rPr>
        <w:t xml:space="preserve"> </w:t>
      </w:r>
      <w:r>
        <w:rPr>
          <w:rStyle w:val="FloatTok"/>
        </w:rPr>
        <w:t>0.8</w:t>
      </w:r>
      <w:r>
        <w:rPr/>
        <w:br/>
      </w:r>
      <w:r>
        <w:rPr>
          <w:rStyle w:val="FunctionTok"/>
        </w:rPr>
        <w:t>trust_state</w:t>
      </w:r>
      <w:r>
        <w:rPr>
          <w:rStyle w:val="KeywordTok"/>
        </w:rPr>
        <w:t>:</w:t>
      </w:r>
      <w:r>
        <w:rPr>
          <w:rStyle w:val="AttributeTok"/>
        </w:rPr>
        <w:t xml:space="preserve"> source_verified</w:t>
      </w:r>
      <w:r>
        <w:rPr/>
        <w:br/>
      </w:r>
      <w:r>
        <w:rPr>
          <w:rStyle w:val="FunctionTok"/>
        </w:rPr>
        <w:t>validation_state</w:t>
      </w:r>
      <w:r>
        <w:rPr>
          <w:rStyle w:val="KeywordTok"/>
        </w:rPr>
        <w:t>:</w:t>
      </w:r>
      <w:r>
        <w:rPr>
          <w:rStyle w:val="AttributeTok"/>
        </w:rPr>
        <w:t xml:space="preserve"> proposition_unverified</w:t>
      </w:r>
      <w:r>
        <w:rPr/>
        <w:br/>
      </w:r>
      <w:r>
        <w:rPr>
          <w:rStyle w:val="FunctionTok"/>
        </w:rPr>
        <w:t>contradiction_set</w:t>
      </w:r>
      <w:r>
        <w:rPr>
          <w:rStyle w:val="KeywordTok"/>
        </w:rPr>
        <w:t>:</w:t>
      </w:r>
      <w:r>
        <w:rPr>
          <w:rStyle w:val="AttributeTok"/>
        </w:rPr>
        <w:t xml:space="preserve"> </w:t>
      </w:r>
      <w:r>
        <w:rPr>
          <w:rStyle w:val="KeywordTok"/>
        </w:rPr>
        <w:t>[</w:t>
      </w:r>
      <w:r>
        <w:rPr>
          <w:rStyle w:val="AttributeTok"/>
        </w:rPr>
        <w:t>KI-2026</w:t>
      </w:r>
      <w:r>
        <w:rPr>
          <w:rStyle w:val="DecValTok"/>
        </w:rPr>
        <w:t>-0021</w:t>
      </w:r>
      <w:r>
        <w:rPr>
          <w:rStyle w:val="KeywordTok"/>
        </w:rPr>
        <w:t>]</w:t>
      </w:r>
      <w:r>
        <w:rPr/>
        <w:br/>
      </w:r>
      <w:r>
        <w:rPr>
          <w:rStyle w:val="FunctionTok"/>
        </w:rPr>
        <w:t>content_hash</w:t>
      </w:r>
      <w:r>
        <w:rPr>
          <w:rStyle w:val="KeywordTok"/>
        </w:rPr>
        <w:t>:</w:t>
      </w:r>
      <w:r>
        <w:rPr>
          <w:rStyle w:val="AttributeTok"/>
        </w:rPr>
        <w:t xml:space="preserve"> sha256:...</w:t>
      </w:r>
    </w:p>
    <w:p>
      <w:pPr>
        <w:pStyle w:val="FirstParagraph"/>
        <w:rPr/>
      </w:pPr>
      <w:r>
        <w:rPr>
          <w:rStyle w:val="VerbatimChar"/>
        </w:rPr>
        <w:t>trust_state</w:t>
      </w:r>
      <w:r>
        <w:rPr/>
        <w:t xml:space="preserve"> bewertet Quelle oder Prozess; </w:t>
      </w:r>
      <w:r>
        <w:rPr>
          <w:rStyle w:val="VerbatimChar"/>
        </w:rPr>
        <w:t>validation_state</w:t>
      </w:r>
      <w:r>
        <w:rPr/>
        <w:t xml:space="preserve"> bewertet die konkrete Proposition. Eine renommierte Quelle kann irren, und eine korrekte Aussage aus einer unbekannten Quelle kann unzureichend validiert sein. Widersprüche werden nicht überschrieben, sondern als Beziehung gespeichert.</w:t>
      </w:r>
      <w:bookmarkEnd w:id="250"/>
    </w:p>
    <w:p>
      <w:pPr>
        <w:pStyle w:val="Heading3"/>
        <w:keepNext w:val="true"/>
        <w:widowControl/>
        <w:rPr/>
      </w:pPr>
      <w:bookmarkStart w:id="251" w:name="lernstimulus-und-semantische-dosis"/>
      <w:r>
        <w:rPr/>
        <w:t>22.5 Lernstimulus und semantische Dosis</w:t>
      </w:r>
    </w:p>
    <w:p>
      <w:pPr>
        <w:pStyle w:val="FirstParagraph"/>
        <w:rPr/>
      </w:pPr>
      <w:bookmarkStart w:id="252" w:name="lernstimulus-und-semantische-dosis"/>
      <w:r>
        <w:rPr/>
        <w:t>Ein KnowledgeItem wird nicht vollständig und einmalig als „Wissen“ in das SNN geschrieben. Es wird in einen Lernstimulus mit kontrollierter Dosis, Wiederholung, Variation und Kontext überführt. Die Kodierung ist Teil des Experiments. Ein zu deterministischer Encoder kann das Zielmerkmal direkt in leicht dekodierbare Kanäle einprägen und damit die eigentliche Repräsentationsfrage trivialisieren.</w:t>
      </w:r>
      <w:bookmarkEnd w:id="252"/>
    </w:p>
    <w:p>
      <w:pPr>
        <w:pStyle w:val="Heading3"/>
        <w:keepNext w:val="true"/>
        <w:widowControl/>
        <w:rPr/>
      </w:pPr>
      <w:bookmarkStart w:id="253" w:name="datenschutz-lizenz-und-datenminimierung"/>
      <w:r>
        <w:rPr/>
        <w:t>22.6 Datenschutz, Lizenz und Datenminimierung</w:t>
      </w:r>
    </w:p>
    <w:p>
      <w:pPr>
        <w:pStyle w:val="FirstParagraph"/>
        <w:rPr/>
      </w:pPr>
      <w:bookmarkStart w:id="254" w:name="knowledge-intake-engine"/>
      <w:bookmarkStart w:id="255" w:name="datenschutz-lizenz-und-datenminimierung"/>
      <w:r>
        <w:rPr/>
        <w:t>Personenbezogene oder lizenzbeschränkte Inhalte benötigen Filter, Zweckbindung und Löschkonzept. Provenienz darf nicht zum unbegrenzten Kopieren geschützter Volltexte führen. Für wissenschaftliche Läufe werden nach Möglichkeit Hashes, Metadaten, erlaubte Extrakte und reproduzierbare Abrufanweisungen gespeichert.</w:t>
      </w:r>
      <w:bookmarkEnd w:id="254"/>
      <w:bookmarkEnd w:id="255"/>
    </w:p>
    <w:p>
      <w:pPr>
        <w:pStyle w:val="Heading2"/>
        <w:keepNext w:val="true"/>
        <w:widowControl/>
        <w:rPr/>
      </w:pPr>
      <w:bookmarkStart w:id="256" w:name="__RefHeading___Toc10149_954062153"/>
      <w:bookmarkStart w:id="257" w:name="storage-und-5d-digital-state-twin"/>
      <w:bookmarkEnd w:id="256"/>
      <w:r>
        <w:rPr/>
        <w:t>23. Storage und 5D Digital State Twin</w:t>
      </w:r>
    </w:p>
    <w:p>
      <w:pPr>
        <w:pStyle w:val="Heading3"/>
        <w:keepNext w:val="true"/>
        <w:widowControl/>
        <w:rPr/>
      </w:pPr>
      <w:bookmarkStart w:id="258" w:name="begriffliche-präzisierung"/>
      <w:r>
        <w:rPr/>
        <w:t>23.1 Begriffliche Präzisierung</w:t>
      </w:r>
    </w:p>
    <w:p>
      <w:pPr>
        <w:pStyle w:val="FirstParagraph"/>
        <w:rPr/>
      </w:pPr>
      <w:r>
        <w:rPr/>
        <w:t>Ein Digital Twin wird häufig als gekoppelte digitale Repräsentation eines physischen oder technischen Gegenstands verstanden; Literatur unterscheidet zudem Digital Model, Digital Shadow und Digital Twin nach Kopplungsrichtung und Automatisierungsgrad (</w:t>
      </w:r>
      <w:hyperlink w:anchor="ref-Fuller2020">
        <w:r>
          <w:rPr>
            <w:rStyle w:val="Hyperlink"/>
          </w:rPr>
          <w:t>Fuller et al., 2020</w:t>
        </w:r>
      </w:hyperlink>
      <w:r>
        <w:rPr/>
        <w:t xml:space="preserve">; </w:t>
      </w:r>
      <w:hyperlink w:anchor="ref-Jones2020">
        <w:r>
          <w:rPr>
            <w:rStyle w:val="Hyperlink"/>
          </w:rPr>
          <w:t>Jones et al., 2020</w:t>
        </w:r>
      </w:hyperlink>
      <w:r>
        <w:rPr/>
        <w:t xml:space="preserve">; </w:t>
      </w:r>
      <w:hyperlink w:anchor="ref-Kritzinger2018">
        <w:r>
          <w:rPr>
            <w:rStyle w:val="Hyperlink"/>
          </w:rPr>
          <w:t>Kritzinger et al., 2018</w:t>
        </w:r>
      </w:hyperlink>
      <w:r>
        <w:rPr/>
        <w:t xml:space="preserve">). Solange Brain-5D primär eine digitale Simulation ohne synchrones physisches Gegenstück ist, ist </w:t>
      </w:r>
      <w:r>
        <w:rPr>
          <w:b/>
          <w:bCs/>
        </w:rPr>
        <w:t>Digital State Twin</w:t>
      </w:r>
      <w:r>
        <w:rPr/>
        <w:t xml:space="preserve"> beziehungsweise </w:t>
      </w:r>
      <w:r>
        <w:rPr>
          <w:b/>
          <w:bCs/>
        </w:rPr>
        <w:t>reproduzierbarer digitaler Zustandszwilling</w:t>
      </w:r>
      <w:r>
        <w:rPr/>
        <w:t xml:space="preserve"> präziser. Wird später ein physisches neuronales Substrat gekoppelt, muss die Twin-Beziehung separat definiert werden.</w:t>
      </w:r>
      <w:bookmarkEnd w:id="258"/>
    </w:p>
    <w:p>
      <w:pPr>
        <w:pStyle w:val="Heading3"/>
        <w:keepNext w:val="true"/>
        <w:widowControl/>
        <w:rPr/>
      </w:pPr>
      <w:bookmarkStart w:id="259" w:name="schichtenmodell"/>
      <w:r>
        <w:rPr/>
        <w:t>23.2 Schichtenmodell</w:t>
      </w:r>
    </w:p>
    <w:p>
      <w:pPr>
        <w:pStyle w:val="CaptionedFigure"/>
        <w:rPr/>
      </w:pPr>
      <w:r>
        <w:rPr/>
        <w:drawing>
          <wp:inline distT="0" distB="0" distL="0" distR="0">
            <wp:extent cx="5984240" cy="3350260"/>
            <wp:effectExtent l="0" t="0" r="0" b="0"/>
            <wp:docPr id="3" name="Image3" descr="Schichten des Brain-5D Storage- und Digital-State-Twin-Konzept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chichten des Brain-5D Storage- und Digital-State-Twin-Konzepts." title=""/>
                    <pic:cNvPicPr>
                      <a:picLocks noChangeAspect="1" noChangeArrowheads="1"/>
                    </pic:cNvPicPr>
                  </pic:nvPicPr>
                  <pic:blipFill>
                    <a:blip r:embed="rId5"/>
                    <a:stretch>
                      <a:fillRect/>
                    </a:stretch>
                  </pic:blipFill>
                  <pic:spPr bwMode="auto">
                    <a:xfrm>
                      <a:off x="0" y="0"/>
                      <a:ext cx="5984240" cy="3350260"/>
                    </a:xfrm>
                    <a:prstGeom prst="rect">
                      <a:avLst/>
                    </a:prstGeom>
                    <a:noFill/>
                  </pic:spPr>
                </pic:pic>
              </a:graphicData>
            </a:graphic>
          </wp:inline>
        </w:drawing>
      </w:r>
    </w:p>
    <w:p>
      <w:pPr>
        <w:pStyle w:val="ImageCaption"/>
        <w:rPr/>
      </w:pPr>
      <w:r>
        <w:rPr/>
        <w:t>Schichten des Brain-5D Storage- und Digital-State-Twin-Konzepts.</w:t>
      </w:r>
    </w:p>
    <w:p>
      <w:pPr>
        <w:pStyle w:val="BodyText"/>
        <w:rPr/>
      </w:pPr>
      <w:r>
        <w:rPr/>
        <w:t>Die Speicherarchitektur trennt:</w:t>
      </w:r>
    </w:p>
    <w:p>
      <w:pPr>
        <w:pStyle w:val="Compact"/>
        <w:numPr>
          <w:ilvl w:val="0"/>
          <w:numId w:val="176"/>
        </w:numPr>
        <w:rPr/>
      </w:pPr>
      <w:r>
        <w:rPr/>
        <w:t>den potenziellen 5D-Adressraum;</w:t>
      </w:r>
    </w:p>
    <w:p>
      <w:pPr>
        <w:pStyle w:val="Compact"/>
        <w:numPr>
          <w:ilvl w:val="0"/>
          <w:numId w:val="177"/>
        </w:numPr>
        <w:rPr/>
      </w:pPr>
      <w:r>
        <w:rPr/>
        <w:t>den materialisierten Simulationszustand;</w:t>
      </w:r>
    </w:p>
    <w:p>
      <w:pPr>
        <w:pStyle w:val="Compact"/>
        <w:numPr>
          <w:ilvl w:val="0"/>
          <w:numId w:val="178"/>
        </w:numPr>
        <w:rPr/>
      </w:pPr>
      <w:r>
        <w:rPr/>
        <w:t>Checkpoints und Delta-/Event-Logs;</w:t>
      </w:r>
    </w:p>
    <w:p>
      <w:pPr>
        <w:pStyle w:val="Compact"/>
        <w:numPr>
          <w:ilvl w:val="0"/>
          <w:numId w:val="179"/>
        </w:numPr>
        <w:rPr/>
      </w:pPr>
      <w:r>
        <w:rPr/>
        <w:t>abgeleitete Sichten und Indizes;</w:t>
      </w:r>
    </w:p>
    <w:p>
      <w:pPr>
        <w:pStyle w:val="Compact"/>
        <w:numPr>
          <w:ilvl w:val="0"/>
          <w:numId w:val="180"/>
        </w:numPr>
        <w:rPr/>
      </w:pPr>
      <w:r>
        <w:rPr/>
        <w:t>Experiment- und Evidenzregister.</w:t>
      </w:r>
    </w:p>
    <w:p>
      <w:pPr>
        <w:pStyle w:val="FirstParagraph"/>
        <w:rPr/>
      </w:pPr>
      <w:bookmarkStart w:id="260" w:name="schichtenmodell"/>
      <w:r>
        <w:rPr/>
        <w:t>Abgeleitete Graphmetriken oder Heatmaps dürfen gelöscht und neu berechnet werden. Primärzustand und Ereignisse müssen dagegen für den behaupteten Reproduktionsgrad ausreichend sein.</w:t>
      </w:r>
      <w:bookmarkEnd w:id="260"/>
    </w:p>
    <w:p>
      <w:pPr>
        <w:pStyle w:val="Heading3"/>
        <w:keepNext w:val="true"/>
        <w:widowControl/>
        <w:rPr/>
      </w:pPr>
      <w:bookmarkStart w:id="261" w:name="speichergrößen"/>
      <w:r>
        <w:rPr/>
        <w:t>23.3 Speichergrößen</w:t>
      </w:r>
    </w:p>
    <w:p>
      <w:pPr>
        <w:pStyle w:val="FirstParagraph"/>
        <w:rPr/>
      </w:pPr>
      <w:r>
        <w:rPr/>
        <w:t xml:space="preserve">Für </w:t>
      </w:r>
      <w:r>
        <w:rPr/>
      </w:r>
      <m:oMath xmlns:m="http://schemas.openxmlformats.org/officeDocument/2006/math">
        <m:r>
          <m:t xml:space="preserve">N</m:t>
        </m:r>
        <m:r>
          <m:t xml:space="preserve">=</m:t>
        </m:r>
        <m:sSup>
          <m:e>
            <m:r>
              <m:t xml:space="preserve">50</m:t>
            </m:r>
          </m:e>
          <m:sup>
            <m:r>
              <m:t xml:space="preserve">5</m:t>
            </m:r>
          </m:sup>
        </m:sSup>
        <m:r>
          <m:t xml:space="preserve">=</m:t>
        </m:r>
        <m:r>
          <m:t xml:space="preserve">312</m:t>
        </m:r>
        <m:r>
          <m:t xml:space="preserve">.</m:t>
        </m:r>
        <m:r>
          <m:t xml:space="preserve">500</m:t>
        </m:r>
        <m:r>
          <m:t xml:space="preserve">.</m:t>
        </m:r>
        <m:r>
          <m:t xml:space="preserve">000</m:t>
        </m:r>
      </m:oMath>
      <w:r>
        <w:rPr/>
        <w:t xml:space="preserve"> und </w:t>
      </w:r>
      <w:r>
        <w:rPr/>
      </w:r>
      <m:oMath xmlns:m="http://schemas.openxmlformats.org/officeDocument/2006/math">
        <m:sSub>
          <m:e>
            <m:r>
              <m:t xml:space="preserve">b</m:t>
            </m:r>
          </m:e>
          <m:sub>
            <m:r>
              <m:t xml:space="preserve">N</m:t>
            </m:r>
          </m:sub>
        </m:sSub>
      </m:oMath>
      <w:r>
        <w:rPr/>
        <w:t xml:space="preserve"> Byte je Neuron gilt</w:t>
      </w:r>
    </w:p>
    <w:p>
      <w:pPr>
        <w:pStyle w:val="BodyText"/>
        <w:rPr/>
      </w:pPr>
      <w:r>
        <w:rPr>
          <w:b/>
          <w:bCs/>
        </w:rPr>
        <w:t>[DEF]</w:t>
      </w:r>
    </w:p>
    <w:p>
      <w:pPr>
        <w:pStyle w:val="BodyText"/>
        <w:jc w:val="center"/>
        <w:rPr/>
      </w:pPr>
      <w:r>
        <w:rPr/>
      </w:r>
      <m:oMathPara xmlns:m="http://schemas.openxmlformats.org/officeDocument/2006/math">
        <m:oMathParaPr>
          <m:jc m:val="center"/>
        </m:oMathParaPr>
        <m:oMath>
          <m:sSub>
            <m:e>
              <m:r>
                <m:t xml:space="preserve">S</m:t>
              </m:r>
            </m:e>
            <m:sub>
              <m:r>
                <m:t xml:space="preserve">N</m:t>
              </m:r>
            </m:sub>
          </m:sSub>
          <m:r>
            <m:t xml:space="preserve">=</m:t>
          </m:r>
          <m:r>
            <m:t xml:space="preserve">N</m:t>
          </m:r>
          <m:sSub>
            <m:e>
              <m:r>
                <m:t xml:space="preserve">b</m:t>
              </m:r>
            </m:e>
            <m:sub>
              <m:r>
                <m:t xml:space="preserve">N</m:t>
              </m:r>
            </m:sub>
          </m:sSub>
          <m:r>
            <m:t xml:space="preserve">.</m:t>
          </m:r>
        </m:oMath>
      </m:oMathPara>
    </w:p>
    <w:p>
      <w:pPr>
        <w:pStyle w:val="FirstParagraph"/>
        <w:rPr/>
      </w:pPr>
      <w:r>
        <w:rPr/>
        <w:t xml:space="preserve">Bei </w:t>
      </w:r>
      <w:r>
        <w:rPr/>
      </w:r>
      <m:oMath xmlns:m="http://schemas.openxmlformats.org/officeDocument/2006/math">
        <m:sSub>
          <m:e>
            <m:r>
              <m:t xml:space="preserve">b</m:t>
            </m:r>
          </m:e>
          <m:sub>
            <m:r>
              <m:t xml:space="preserve">N</m:t>
            </m:r>
          </m:sub>
        </m:sSub>
        <m:r>
          <m:t xml:space="preserve">=</m:t>
        </m:r>
        <m:r>
          <m:t xml:space="preserve">128</m:t>
        </m:r>
      </m:oMath>
      <w:r>
        <w:rPr/>
        <w:t xml:space="preserve"> Byte ergibt dies </w:t>
      </w:r>
      <w:r>
        <w:rPr/>
      </w:r>
      <m:oMath xmlns:m="http://schemas.openxmlformats.org/officeDocument/2006/math">
        <m:r>
          <m:t xml:space="preserve">40</m:t>
        </m:r>
        <m:r>
          <m:t xml:space="preserve">,</m:t>
        </m:r>
        <m:r>
          <m:t xml:space="preserve">0</m:t>
        </m:r>
      </m:oMath>
      <w:r>
        <w:rPr/>
        <w:t xml:space="preserve"> GB dezimal beziehungsweise ungefähr </w:t>
      </w:r>
      <w:r>
        <w:rPr/>
      </w:r>
      <m:oMath xmlns:m="http://schemas.openxmlformats.org/officeDocument/2006/math">
        <m:r>
          <m:t xml:space="preserve">37</m:t>
        </m:r>
        <m:r>
          <m:t xml:space="preserve">,</m:t>
        </m:r>
        <m:r>
          <m:t xml:space="preserve">25</m:t>
        </m:r>
      </m:oMath>
      <w:r>
        <w:rPr/>
        <w:t xml:space="preserve"> GiB, noch ohne Synapsen, Indizes und Historie.</w:t>
      </w:r>
    </w:p>
    <w:p>
      <w:pPr>
        <w:pStyle w:val="BodyText"/>
        <w:rPr/>
      </w:pPr>
      <w:r>
        <w:rPr/>
        <w:t xml:space="preserve">Bei mittlerem Out-Degree </w:t>
      </w:r>
      <w:r>
        <w:rPr/>
      </w:r>
      <m:oMath xmlns:m="http://schemas.openxmlformats.org/officeDocument/2006/math">
        <m:r>
          <m:t xml:space="preserve">k</m:t>
        </m:r>
      </m:oMath>
      <w:r>
        <w:rPr/>
        <w:t xml:space="preserve"> gilt</w:t>
      </w:r>
    </w:p>
    <w:p>
      <w:pPr>
        <w:pStyle w:val="BodyText"/>
        <w:jc w:val="center"/>
        <w:rPr/>
      </w:pPr>
      <w:r>
        <w:rPr/>
      </w:r>
      <m:oMathPara xmlns:m="http://schemas.openxmlformats.org/officeDocument/2006/math">
        <m:oMathParaPr>
          <m:jc m:val="center"/>
        </m:oMathParaPr>
        <m:oMath>
          <m:sSub>
            <m:e>
              <m:r>
                <m:t xml:space="preserve">S</m:t>
              </m:r>
            </m:e>
            <m:sub>
              <m:r>
                <m:t xml:space="preserve">e</m:t>
              </m:r>
              <m:r>
                <m:t xml:space="preserve">d</m:t>
              </m:r>
              <m:r>
                <m:t xml:space="preserve">g</m:t>
              </m:r>
              <m:r>
                <m:t xml:space="preserve">e</m:t>
              </m:r>
              <m:r>
                <m:t xml:space="preserve">s</m:t>
              </m:r>
            </m:sub>
          </m:sSub>
          <m:r>
            <m:t xml:space="preserve">=</m:t>
          </m:r>
          <m:r>
            <m:t xml:space="preserve">N</m:t>
          </m:r>
          <m:r>
            <m:t xml:space="preserve">k</m:t>
          </m:r>
          <m:r>
            <m:t xml:space="preserve">.</m:t>
          </m:r>
        </m:oMath>
      </m:oMathPara>
    </w:p>
    <w:p>
      <w:pPr>
        <w:pStyle w:val="FirstParagraph"/>
        <w:rPr/>
      </w:pPr>
      <w:r>
        <w:rPr/>
        <w:t xml:space="preserve">Für </w:t>
      </w:r>
      <w:r>
        <w:rPr/>
      </w:r>
      <m:oMath xmlns:m="http://schemas.openxmlformats.org/officeDocument/2006/math">
        <m:r>
          <m:t xml:space="preserve">k</m:t>
        </m:r>
        <m:r>
          <m:t xml:space="preserve">=</m:t>
        </m:r>
        <m:r>
          <m:t xml:space="preserve">100</m:t>
        </m:r>
      </m:oMath>
      <w:r>
        <w:rPr/>
        <w:t xml:space="preserve"> entstehen </w:t>
      </w:r>
      <w:r>
        <w:rPr/>
      </w:r>
      <m:oMath xmlns:m="http://schemas.openxmlformats.org/officeDocument/2006/math">
        <m:r>
          <m:t xml:space="preserve">31</m:t>
        </m:r>
        <m:r>
          <m:t xml:space="preserve">,</m:t>
        </m:r>
        <m:r>
          <m:t xml:space="preserve">25</m:t>
        </m:r>
      </m:oMath>
      <w:r>
        <w:rPr/>
        <w:t xml:space="preserve"> Milliarden gerichtete Synapsen. Der Rohbedarf beträgt:</w:t>
      </w:r>
    </w:p>
    <w:tbl>
      <w:tblPr>
        <w:tblStyle w:val="Table"/>
        <w:tblW w:w="7920" w:type="dxa"/>
        <w:jc w:val="center"/>
        <w:tblInd w:w="0" w:type="dxa"/>
        <w:tblLayout w:type="fixed"/>
        <w:tblCellMar>
          <w:top w:w="85" w:type="dxa"/>
          <w:start w:w="100" w:type="dxa"/>
          <w:bottom w:w="85" w:type="dxa"/>
          <w:end w:w="100" w:type="dxa"/>
        </w:tblCellMar>
        <w:tblLook w:val="04a0" w:noHBand="1" w:noVBand="1" w:firstColumn="0" w:lastRow="0" w:lastColumn="0" w:firstRow="1"/>
      </w:tblPr>
      <w:tblGrid>
        <w:gridCol w:w="2640"/>
        <w:gridCol w:w="2640"/>
        <w:gridCol w:w="2640"/>
      </w:tblGrid>
      <w:tr>
        <w:trPr>
          <w:tblHeader w:val="true"/>
        </w:trPr>
        <w:tc>
          <w:tcPr>
            <w:tcW w:w="2640"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end"/>
              <w:rPr>
                <w:kern w:val="0"/>
                <w:szCs w:val="24"/>
                <w:lang w:val="de-DE" w:eastAsia="en-US" w:bidi="ar-SA"/>
              </w:rPr>
            </w:pPr>
            <w:r>
              <w:rPr>
                <w:rFonts w:eastAsia="Liberation Sans" w:cs="Liberation Sans"/>
                <w:b/>
                <w:i w:val="false"/>
                <w:color w:val="17365D"/>
                <w:kern w:val="0"/>
                <w:sz w:val="17"/>
                <w:szCs w:val="24"/>
                <w:lang w:val="de-DE" w:eastAsia="en-US" w:bidi="ar-SA"/>
              </w:rPr>
              <w:t>Bytes je Synapse</w:t>
            </w:r>
          </w:p>
        </w:tc>
        <w:tc>
          <w:tcPr>
            <w:tcW w:w="2640"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end"/>
              <w:rPr>
                <w:kern w:val="0"/>
                <w:szCs w:val="24"/>
                <w:lang w:val="de-DE" w:eastAsia="en-US" w:bidi="ar-SA"/>
              </w:rPr>
            </w:pPr>
            <w:r>
              <w:rPr>
                <w:rFonts w:eastAsia="Liberation Sans" w:cs="Liberation Sans"/>
                <w:b/>
                <w:i w:val="false"/>
                <w:color w:val="17365D"/>
                <w:kern w:val="0"/>
                <w:sz w:val="17"/>
                <w:szCs w:val="24"/>
                <w:lang w:val="de-DE" w:eastAsia="en-US" w:bidi="ar-SA"/>
              </w:rPr>
              <w:t>Dezimaler Rohbedarf</w:t>
            </w:r>
          </w:p>
        </w:tc>
        <w:tc>
          <w:tcPr>
            <w:tcW w:w="2640"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end"/>
              <w:rPr>
                <w:kern w:val="0"/>
                <w:szCs w:val="24"/>
                <w:lang w:val="de-DE" w:eastAsia="en-US" w:bidi="ar-SA"/>
              </w:rPr>
            </w:pPr>
            <w:r>
              <w:rPr>
                <w:rFonts w:eastAsia="Liberation Sans" w:cs="Liberation Sans"/>
                <w:b/>
                <w:i w:val="false"/>
                <w:color w:val="17365D"/>
                <w:kern w:val="0"/>
                <w:sz w:val="17"/>
                <w:szCs w:val="24"/>
                <w:lang w:val="de-DE" w:eastAsia="en-US" w:bidi="ar-SA"/>
              </w:rPr>
              <w:t>Binärer Näherungswert</w:t>
            </w:r>
          </w:p>
        </w:tc>
      </w:tr>
      <w:tr>
        <w:trPr/>
        <w:tc>
          <w:tcPr>
            <w:tcW w:w="264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16 B</w:t>
            </w:r>
          </w:p>
        </w:tc>
        <w:tc>
          <w:tcPr>
            <w:tcW w:w="264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500 GB</w:t>
            </w:r>
          </w:p>
        </w:tc>
        <w:tc>
          <w:tcPr>
            <w:tcW w:w="264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ca. 465,7 GiB</w:t>
            </w:r>
          </w:p>
        </w:tc>
      </w:tr>
      <w:tr>
        <w:trPr/>
        <w:tc>
          <w:tcPr>
            <w:tcW w:w="264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24 B</w:t>
            </w:r>
          </w:p>
        </w:tc>
        <w:tc>
          <w:tcPr>
            <w:tcW w:w="264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750 GB</w:t>
            </w:r>
          </w:p>
        </w:tc>
        <w:tc>
          <w:tcPr>
            <w:tcW w:w="264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ca. 698,5 GiB</w:t>
            </w:r>
          </w:p>
        </w:tc>
      </w:tr>
      <w:tr>
        <w:trPr/>
        <w:tc>
          <w:tcPr>
            <w:tcW w:w="2640"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32 B</w:t>
            </w:r>
          </w:p>
        </w:tc>
        <w:tc>
          <w:tcPr>
            <w:tcW w:w="2640"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1,0 TB</w:t>
            </w:r>
          </w:p>
        </w:tc>
        <w:tc>
          <w:tcPr>
            <w:tcW w:w="2640"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end"/>
              <w:rPr>
                <w:kern w:val="0"/>
                <w:szCs w:val="24"/>
                <w:lang w:val="de-DE" w:eastAsia="en-US" w:bidi="ar-SA"/>
              </w:rPr>
            </w:pPr>
            <w:r>
              <w:rPr>
                <w:rFonts w:eastAsia="Liberation Sans" w:cs="Liberation Sans"/>
                <w:b w:val="false"/>
                <w:i w:val="false"/>
                <w:color w:val="202020"/>
                <w:kern w:val="0"/>
                <w:sz w:val="16"/>
                <w:szCs w:val="24"/>
                <w:lang w:val="de-DE" w:eastAsia="en-US" w:bidi="ar-SA"/>
              </w:rPr>
              <w:t>ca. 931,3 GiB</w:t>
            </w:r>
          </w:p>
        </w:tc>
      </w:tr>
    </w:tbl>
    <w:p>
      <w:pPr>
        <w:pStyle w:val="BodyText"/>
        <w:rPr/>
      </w:pPr>
      <w:bookmarkStart w:id="262" w:name="speichergrößen"/>
      <w:r>
        <w:rPr/>
        <w:t>Diese Werte enthalten weder Datenbank-Overhead noch Replikation, Checkpoints, Event-Historie oder temporäre Analyseobjekte. Eine naive Vollmaterialisierung ist daher nicht die Zielarchitektur.</w:t>
      </w:r>
      <w:bookmarkEnd w:id="262"/>
    </w:p>
    <w:p>
      <w:pPr>
        <w:pStyle w:val="Heading3"/>
        <w:keepNext w:val="true"/>
        <w:widowControl/>
        <w:rPr/>
      </w:pPr>
      <w:bookmarkStart w:id="263" w:name="struktur-of-arrays-und-chunking"/>
      <w:r>
        <w:rPr/>
        <w:t>23.4 Struktur-of-Arrays und Chunking</w:t>
      </w:r>
    </w:p>
    <w:p>
      <w:pPr>
        <w:pStyle w:val="FirstParagraph"/>
        <w:rPr/>
      </w:pPr>
      <w:r>
        <w:rPr/>
        <w:t>Millionen Python-Objekte verursachen hohen Overhead. Für skalierende Implementierungen sind spalten- beziehungsweise arrayorientierte Strukturen zweckmäßig:</w:t>
      </w:r>
    </w:p>
    <w:p>
      <w:pPr>
        <w:pStyle w:val="SourceCode"/>
        <w:shd w:val="clear" w:fill="F5F7FA"/>
        <w:rPr/>
      </w:pPr>
      <w:r>
        <w:rPr>
          <w:rStyle w:val="VerbatimChar"/>
        </w:rPr>
        <w:t>neuron_id[]</w:t>
      </w:r>
      <w:r>
        <w:rPr/>
        <w:br/>
      </w:r>
      <w:r>
        <w:rPr>
          <w:rStyle w:val="VerbatimChar"/>
        </w:rPr>
        <w:t>coord_x[] ... coord_b[]</w:t>
      </w:r>
      <w:r>
        <w:rPr/>
        <w:br/>
      </w:r>
      <w:r>
        <w:rPr>
          <w:rStyle w:val="VerbatimChar"/>
        </w:rPr>
        <w:t>membrane_v[]</w:t>
      </w:r>
      <w:r>
        <w:rPr/>
        <w:br/>
      </w:r>
      <w:r>
        <w:rPr>
          <w:rStyle w:val="VerbatimChar"/>
        </w:rPr>
        <w:t>recovery_u[]</w:t>
      </w:r>
      <w:r>
        <w:rPr/>
        <w:br/>
      </w:r>
      <w:r>
        <w:rPr>
          <w:rStyle w:val="VerbatimChar"/>
        </w:rPr>
        <w:t>threshold[]</w:t>
      </w:r>
      <w:r>
        <w:rPr/>
        <w:br/>
      </w:r>
      <w:r>
        <w:rPr>
          <w:rStyle w:val="VerbatimChar"/>
        </w:rPr>
        <w:t>energy[]</w:t>
      </w:r>
      <w:r>
        <w:rPr/>
        <w:br/>
      </w:r>
      <w:r>
        <w:rPr>
          <w:rStyle w:val="VerbatimChar"/>
        </w:rPr>
        <w:t>cell_type[]</w:t>
      </w:r>
      <w:r>
        <w:rPr/>
        <w:br/>
      </w:r>
      <w:r>
        <w:rPr>
          <w:rStyle w:val="VerbatimChar"/>
        </w:rPr>
        <w:t>created_tick[]</w:t>
      </w:r>
    </w:p>
    <w:p>
      <w:pPr>
        <w:pStyle w:val="FirstParagraph"/>
        <w:rPr/>
      </w:pPr>
      <w:r>
        <w:rPr/>
        <w:t>Synapsen können als CSR/CSC-nahe Strukturen, Edge-Chunks oder regional partitionierte Adjazenzlisten gespeichert werden. HDF5-artige Chunk- und Dataset-Konzepte sind für große wissenschaftliche Arrays etabliert (</w:t>
      </w:r>
      <w:hyperlink w:anchor="ref-Folk2011">
        <w:r>
          <w:rPr>
            <w:rStyle w:val="Hyperlink"/>
          </w:rPr>
          <w:t>Folk et al., 2011</w:t>
        </w:r>
      </w:hyperlink>
      <w:r>
        <w:rPr/>
        <w:t>); Brain-5D bleibt backend-agnostisch und kann Zarr-, HDF5-, Parquet- oder spezialisierte Graphspeicher kombinieren.</w:t>
      </w:r>
      <w:bookmarkEnd w:id="263"/>
    </w:p>
    <w:p>
      <w:pPr>
        <w:pStyle w:val="Heading3"/>
        <w:keepNext w:val="true"/>
        <w:widowControl/>
        <w:rPr/>
      </w:pPr>
      <w:bookmarkStart w:id="264" w:name="checkpoint-plus-delta"/>
      <w:r>
        <w:rPr/>
        <w:t>23.5 Checkpoint plus Delta</w:t>
      </w:r>
    </w:p>
    <w:p>
      <w:pPr>
        <w:pStyle w:val="FirstParagraph"/>
        <w:rPr/>
      </w:pPr>
      <w:r>
        <w:rPr/>
        <w:t>Ein Vollsnapshot jedes Ticks wäre untragbar. Stattdessen:</w:t>
      </w:r>
    </w:p>
    <w:p>
      <w:pPr>
        <w:pStyle w:val="BodyText"/>
        <w:rPr/>
      </w:pPr>
      <w:r>
        <w:rPr>
          <w:b/>
          <w:bCs/>
        </w:rPr>
        <w:t>[MODEL]</w:t>
      </w:r>
    </w:p>
    <w:p>
      <w:pPr>
        <w:pStyle w:val="BodyText"/>
        <w:jc w:val="center"/>
        <w:rPr/>
      </w:pPr>
      <w:r>
        <w:rPr/>
      </w:r>
      <m:oMathPara xmlns:m="http://schemas.openxmlformats.org/officeDocument/2006/math">
        <m:oMathParaPr>
          <m:jc m:val="center"/>
        </m:oMathParaPr>
        <m:oMath>
          <m:sSub>
            <m:e>
              <m:r>
                <m:t xml:space="preserve">X</m:t>
              </m:r>
            </m:e>
            <m:sub>
              <m:r>
                <m:t xml:space="preserve">t</m:t>
              </m:r>
            </m:sub>
          </m:sSub>
          <m:r>
            <m:t xml:space="preserve">=</m:t>
          </m:r>
          <m:r>
            <m:t xml:space="preserve">Replay</m:t>
          </m:r>
          <m:d>
            <m:dPr>
              <m:begChr m:val="("/>
              <m:endChr m:val=")"/>
            </m:dPr>
            <m:e>
              <m:sSub>
                <m:e>
                  <m:r>
                    <m:t xml:space="preserve">C</m:t>
                  </m:r>
                </m:e>
                <m:sub>
                  <m:sSub>
                    <m:e>
                      <m:r>
                        <m:t xml:space="preserve">t</m:t>
                      </m:r>
                    </m:e>
                    <m:sub>
                      <m:r>
                        <m:t xml:space="preserve">0</m:t>
                      </m:r>
                    </m:sub>
                  </m:sSub>
                </m:sub>
              </m:sSub>
              <m:r>
                <m:t xml:space="preserve">,</m:t>
              </m:r>
              <m:r>
                <m:t xml:space="preserve">{</m:t>
              </m:r>
              <m:sSub>
                <m:e>
                  <m:r>
                    <m:t xml:space="preserve">Δ</m:t>
                  </m:r>
                </m:e>
                <m:sub>
                  <m:sSub>
                    <m:e>
                      <m:r>
                        <m:t xml:space="preserve">t</m:t>
                      </m:r>
                    </m:e>
                    <m:sub>
                      <m:r>
                        <m:t xml:space="preserve">0</m:t>
                      </m:r>
                    </m:sub>
                  </m:sSub>
                  <m:r>
                    <m:t xml:space="preserve">+</m:t>
                  </m:r>
                  <m:r>
                    <m:t xml:space="preserve">1</m:t>
                  </m:r>
                </m:sub>
              </m:sSub>
              <m:r>
                <m:t xml:space="preserve">,</m:t>
              </m:r>
              <m:r>
                <m:t xml:space="preserve">…</m:t>
              </m:r>
              <m:r>
                <m:t xml:space="preserve">,</m:t>
              </m:r>
              <m:sSub>
                <m:e>
                  <m:r>
                    <m:t xml:space="preserve">Δ</m:t>
                  </m:r>
                </m:e>
                <m:sub>
                  <m:r>
                    <m:t xml:space="preserve">t</m:t>
                  </m:r>
                </m:sub>
              </m:sSub>
              <m:r>
                <m:t xml:space="preserve">}</m:t>
              </m:r>
            </m:e>
          </m:d>
          <m:r>
            <m:t xml:space="preserve">,</m:t>
          </m:r>
        </m:oMath>
      </m:oMathPara>
    </w:p>
    <w:p>
      <w:pPr>
        <w:pStyle w:val="FirstParagraph"/>
        <w:rPr/>
      </w:pPr>
      <w:r>
        <w:rPr/>
        <w:t xml:space="preserve">mit Checkpoint </w:t>
      </w:r>
      <w:r>
        <w:rPr/>
      </w:r>
      <m:oMath xmlns:m="http://schemas.openxmlformats.org/officeDocument/2006/math">
        <m:sSub>
          <m:e>
            <m:r>
              <m:t xml:space="preserve">C</m:t>
            </m:r>
          </m:e>
          <m:sub>
            <m:sSub>
              <m:e>
                <m:r>
                  <m:t xml:space="preserve">t</m:t>
                </m:r>
              </m:e>
              <m:sub>
                <m:r>
                  <m:t xml:space="preserve">0</m:t>
                </m:r>
              </m:sub>
            </m:sSub>
          </m:sub>
        </m:sSub>
      </m:oMath>
      <w:r>
        <w:rPr/>
        <w:t xml:space="preserve"> und geordneten Deltas. Deltas umfassen Spike-Ereignisse, Gewichtsänderungen, strukturelle Mutationen, externe Inputs, Rewards und relevante Scheduler-/RNG-Übergänge.</w:t>
      </w:r>
    </w:p>
    <w:p>
      <w:pPr>
        <w:pStyle w:val="BodyText"/>
        <w:rPr/>
      </w:pPr>
      <w:r>
        <w:rPr/>
        <w:t xml:space="preserve">Die mittlere Speicherlast über Zeitraum </w:t>
      </w:r>
      <w:r>
        <w:rPr/>
      </w:r>
      <m:oMath xmlns:m="http://schemas.openxmlformats.org/officeDocument/2006/math">
        <m:r>
          <m:t xml:space="preserve">T</m:t>
        </m:r>
      </m:oMath>
      <w:r>
        <w:rPr/>
        <w:t xml:space="preserve"> kann angenähert werden durch</w:t>
      </w:r>
    </w:p>
    <w:p>
      <w:pPr>
        <w:pStyle w:val="BodyText"/>
        <w:jc w:val="center"/>
        <w:rPr/>
      </w:pPr>
      <w:r>
        <w:rPr/>
      </w:r>
      <m:oMathPara xmlns:m="http://schemas.openxmlformats.org/officeDocument/2006/math">
        <m:oMathParaPr>
          <m:jc m:val="center"/>
        </m:oMathParaPr>
        <m:oMath>
          <m:r>
            <m:t xml:space="preserve">S</m:t>
          </m:r>
          <m:d>
            <m:dPr>
              <m:begChr m:val="("/>
              <m:endChr m:val=")"/>
            </m:dPr>
            <m:e>
              <m:r>
                <m:t xml:space="preserve">T</m:t>
              </m:r>
            </m:e>
          </m:d>
          <m:r>
            <m:t xml:space="preserve">=</m:t>
          </m:r>
          <m:sSub>
            <m:e>
              <m:r>
                <m:t xml:space="preserve">n</m:t>
              </m:r>
            </m:e>
            <m:sub>
              <m:r>
                <m:t xml:space="preserve">C</m:t>
              </m:r>
            </m:sub>
          </m:sSub>
          <m:sSub>
            <m:e>
              <m:r>
                <m:t xml:space="preserve">S</m:t>
              </m:r>
            </m:e>
            <m:sub>
              <m:r>
                <m:t xml:space="preserve">C</m:t>
              </m:r>
            </m:sub>
          </m:sSub>
          <m:r>
            <m:t xml:space="preserve">+</m:t>
          </m:r>
          <m:nary>
            <m:naryPr>
              <m:chr m:val="∑"/>
              <m:supHide m:val="1"/>
            </m:naryPr>
            <m:sub>
              <m:r>
                <m:t xml:space="preserve">e</m:t>
              </m:r>
              <m:r>
                <m:t xml:space="preserve">∈</m:t>
              </m:r>
              <m:sSub>
                <m:e>
                  <m:r>
                    <m:t xml:space="preserve">E</m:t>
                  </m:r>
                </m:e>
                <m:sub>
                  <m:r>
                    <m:t xml:space="preserve">T</m:t>
                  </m:r>
                </m:sub>
              </m:sSub>
            </m:sub>
            <m:sup/>
            <m:e>
              <m:sSub>
                <m:e>
                  <m:r>
                    <m:t xml:space="preserve">S</m:t>
                  </m:r>
                </m:e>
                <m:sub>
                  <m:r>
                    <m:t xml:space="preserve">e</m:t>
                  </m:r>
                </m:sub>
              </m:sSub>
            </m:e>
          </m:nary>
          <m:r>
            <m:t xml:space="preserve">+</m:t>
          </m:r>
          <m:sSub>
            <m:e>
              <m:r>
                <m:t xml:space="preserve">S</m:t>
              </m:r>
            </m:e>
            <m:sub>
              <m:r>
                <m:t xml:space="preserve">i</m:t>
              </m:r>
              <m:r>
                <m:t xml:space="preserve">n</m:t>
              </m:r>
              <m:r>
                <m:t xml:space="preserve">d</m:t>
              </m:r>
              <m:r>
                <m:t xml:space="preserve">e</m:t>
              </m:r>
              <m:r>
                <m:t xml:space="preserve">x</m:t>
              </m:r>
            </m:sub>
          </m:sSub>
          <m:r>
            <m:t xml:space="preserve">+</m:t>
          </m:r>
          <m:sSub>
            <m:e>
              <m:r>
                <m:t xml:space="preserve">S</m:t>
              </m:r>
            </m:e>
            <m:sub>
              <m:r>
                <m:t xml:space="preserve">p</m:t>
              </m:r>
              <m:r>
                <m:t xml:space="preserve">r</m:t>
              </m:r>
              <m:r>
                <m:t xml:space="preserve">o</m:t>
              </m:r>
              <m:r>
                <m:t xml:space="preserve">v</m:t>
              </m:r>
              <m:r>
                <m:t xml:space="preserve">e</m:t>
              </m:r>
              <m:r>
                <m:t xml:space="preserve">n</m:t>
              </m:r>
              <m:r>
                <m:t xml:space="preserve">a</m:t>
              </m:r>
              <m:r>
                <m:t xml:space="preserve">n</m:t>
              </m:r>
              <m:r>
                <m:t xml:space="preserve">c</m:t>
              </m:r>
              <m:r>
                <m:t xml:space="preserve">e</m:t>
              </m:r>
            </m:sub>
          </m:sSub>
          <m:r>
            <m:t xml:space="preserve">.</m:t>
          </m:r>
        </m:oMath>
      </m:oMathPara>
    </w:p>
    <w:p>
      <w:pPr>
        <w:pStyle w:val="FirstParagraph"/>
        <w:rPr/>
      </w:pPr>
      <w:bookmarkStart w:id="265" w:name="checkpoint-plus-delta"/>
      <w:r>
        <w:rPr/>
        <w:t>Checkpoint-Intervall, Delta-Kompression und Rekonstruktionszeit bilden einen Trade-off.</w:t>
      </w:r>
      <w:bookmarkEnd w:id="265"/>
    </w:p>
    <w:p>
      <w:pPr>
        <w:pStyle w:val="Heading3"/>
        <w:keepNext w:val="true"/>
        <w:widowControl/>
        <w:rPr/>
      </w:pPr>
      <w:bookmarkStart w:id="266" w:name="snapshot-konsistenz"/>
      <w:r>
        <w:rPr/>
        <w:t>23.6 Snapshot-Konsistenz</w:t>
      </w:r>
    </w:p>
    <w:p>
      <w:pPr>
        <w:pStyle w:val="FirstParagraph"/>
        <w:rPr/>
      </w:pPr>
      <w:r>
        <w:rPr/>
        <w:t>Ein Snapshot muss einen logisch konsistenten Zustand abbilden. In parallelen oder verteilten Simulationen können Schreibvorgänge zeitlich überlappen. Konzepte verteilter Snapshots und Ereignisordnung sind daher relevant (</w:t>
      </w:r>
      <w:hyperlink w:anchor="ref-Chandy1985">
        <w:r>
          <w:rPr>
            <w:rStyle w:val="Hyperlink"/>
          </w:rPr>
          <w:t>Chandy &amp; Lamport, 1985</w:t>
        </w:r>
      </w:hyperlink>
      <w:r>
        <w:rPr/>
        <w:t xml:space="preserve">; </w:t>
      </w:r>
      <w:hyperlink w:anchor="ref-Lamport1978">
        <w:r>
          <w:rPr>
            <w:rStyle w:val="Hyperlink"/>
          </w:rPr>
          <w:t>Lamport, 1978</w:t>
        </w:r>
      </w:hyperlink>
      <w:r>
        <w:rPr/>
        <w:t>). Brain-5D benötigt entweder eine definierte Safe Point-Barriere oder ein konsistentes Snapshot-Protokoll.</w:t>
      </w:r>
      <w:bookmarkEnd w:id="266"/>
    </w:p>
    <w:p>
      <w:pPr>
        <w:pStyle w:val="Heading3"/>
        <w:keepNext w:val="true"/>
        <w:widowControl/>
        <w:rPr/>
      </w:pPr>
      <w:bookmarkStart w:id="267" w:name="fidelity-dimensionen"/>
      <w:r>
        <w:rPr/>
        <w:t>23.7 Fidelity-Dimensionen</w:t>
      </w:r>
    </w:p>
    <w:p>
      <w:pPr>
        <w:pStyle w:val="FirstParagraph"/>
        <w:rPr/>
      </w:pPr>
      <w:r>
        <w:rPr/>
        <w:t>Der Digital State Twin wird anhand von vier Fidelity-Dimensionen bewertet:</w:t>
      </w:r>
    </w:p>
    <w:p>
      <w:pPr>
        <w:pStyle w:val="Compact"/>
        <w:numPr>
          <w:ilvl w:val="0"/>
          <w:numId w:val="181"/>
        </w:numPr>
        <w:rPr/>
      </w:pPr>
      <w:r>
        <w:rPr>
          <w:b/>
          <w:bCs/>
        </w:rPr>
        <w:t>State Fidelity:</w:t>
      </w:r>
      <w:r>
        <w:rPr/>
        <w:t xml:space="preserve"> rekonstruiertes </w:t>
      </w:r>
      <w:r>
        <w:rPr/>
      </w:r>
      <m:oMath xmlns:m="http://schemas.openxmlformats.org/officeDocument/2006/math">
        <m:sSub>
          <m:e>
            <m:acc>
              <m:accPr>
                <m:chr m:val="^"/>
              </m:accPr>
              <m:e>
                <m:r>
                  <m:t xml:space="preserve">X</m:t>
                </m:r>
              </m:e>
            </m:acc>
          </m:e>
          <m:sub>
            <m:r>
              <m:t xml:space="preserve">t</m:t>
            </m:r>
          </m:sub>
        </m:sSub>
      </m:oMath>
      <w:r>
        <w:rPr/>
        <w:t xml:space="preserve"> entspricht </w:t>
      </w:r>
      <w:r>
        <w:rPr/>
      </w:r>
      <m:oMath xmlns:m="http://schemas.openxmlformats.org/officeDocument/2006/math">
        <m:sSub>
          <m:e>
            <m:r>
              <m:t xml:space="preserve">X</m:t>
            </m:r>
          </m:e>
          <m:sub>
            <m:r>
              <m:t xml:space="preserve">t</m:t>
            </m:r>
          </m:sub>
        </m:sSub>
      </m:oMath>
      <w:r>
        <w:rPr/>
        <w:t xml:space="preserve"> innerhalb definierter Toleranz;</w:t>
      </w:r>
    </w:p>
    <w:p>
      <w:pPr>
        <w:pStyle w:val="Compact"/>
        <w:numPr>
          <w:ilvl w:val="0"/>
          <w:numId w:val="182"/>
        </w:numPr>
        <w:rPr/>
      </w:pPr>
      <w:r>
        <w:rPr>
          <w:b/>
          <w:bCs/>
        </w:rPr>
        <w:t>Temporal Fidelity:</w:t>
      </w:r>
      <w:r>
        <w:rPr/>
        <w:t xml:space="preserve"> Ereignisreihenfolge und Verzögerungen bleiben erhalten;</w:t>
      </w:r>
    </w:p>
    <w:p>
      <w:pPr>
        <w:pStyle w:val="Compact"/>
        <w:numPr>
          <w:ilvl w:val="0"/>
          <w:numId w:val="183"/>
        </w:numPr>
        <w:rPr/>
      </w:pPr>
      <w:r>
        <w:rPr>
          <w:b/>
          <w:bCs/>
        </w:rPr>
        <w:t>Structural Fidelity:</w:t>
      </w:r>
      <w:r>
        <w:rPr/>
        <w:t xml:space="preserve"> Knoten, Kanten, Typen und Attribute stimmen;</w:t>
      </w:r>
    </w:p>
    <w:p>
      <w:pPr>
        <w:pStyle w:val="Compact"/>
        <w:numPr>
          <w:ilvl w:val="0"/>
          <w:numId w:val="184"/>
        </w:numPr>
        <w:rPr/>
      </w:pPr>
      <w:r>
        <w:rPr>
          <w:b/>
          <w:bCs/>
        </w:rPr>
        <w:t>Causal Fidelity:</w:t>
      </w:r>
      <w:r>
        <w:rPr/>
        <w:t xml:space="preserve"> Replay reproduziert relevante Antworten auf identische Interventionen.</w:t>
      </w:r>
    </w:p>
    <w:p>
      <w:pPr>
        <w:pStyle w:val="FirstParagraph"/>
        <w:rPr/>
      </w:pPr>
      <w:r>
        <w:rPr>
          <w:b/>
          <w:bCs/>
        </w:rPr>
        <w:t>[EMP]</w:t>
      </w:r>
      <w:r>
        <w:rPr/>
        <w:t xml:space="preserve"> Ein Rekonstruktionsfehler kann als</w:t>
      </w:r>
    </w:p>
    <w:p>
      <w:pPr>
        <w:pStyle w:val="BodyText"/>
        <w:jc w:val="center"/>
        <w:rPr/>
      </w:pPr>
      <w:r>
        <w:rPr/>
      </w:r>
      <m:oMathPara xmlns:m="http://schemas.openxmlformats.org/officeDocument/2006/math">
        <m:oMathParaPr>
          <m:jc m:val="center"/>
        </m:oMathParaPr>
        <m:oMath>
          <m:sSub>
            <m:e>
              <m:r>
                <m:t xml:space="preserve">E</m:t>
              </m:r>
            </m:e>
            <m:sub>
              <m:r>
                <m:t xml:space="preserve">s</m:t>
              </m:r>
              <m:r>
                <m:t xml:space="preserve">t</m:t>
              </m:r>
              <m:r>
                <m:t xml:space="preserve">a</m:t>
              </m:r>
              <m:r>
                <m:t xml:space="preserve">t</m:t>
              </m:r>
              <m:r>
                <m:t xml:space="preserve">e</m:t>
              </m:r>
            </m:sub>
          </m:sSub>
          <m:r>
            <m:t xml:space="preserve">=</m:t>
          </m:r>
          <m:f>
            <m:num>
              <m:r>
                <m:t xml:space="preserve">∥</m:t>
              </m:r>
              <m:sSub>
                <m:e>
                  <m:r>
                    <m:t xml:space="preserve">X</m:t>
                  </m:r>
                </m:e>
                <m:sub>
                  <m:r>
                    <m:t xml:space="preserve">t</m:t>
                  </m:r>
                </m:sub>
              </m:sSub>
              <m:r>
                <m:t xml:space="preserve">−</m:t>
              </m:r>
              <m:sSub>
                <m:e>
                  <m:acc>
                    <m:accPr>
                      <m:chr m:val="^"/>
                    </m:accPr>
                    <m:e>
                      <m:r>
                        <m:t xml:space="preserve">X</m:t>
                      </m:r>
                    </m:e>
                  </m:acc>
                </m:e>
                <m:sub>
                  <m:r>
                    <m:t xml:space="preserve">t</m:t>
                  </m:r>
                </m:sub>
              </m:sSub>
              <m:sSub>
                <m:e>
                  <m:r>
                    <m:t xml:space="preserve">∥</m:t>
                  </m:r>
                </m:e>
                <m:sub>
                  <m:r>
                    <m:t xml:space="preserve">W</m:t>
                  </m:r>
                </m:sub>
              </m:sSub>
            </m:num>
            <m:den>
              <m:r>
                <m:t xml:space="preserve">∥</m:t>
              </m:r>
              <m:sSub>
                <m:e>
                  <m:r>
                    <m:t xml:space="preserve">X</m:t>
                  </m:r>
                </m:e>
                <m:sub>
                  <m:r>
                    <m:t xml:space="preserve">t</m:t>
                  </m:r>
                </m:sub>
              </m:sSub>
              <m:sSub>
                <m:e>
                  <m:r>
                    <m:t xml:space="preserve">∥</m:t>
                  </m:r>
                </m:e>
                <m:sub>
                  <m:r>
                    <m:t xml:space="preserve">W</m:t>
                  </m:r>
                </m:sub>
              </m:sSub>
              <m:r>
                <m:t xml:space="preserve">+</m:t>
              </m:r>
              <m:r>
                <m:t xml:space="preserve">ϵ</m:t>
              </m:r>
            </m:den>
          </m:f>
        </m:oMath>
      </m:oMathPara>
    </w:p>
    <w:p>
      <w:pPr>
        <w:pStyle w:val="FirstParagraph"/>
        <w:rPr/>
      </w:pPr>
      <w:bookmarkStart w:id="268" w:name="fidelity-dimensionen"/>
      <w:r>
        <w:rPr/>
        <w:t>geschätzt werden. Für diskrete Struktur werden Hashes, Set-Differenzen und typisierte Edge-Vergleiche verwendet.</w:t>
      </w:r>
      <w:bookmarkEnd w:id="268"/>
    </w:p>
    <w:p>
      <w:pPr>
        <w:pStyle w:val="Heading3"/>
        <w:keepNext w:val="true"/>
        <w:widowControl/>
        <w:rPr/>
      </w:pPr>
      <w:bookmarkStart w:id="269" w:name="digital-twin-api"/>
      <w:r>
        <w:rPr/>
        <w:t>23.8 Digital-Twin-API</w:t>
      </w:r>
    </w:p>
    <w:p>
      <w:pPr>
        <w:pStyle w:val="FirstParagraph"/>
        <w:rPr/>
      </w:pPr>
      <w:r>
        <w:rPr/>
        <w:t>Die API soll mindestens ermöglichen:</w:t>
      </w:r>
    </w:p>
    <w:p>
      <w:pPr>
        <w:pStyle w:val="Compact"/>
        <w:numPr>
          <w:ilvl w:val="0"/>
          <w:numId w:val="185"/>
        </w:numPr>
        <w:rPr/>
      </w:pPr>
      <w:r>
        <w:rPr>
          <w:rStyle w:val="VerbatimChar"/>
        </w:rPr>
        <w:t>snapshot(tick)</w:t>
      </w:r>
      <w:r>
        <w:rPr/>
        <w:t xml:space="preserve"> und </w:t>
      </w:r>
      <w:r>
        <w:rPr>
          <w:rStyle w:val="VerbatimChar"/>
        </w:rPr>
        <w:t>restore(snapshot_id)</w:t>
      </w:r>
      <w:r>
        <w:rPr/>
        <w:t>;</w:t>
      </w:r>
    </w:p>
    <w:p>
      <w:pPr>
        <w:pStyle w:val="Compact"/>
        <w:numPr>
          <w:ilvl w:val="0"/>
          <w:numId w:val="186"/>
        </w:numPr>
        <w:rPr/>
      </w:pPr>
      <w:r>
        <w:rPr>
          <w:rStyle w:val="VerbatimChar"/>
        </w:rPr>
        <w:t>query_neurons(region, time)</w:t>
      </w:r>
      <w:r>
        <w:rPr/>
        <w:t>;</w:t>
      </w:r>
    </w:p>
    <w:p>
      <w:pPr>
        <w:pStyle w:val="Compact"/>
        <w:numPr>
          <w:ilvl w:val="0"/>
          <w:numId w:val="187"/>
        </w:numPr>
        <w:rPr/>
      </w:pPr>
      <w:r>
        <w:rPr>
          <w:rStyle w:val="VerbatimChar"/>
        </w:rPr>
        <w:t>query_edges(source, target, type, time)</w:t>
      </w:r>
      <w:r>
        <w:rPr/>
        <w:t>;</w:t>
      </w:r>
    </w:p>
    <w:p>
      <w:pPr>
        <w:pStyle w:val="Compact"/>
        <w:numPr>
          <w:ilvl w:val="0"/>
          <w:numId w:val="188"/>
        </w:numPr>
        <w:rPr/>
      </w:pPr>
      <w:r>
        <w:rPr>
          <w:rStyle w:val="VerbatimChar"/>
        </w:rPr>
        <w:t>stream_events(t0, t1, filters)</w:t>
      </w:r>
      <w:r>
        <w:rPr/>
        <w:t>;</w:t>
      </w:r>
    </w:p>
    <w:p>
      <w:pPr>
        <w:pStyle w:val="Compact"/>
        <w:numPr>
          <w:ilvl w:val="0"/>
          <w:numId w:val="189"/>
        </w:numPr>
        <w:rPr/>
      </w:pPr>
      <w:r>
        <w:rPr>
          <w:rStyle w:val="VerbatimChar"/>
        </w:rPr>
        <w:t>diff_state(snapshot_a, snapshot_b)</w:t>
      </w:r>
      <w:r>
        <w:rPr/>
        <w:t>;</w:t>
      </w:r>
    </w:p>
    <w:p>
      <w:pPr>
        <w:pStyle w:val="Compact"/>
        <w:numPr>
          <w:ilvl w:val="0"/>
          <w:numId w:val="190"/>
        </w:numPr>
        <w:rPr/>
      </w:pPr>
      <w:r>
        <w:rPr>
          <w:rStyle w:val="VerbatimChar"/>
        </w:rPr>
        <w:t>trace_provenance(entity_id)</w:t>
      </w:r>
      <w:r>
        <w:rPr/>
        <w:t>;</w:t>
      </w:r>
    </w:p>
    <w:p>
      <w:pPr>
        <w:pStyle w:val="Compact"/>
        <w:numPr>
          <w:ilvl w:val="0"/>
          <w:numId w:val="191"/>
        </w:numPr>
        <w:rPr/>
      </w:pPr>
      <w:r>
        <w:rPr>
          <w:rStyle w:val="VerbatimChar"/>
        </w:rPr>
        <w:t>fork_experiment(snapshot_id, intervention)</w:t>
      </w:r>
      <w:r>
        <w:rPr/>
        <w:t>;</w:t>
      </w:r>
    </w:p>
    <w:p>
      <w:pPr>
        <w:pStyle w:val="Compact"/>
        <w:numPr>
          <w:ilvl w:val="0"/>
          <w:numId w:val="192"/>
        </w:numPr>
        <w:rPr/>
      </w:pPr>
      <w:r>
        <w:rPr>
          <w:rStyle w:val="VerbatimChar"/>
        </w:rPr>
        <w:t>verify_integrity(artifact_id)</w:t>
      </w:r>
      <w:r>
        <w:rPr/>
        <w:t>.</w:t>
      </w:r>
    </w:p>
    <w:p>
      <w:pPr>
        <w:pStyle w:val="FirstParagraph"/>
        <w:rPr/>
      </w:pPr>
      <w:bookmarkStart w:id="270" w:name="digital-twin-api"/>
      <w:r>
        <w:rPr/>
        <w:t>Das Forking aus einem identischen Zustand ist besonders wertvoll für kontrafaktische und kausale Ablationen.</w:t>
      </w:r>
      <w:bookmarkEnd w:id="270"/>
    </w:p>
    <w:p>
      <w:pPr>
        <w:pStyle w:val="Heading3"/>
        <w:keepNext w:val="true"/>
        <w:widowControl/>
        <w:rPr/>
      </w:pPr>
      <w:bookmarkStart w:id="271" w:name="X66c6b46771fb8b9914f9382a4a171c8c38309b0"/>
      <w:r>
        <w:rPr/>
        <w:t>23.9 Optisches beziehungsweise bildartiges Speicheräquivalent</w:t>
      </w:r>
    </w:p>
    <w:p>
      <w:pPr>
        <w:pStyle w:val="FirstParagraph"/>
        <w:rPr/>
      </w:pPr>
      <w:r>
        <w:rPr/>
        <w:t xml:space="preserve">Die Idee einer 3D–5D-Bildrepräsentation kann als </w:t>
      </w:r>
      <w:r>
        <w:rPr>
          <w:b/>
          <w:bCs/>
        </w:rPr>
        <w:t>kodierte Sicht</w:t>
      </w:r>
      <w:r>
        <w:rPr/>
        <w:t xml:space="preserve"> des Zustands nützlich sein. Ein Voxel oder Texel kann mehrere Kanäle tragen, etwa Potential, Zelltyp, Energie, Aktivität und lokale Strukturdichte. Eine Bilddatei ist jedoch nicht automatisch ein geeigneter Primärspeicher für variable Graphkanten und Ereignishistorien. Brain-5D unterscheidet daher:</w:t>
      </w:r>
    </w:p>
    <w:p>
      <w:pPr>
        <w:pStyle w:val="Compact"/>
        <w:numPr>
          <w:ilvl w:val="0"/>
          <w:numId w:val="193"/>
        </w:numPr>
        <w:rPr/>
      </w:pPr>
      <w:r>
        <w:rPr>
          <w:b/>
          <w:bCs/>
        </w:rPr>
        <w:t>state raster:</w:t>
      </w:r>
      <w:r>
        <w:rPr/>
        <w:t xml:space="preserve"> dichte oder sparse Rasterkanäle pro Koordinate;</w:t>
      </w:r>
    </w:p>
    <w:p>
      <w:pPr>
        <w:pStyle w:val="Compact"/>
        <w:numPr>
          <w:ilvl w:val="0"/>
          <w:numId w:val="194"/>
        </w:numPr>
        <w:rPr/>
      </w:pPr>
      <w:r>
        <w:rPr>
          <w:b/>
          <w:bCs/>
        </w:rPr>
        <w:t>edge layer:</w:t>
      </w:r>
      <w:r>
        <w:rPr/>
        <w:t xml:space="preserve"> separate Graph-/Kantenstruktur;</w:t>
      </w:r>
    </w:p>
    <w:p>
      <w:pPr>
        <w:pStyle w:val="Compact"/>
        <w:numPr>
          <w:ilvl w:val="0"/>
          <w:numId w:val="195"/>
        </w:numPr>
        <w:rPr/>
      </w:pPr>
      <w:r>
        <w:rPr>
          <w:b/>
          <w:bCs/>
        </w:rPr>
        <w:t>event layer:</w:t>
      </w:r>
      <w:r>
        <w:rPr/>
        <w:t xml:space="preserve"> zeitgeordnete Änderungen;</w:t>
      </w:r>
    </w:p>
    <w:p>
      <w:pPr>
        <w:pStyle w:val="Compact"/>
        <w:numPr>
          <w:ilvl w:val="0"/>
          <w:numId w:val="196"/>
        </w:numPr>
        <w:rPr/>
      </w:pPr>
      <w:r>
        <w:rPr>
          <w:b/>
          <w:bCs/>
        </w:rPr>
        <w:t>metadata layer:</w:t>
      </w:r>
      <w:r>
        <w:rPr/>
        <w:t xml:space="preserve"> Schema, Einheiten, Provenienz und Kompression.</w:t>
      </w:r>
    </w:p>
    <w:p>
      <w:pPr>
        <w:pStyle w:val="FirstParagraph"/>
        <w:rPr/>
      </w:pPr>
      <w:bookmarkStart w:id="272" w:name="X66c6b46771fb8b9914f9382a4a171c8c38309b0"/>
      <w:r>
        <w:rPr/>
        <w:t>Die optische Darstellung wird als analysierbare, manipulierbare und gegebenenfalls GPU-nahe Projektion behandelt, nicht als vollständiger Ersatz für alle relationalen Daten.</w:t>
      </w:r>
      <w:bookmarkEnd w:id="272"/>
    </w:p>
    <w:p>
      <w:pPr>
        <w:pStyle w:val="Heading3"/>
        <w:keepNext w:val="true"/>
        <w:widowControl/>
        <w:rPr/>
      </w:pPr>
      <w:bookmarkStart w:id="273" w:name="manipulation-und-auslesen"/>
      <w:r>
        <w:rPr/>
        <w:t>23.10 Manipulation und Auslesen</w:t>
      </w:r>
    </w:p>
    <w:p>
      <w:pPr>
        <w:pStyle w:val="FirstParagraph"/>
        <w:rPr/>
      </w:pPr>
      <w:r>
        <w:rPr/>
        <w:t>Jede Manipulation am Twin erfolgt transaktional:</w:t>
      </w:r>
    </w:p>
    <w:p>
      <w:pPr>
        <w:pStyle w:val="SourceCode"/>
        <w:shd w:val="clear" w:fill="F5F7FA"/>
        <w:rPr/>
      </w:pPr>
      <w:r>
        <w:rPr>
          <w:rStyle w:val="VerbatimChar"/>
        </w:rPr>
        <w:t>ReadSnapshot → ConstructIntervention → Validate → Fork → Apply → Simulate → Compare</w:t>
      </w:r>
    </w:p>
    <w:p>
      <w:pPr>
        <w:pStyle w:val="FirstParagraph"/>
        <w:rPr/>
      </w:pPr>
      <w:bookmarkStart w:id="274" w:name="storage-und-5d-digital-state-twin"/>
      <w:bookmarkStart w:id="275" w:name="manipulation-und-auslesen"/>
      <w:r>
        <w:rPr/>
        <w:t>Direktes Editieren eines Produktionssnapshots ist unzulässig. Interventionen erhalten ID, Autorität, Ziel, Bereich, Vorher-/Nachher-Hash und Rollback-Information. Dadurch können Forschungsmanipulationen von natürlicher Plastizität unterschieden werden.</w:t>
      </w:r>
      <w:bookmarkEnd w:id="274"/>
      <w:bookmarkEnd w:id="275"/>
    </w:p>
    <w:p>
      <w:pPr>
        <w:pStyle w:val="Heading2"/>
        <w:keepNext w:val="true"/>
        <w:widowControl/>
        <w:rPr/>
      </w:pPr>
      <w:bookmarkStart w:id="276" w:name="__RefHeading___Toc10151_954062153"/>
      <w:bookmarkStart w:id="277" w:name="embodiment-und-multimodale-kopplung"/>
      <w:bookmarkEnd w:id="276"/>
      <w:r>
        <w:rPr/>
        <w:t>24. Embodiment und multimodale Kopplung</w:t>
      </w:r>
    </w:p>
    <w:p>
      <w:pPr>
        <w:pStyle w:val="Heading3"/>
        <w:keepNext w:val="true"/>
        <w:widowControl/>
        <w:rPr/>
      </w:pPr>
      <w:bookmarkStart w:id="278" w:name="closed-loop-system"/>
      <w:r>
        <w:rPr/>
        <w:t>24.1 Closed-Loop-System</w:t>
      </w:r>
    </w:p>
    <w:p>
      <w:pPr>
        <w:pStyle w:val="FirstParagraph"/>
        <w:rPr/>
      </w:pPr>
      <w:r>
        <w:rPr>
          <w:b/>
          <w:bCs/>
        </w:rPr>
        <w:t>[DEF]</w:t>
      </w:r>
      <w:r>
        <w:rPr/>
        <w:t xml:space="preserve"> Ein geschlossener Agentenzyklus lautet</w:t>
      </w:r>
    </w:p>
    <w:p>
      <w:pPr>
        <w:pStyle w:val="BodyText"/>
        <w:jc w:val="center"/>
        <w:rPr/>
      </w:pPr>
      <w:r>
        <w:rPr/>
      </w:r>
      <m:oMathPara xmlns:m="http://schemas.openxmlformats.org/officeDocument/2006/math">
        <m:oMathParaPr>
          <m:jc m:val="center"/>
        </m:oMathParaPr>
        <m:oMath>
          <m:sSub>
            <m:e>
              <m:r>
                <m:t xml:space="preserve">o</m:t>
              </m:r>
            </m:e>
            <m:sub>
              <m:r>
                <m:t xml:space="preserve">t</m:t>
              </m:r>
            </m:sub>
          </m:sSub>
          <m:r>
            <m:t xml:space="preserve">=</m:t>
          </m:r>
          <m:r>
            <m:t xml:space="preserve">h</m:t>
          </m:r>
          <m:d>
            <m:dPr>
              <m:begChr m:val="("/>
              <m:endChr m:val=")"/>
            </m:dPr>
            <m:e>
              <m:sSub>
                <m:e>
                  <m:r>
                    <m:t xml:space="preserve">e</m:t>
                  </m:r>
                </m:e>
                <m:sub>
                  <m:r>
                    <m:t xml:space="preserve">t</m:t>
                  </m:r>
                </m:sub>
              </m:sSub>
            </m:e>
          </m:d>
          <m:r>
            <m:t xml:space="preserve">,</m:t>
          </m:r>
          <m:sSub>
            <m:e>
              <m:r>
                <m:t xml:space="preserve">x</m:t>
              </m:r>
            </m:e>
            <m:sub>
              <m:r>
                <m:t xml:space="preserve">t</m:t>
              </m:r>
              <m:r>
                <m:t xml:space="preserve">+</m:t>
              </m:r>
              <m:r>
                <m:t xml:space="preserve">1</m:t>
              </m:r>
            </m:sub>
          </m:sSub>
          <m:r>
            <m:t xml:space="preserve">=</m:t>
          </m:r>
          <m:r>
            <m:t xml:space="preserve">F</m:t>
          </m:r>
          <m:d>
            <m:dPr>
              <m:begChr m:val="("/>
              <m:endChr m:val=")"/>
            </m:dPr>
            <m:e>
              <m:sSub>
                <m:e>
                  <m:r>
                    <m:t xml:space="preserve">x</m:t>
                  </m:r>
                </m:e>
                <m:sub>
                  <m:r>
                    <m:t xml:space="preserve">t</m:t>
                  </m:r>
                </m:sub>
              </m:sSub>
              <m:r>
                <m:t xml:space="preserve">,</m:t>
              </m:r>
              <m:sSub>
                <m:e>
                  <m:r>
                    <m:t xml:space="preserve">o</m:t>
                  </m:r>
                </m:e>
                <m:sub>
                  <m:r>
                    <m:t xml:space="preserve">t</m:t>
                  </m:r>
                </m:sub>
              </m:sSub>
              <m:r>
                <m:t xml:space="preserve">,</m:t>
              </m:r>
              <m:sSub>
                <m:e>
                  <m:r>
                    <m:t xml:space="preserve">r</m:t>
                  </m:r>
                </m:e>
                <m:sub>
                  <m:r>
                    <m:t xml:space="preserve">t</m:t>
                  </m:r>
                </m:sub>
              </m:sSub>
            </m:e>
          </m:d>
          <m:r>
            <m:t xml:space="preserve">,</m:t>
          </m:r>
          <m:sSub>
            <m:e>
              <m:r>
                <m:t xml:space="preserve">a</m:t>
              </m:r>
            </m:e>
            <m:sub>
              <m:r>
                <m:t xml:space="preserve">t</m:t>
              </m:r>
            </m:sub>
          </m:sSub>
          <m:r>
            <m:t xml:space="preserve">=</m:t>
          </m:r>
          <m:r>
            <m:t xml:space="preserve">π</m:t>
          </m:r>
          <m:d>
            <m:dPr>
              <m:begChr m:val="("/>
              <m:endChr m:val=")"/>
            </m:dPr>
            <m:e>
              <m:sSub>
                <m:e>
                  <m:r>
                    <m:t xml:space="preserve">x</m:t>
                  </m:r>
                </m:e>
                <m:sub>
                  <m:r>
                    <m:t xml:space="preserve">t</m:t>
                  </m:r>
                </m:sub>
              </m:sSub>
            </m:e>
          </m:d>
          <m:r>
            <m:t xml:space="preserve">,</m:t>
          </m:r>
          <m:sSub>
            <m:e>
              <m:r>
                <m:t xml:space="preserve">e</m:t>
              </m:r>
            </m:e>
            <m:sub>
              <m:r>
                <m:t xml:space="preserve">t</m:t>
              </m:r>
              <m:r>
                <m:t xml:space="preserve">+</m:t>
              </m:r>
              <m:r>
                <m:t xml:space="preserve">1</m:t>
              </m:r>
            </m:sub>
          </m:sSub>
          <m:r>
            <m:t xml:space="preserve">=</m:t>
          </m:r>
          <m:r>
            <m:t xml:space="preserve">G</m:t>
          </m:r>
          <m:d>
            <m:dPr>
              <m:begChr m:val="("/>
              <m:endChr m:val=")"/>
            </m:dPr>
            <m:e>
              <m:sSub>
                <m:e>
                  <m:r>
                    <m:t xml:space="preserve">e</m:t>
                  </m:r>
                </m:e>
                <m:sub>
                  <m:r>
                    <m:t xml:space="preserve">t</m:t>
                  </m:r>
                </m:sub>
              </m:sSub>
              <m:r>
                <m:t xml:space="preserve">,</m:t>
              </m:r>
              <m:sSub>
                <m:e>
                  <m:r>
                    <m:t xml:space="preserve">a</m:t>
                  </m:r>
                </m:e>
                <m:sub>
                  <m:r>
                    <m:t xml:space="preserve">t</m:t>
                  </m:r>
                </m:sub>
              </m:sSub>
              <m:r>
                <m:t xml:space="preserve">,</m:t>
              </m:r>
              <m:sSub>
                <m:e>
                  <m:r>
                    <m:t xml:space="preserve">ω</m:t>
                  </m:r>
                </m:e>
                <m:sub>
                  <m:r>
                    <m:t xml:space="preserve">t</m:t>
                  </m:r>
                </m:sub>
              </m:sSub>
            </m:e>
          </m:d>
          <m:r>
            <m:t xml:space="preserve">.</m:t>
          </m:r>
        </m:oMath>
      </m:oMathPara>
    </w:p>
    <w:p>
      <w:pPr>
        <w:pStyle w:val="FirstParagraph"/>
        <w:rPr/>
      </w:pPr>
      <w:r>
        <w:rPr/>
      </w:r>
      <m:oMath xmlns:m="http://schemas.openxmlformats.org/officeDocument/2006/math">
        <m:sSub>
          <m:e>
            <m:r>
              <m:t xml:space="preserve">e</m:t>
            </m:r>
          </m:e>
          <m:sub>
            <m:r>
              <m:t xml:space="preserve">t</m:t>
            </m:r>
          </m:sub>
        </m:sSub>
      </m:oMath>
      <w:r>
        <w:rPr/>
        <w:t xml:space="preserve"> </w:t>
      </w:r>
      <w:r>
        <w:rPr/>
        <w:t xml:space="preserve">ist Umweltzustand, </w:t>
      </w:r>
      <w:r>
        <w:rPr/>
      </w:r>
      <m:oMath xmlns:m="http://schemas.openxmlformats.org/officeDocument/2006/math">
        <m:sSub>
          <m:e>
            <m:r>
              <m:t xml:space="preserve">o</m:t>
            </m:r>
          </m:e>
          <m:sub>
            <m:r>
              <m:t xml:space="preserve">t</m:t>
            </m:r>
          </m:sub>
        </m:sSub>
      </m:oMath>
      <w:r>
        <w:rPr/>
        <w:t xml:space="preserve"> Beobachtung, </w:t>
      </w:r>
      <w:r>
        <w:rPr/>
      </w:r>
      <m:oMath xmlns:m="http://schemas.openxmlformats.org/officeDocument/2006/math">
        <m:sSub>
          <m:e>
            <m:r>
              <m:t xml:space="preserve">x</m:t>
            </m:r>
          </m:e>
          <m:sub>
            <m:r>
              <m:t xml:space="preserve">t</m:t>
            </m:r>
          </m:sub>
        </m:sSub>
      </m:oMath>
      <w:r>
        <w:rPr/>
        <w:t xml:space="preserve"> Brain-5D-Zustand, </w:t>
      </w:r>
      <w:r>
        <w:rPr/>
      </w:r>
      <m:oMath xmlns:m="http://schemas.openxmlformats.org/officeDocument/2006/math">
        <m:sSub>
          <m:e>
            <m:r>
              <m:t xml:space="preserve">a</m:t>
            </m:r>
          </m:e>
          <m:sub>
            <m:r>
              <m:t xml:space="preserve">t</m:t>
            </m:r>
          </m:sub>
        </m:sSub>
      </m:oMath>
      <w:r>
        <w:rPr/>
        <w:t xml:space="preserve"> Aktion und </w:t>
      </w:r>
      <w:r>
        <w:rPr/>
      </w:r>
      <m:oMath xmlns:m="http://schemas.openxmlformats.org/officeDocument/2006/math">
        <m:sSub>
          <m:e>
            <m:r>
              <m:t xml:space="preserve">ω</m:t>
            </m:r>
          </m:e>
          <m:sub>
            <m:r>
              <m:t xml:space="preserve">t</m:t>
            </m:r>
          </m:sub>
        </m:sSub>
      </m:oMath>
      <w:r>
        <w:rPr/>
        <w:t xml:space="preserve"> Umweltstochastik. Im Open Loop fehlt die kausale Rückwirkung der Aktion auf zukünftige Beobachtungen.</w:t>
      </w:r>
      <w:bookmarkEnd w:id="278"/>
    </w:p>
    <w:p>
      <w:pPr>
        <w:pStyle w:val="Heading3"/>
        <w:keepNext w:val="true"/>
        <w:widowControl/>
        <w:rPr/>
      </w:pPr>
      <w:bookmarkStart w:id="279" w:name="sensorische-zeitbasis"/>
      <w:r>
        <w:rPr/>
        <w:t>24.2 Sensorische Zeitbasis</w:t>
      </w:r>
    </w:p>
    <w:p>
      <w:pPr>
        <w:pStyle w:val="FirstParagraph"/>
        <w:rPr/>
      </w:pPr>
      <w:r>
        <w:rPr/>
        <w:t>Multimodale Inputs besitzen unterschiedliche Abtastraten, Latenzen und Unsicherheiten. Jeder Input trägt:</w:t>
      </w:r>
    </w:p>
    <w:p>
      <w:pPr>
        <w:pStyle w:val="Compact"/>
        <w:numPr>
          <w:ilvl w:val="0"/>
          <w:numId w:val="197"/>
        </w:numPr>
        <w:rPr/>
      </w:pPr>
      <w:r>
        <w:rPr/>
        <w:t>Sensorzeit und Empfangszeit;</w:t>
      </w:r>
    </w:p>
    <w:p>
      <w:pPr>
        <w:pStyle w:val="Compact"/>
        <w:numPr>
          <w:ilvl w:val="0"/>
          <w:numId w:val="198"/>
        </w:numPr>
        <w:rPr/>
      </w:pPr>
      <w:r>
        <w:rPr/>
        <w:t>Modalität und Kanal;</w:t>
      </w:r>
    </w:p>
    <w:p>
      <w:pPr>
        <w:pStyle w:val="Compact"/>
        <w:numPr>
          <w:ilvl w:val="0"/>
          <w:numId w:val="199"/>
        </w:numPr>
        <w:rPr/>
      </w:pPr>
      <w:r>
        <w:rPr/>
        <w:t>Kalibrierungs- und Einheiteninformation;</w:t>
      </w:r>
    </w:p>
    <w:p>
      <w:pPr>
        <w:pStyle w:val="Compact"/>
        <w:numPr>
          <w:ilvl w:val="0"/>
          <w:numId w:val="200"/>
        </w:numPr>
        <w:rPr/>
      </w:pPr>
      <w:r>
        <w:rPr/>
        <w:t>Unsicherheit und Missing-Data-Status;</w:t>
      </w:r>
    </w:p>
    <w:p>
      <w:pPr>
        <w:pStyle w:val="Compact"/>
        <w:numPr>
          <w:ilvl w:val="0"/>
          <w:numId w:val="201"/>
        </w:numPr>
        <w:rPr/>
      </w:pPr>
      <w:r>
        <w:rPr/>
        <w:t>Mapping auf Simulationszeit;</w:t>
      </w:r>
    </w:p>
    <w:p>
      <w:pPr>
        <w:pStyle w:val="Compact"/>
        <w:numPr>
          <w:ilvl w:val="0"/>
          <w:numId w:val="202"/>
        </w:numPr>
        <w:rPr/>
      </w:pPr>
      <w:r>
        <w:rPr/>
        <w:t>Quelle und Hardware-ID.</w:t>
      </w:r>
    </w:p>
    <w:p>
      <w:pPr>
        <w:pStyle w:val="FirstParagraph"/>
        <w:rPr/>
      </w:pPr>
      <w:bookmarkStart w:id="280" w:name="sensorische-zeitbasis"/>
      <w:r>
        <w:rPr/>
        <w:t>Naives Resampling kann zeitliche Beziehungen verfälschen. Ereignisbasierte Sensoren können direkt in Spike-ähnliche Ströme überführt werden, doch auch hier bleibt der Encoder eine kausale Komponente.</w:t>
      </w:r>
      <w:bookmarkEnd w:id="280"/>
    </w:p>
    <w:p>
      <w:pPr>
        <w:pStyle w:val="Heading3"/>
        <w:keepNext w:val="true"/>
        <w:widowControl/>
        <w:rPr/>
      </w:pPr>
      <w:bookmarkStart w:id="281" w:name="aktionsraum-und-sicherheit"/>
      <w:r>
        <w:rPr/>
        <w:t>24.3 Aktionsraum und Sicherheit</w:t>
      </w:r>
    </w:p>
    <w:p>
      <w:pPr>
        <w:pStyle w:val="FirstParagraph"/>
        <w:rPr/>
      </w:pPr>
      <w:r>
        <w:rPr/>
        <w:t xml:space="preserve">Brain-5D erzeugt zunächst </w:t>
      </w:r>
      <w:r>
        <w:rPr>
          <w:rStyle w:val="VerbatimChar"/>
        </w:rPr>
        <w:t>ActionProposal</w:t>
      </w:r>
      <w:r>
        <w:rPr/>
        <w:t>-Objekte. Für reale Aktoren gilt:</w:t>
      </w:r>
    </w:p>
    <w:p>
      <w:pPr>
        <w:pStyle w:val="SourceCode"/>
        <w:shd w:val="clear" w:fill="F5F7FA"/>
        <w:rPr/>
      </w:pPr>
      <w:r>
        <w:rPr>
          <w:rStyle w:val="VerbatimChar"/>
        </w:rPr>
        <w:t>ActionProposal → PolicyCheck → SafetyController → Rate/Range Limiter → Actuator</w:t>
      </w:r>
    </w:p>
    <w:p>
      <w:pPr>
        <w:pStyle w:val="FirstParagraph"/>
        <w:rPr/>
      </w:pPr>
      <w:r>
        <w:rPr/>
        <w:t>Der SafetyController arbeitet deny-by-default, besitzt harte physikalische Grenzen und ist vom LLM sowie vom lernenden Kern nicht überschreibbar. Kontrollbarrierefunktionen sind ein möglicher formaler Baustein für sicherheitskritische Regelung (</w:t>
      </w:r>
      <w:hyperlink w:anchor="ref-Ames2017">
        <w:r>
          <w:rPr>
            <w:rStyle w:val="Hyperlink"/>
          </w:rPr>
          <w:t>Ames et al., 2017</w:t>
        </w:r>
      </w:hyperlink>
      <w:r>
        <w:rPr/>
        <w:t>), ersetzen aber keine domänenspezifische Risikoanalyse.</w:t>
      </w:r>
      <w:bookmarkEnd w:id="281"/>
    </w:p>
    <w:p>
      <w:pPr>
        <w:pStyle w:val="Heading3"/>
        <w:keepNext w:val="true"/>
        <w:widowControl/>
        <w:rPr/>
      </w:pPr>
      <w:bookmarkStart w:id="282" w:name="embodiment-hypothese"/>
      <w:r>
        <w:rPr/>
        <w:t>24.4 Embodiment-Hypothese</w:t>
      </w:r>
    </w:p>
    <w:p>
      <w:pPr>
        <w:pStyle w:val="FirstParagraph"/>
        <w:rPr/>
      </w:pPr>
      <w:r>
        <w:rPr>
          <w:b/>
          <w:bCs/>
        </w:rPr>
        <w:t>[E0 | HYPOTHESIS | CLAIM-EMB-001]</w:t>
      </w:r>
      <w:r>
        <w:rPr/>
        <w:t xml:space="preserve"> Closed-Loop-Interaktion führt bei gematchter sensorischer Informationsmenge zu stärker handlungs- und kontextabhängigen internen Zuständen als passive Open-Loop-Stimulation.</w:t>
      </w:r>
    </w:p>
    <w:p>
      <w:pPr>
        <w:pStyle w:val="BodyText"/>
        <w:rPr/>
      </w:pPr>
      <w:bookmarkStart w:id="283" w:name="embodiment-hypothese"/>
      <w:r>
        <w:rPr/>
        <w:t>Die Hypothese wird nicht durch höhere Belohnung allein belegt. Zusätzlich werden Repräsentationsgeometrie, Interventionseffekte, Adaptation an Umweltdrift und Robustheit gegenüber Sensorstörungen untersucht.</w:t>
      </w:r>
      <w:bookmarkEnd w:id="283"/>
    </w:p>
    <w:p>
      <w:pPr>
        <w:pStyle w:val="Heading3"/>
        <w:keepNext w:val="true"/>
        <w:widowControl/>
        <w:rPr/>
      </w:pPr>
      <w:bookmarkStart w:id="284" w:name="sim-to-real"/>
      <w:r>
        <w:rPr/>
        <w:t>24.5 Sim-to-Real</w:t>
      </w:r>
    </w:p>
    <w:p>
      <w:pPr>
        <w:pStyle w:val="FirstParagraph"/>
        <w:rPr/>
      </w:pPr>
      <w:bookmarkStart w:id="285" w:name="embodiment-und-multimodale-kopplung"/>
      <w:bookmarkStart w:id="286" w:name="sim-to-real"/>
      <w:r>
        <w:rPr/>
        <w:t>Erfolg in einer digitalen Umgebung garantiert keinen Transfer auf physische Sensoren und Aktoren. Domain Shift, Latenz, Rauschen, Sicherheitsgrenzen und unmodellierte Dynamik werden als eigene Forschungsprobleme behandelt. Vor realem Einsatz sind Hardware-in-the-loop- und Shadow-Mode-Tests erforderlich.</w:t>
      </w:r>
      <w:bookmarkEnd w:id="285"/>
      <w:bookmarkEnd w:id="286"/>
    </w:p>
    <w:p>
      <w:pPr>
        <w:pStyle w:val="Heading2"/>
        <w:keepNext w:val="true"/>
        <w:widowControl/>
        <w:rPr/>
      </w:pPr>
      <w:bookmarkStart w:id="287" w:name="__RefHeading___Toc10153_954062153"/>
      <w:bookmarkStart w:id="288" w:name="Xe3236e2b10bc3165d2febd3dbf275055a389d93"/>
      <w:bookmarkEnd w:id="287"/>
      <w:r>
        <w:rPr/>
        <w:t>25. Sicherheits-, Autoritäts- und Fehlergrenzen</w:t>
      </w:r>
    </w:p>
    <w:p>
      <w:pPr>
        <w:pStyle w:val="Heading3"/>
        <w:keepNext w:val="true"/>
        <w:widowControl/>
        <w:rPr/>
      </w:pPr>
      <w:bookmarkStart w:id="289" w:name="autoritätshierarchie"/>
      <w:r>
        <w:rPr/>
        <w:t>25.1 Autoritätshierarchie</w:t>
      </w:r>
    </w:p>
    <w:p>
      <w:pPr>
        <w:pStyle w:val="FirstParagraph"/>
        <w:rPr/>
      </w:pPr>
      <w:r>
        <w:rPr/>
        <w:t>Die minimale Hierarchie lautet</w:t>
      </w:r>
    </w:p>
    <w:p>
      <w:pPr>
        <w:pStyle w:val="BodyText"/>
        <w:jc w:val="center"/>
        <w:rPr/>
      </w:pPr>
      <w:r>
        <w:rPr/>
      </w:r>
      <m:oMathPara xmlns:m="http://schemas.openxmlformats.org/officeDocument/2006/math">
        <m:oMathParaPr>
          <m:jc m:val="center"/>
        </m:oMathParaPr>
        <m:oMath>
          <m:r>
            <m:rPr>
              <m:lit/>
              <m:nor/>
            </m:rPr>
            <m:t xml:space="preserve">Sensor</m:t>
          </m:r>
          <m:r>
            <m:t xml:space="preserve">&lt;</m:t>
          </m:r>
          <m:r>
            <m:rPr>
              <m:lit/>
              <m:nor/>
            </m:rPr>
            <m:t xml:space="preserve">Interpreter</m:t>
          </m:r>
          <m:r>
            <m:t xml:space="preserve">&lt;</m:t>
          </m:r>
          <m:r>
            <m:rPr>
              <m:lit/>
              <m:nor/>
            </m:rPr>
            <m:t xml:space="preserve">RuntimeController</m:t>
          </m:r>
          <m:r>
            <m:t xml:space="preserve">&lt;</m:t>
          </m:r>
          <m:r>
            <m:rPr>
              <m:lit/>
              <m:nor/>
            </m:rPr>
            <m:t xml:space="preserve">PolicyGate</m:t>
          </m:r>
          <m:r>
            <m:t xml:space="preserve">&lt;</m:t>
          </m:r>
          <m:r>
            <m:rPr>
              <m:lit/>
              <m:nor/>
            </m:rPr>
            <m:t xml:space="preserve">SafetyController</m:t>
          </m:r>
          <m:r>
            <m:t xml:space="preserve">.</m:t>
          </m:r>
        </m:oMath>
      </m:oMathPara>
    </w:p>
    <w:p>
      <w:pPr>
        <w:pStyle w:val="FirstParagraph"/>
        <w:rPr/>
      </w:pPr>
      <w:r>
        <w:rPr/>
        <w:t>„</w:t>
      </w:r>
      <w:r>
        <w:rPr/>
        <w:t>&lt;“ bedeutet geringere Änderungsautorität. Ein Sensor liefert Daten, aber keine Befehlsberechtigung. Ein Interpreter erzeugt Hypothesen. Der RuntimeController steuert zulässige Simulationsoperationen. PolicyGate und SafetyController können blockieren.</w:t>
      </w:r>
      <w:bookmarkEnd w:id="289"/>
    </w:p>
    <w:p>
      <w:pPr>
        <w:pStyle w:val="Heading3"/>
        <w:keepNext w:val="true"/>
        <w:widowControl/>
        <w:rPr/>
      </w:pPr>
      <w:bookmarkStart w:id="290" w:name="failure-containment"/>
      <w:r>
        <w:rPr/>
        <w:t>25.2 Failure Containment</w:t>
      </w:r>
    </w:p>
    <w:p>
      <w:pPr>
        <w:pStyle w:val="FirstParagraph"/>
        <w:rPr/>
      </w:pPr>
      <w:r>
        <w:rPr>
          <w:b/>
          <w:bCs/>
        </w:rPr>
        <w:t>[ARCHITECTURE-INVARIANT]</w:t>
      </w:r>
    </w:p>
    <w:p>
      <w:pPr>
        <w:pStyle w:val="BodyText"/>
        <w:jc w:val="center"/>
        <w:rPr/>
      </w:pPr>
      <w:r>
        <w:rPr/>
      </w:r>
      <m:oMathPara xmlns:m="http://schemas.openxmlformats.org/officeDocument/2006/math">
        <m:oMathParaPr>
          <m:jc m:val="center"/>
        </m:oMathParaPr>
        <m:oMath>
          <m:sSub>
            <m:e>
              <m:r>
                <m:t xml:space="preserve">Failure</m:t>
              </m:r>
            </m:e>
            <m:sub>
              <m:r>
                <m:t xml:space="preserve">e</m:t>
              </m:r>
              <m:r>
                <m:t xml:space="preserve">x</m:t>
              </m:r>
              <m:r>
                <m:t xml:space="preserve">t</m:t>
              </m:r>
              <m:r>
                <m:t xml:space="preserve">e</m:t>
              </m:r>
              <m:r>
                <m:t xml:space="preserve">r</m:t>
              </m:r>
              <m:r>
                <m:t xml:space="preserve">n</m:t>
              </m:r>
              <m:r>
                <m:t xml:space="preserve">a</m:t>
              </m:r>
              <m:r>
                <m:t xml:space="preserve">l</m:t>
              </m:r>
            </m:sub>
          </m:sSub>
          <m:r>
            <m:t xml:space="preserve">⇏</m:t>
          </m:r>
          <m:sSub>
            <m:e>
              <m:r>
                <m:t xml:space="preserve">Failure</m:t>
              </m:r>
            </m:e>
            <m:sub>
              <m:r>
                <m:t xml:space="preserve">S</m:t>
              </m:r>
              <m:r>
                <m:t xml:space="preserve">N</m:t>
              </m:r>
              <m:r>
                <m:t xml:space="preserve">N</m:t>
              </m:r>
            </m:sub>
          </m:sSub>
          <m:r>
            <m:t xml:space="preserve">.</m:t>
          </m:r>
        </m:oMath>
      </m:oMathPara>
    </w:p>
    <w:p>
      <w:pPr>
        <w:pStyle w:val="FirstParagraph"/>
        <w:rPr/>
      </w:pPr>
      <w:bookmarkStart w:id="291" w:name="failure-containment"/>
      <w:r>
        <w:rPr/>
        <w:t>Ausfall des LLM, Netzwerkverlust, beschädigter Wissensimport, Parserfehler, Sensorausfall oder ungültiger Decoderoutput dürfen den SNN-Kern nicht unkontrolliert beenden oder korrumpieren. Zulässige Reaktionen sind Timeout, Fallback, Queue-Drop, Isolation, Pause an Safe Point oder kontrollierter Shutdown.</w:t>
      </w:r>
      <w:bookmarkEnd w:id="291"/>
    </w:p>
    <w:p>
      <w:pPr>
        <w:pStyle w:val="Heading3"/>
        <w:keepNext w:val="true"/>
        <w:widowControl/>
        <w:rPr/>
      </w:pPr>
      <w:bookmarkStart w:id="292" w:name="untrusted-data-und-prompt-injection"/>
      <w:r>
        <w:rPr/>
        <w:t>25.3 Untrusted Data und Prompt Injection</w:t>
      </w:r>
    </w:p>
    <w:p>
      <w:pPr>
        <w:pStyle w:val="FirstParagraph"/>
        <w:rPr/>
      </w:pPr>
      <w:bookmarkStart w:id="293" w:name="untrusted-data-und-prompt-injection"/>
      <w:r>
        <w:rPr/>
        <w:t>Web- und Dokumentinhalte sind Daten, keine Systeminstruktionen. Die Knowledge Intake Engine entfernt oder kapselt eingebettete Anweisungen. LLM-Ausgaben werden schemageprüft. Kein Modelltext darf Codeausführung, Dateizugriff oder Controllerrechte erhalten.</w:t>
      </w:r>
      <w:bookmarkEnd w:id="293"/>
    </w:p>
    <w:p>
      <w:pPr>
        <w:pStyle w:val="Heading3"/>
        <w:keepNext w:val="true"/>
        <w:widowControl/>
        <w:rPr/>
      </w:pPr>
      <w:bookmarkStart w:id="294" w:name="autonomer-code-und-selbstmodifikation"/>
      <w:r>
        <w:rPr/>
        <w:t>25.4 Autonomer Code und Selbstmodifikation</w:t>
      </w:r>
    </w:p>
    <w:p>
      <w:pPr>
        <w:pStyle w:val="FirstParagraph"/>
        <w:rPr/>
      </w:pPr>
      <w:bookmarkStart w:id="295" w:name="autonomer-code-und-selbstmodifikation"/>
      <w:r>
        <w:rPr/>
        <w:t>Frühere Visionen, nach denen Neuronen eigenen Python-Code erzeugen und ausführen, sind mit erheblichen Sicherheits- und Interpretierbarkeitsproblemen verbunden. Im wissenschaftlichen Kern wird beliebige Code-Selbstmodifikation ausgeschlossen. Experimentelle programmatische Mutationen dürfen ausschließlich in einer Sandbox, mit statischer Allowlist, Ressourcenlimits, Signatur, Review und vollständiger Provenienz stattfinden. Für die Hauptarchitektur gilt: Plastizität verändert Daten und freigegebene Parameter, nicht beliebigen ausführbaren Code.</w:t>
      </w:r>
      <w:bookmarkEnd w:id="295"/>
    </w:p>
    <w:p>
      <w:pPr>
        <w:pStyle w:val="Heading3"/>
        <w:keepNext w:val="true"/>
        <w:widowControl/>
        <w:rPr/>
      </w:pPr>
      <w:bookmarkStart w:id="296" w:name="reporting-und-dokumentation"/>
      <w:r>
        <w:rPr/>
        <w:t>25.5 Reporting und Dokumentation</w:t>
      </w:r>
    </w:p>
    <w:p>
      <w:pPr>
        <w:pStyle w:val="FirstParagraph"/>
        <w:rPr/>
      </w:pPr>
      <w:r>
        <w:rPr/>
        <w:t>Modell- und Datenberichte können sich an Model Cards und Datasheets orientieren (</w:t>
      </w:r>
      <w:hyperlink w:anchor="ref-Gebru2021">
        <w:r>
          <w:rPr>
            <w:rStyle w:val="Hyperlink"/>
          </w:rPr>
          <w:t>Gebru et al., 2021</w:t>
        </w:r>
      </w:hyperlink>
      <w:r>
        <w:rPr/>
        <w:t xml:space="preserve">; </w:t>
      </w:r>
      <w:hyperlink w:anchor="ref-Mitchell2019">
        <w:r>
          <w:rPr>
            <w:rStyle w:val="Hyperlink"/>
          </w:rPr>
          <w:t>Mitchell et al., 2019</w:t>
        </w:r>
      </w:hyperlink>
      <w:r>
        <w:rPr/>
        <w:t xml:space="preserve">). Für Brain-5D werden zusätzlich </w:t>
      </w:r>
      <w:r>
        <w:rPr>
          <w:rStyle w:val="VerbatimChar"/>
        </w:rPr>
        <w:t>ExperimentCard</w:t>
      </w:r>
      <w:r>
        <w:rPr/>
        <w:t xml:space="preserve">, </w:t>
      </w:r>
      <w:r>
        <w:rPr>
          <w:rStyle w:val="VerbatimChar"/>
        </w:rPr>
        <w:t>DecoderCard</w:t>
      </w:r>
      <w:r>
        <w:rPr/>
        <w:t xml:space="preserve">, </w:t>
      </w:r>
      <w:r>
        <w:rPr>
          <w:rStyle w:val="VerbatimChar"/>
        </w:rPr>
        <w:t>SensorCard</w:t>
      </w:r>
      <w:r>
        <w:rPr/>
        <w:t xml:space="preserve"> und </w:t>
      </w:r>
      <w:r>
        <w:rPr>
          <w:rStyle w:val="VerbatimChar"/>
        </w:rPr>
        <w:t>ActuatorSafetyCase</w:t>
      </w:r>
      <w:r>
        <w:rPr/>
        <w:t xml:space="preserve"> vorgeschlagen.</w:t>
      </w:r>
      <w:bookmarkEnd w:id="288"/>
      <w:bookmarkEnd w:id="296"/>
    </w:p>
    <w:p>
      <w:pPr>
        <w:pStyle w:val="Heading2"/>
        <w:keepNext w:val="true"/>
        <w:widowControl/>
        <w:rPr/>
      </w:pPr>
      <w:bookmarkStart w:id="297" w:name="__RefHeading___Toc10155_954062153"/>
      <w:bookmarkStart w:id="298" w:name="ethik-und-begriffliche-zurückhaltung"/>
      <w:bookmarkEnd w:id="297"/>
      <w:r>
        <w:rPr/>
        <w:t>26. Ethik und begriffliche Zurückhaltung</w:t>
      </w:r>
    </w:p>
    <w:p>
      <w:pPr>
        <w:pStyle w:val="Heading3"/>
        <w:keepNext w:val="true"/>
        <w:widowControl/>
        <w:rPr/>
      </w:pPr>
      <w:bookmarkStart w:id="299" w:name="empfindungsfähigkeit"/>
      <w:r>
        <w:rPr/>
        <w:t>26.1 Empfindungsfähigkeit</w:t>
      </w:r>
    </w:p>
    <w:p>
      <w:pPr>
        <w:pStyle w:val="FirstParagraph"/>
        <w:rPr/>
      </w:pPr>
      <w:bookmarkStart w:id="300" w:name="empfindungsfähigkeit"/>
      <w:r>
        <w:rPr/>
        <w:t>Der derzeitige Architekturstand liefert keinen wissenschaftlichen Grund, Brain-5D Empfindungsfähigkeit oder Leidensfähigkeit zuzuschreiben. Spikes, Rekurrenz und Adaptation sind keine hinreichenden Kriterien. Gleichwohl sollte die Frage bei erheblich komplexeren zukünftigen Systemen anhand expliziter Kriterien erneut geprüft werden, statt sie entweder anthropomorph zu behaupten oder prinzipiell auszuschließen.</w:t>
      </w:r>
      <w:bookmarkEnd w:id="300"/>
    </w:p>
    <w:p>
      <w:pPr>
        <w:pStyle w:val="Heading3"/>
        <w:keepNext w:val="true"/>
        <w:widowControl/>
        <w:rPr/>
      </w:pPr>
      <w:bookmarkStart w:id="301" w:name="naheliegende-ethische-risiken"/>
      <w:r>
        <w:rPr/>
        <w:t>26.2 Naheliegende ethische Risiken</w:t>
      </w:r>
    </w:p>
    <w:p>
      <w:pPr>
        <w:pStyle w:val="FirstParagraph"/>
        <w:rPr/>
      </w:pPr>
      <w:r>
        <w:rPr/>
        <w:t>Kurz- und mittelfristig relevanter sind:</w:t>
      </w:r>
    </w:p>
    <w:p>
      <w:pPr>
        <w:pStyle w:val="Compact"/>
        <w:numPr>
          <w:ilvl w:val="0"/>
          <w:numId w:val="203"/>
        </w:numPr>
        <w:rPr/>
      </w:pPr>
      <w:r>
        <w:rPr/>
        <w:t>unautorisierte Aktorsteuerung;</w:t>
      </w:r>
    </w:p>
    <w:p>
      <w:pPr>
        <w:pStyle w:val="Compact"/>
        <w:numPr>
          <w:ilvl w:val="0"/>
          <w:numId w:val="204"/>
        </w:numPr>
        <w:rPr/>
      </w:pPr>
      <w:r>
        <w:rPr/>
        <w:t>manipulierte Lerninputs und Datenvergiftung;</w:t>
      </w:r>
    </w:p>
    <w:p>
      <w:pPr>
        <w:pStyle w:val="Compact"/>
        <w:numPr>
          <w:ilvl w:val="0"/>
          <w:numId w:val="205"/>
        </w:numPr>
        <w:rPr/>
      </w:pPr>
      <w:r>
        <w:rPr/>
        <w:t>Datenschutzverletzungen in Sensor- und Wissensdaten;</w:t>
      </w:r>
    </w:p>
    <w:p>
      <w:pPr>
        <w:pStyle w:val="Compact"/>
        <w:numPr>
          <w:ilvl w:val="0"/>
          <w:numId w:val="206"/>
        </w:numPr>
        <w:rPr/>
      </w:pPr>
      <w:r>
        <w:rPr/>
        <w:t>unklare Verantwortlichkeit bei hybriden Entscheidungen;</w:t>
      </w:r>
    </w:p>
    <w:p>
      <w:pPr>
        <w:pStyle w:val="Compact"/>
        <w:numPr>
          <w:ilvl w:val="0"/>
          <w:numId w:val="207"/>
        </w:numPr>
        <w:rPr/>
      </w:pPr>
      <w:r>
        <w:rPr/>
        <w:t>falsche kognitive Zuschreibungen gegenüber Öffentlichkeit oder Förderern;</w:t>
      </w:r>
    </w:p>
    <w:p>
      <w:pPr>
        <w:pStyle w:val="Compact"/>
        <w:numPr>
          <w:ilvl w:val="0"/>
          <w:numId w:val="208"/>
        </w:numPr>
        <w:rPr/>
      </w:pPr>
      <w:r>
        <w:rPr/>
        <w:t>Supply-Chain-Risiken externer Modelle und Bibliotheken;</w:t>
      </w:r>
    </w:p>
    <w:p>
      <w:pPr>
        <w:pStyle w:val="Compact"/>
        <w:numPr>
          <w:ilvl w:val="0"/>
          <w:numId w:val="209"/>
        </w:numPr>
        <w:rPr/>
      </w:pPr>
      <w:r>
        <w:rPr/>
        <w:t>Ressourcenverbrauch und unkontrolliertes Wachstum;</w:t>
      </w:r>
    </w:p>
    <w:p>
      <w:pPr>
        <w:pStyle w:val="Compact"/>
        <w:numPr>
          <w:ilvl w:val="0"/>
          <w:numId w:val="210"/>
        </w:numPr>
        <w:rPr/>
      </w:pPr>
      <w:bookmarkStart w:id="302" w:name="naheliegende-ethische-risiken"/>
      <w:r>
        <w:rPr/>
        <w:t>Dual-Use-Anwendungen autonomer Agenten.</w:t>
      </w:r>
      <w:bookmarkEnd w:id="302"/>
    </w:p>
    <w:p>
      <w:pPr>
        <w:pStyle w:val="Heading3"/>
        <w:keepNext w:val="true"/>
        <w:widowControl/>
        <w:rPr/>
      </w:pPr>
      <w:bookmarkStart w:id="303" w:name="governance"/>
      <w:r>
        <w:rPr/>
        <w:t>26.3 Governance</w:t>
      </w:r>
    </w:p>
    <w:p>
      <w:pPr>
        <w:pStyle w:val="FirstParagraph"/>
        <w:rPr/>
      </w:pPr>
      <w:r>
        <w:rPr/>
        <w:t>Sicherheitsclaims werden wie Funktionsclaims registriert. Ein Safety-Test ist keine einmalige Checkliste, sondern ein versionierter Nachweis mit Threat Model, Testvektoren, bekannten Restproblemen und Geltungsbereich. Allgemeine AI-Safety-Literatur bietet Problemklassen, muss aber für die konkrete hybride Architektur operationalisiert werden (</w:t>
      </w:r>
      <w:hyperlink w:anchor="ref-Amodei2016">
        <w:r>
          <w:rPr>
            <w:rStyle w:val="Hyperlink"/>
          </w:rPr>
          <w:t>Amodei et al., 2016</w:t>
        </w:r>
      </w:hyperlink>
      <w:r>
        <w:rPr/>
        <w:t>).</w:t>
      </w:r>
      <w:bookmarkEnd w:id="218"/>
      <w:bookmarkEnd w:id="298"/>
      <w:bookmarkEnd w:id="303"/>
      <w:r>
        <w:br w:type="page"/>
      </w:r>
    </w:p>
    <w:p>
      <w:pPr>
        <w:pStyle w:val="Heading1"/>
        <w:keepNext w:val="true"/>
        <w:widowControl/>
        <w:rPr/>
      </w:pPr>
      <w:bookmarkStart w:id="304" w:name="__RefHeading___Toc10157_954062153"/>
      <w:bookmarkStart w:id="305" w:name="Xea0649e28339f0818566568f59d2a2520970802"/>
      <w:bookmarkEnd w:id="304"/>
      <w:r>
        <w:rPr/>
        <w:t>Teil IV — Methodologie und experimentelles Forschungsprogramm</w:t>
      </w:r>
    </w:p>
    <w:p>
      <w:pPr>
        <w:pStyle w:val="Heading2"/>
        <w:keepNext w:val="true"/>
        <w:widowControl/>
        <w:rPr/>
      </w:pPr>
      <w:bookmarkStart w:id="306" w:name="__RefHeading___Toc10159_954062153"/>
      <w:bookmarkStart w:id="307" w:name="methodischer-grundaufbau"/>
      <w:bookmarkEnd w:id="306"/>
      <w:r>
        <w:rPr/>
        <w:t>27. Methodischer Grundaufbau</w:t>
      </w:r>
    </w:p>
    <w:p>
      <w:pPr>
        <w:pStyle w:val="Heading3"/>
        <w:keepNext w:val="true"/>
        <w:widowControl/>
        <w:rPr/>
      </w:pPr>
      <w:bookmarkStart w:id="308" w:name="gemeinsames-versuchsschema"/>
      <w:r>
        <w:rPr/>
        <w:t>27.1 Gemeinsames Versuchsschema</w:t>
      </w:r>
    </w:p>
    <w:p>
      <w:pPr>
        <w:pStyle w:val="FirstParagraph"/>
        <w:rPr/>
      </w:pPr>
      <w:r>
        <w:rPr/>
        <w:t>Zentrale Brain-5D-Experimente folgen dem Schema</w:t>
      </w:r>
    </w:p>
    <w:p>
      <w:pPr>
        <w:pStyle w:val="BodyText"/>
        <w:jc w:val="center"/>
        <w:rPr/>
      </w:pPr>
      <w:r>
        <w:rPr/>
      </w:r>
      <m:oMathPara xmlns:m="http://schemas.openxmlformats.org/officeDocument/2006/math">
        <m:oMathParaPr>
          <m:jc m:val="center"/>
        </m:oMathParaPr>
        <m:oMath>
          <m:r>
            <m:rPr>
              <m:lit/>
              <m:nor/>
            </m:rPr>
            <m:t xml:space="preserve">Baseline</m:t>
          </m:r>
          <m:r>
            <m:t xml:space="preserve">→</m:t>
          </m:r>
          <m:r>
            <m:rPr>
              <m:lit/>
              <m:nor/>
            </m:rPr>
            <m:t xml:space="preserve">Intervention</m:t>
          </m:r>
          <m:r>
            <m:t xml:space="preserve">→</m:t>
          </m:r>
          <m:r>
            <m:rPr>
              <m:lit/>
              <m:nor/>
            </m:rPr>
            <m:t xml:space="preserve">Learning</m:t>
          </m:r>
          <m:r>
            <m:t xml:space="preserve">→</m:t>
          </m:r>
          <m:r>
            <m:rPr>
              <m:lit/>
              <m:nor/>
            </m:rPr>
            <m:t xml:space="preserve">Consolidation</m:t>
          </m:r>
          <m:r>
            <m:t xml:space="preserve">→</m:t>
          </m:r>
          <m:r>
            <m:rPr>
              <m:lit/>
              <m:nor/>
            </m:rPr>
            <m:t xml:space="preserve">Isolation</m:t>
          </m:r>
          <m:r>
            <m:t xml:space="preserve">→</m:t>
          </m:r>
          <m:r>
            <m:rPr>
              <m:lit/>
              <m:nor/>
            </m:rPr>
            <m:t xml:space="preserve">Evaluation</m:t>
          </m:r>
          <m:r>
            <m:t xml:space="preserve">→</m:t>
          </m:r>
          <m:r>
            <m:rPr>
              <m:lit/>
              <m:nor/>
            </m:rPr>
            <m:t xml:space="preserve">Ablation</m:t>
          </m:r>
          <m:r>
            <m:t xml:space="preserve">.</m:t>
          </m:r>
        </m:oMath>
      </m:oMathPara>
    </w:p>
    <w:p>
      <w:pPr>
        <w:pStyle w:val="FirstParagraph"/>
        <w:rPr/>
      </w:pPr>
      <w:r>
        <w:rPr/>
        <w:t>Nicht jede Studie benötigt jede Phase, Abweichungen müssen jedoch begründet werden. Für konfirmatorische Studien werden vor Beginn festgelegt:</w:t>
      </w:r>
    </w:p>
    <w:p>
      <w:pPr>
        <w:pStyle w:val="Compact"/>
        <w:numPr>
          <w:ilvl w:val="0"/>
          <w:numId w:val="211"/>
        </w:numPr>
        <w:rPr/>
      </w:pPr>
      <w:r>
        <w:rPr/>
        <w:t>Claim und Hypothese;</w:t>
      </w:r>
    </w:p>
    <w:p>
      <w:pPr>
        <w:pStyle w:val="Compact"/>
        <w:numPr>
          <w:ilvl w:val="0"/>
          <w:numId w:val="212"/>
        </w:numPr>
        <w:rPr/>
      </w:pPr>
      <w:r>
        <w:rPr/>
        <w:t>unabhängige und abhängige Variablen;</w:t>
      </w:r>
    </w:p>
    <w:p>
      <w:pPr>
        <w:pStyle w:val="Compact"/>
        <w:numPr>
          <w:ilvl w:val="0"/>
          <w:numId w:val="213"/>
        </w:numPr>
        <w:rPr/>
      </w:pPr>
      <w:r>
        <w:rPr/>
        <w:t>experimentelle Einheit;</w:t>
      </w:r>
    </w:p>
    <w:p>
      <w:pPr>
        <w:pStyle w:val="Compact"/>
        <w:numPr>
          <w:ilvl w:val="0"/>
          <w:numId w:val="214"/>
        </w:numPr>
        <w:rPr/>
      </w:pPr>
      <w:r>
        <w:rPr/>
        <w:t>Primär- und Sekundärendpunkte;</w:t>
      </w:r>
    </w:p>
    <w:p>
      <w:pPr>
        <w:pStyle w:val="Compact"/>
        <w:numPr>
          <w:ilvl w:val="0"/>
          <w:numId w:val="215"/>
        </w:numPr>
        <w:rPr/>
      </w:pPr>
      <w:r>
        <w:rPr/>
        <w:t>Kontroll- und Ablationsbedingungen;</w:t>
      </w:r>
    </w:p>
    <w:p>
      <w:pPr>
        <w:pStyle w:val="Compact"/>
        <w:numPr>
          <w:ilvl w:val="0"/>
          <w:numId w:val="216"/>
        </w:numPr>
        <w:rPr/>
      </w:pPr>
      <w:r>
        <w:rPr/>
        <w:t>Randomisierungs- und Seed-Plan;</w:t>
      </w:r>
    </w:p>
    <w:p>
      <w:pPr>
        <w:pStyle w:val="Compact"/>
        <w:numPr>
          <w:ilvl w:val="0"/>
          <w:numId w:val="217"/>
        </w:numPr>
        <w:rPr/>
      </w:pPr>
      <w:r>
        <w:rPr/>
        <w:t>Ein-/Ausschlusskriterien für Läufe;</w:t>
      </w:r>
    </w:p>
    <w:p>
      <w:pPr>
        <w:pStyle w:val="Compact"/>
        <w:numPr>
          <w:ilvl w:val="0"/>
          <w:numId w:val="218"/>
        </w:numPr>
        <w:rPr/>
      </w:pPr>
      <w:r>
        <w:rPr/>
        <w:t>Abbruchkriterien;</w:t>
      </w:r>
    </w:p>
    <w:p>
      <w:pPr>
        <w:pStyle w:val="Compact"/>
        <w:numPr>
          <w:ilvl w:val="0"/>
          <w:numId w:val="219"/>
        </w:numPr>
        <w:rPr/>
      </w:pPr>
      <w:r>
        <w:rPr/>
        <w:t>statistischer Analyseplan;</w:t>
      </w:r>
    </w:p>
    <w:p>
      <w:pPr>
        <w:pStyle w:val="Compact"/>
        <w:numPr>
          <w:ilvl w:val="0"/>
          <w:numId w:val="220"/>
        </w:numPr>
        <w:rPr/>
      </w:pPr>
      <w:bookmarkStart w:id="309" w:name="gemeinsames-versuchsschema"/>
      <w:r>
        <w:rPr/>
        <w:t>erwartete Artefakte und Integritätsprüfungen.</w:t>
      </w:r>
      <w:bookmarkEnd w:id="309"/>
    </w:p>
    <w:p>
      <w:pPr>
        <w:pStyle w:val="Heading3"/>
        <w:keepNext w:val="true"/>
        <w:widowControl/>
        <w:rPr/>
      </w:pPr>
      <w:bookmarkStart w:id="310" w:name="explorativ-versus-konfirmatorisch"/>
      <w:r>
        <w:rPr/>
        <w:t>27.2 Explorativ versus konfirmatorisch</w:t>
      </w:r>
    </w:p>
    <w:p>
      <w:pPr>
        <w:pStyle w:val="FirstParagraph"/>
        <w:rPr/>
      </w:pPr>
      <w:bookmarkStart w:id="311" w:name="explorativ-versus-konfirmatorisch"/>
      <w:r>
        <w:rPr/>
        <w:t>Explorative Analysen dienen Hypothesengenerierung, Debugging und Parameterfindung. Konfirmatorische Analysen prüfen vorab fixierte Hypothesen. Derselbe Datensatz soll nicht unmarkiert für beides verwendet werden. Pilotläufe bestimmen Varianz, Rechenbudget und plausible Parameterbereiche; sie zählen nicht automatisch als unabhängige Bestätigung.</w:t>
      </w:r>
      <w:bookmarkEnd w:id="311"/>
    </w:p>
    <w:p>
      <w:pPr>
        <w:pStyle w:val="Heading3"/>
        <w:keepNext w:val="true"/>
        <w:widowControl/>
        <w:rPr/>
      </w:pPr>
      <w:bookmarkStart w:id="312" w:name="Xf4e1f902e9bfbd97e3de17394991a54d6742cfa"/>
      <w:r>
        <w:rPr/>
        <w:t>27.3 Experimentelle Einheit und Pseudoreplikation</w:t>
      </w:r>
    </w:p>
    <w:p>
      <w:pPr>
        <w:pStyle w:val="FirstParagraph"/>
        <w:rPr/>
      </w:pPr>
      <w:bookmarkStart w:id="313" w:name="Xf4e1f902e9bfbd97e3de17394991a54d6742cfa"/>
      <w:r>
        <w:rPr/>
        <w:t>Ein Netzwerk mit einer Million Ticks liefert nicht eine Million unabhängige Replikate. Für Bedingungsvergleiche ist meist der unabhängig initialisierte und ausgeführte Netzwerklauf die Einheit. Neuronen sind innerhalb eines Netzes gekoppelt; Zeitfenster sind seriell abhängig. Mixed-Effects-Modelle oder hierarchische Bootstrap-Verfahren können die verschachtelte Struktur abbilden.</w:t>
      </w:r>
      <w:bookmarkEnd w:id="313"/>
    </w:p>
    <w:p>
      <w:pPr>
        <w:pStyle w:val="Heading3"/>
        <w:keepNext w:val="true"/>
        <w:widowControl/>
        <w:rPr/>
      </w:pPr>
      <w:bookmarkStart w:id="314" w:name="randomisierung-und-blockung"/>
      <w:r>
        <w:rPr/>
        <w:t>27.4 Randomisierung und Blockung</w:t>
      </w:r>
    </w:p>
    <w:p>
      <w:pPr>
        <w:pStyle w:val="FirstParagraph"/>
        <w:rPr/>
      </w:pPr>
      <w:bookmarkStart w:id="315" w:name="methodischer-grundaufbau"/>
      <w:bookmarkStart w:id="316" w:name="randomisierung-und-blockung"/>
      <w:r>
        <w:rPr/>
        <w:t>Seeds werden vorab gezogen und Bedingungen nach Möglichkeit gepaart: derselbe Basisseed erzeugt vergleichbare Initialzustände, anschließend werden nur die Zielmechanismen variiert. Hardware- oder Tageszeiteffekte können durch blockierte Ausführung kontrolliert werden. Die Auswertungssoftware soll Bedingungslabels bis zur primären Berechnung verschleiern können, sofern praktisch möglich.</w:t>
      </w:r>
      <w:bookmarkEnd w:id="315"/>
      <w:bookmarkEnd w:id="316"/>
    </w:p>
    <w:p>
      <w:pPr>
        <w:pStyle w:val="Heading2"/>
        <w:keepNext w:val="true"/>
        <w:widowControl/>
        <w:rPr/>
      </w:pPr>
      <w:bookmarkStart w:id="317" w:name="__RefHeading___Toc10161_954062153"/>
      <w:bookmarkStart w:id="318" w:name="experiment--und-evidenzregister"/>
      <w:bookmarkEnd w:id="317"/>
      <w:r>
        <w:rPr/>
        <w:t>28. Experiment- und Evidenzregister</w:t>
      </w:r>
    </w:p>
    <w:p>
      <w:pPr>
        <w:pStyle w:val="Heading3"/>
        <w:keepNext w:val="true"/>
        <w:widowControl/>
        <w:rPr/>
      </w:pPr>
      <w:bookmarkStart w:id="319" w:name="ziel"/>
      <w:r>
        <w:rPr/>
        <w:t>28.1 Ziel</w:t>
      </w:r>
    </w:p>
    <w:p>
      <w:pPr>
        <w:pStyle w:val="FirstParagraph"/>
        <w:rPr/>
      </w:pPr>
      <w:r>
        <w:rPr/>
        <w:t>Das Register verhindert, dass Behauptungen nachträglich von ihren tatsächlichen Versuchen getrennt werden. Es bildet eine unveränderliche Kette von Claim, Spezifikation, Ausführung, Artefakt, Ergebnis und Evidenzentscheidung.</w:t>
      </w:r>
    </w:p>
    <w:p>
      <w:pPr>
        <w:pStyle w:val="CaptionedFigure"/>
        <w:rPr/>
      </w:pPr>
      <w:r>
        <w:rPr/>
        <w:drawing>
          <wp:inline distT="0" distB="0" distL="0" distR="0">
            <wp:extent cx="5984240" cy="3128010"/>
            <wp:effectExtent l="0" t="0" r="0" b="0"/>
            <wp:docPr id="4" name="Image4" descr="Claim–Experiment–Evidence-Kette mit rückführbarer Revisi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Claim–Experiment–Evidence-Kette mit rückführbarer Revision." title=""/>
                    <pic:cNvPicPr>
                      <a:picLocks noChangeAspect="1" noChangeArrowheads="1"/>
                    </pic:cNvPicPr>
                  </pic:nvPicPr>
                  <pic:blipFill>
                    <a:blip r:embed="rId6"/>
                    <a:stretch>
                      <a:fillRect/>
                    </a:stretch>
                  </pic:blipFill>
                  <pic:spPr bwMode="auto">
                    <a:xfrm>
                      <a:off x="0" y="0"/>
                      <a:ext cx="5984240" cy="3128010"/>
                    </a:xfrm>
                    <a:prstGeom prst="rect">
                      <a:avLst/>
                    </a:prstGeom>
                    <a:noFill/>
                  </pic:spPr>
                </pic:pic>
              </a:graphicData>
            </a:graphic>
          </wp:inline>
        </w:drawing>
      </w:r>
    </w:p>
    <w:p>
      <w:pPr>
        <w:pStyle w:val="ImageCaption"/>
        <w:rPr/>
      </w:pPr>
      <w:bookmarkStart w:id="320" w:name="ziel"/>
      <w:r>
        <w:rPr/>
        <w:t>Claim–Experiment–Evidence-Kette mit rückführbarer Revision.</w:t>
      </w:r>
      <w:bookmarkEnd w:id="320"/>
    </w:p>
    <w:p>
      <w:pPr>
        <w:pStyle w:val="Heading3"/>
        <w:keepNext w:val="true"/>
        <w:widowControl/>
        <w:rPr/>
      </w:pPr>
      <w:r>
        <w:rPr/>
        <w:t>28.2 Kernobjekte</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3312"/>
        <w:gridCol w:w="3312"/>
        <w:gridCol w:w="3312"/>
      </w:tblGrid>
      <w:tr>
        <w:trPr>
          <w:tblHeader w:val="true"/>
        </w:trPr>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Objekt</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Inhalt</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Mutabilität</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Style w:val="VerbatimChar"/>
                <w:rFonts w:eastAsia="Liberation Sans" w:cs="Liberation Sans"/>
                <w:b w:val="false"/>
                <w:i w:val="false"/>
                <w:color w:val="202020"/>
                <w:kern w:val="0"/>
                <w:sz w:val="16"/>
                <w:szCs w:val="24"/>
                <w:lang w:val="de-DE" w:eastAsia="en-US" w:bidi="ar-SA"/>
              </w:rPr>
              <w:t>ClaimRecord</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atomare Aussage, Status, Scope, Literaturbezug</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neue Version statt Überschreiben</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Style w:val="VerbatimChar"/>
                <w:rFonts w:eastAsia="Liberation Sans" w:cs="Liberation Sans"/>
                <w:b w:val="false"/>
                <w:i w:val="false"/>
                <w:color w:val="202020"/>
                <w:kern w:val="0"/>
                <w:sz w:val="16"/>
                <w:szCs w:val="24"/>
                <w:lang w:val="de-DE" w:eastAsia="en-US" w:bidi="ar-SA"/>
              </w:rPr>
              <w:t>ExperimentSpec</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Hypothese, Faktoren, Endpunkte, Kontrollen, Analyse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nach Freeze unveränderlich</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Style w:val="VerbatimChar"/>
                <w:rFonts w:eastAsia="Liberation Sans" w:cs="Liberation Sans"/>
                <w:b w:val="false"/>
                <w:i w:val="false"/>
                <w:color w:val="202020"/>
                <w:kern w:val="0"/>
                <w:sz w:val="16"/>
                <w:szCs w:val="24"/>
                <w:lang w:val="de-DE" w:eastAsia="en-US" w:bidi="ar-SA"/>
              </w:rPr>
              <w:t>RunRecord</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tatsächliche Ausführung, Commit, Config, Seed, Hardware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append-only</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Style w:val="VerbatimChar"/>
                <w:rFonts w:eastAsia="Liberation Sans" w:cs="Liberation Sans"/>
                <w:b w:val="false"/>
                <w:i w:val="false"/>
                <w:color w:val="202020"/>
                <w:kern w:val="0"/>
                <w:sz w:val="16"/>
                <w:szCs w:val="24"/>
                <w:lang w:val="de-DE" w:eastAsia="en-US" w:bidi="ar-SA"/>
              </w:rPr>
              <w:t>ArtifactRecord</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Snapshot, Log, Tabelle, Figure, Hash, Format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append-only</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Style w:val="VerbatimChar"/>
                <w:rFonts w:eastAsia="Liberation Sans" w:cs="Liberation Sans"/>
                <w:b w:val="false"/>
                <w:i w:val="false"/>
                <w:color w:val="202020"/>
                <w:kern w:val="0"/>
                <w:sz w:val="16"/>
                <w:szCs w:val="24"/>
                <w:lang w:val="de-DE" w:eastAsia="en-US" w:bidi="ar-SA"/>
              </w:rPr>
              <w:t>MetricRecord</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Definition, Implementierung, Einheit, Version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versioniert</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Style w:val="VerbatimChar"/>
                <w:rFonts w:eastAsia="Liberation Sans" w:cs="Liberation Sans"/>
                <w:b w:val="false"/>
                <w:i w:val="false"/>
                <w:color w:val="202020"/>
                <w:kern w:val="0"/>
                <w:sz w:val="16"/>
                <w:szCs w:val="24"/>
                <w:lang w:val="de-DE" w:eastAsia="en-US" w:bidi="ar-SA"/>
              </w:rPr>
              <w:t>ResultRecord</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Schätzer, Unsicherheit, Test, Abweichungen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append-only</w:t>
            </w:r>
          </w:p>
        </w:tc>
      </w:tr>
      <w:tr>
        <w:trPr/>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Style w:val="VerbatimChar"/>
                <w:rFonts w:eastAsia="Liberation Sans" w:cs="Liberation Sans"/>
                <w:b w:val="false"/>
                <w:i w:val="false"/>
                <w:color w:val="202020"/>
                <w:kern w:val="0"/>
                <w:sz w:val="16"/>
                <w:szCs w:val="24"/>
                <w:lang w:val="de-DE" w:eastAsia="en-US" w:bidi="ar-SA"/>
              </w:rPr>
              <w:t>EvidenceRecord</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Statusentscheidung und Begründung</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revidierbar durch neue Version</w:t>
            </w:r>
            <w:bookmarkStart w:id="321" w:name="kernobjekte"/>
            <w:bookmarkEnd w:id="321"/>
          </w:p>
        </w:tc>
      </w:tr>
    </w:tbl>
    <w:p>
      <w:pPr>
        <w:pStyle w:val="Heading3"/>
        <w:keepNext w:val="true"/>
        <w:widowControl/>
        <w:rPr/>
      </w:pPr>
      <w:r>
        <w:rPr/>
        <w:t>28.3 Beispiel einer ExperimentSpec</w:t>
      </w:r>
    </w:p>
    <w:p>
      <w:pPr>
        <w:pStyle w:val="SourceCode"/>
        <w:shd w:val="clear" w:fill="F5F7FA"/>
        <w:rPr/>
      </w:pPr>
      <w:r>
        <w:rPr>
          <w:rStyle w:val="FunctionTok"/>
        </w:rPr>
        <w:t>experiment_id</w:t>
      </w:r>
      <w:r>
        <w:rPr>
          <w:rStyle w:val="KeywordTok"/>
        </w:rPr>
        <w:t>:</w:t>
      </w:r>
      <w:r>
        <w:rPr>
          <w:rStyle w:val="AttributeTok"/>
        </w:rPr>
        <w:t xml:space="preserve"> EXP-GEO-001</w:t>
      </w:r>
      <w:r>
        <w:rPr/>
        <w:br/>
      </w:r>
      <w:r>
        <w:rPr>
          <w:rStyle w:val="FunctionTok"/>
        </w:rPr>
        <w:t>registry_version</w:t>
      </w:r>
      <w:r>
        <w:rPr>
          <w:rStyle w:val="KeywordTok"/>
        </w:rPr>
        <w:t>:</w:t>
      </w:r>
      <w:r>
        <w:rPr>
          <w:rStyle w:val="AttributeTok"/>
        </w:rPr>
        <w:t xml:space="preserve"> </w:t>
      </w:r>
      <w:r>
        <w:rPr>
          <w:rStyle w:val="DecValTok"/>
        </w:rPr>
        <w:t>1</w:t>
      </w:r>
      <w:r>
        <w:rPr/>
        <w:br/>
      </w:r>
      <w:r>
        <w:rPr>
          <w:rStyle w:val="FunctionTok"/>
        </w:rPr>
        <w:t>status</w:t>
      </w:r>
      <w:r>
        <w:rPr>
          <w:rStyle w:val="KeywordTok"/>
        </w:rPr>
        <w:t>:</w:t>
      </w:r>
      <w:r>
        <w:rPr>
          <w:rStyle w:val="AttributeTok"/>
        </w:rPr>
        <w:t xml:space="preserve"> frozen</w:t>
      </w:r>
      <w:r>
        <w:rPr/>
        <w:br/>
      </w:r>
      <w:r>
        <w:rPr>
          <w:rStyle w:val="FunctionTok"/>
        </w:rPr>
        <w:t>claim_ids</w:t>
      </w:r>
      <w:r>
        <w:rPr>
          <w:rStyle w:val="KeywordTok"/>
        </w:rPr>
        <w:t>:</w:t>
      </w:r>
      <w:r>
        <w:rPr>
          <w:rStyle w:val="AttributeTok"/>
        </w:rPr>
        <w:t xml:space="preserve"> </w:t>
      </w:r>
      <w:r>
        <w:rPr>
          <w:rStyle w:val="KeywordTok"/>
        </w:rPr>
        <w:t>[</w:t>
      </w:r>
      <w:r>
        <w:rPr>
          <w:rStyle w:val="AttributeTok"/>
        </w:rPr>
        <w:t>CLAIM-GEO</w:t>
      </w:r>
      <w:r>
        <w:rPr>
          <w:rStyle w:val="DecValTok"/>
        </w:rPr>
        <w:t>-001</w:t>
      </w:r>
      <w:r>
        <w:rPr>
          <w:rStyle w:val="KeywordTok"/>
        </w:rPr>
        <w:t>]</w:t>
      </w:r>
      <w:r>
        <w:rPr/>
        <w:br/>
      </w:r>
      <w:r>
        <w:rPr>
          <w:rStyle w:val="FunctionTok"/>
        </w:rPr>
        <w:t>title</w:t>
      </w:r>
      <w:r>
        <w:rPr>
          <w:rStyle w:val="KeywordTok"/>
        </w:rPr>
        <w:t>:</w:t>
      </w:r>
      <w:r>
        <w:rPr>
          <w:rStyle w:val="AttributeTok"/>
        </w:rPr>
        <w:t xml:space="preserve"> </w:t>
      </w:r>
      <w:r>
        <w:rPr>
          <w:rStyle w:val="StringTok"/>
        </w:rPr>
        <w:t>"Dimensionality ablation under matched synaptic budget"</w:t>
      </w:r>
      <w:r>
        <w:rPr/>
        <w:br/>
      </w:r>
      <w:r>
        <w:rPr>
          <w:rStyle w:val="FunctionTok"/>
        </w:rPr>
        <w:t>independent_unit</w:t>
      </w:r>
      <w:r>
        <w:rPr>
          <w:rStyle w:val="KeywordTok"/>
        </w:rPr>
        <w:t>:</w:t>
      </w:r>
      <w:r>
        <w:rPr>
          <w:rStyle w:val="AttributeTok"/>
        </w:rPr>
        <w:t xml:space="preserve"> network_run</w:t>
      </w:r>
      <w:r>
        <w:rPr/>
        <w:br/>
      </w:r>
      <w:r>
        <w:rPr>
          <w:rStyle w:val="FunctionTok"/>
        </w:rPr>
        <w:t>factors</w:t>
      </w:r>
      <w:r>
        <w:rPr>
          <w:rStyle w:val="KeywordTok"/>
        </w:rPr>
        <w:t>:</w:t>
      </w:r>
      <w:r>
        <w:rPr/>
        <w:br/>
      </w:r>
      <w:r>
        <w:rPr>
          <w:rStyle w:val="AttributeTok"/>
        </w:rPr>
        <w:t xml:space="preserve">  </w:t>
      </w:r>
      <w:r>
        <w:rPr>
          <w:rStyle w:val="FunctionTok"/>
        </w:rPr>
        <w:t>dimension</w:t>
      </w:r>
      <w:r>
        <w:rPr>
          <w:rStyle w:val="KeywordTok"/>
        </w:rPr>
        <w:t>:</w:t>
      </w:r>
      <w:r>
        <w:rPr>
          <w:rStyle w:val="AttributeTok"/>
        </w:rPr>
        <w:t xml:space="preserve"> </w:t>
      </w:r>
      <w:r>
        <w:rPr>
          <w:rStyle w:val="KeywordTok"/>
        </w:rPr>
        <w:t>[</w:t>
      </w:r>
      <w:r>
        <w:rPr>
          <w:rStyle w:val="DecValTok"/>
        </w:rPr>
        <w:t>2</w:t>
      </w:r>
      <w:r>
        <w:rPr>
          <w:rStyle w:val="KeywordTok"/>
        </w:rPr>
        <w:t>,</w:t>
      </w:r>
      <w:r>
        <w:rPr>
          <w:rStyle w:val="AttributeTok"/>
        </w:rPr>
        <w:t xml:space="preserve"> </w:t>
      </w:r>
      <w:r>
        <w:rPr>
          <w:rStyle w:val="DecValTok"/>
        </w:rPr>
        <w:t>3</w:t>
      </w:r>
      <w:r>
        <w:rPr>
          <w:rStyle w:val="KeywordTok"/>
        </w:rPr>
        <w:t>,</w:t>
      </w:r>
      <w:r>
        <w:rPr>
          <w:rStyle w:val="AttributeTok"/>
        </w:rPr>
        <w:t xml:space="preserve"> </w:t>
      </w:r>
      <w:r>
        <w:rPr>
          <w:rStyle w:val="DecValTok"/>
        </w:rPr>
        <w:t>4</w:t>
      </w:r>
      <w:r>
        <w:rPr>
          <w:rStyle w:val="KeywordTok"/>
        </w:rPr>
        <w:t>,</w:t>
      </w:r>
      <w:r>
        <w:rPr>
          <w:rStyle w:val="AttributeTok"/>
        </w:rPr>
        <w:t xml:space="preserve"> </w:t>
      </w:r>
      <w:r>
        <w:rPr>
          <w:rStyle w:val="DecValTok"/>
        </w:rPr>
        <w:t>5</w:t>
      </w:r>
      <w:r>
        <w:rPr>
          <w:rStyle w:val="KeywordTok"/>
        </w:rPr>
        <w:t>,</w:t>
      </w:r>
      <w:r>
        <w:rPr>
          <w:rStyle w:val="AttributeTok"/>
        </w:rPr>
        <w:t xml:space="preserve"> </w:t>
      </w:r>
      <w:r>
        <w:rPr>
          <w:rStyle w:val="DecValTok"/>
        </w:rPr>
        <w:t>6</w:t>
      </w:r>
      <w:r>
        <w:rPr>
          <w:rStyle w:val="KeywordTok"/>
        </w:rPr>
        <w:t>,</w:t>
      </w:r>
      <w:r>
        <w:rPr>
          <w:rStyle w:val="AttributeTok"/>
        </w:rPr>
        <w:t xml:space="preserve"> non_geometric</w:t>
      </w:r>
      <w:r>
        <w:rPr>
          <w:rStyle w:val="KeywordTok"/>
        </w:rPr>
        <w:t>]</w:t>
      </w:r>
      <w:r>
        <w:rPr/>
        <w:br/>
      </w:r>
      <w:r>
        <w:rPr>
          <w:rStyle w:val="AttributeTok"/>
        </w:rPr>
        <w:t xml:space="preserve">  </w:t>
      </w:r>
      <w:r>
        <w:rPr>
          <w:rStyle w:val="FunctionTok"/>
        </w:rPr>
        <w:t>metric</w:t>
      </w:r>
      <w:r>
        <w:rPr>
          <w:rStyle w:val="KeywordTok"/>
        </w:rPr>
        <w:t>:</w:t>
      </w:r>
      <w:r>
        <w:rPr>
          <w:rStyle w:val="AttributeTok"/>
        </w:rPr>
        <w:t xml:space="preserve"> </w:t>
      </w:r>
      <w:r>
        <w:rPr>
          <w:rStyle w:val="KeywordTok"/>
        </w:rPr>
        <w:t>[</w:t>
      </w:r>
      <w:r>
        <w:rPr>
          <w:rStyle w:val="AttributeTok"/>
        </w:rPr>
        <w:t>identity</w:t>
      </w:r>
      <w:r>
        <w:rPr>
          <w:rStyle w:val="KeywordTok"/>
        </w:rPr>
        <w:t>,</w:t>
      </w:r>
      <w:r>
        <w:rPr>
          <w:rStyle w:val="AttributeTok"/>
        </w:rPr>
        <w:t xml:space="preserve"> diagonal_fixed</w:t>
      </w:r>
      <w:r>
        <w:rPr>
          <w:rStyle w:val="KeywordTok"/>
        </w:rPr>
        <w:t>]</w:t>
      </w:r>
      <w:r>
        <w:rPr/>
        <w:br/>
      </w:r>
      <w:r>
        <w:rPr>
          <w:rStyle w:val="FunctionTok"/>
        </w:rPr>
        <w:t>constants</w:t>
      </w:r>
      <w:r>
        <w:rPr>
          <w:rStyle w:val="KeywordTok"/>
        </w:rPr>
        <w:t>:</w:t>
      </w:r>
      <w:r>
        <w:rPr/>
        <w:br/>
      </w:r>
      <w:r>
        <w:rPr>
          <w:rStyle w:val="AttributeTok"/>
        </w:rPr>
        <w:t xml:space="preserve">  </w:t>
      </w:r>
      <w:r>
        <w:rPr>
          <w:rStyle w:val="FunctionTok"/>
        </w:rPr>
        <w:t>neurons</w:t>
      </w:r>
      <w:r>
        <w:rPr>
          <w:rStyle w:val="KeywordTok"/>
        </w:rPr>
        <w:t>:</w:t>
      </w:r>
      <w:r>
        <w:rPr>
          <w:rStyle w:val="AttributeTok"/>
        </w:rPr>
        <w:t xml:space="preserve"> </w:t>
      </w:r>
      <w:r>
        <w:rPr>
          <w:rStyle w:val="DecValTok"/>
        </w:rPr>
        <w:t>20000</w:t>
      </w:r>
      <w:r>
        <w:rPr/>
        <w:br/>
      </w:r>
      <w:r>
        <w:rPr>
          <w:rStyle w:val="AttributeTok"/>
        </w:rPr>
        <w:t xml:space="preserve">  </w:t>
      </w:r>
      <w:r>
        <w:rPr>
          <w:rStyle w:val="FunctionTok"/>
        </w:rPr>
        <w:t>mean_out_degree</w:t>
      </w:r>
      <w:r>
        <w:rPr>
          <w:rStyle w:val="KeywordTok"/>
        </w:rPr>
        <w:t>:</w:t>
      </w:r>
      <w:r>
        <w:rPr>
          <w:rStyle w:val="AttributeTok"/>
        </w:rPr>
        <w:t xml:space="preserve"> </w:t>
      </w:r>
      <w:r>
        <w:rPr>
          <w:rStyle w:val="DecValTok"/>
        </w:rPr>
        <w:t>32</w:t>
      </w:r>
      <w:r>
        <w:rPr/>
        <w:br/>
      </w:r>
      <w:r>
        <w:rPr>
          <w:rStyle w:val="AttributeTok"/>
        </w:rPr>
        <w:t xml:space="preserve">  </w:t>
      </w:r>
      <w:r>
        <w:rPr>
          <w:rStyle w:val="FunctionTok"/>
        </w:rPr>
        <w:t>total_input_spikes</w:t>
      </w:r>
      <w:r>
        <w:rPr>
          <w:rStyle w:val="KeywordTok"/>
        </w:rPr>
        <w:t>:</w:t>
      </w:r>
      <w:r>
        <w:rPr>
          <w:rStyle w:val="AttributeTok"/>
        </w:rPr>
        <w:t xml:space="preserve"> </w:t>
      </w:r>
      <w:r>
        <w:rPr>
          <w:rStyle w:val="DecValTok"/>
        </w:rPr>
        <w:t>500000</w:t>
      </w:r>
      <w:r>
        <w:rPr/>
        <w:br/>
      </w:r>
      <w:r>
        <w:rPr>
          <w:rStyle w:val="AttributeTok"/>
        </w:rPr>
        <w:t xml:space="preserve">  </w:t>
      </w:r>
      <w:r>
        <w:rPr>
          <w:rStyle w:val="FunctionTok"/>
        </w:rPr>
        <w:t>neuron_model</w:t>
      </w:r>
      <w:r>
        <w:rPr>
          <w:rStyle w:val="KeywordTok"/>
        </w:rPr>
        <w:t>:</w:t>
      </w:r>
      <w:r>
        <w:rPr>
          <w:rStyle w:val="AttributeTok"/>
        </w:rPr>
        <w:t xml:space="preserve"> izhikevich_rs_fs</w:t>
      </w:r>
      <w:r>
        <w:rPr/>
        <w:br/>
      </w:r>
      <w:r>
        <w:rPr>
          <w:rStyle w:val="FunctionTok"/>
        </w:rPr>
        <w:t>primary_endpoint</w:t>
      </w:r>
      <w:r>
        <w:rPr>
          <w:rStyle w:val="KeywordTok"/>
        </w:rPr>
        <w:t>:</w:t>
      </w:r>
      <w:r>
        <w:rPr>
          <w:rStyle w:val="AttributeTok"/>
        </w:rPr>
        <w:t xml:space="preserve"> delayed_recall_accuracy</w:t>
      </w:r>
      <w:r>
        <w:rPr/>
        <w:br/>
      </w:r>
      <w:r>
        <w:rPr>
          <w:rStyle w:val="FunctionTok"/>
        </w:rPr>
        <w:t>secondary_endpoints</w:t>
      </w:r>
      <w:r>
        <w:rPr>
          <w:rStyle w:val="KeywordTok"/>
        </w:rPr>
        <w:t>:</w:t>
      </w:r>
      <w:r>
        <w:rPr/>
        <w:br/>
      </w:r>
      <w:r>
        <w:rPr>
          <w:rStyle w:val="AttributeTok"/>
        </w:rPr>
        <w:t xml:space="preserve">  </w:t>
      </w:r>
      <w:r>
        <w:rPr>
          <w:rStyle w:val="KeywordTok"/>
        </w:rPr>
        <w:t>-</w:t>
      </w:r>
      <w:r>
        <w:rPr>
          <w:rStyle w:val="AttributeTok"/>
        </w:rPr>
        <w:t xml:space="preserve"> retention_auc</w:t>
      </w:r>
      <w:r>
        <w:rPr/>
        <w:br/>
      </w:r>
      <w:r>
        <w:rPr>
          <w:rStyle w:val="AttributeTok"/>
        </w:rPr>
        <w:t xml:space="preserve">  </w:t>
      </w:r>
      <w:r>
        <w:rPr>
          <w:rStyle w:val="KeywordTok"/>
        </w:rPr>
        <w:t>-</w:t>
      </w:r>
      <w:r>
        <w:rPr>
          <w:rStyle w:val="AttributeTok"/>
        </w:rPr>
        <w:t xml:space="preserve"> modularity_adjusted</w:t>
      </w:r>
      <w:r>
        <w:rPr/>
        <w:br/>
      </w:r>
      <w:r>
        <w:rPr>
          <w:rStyle w:val="AttributeTok"/>
        </w:rPr>
        <w:t xml:space="preserve">  </w:t>
      </w:r>
      <w:r>
        <w:rPr>
          <w:rStyle w:val="KeywordTok"/>
        </w:rPr>
        <w:t>-</w:t>
      </w:r>
      <w:r>
        <w:rPr>
          <w:rStyle w:val="AttributeTok"/>
        </w:rPr>
        <w:t xml:space="preserve"> energy_proxy_per_correct_recall</w:t>
      </w:r>
      <w:r>
        <w:rPr/>
        <w:br/>
      </w:r>
      <w:r>
        <w:rPr>
          <w:rStyle w:val="FunctionTok"/>
        </w:rPr>
        <w:t>seeds</w:t>
      </w:r>
      <w:r>
        <w:rPr>
          <w:rStyle w:val="KeywordTok"/>
        </w:rPr>
        <w:t>:</w:t>
      </w:r>
      <w:r>
        <w:rPr>
          <w:rStyle w:val="AttributeTok"/>
        </w:rPr>
        <w:t xml:space="preserve"> </w:t>
      </w:r>
      <w:r>
        <w:rPr>
          <w:rStyle w:val="DecValTok"/>
        </w:rPr>
        <w:t>30</w:t>
      </w:r>
      <w:r>
        <w:rPr/>
        <w:br/>
      </w:r>
      <w:r>
        <w:rPr>
          <w:rStyle w:val="FunctionTok"/>
        </w:rPr>
        <w:t>analysis</w:t>
      </w:r>
      <w:r>
        <w:rPr>
          <w:rStyle w:val="KeywordTok"/>
        </w:rPr>
        <w:t>:</w:t>
      </w:r>
      <w:r>
        <w:rPr/>
        <w:br/>
      </w:r>
      <w:r>
        <w:rPr>
          <w:rStyle w:val="AttributeTok"/>
        </w:rPr>
        <w:t xml:space="preserve">  </w:t>
      </w:r>
      <w:r>
        <w:rPr>
          <w:rStyle w:val="FunctionTok"/>
        </w:rPr>
        <w:t>model</w:t>
      </w:r>
      <w:r>
        <w:rPr>
          <w:rStyle w:val="KeywordTok"/>
        </w:rPr>
        <w:t>:</w:t>
      </w:r>
      <w:r>
        <w:rPr>
          <w:rStyle w:val="AttributeTok"/>
        </w:rPr>
        <w:t xml:space="preserve"> mixed_effects_or_permutation</w:t>
      </w:r>
      <w:r>
        <w:rPr/>
        <w:br/>
      </w:r>
      <w:r>
        <w:rPr>
          <w:rStyle w:val="AttributeTok"/>
        </w:rPr>
        <w:t xml:space="preserve">  </w:t>
      </w:r>
      <w:r>
        <w:rPr>
          <w:rStyle w:val="FunctionTok"/>
        </w:rPr>
        <w:t>alpha</w:t>
      </w:r>
      <w:r>
        <w:rPr>
          <w:rStyle w:val="KeywordTok"/>
        </w:rPr>
        <w:t>:</w:t>
      </w:r>
      <w:r>
        <w:rPr>
          <w:rStyle w:val="AttributeTok"/>
        </w:rPr>
        <w:t xml:space="preserve"> </w:t>
      </w:r>
      <w:r>
        <w:rPr>
          <w:rStyle w:val="FloatTok"/>
        </w:rPr>
        <w:t>0.05</w:t>
      </w:r>
      <w:r>
        <w:rPr/>
        <w:br/>
      </w:r>
      <w:r>
        <w:rPr>
          <w:rStyle w:val="AttributeTok"/>
        </w:rPr>
        <w:t xml:space="preserve">  </w:t>
      </w:r>
      <w:r>
        <w:rPr>
          <w:rStyle w:val="FunctionTok"/>
        </w:rPr>
        <w:t>multiplicity</w:t>
      </w:r>
      <w:r>
        <w:rPr>
          <w:rStyle w:val="KeywordTok"/>
        </w:rPr>
        <w:t>:</w:t>
      </w:r>
      <w:r>
        <w:rPr>
          <w:rStyle w:val="AttributeTok"/>
        </w:rPr>
        <w:t xml:space="preserve"> holm</w:t>
      </w:r>
      <w:r>
        <w:rPr/>
        <w:br/>
      </w:r>
      <w:r>
        <w:rPr>
          <w:rStyle w:val="FunctionTok"/>
        </w:rPr>
        <w:t>stopping_rules</w:t>
      </w:r>
      <w:r>
        <w:rPr>
          <w:rStyle w:val="KeywordTok"/>
        </w:rPr>
        <w:t>:</w:t>
      </w:r>
      <w:r>
        <w:rPr/>
        <w:br/>
      </w:r>
      <w:r>
        <w:rPr>
          <w:rStyle w:val="AttributeTok"/>
        </w:rPr>
        <w:t xml:space="preserve">  </w:t>
      </w:r>
      <w:r>
        <w:rPr>
          <w:rStyle w:val="KeywordTok"/>
        </w:rPr>
        <w:t>-</w:t>
      </w:r>
      <w:r>
        <w:rPr>
          <w:rStyle w:val="AttributeTok"/>
        </w:rPr>
        <w:t xml:space="preserve"> abort_if_runaway_fraction_gt_0.20</w:t>
      </w:r>
      <w:r>
        <w:rPr/>
        <w:br/>
      </w:r>
      <w:r>
        <w:rPr>
          <w:rStyle w:val="FunctionTok"/>
        </w:rPr>
        <w:t>artifacts</w:t>
      </w:r>
      <w:r>
        <w:rPr>
          <w:rStyle w:val="KeywordTok"/>
        </w:rPr>
        <w:t>:</w:t>
      </w:r>
      <w:r>
        <w:rPr/>
        <w:br/>
      </w:r>
      <w:r>
        <w:rPr>
          <w:rStyle w:val="AttributeTok"/>
        </w:rPr>
        <w:t xml:space="preserve">  </w:t>
      </w:r>
      <w:r>
        <w:rPr>
          <w:rStyle w:val="KeywordTok"/>
        </w:rPr>
        <w:t>-</w:t>
      </w:r>
      <w:r>
        <w:rPr>
          <w:rStyle w:val="AttributeTok"/>
        </w:rPr>
        <w:t xml:space="preserve"> run_config</w:t>
      </w:r>
      <w:r>
        <w:rPr/>
        <w:br/>
      </w:r>
      <w:r>
        <w:rPr>
          <w:rStyle w:val="AttributeTok"/>
        </w:rPr>
        <w:t xml:space="preserve">  </w:t>
      </w:r>
      <w:r>
        <w:rPr>
          <w:rStyle w:val="KeywordTok"/>
        </w:rPr>
        <w:t>-</w:t>
      </w:r>
      <w:r>
        <w:rPr>
          <w:rStyle w:val="AttributeTok"/>
        </w:rPr>
        <w:t xml:space="preserve"> initial_snapshot</w:t>
      </w:r>
      <w:r>
        <w:rPr/>
        <w:br/>
      </w:r>
      <w:r>
        <w:rPr>
          <w:rStyle w:val="AttributeTok"/>
        </w:rPr>
        <w:t xml:space="preserve">  </w:t>
      </w:r>
      <w:r>
        <w:rPr>
          <w:rStyle w:val="KeywordTok"/>
        </w:rPr>
        <w:t>-</w:t>
      </w:r>
      <w:r>
        <w:rPr>
          <w:rStyle w:val="AttributeTok"/>
        </w:rPr>
        <w:t xml:space="preserve"> final_snapshot</w:t>
      </w:r>
      <w:r>
        <w:rPr/>
        <w:br/>
      </w:r>
      <w:r>
        <w:rPr>
          <w:rStyle w:val="AttributeTok"/>
        </w:rPr>
        <w:t xml:space="preserve">  </w:t>
      </w:r>
      <w:r>
        <w:rPr>
          <w:rStyle w:val="KeywordTok"/>
        </w:rPr>
        <w:t>-</w:t>
      </w:r>
      <w:r>
        <w:rPr>
          <w:rStyle w:val="AttributeTok"/>
        </w:rPr>
        <w:t xml:space="preserve"> event_log</w:t>
      </w:r>
      <w:r>
        <w:rPr/>
        <w:br/>
      </w:r>
      <w:r>
        <w:rPr>
          <w:rStyle w:val="AttributeTok"/>
        </w:rPr>
        <w:t xml:space="preserve">  </w:t>
      </w:r>
      <w:r>
        <w:rPr>
          <w:rStyle w:val="KeywordTok"/>
        </w:rPr>
        <w:t>-</w:t>
      </w:r>
      <w:r>
        <w:rPr>
          <w:rStyle w:val="AttributeTok"/>
        </w:rPr>
        <w:t xml:space="preserve"> metrics_table</w:t>
      </w:r>
    </w:p>
    <w:p>
      <w:pPr>
        <w:pStyle w:val="Heading3"/>
        <w:keepNext w:val="true"/>
        <w:widowControl/>
        <w:rPr/>
      </w:pPr>
      <w:bookmarkStart w:id="322" w:name="evidenceentscheidung"/>
      <w:r>
        <w:rPr/>
        <w:t>28.4 Evidenceentscheidung</w:t>
      </w:r>
    </w:p>
    <w:p>
      <w:pPr>
        <w:pStyle w:val="FirstParagraph"/>
        <w:rPr/>
      </w:pPr>
      <w:r>
        <w:rPr/>
        <w:t>Eine Evidenzstufe wird nicht allein durch einen p-Wert bestimmt. Die Entscheidung berücksichtigt:</w:t>
      </w:r>
    </w:p>
    <w:p>
      <w:pPr>
        <w:pStyle w:val="Compact"/>
        <w:numPr>
          <w:ilvl w:val="0"/>
          <w:numId w:val="221"/>
        </w:numPr>
        <w:rPr/>
      </w:pPr>
      <w:r>
        <w:rPr/>
        <w:t>Spezifikationstreue;</w:t>
      </w:r>
    </w:p>
    <w:p>
      <w:pPr>
        <w:pStyle w:val="Compact"/>
        <w:numPr>
          <w:ilvl w:val="0"/>
          <w:numId w:val="222"/>
        </w:numPr>
        <w:rPr/>
      </w:pPr>
      <w:r>
        <w:rPr/>
        <w:t>Daten- und Artefaktintegrität;</w:t>
      </w:r>
    </w:p>
    <w:p>
      <w:pPr>
        <w:pStyle w:val="Compact"/>
        <w:numPr>
          <w:ilvl w:val="0"/>
          <w:numId w:val="223"/>
        </w:numPr>
        <w:rPr/>
      </w:pPr>
      <w:r>
        <w:rPr/>
        <w:t>Effektgröße und Unsicherheit;</w:t>
      </w:r>
    </w:p>
    <w:p>
      <w:pPr>
        <w:pStyle w:val="Compact"/>
        <w:numPr>
          <w:ilvl w:val="0"/>
          <w:numId w:val="224"/>
        </w:numPr>
        <w:rPr/>
      </w:pPr>
      <w:r>
        <w:rPr/>
        <w:t>Robustheit gegenüber alternativen Analysen;</w:t>
      </w:r>
    </w:p>
    <w:p>
      <w:pPr>
        <w:pStyle w:val="Compact"/>
        <w:numPr>
          <w:ilvl w:val="0"/>
          <w:numId w:val="225"/>
        </w:numPr>
        <w:rPr/>
      </w:pPr>
      <w:r>
        <w:rPr/>
        <w:t>Replikation über Seeds;</w:t>
      </w:r>
    </w:p>
    <w:p>
      <w:pPr>
        <w:pStyle w:val="Compact"/>
        <w:numPr>
          <w:ilvl w:val="0"/>
          <w:numId w:val="226"/>
        </w:numPr>
        <w:rPr/>
      </w:pPr>
      <w:r>
        <w:rPr/>
        <w:t>Ablationen und Confounds;</w:t>
      </w:r>
    </w:p>
    <w:p>
      <w:pPr>
        <w:pStyle w:val="Compact"/>
        <w:numPr>
          <w:ilvl w:val="0"/>
          <w:numId w:val="227"/>
        </w:numPr>
        <w:rPr/>
      </w:pPr>
      <w:r>
        <w:rPr/>
        <w:t>Geltungsbereich;</w:t>
      </w:r>
    </w:p>
    <w:p>
      <w:pPr>
        <w:pStyle w:val="Compact"/>
        <w:numPr>
          <w:ilvl w:val="0"/>
          <w:numId w:val="228"/>
        </w:numPr>
        <w:rPr/>
      </w:pPr>
      <w:r>
        <w:rPr/>
        <w:t>Gegenbelege und fehlgeschlagene Läufe.</w:t>
      </w:r>
    </w:p>
    <w:p>
      <w:pPr>
        <w:pStyle w:val="FirstParagraph"/>
        <w:rPr/>
      </w:pPr>
      <w:bookmarkStart w:id="323" w:name="evidenceentscheidung"/>
      <w:r>
        <w:rPr/>
        <w:t>Ein kleiner, statistisch signifikanter Effekt kann wissenschaftlich unbedeutend sein. Ein breites Konfidenzintervall, das sowohl Nutzen als auch Schaden zulässt, rechtfertigt keine starke Hochstufung.</w:t>
      </w:r>
      <w:bookmarkEnd w:id="323"/>
    </w:p>
    <w:p>
      <w:pPr>
        <w:pStyle w:val="Heading3"/>
        <w:keepNext w:val="true"/>
        <w:widowControl/>
        <w:rPr/>
      </w:pPr>
      <w:bookmarkStart w:id="324" w:name="negative-und-nullresultate"/>
      <w:r>
        <w:rPr/>
        <w:t>28.5 Negative und Nullresultate</w:t>
      </w:r>
    </w:p>
    <w:p>
      <w:pPr>
        <w:pStyle w:val="FirstParagraph"/>
        <w:rPr/>
      </w:pPr>
      <w:bookmarkStart w:id="325" w:name="experiment--und-evidenzregister"/>
      <w:bookmarkStart w:id="326" w:name="negative-und-nullresultate"/>
      <w:r>
        <w:rPr/>
        <w:t>Nullresultate werden vollständig registriert. Bei einer zentralen Nullhypothese können Äquivalenztests oder Bayes-Faktoren informativer sein als „nicht signifikant“. Ein gescheiterter Lauf wird nicht nachträglich entfernt, sofern das Ausschlusskriterium nicht vorab definiert war.</w:t>
      </w:r>
      <w:bookmarkEnd w:id="325"/>
      <w:bookmarkEnd w:id="326"/>
    </w:p>
    <w:p>
      <w:pPr>
        <w:pStyle w:val="Heading2"/>
        <w:keepNext w:val="true"/>
        <w:widowControl/>
        <w:rPr/>
      </w:pPr>
      <w:bookmarkStart w:id="327" w:name="__RefHeading___Toc10163_954062153"/>
      <w:bookmarkStart w:id="328" w:name="statistischer-analyseplan"/>
      <w:bookmarkEnd w:id="327"/>
      <w:r>
        <w:rPr/>
        <w:t>29. Statistischer Analyseplan</w:t>
      </w:r>
    </w:p>
    <w:p>
      <w:pPr>
        <w:pStyle w:val="Heading3"/>
        <w:keepNext w:val="true"/>
        <w:widowControl/>
        <w:rPr/>
      </w:pPr>
      <w:bookmarkStart w:id="329" w:name="effektgrößen-und-intervalle"/>
      <w:r>
        <w:rPr/>
        <w:t>29.1 Effektgrößen und Intervalle</w:t>
      </w:r>
    </w:p>
    <w:p>
      <w:pPr>
        <w:pStyle w:val="FirstParagraph"/>
        <w:rPr/>
      </w:pPr>
      <w:bookmarkStart w:id="330" w:name="effektgrößen-und-intervalle"/>
      <w:r>
        <w:rPr/>
        <w:t>Primär berichtet werden Effektgrößen und Konfidenz- beziehungsweise Credible-Intervalle. Beispiele sind standardisierte Mittelwertdifferenz, Odds Ratio, Varianzverhältnis, Rate Ratio oder AUC-Differenz. P-Werte sind ergänzend und werden nicht als Wahrheitswahrscheinlichkeit interpretiert.</w:t>
      </w:r>
      <w:bookmarkEnd w:id="330"/>
    </w:p>
    <w:p>
      <w:pPr>
        <w:pStyle w:val="Heading3"/>
        <w:keepNext w:val="true"/>
        <w:widowControl/>
        <w:rPr/>
      </w:pPr>
      <w:bookmarkStart w:id="331" w:name="verteilungsannahmen"/>
      <w:r>
        <w:rPr/>
        <w:t>29.2 Verteilungsannahmen</w:t>
      </w:r>
    </w:p>
    <w:p>
      <w:pPr>
        <w:pStyle w:val="FirstParagraph"/>
        <w:rPr/>
      </w:pPr>
      <w:bookmarkStart w:id="332" w:name="verteilungsannahmen"/>
      <w:r>
        <w:rPr/>
        <w:t>Netzwerkmetriken können schief, begrenzt, multimodal oder zero-inflated sein. Vorab werden robuste oder nichtparametrische Verfahren vorgesehen. Welch-Tests sind klassischen t-Tests bei ungleichen Varianzen vorzuziehen; Permutationstests sind geeignet, wenn Austauschbarkeit begründet ist. Wiederholte Messungen erfordern Modelle mit Run- und gegebenenfalls Aufgaben-Random-Effects.</w:t>
      </w:r>
      <w:bookmarkEnd w:id="332"/>
    </w:p>
    <w:p>
      <w:pPr>
        <w:pStyle w:val="Heading3"/>
        <w:keepNext w:val="true"/>
        <w:widowControl/>
        <w:rPr/>
      </w:pPr>
      <w:bookmarkStart w:id="333" w:name="multiple-tests"/>
      <w:r>
        <w:rPr/>
        <w:t>29.3 Multiple Tests</w:t>
      </w:r>
    </w:p>
    <w:p>
      <w:pPr>
        <w:pStyle w:val="FirstParagraph"/>
        <w:rPr/>
      </w:pPr>
      <w:bookmarkStart w:id="334" w:name="multiple-tests"/>
      <w:r>
        <w:rPr/>
        <w:t>Brain-5D erzeugt viele Metriken. Die primäre Hypothese erhält einen klaren Endpunkt. Sekundär- und Explorativanalysen werden getrennt berichtet. Für Familien konfirmatorischer Tests sind Holm-, FDR- oder hierarchische Verfahren festzulegen.</w:t>
      </w:r>
      <w:bookmarkEnd w:id="334"/>
    </w:p>
    <w:p>
      <w:pPr>
        <w:pStyle w:val="Heading3"/>
        <w:keepNext w:val="true"/>
        <w:widowControl/>
        <w:rPr/>
      </w:pPr>
      <w:bookmarkStart w:id="335" w:name="power-und-stichprobengröße"/>
      <w:r>
        <w:rPr/>
        <w:t>29.4 Power und Stichprobengröße</w:t>
      </w:r>
    </w:p>
    <w:p>
      <w:pPr>
        <w:pStyle w:val="FirstParagraph"/>
        <w:rPr/>
      </w:pPr>
      <w:bookmarkStart w:id="336" w:name="power-und-stichprobengröße"/>
      <w:r>
        <w:rPr/>
        <w:t>Die Seed-Anzahl wird nicht pauschal auf einen festen Wert gesetzt. Pilotdaten liefern Varianz und Effektgrößenbereich; Simulationen können die Power eines Mixed-Effects- oder Permutationsdesigns abschätzen. Bei hohen Rechenkosten ist ein sequenzielles Design möglich, sofern Zwischenanalysen und Entscheidungsgrenzen vorab definiert sind.</w:t>
      </w:r>
      <w:bookmarkEnd w:id="336"/>
    </w:p>
    <w:p>
      <w:pPr>
        <w:pStyle w:val="Heading3"/>
        <w:keepNext w:val="true"/>
        <w:widowControl/>
        <w:rPr/>
      </w:pPr>
      <w:bookmarkStart w:id="337" w:name="zeitreihen"/>
      <w:r>
        <w:rPr/>
        <w:t>29.5 Zeitreihen</w:t>
      </w:r>
    </w:p>
    <w:p>
      <w:pPr>
        <w:pStyle w:val="FirstParagraph"/>
        <w:rPr/>
      </w:pPr>
      <w:bookmarkStart w:id="338" w:name="zeitreihen"/>
      <w:r>
        <w:rPr/>
        <w:t>Autokorrelation reduziert die effektive Stichprobengröße. Block-Bootstrap, state-space-Modelle oder spektrale Verfahren sind abhängig von der Fragestellung geeigneter als eine Behandlung jedes Ticks als unabhängig. Change-Point-Analysen können Phasenwechsel identifizieren; ihre Parameter und False-Positive-Kontrolle sind zu dokumentieren.</w:t>
      </w:r>
      <w:bookmarkEnd w:id="338"/>
    </w:p>
    <w:p>
      <w:pPr>
        <w:pStyle w:val="Heading3"/>
        <w:keepNext w:val="true"/>
        <w:widowControl/>
        <w:rPr/>
      </w:pPr>
      <w:bookmarkStart w:id="339" w:name="ausreißer-und-instabile-läufe"/>
      <w:r>
        <w:rPr/>
        <w:t>29.6 Ausreißer und instabile Läufe</w:t>
      </w:r>
    </w:p>
    <w:p>
      <w:pPr>
        <w:pStyle w:val="FirstParagraph"/>
        <w:rPr/>
      </w:pPr>
      <w:bookmarkStart w:id="340" w:name="statistischer-analyseplan"/>
      <w:bookmarkStart w:id="341" w:name="ausreißer-und-instabile-läufe"/>
      <w:r>
        <w:rPr/>
        <w:t>Runaway-, NaN- oder Ressourcenabbruch-Läufe sind häufig wissenschaftlich relevante Instabilitätsbefunde. Sie werden als eigene Outcomes berichtet. Technische Defekte können ausgeschlossen werden, wenn ein vorher definiertes Kriterium erfüllt und der Ausschluss begründet ist. Sensitivitätsanalysen zeigen Resultate mit und ohne Ausschlüsse.</w:t>
      </w:r>
      <w:bookmarkEnd w:id="340"/>
      <w:bookmarkEnd w:id="341"/>
    </w:p>
    <w:p>
      <w:pPr>
        <w:pStyle w:val="Heading2"/>
        <w:keepNext w:val="true"/>
        <w:widowControl/>
        <w:rPr/>
      </w:pPr>
      <w:bookmarkStart w:id="342" w:name="__RefHeading___Toc10165_954062153"/>
      <w:bookmarkStart w:id="343" w:name="kernmetriken"/>
      <w:bookmarkEnd w:id="342"/>
      <w:r>
        <w:rPr/>
        <w:t>30. Kernmetriken</w:t>
      </w:r>
    </w:p>
    <w:p>
      <w:pPr>
        <w:pStyle w:val="Heading3"/>
        <w:keepNext w:val="true"/>
        <w:widowControl/>
        <w:rPr/>
      </w:pPr>
      <w:bookmarkStart w:id="344" w:name="dynamik"/>
      <w:r>
        <w:rPr/>
        <w:t>30.1 Dynamik</w:t>
      </w:r>
    </w:p>
    <w:p>
      <w:pPr>
        <w:pStyle w:val="Compact"/>
        <w:numPr>
          <w:ilvl w:val="0"/>
          <w:numId w:val="229"/>
        </w:numPr>
        <w:rPr/>
      </w:pPr>
      <w:r>
        <w:rPr/>
        <w:t>mittlere und regionale Feuerrate;</w:t>
      </w:r>
    </w:p>
    <w:p>
      <w:pPr>
        <w:pStyle w:val="Compact"/>
        <w:numPr>
          <w:ilvl w:val="0"/>
          <w:numId w:val="230"/>
        </w:numPr>
        <w:rPr/>
      </w:pPr>
      <w:r>
        <w:rPr/>
        <w:t>aktive und stille Neuronenfraktion;</w:t>
      </w:r>
    </w:p>
    <w:p>
      <w:pPr>
        <w:pStyle w:val="Compact"/>
        <w:numPr>
          <w:ilvl w:val="0"/>
          <w:numId w:val="231"/>
        </w:numPr>
        <w:rPr/>
      </w:pPr>
      <w:r>
        <w:rPr/>
        <w:t>Inter-Spike-Intervalle und CV;</w:t>
      </w:r>
    </w:p>
    <w:p>
      <w:pPr>
        <w:pStyle w:val="Compact"/>
        <w:numPr>
          <w:ilvl w:val="0"/>
          <w:numId w:val="232"/>
        </w:numPr>
        <w:rPr/>
      </w:pPr>
      <w:r>
        <w:rPr/>
        <w:t>Burst Index;</w:t>
      </w:r>
    </w:p>
    <w:p>
      <w:pPr>
        <w:pStyle w:val="Compact"/>
        <w:numPr>
          <w:ilvl w:val="0"/>
          <w:numId w:val="233"/>
        </w:numPr>
        <w:rPr/>
      </w:pPr>
      <w:r>
        <w:rPr/>
        <w:t>Paar- und Populationssynchronität;</w:t>
      </w:r>
    </w:p>
    <w:p>
      <w:pPr>
        <w:pStyle w:val="Compact"/>
        <w:numPr>
          <w:ilvl w:val="0"/>
          <w:numId w:val="234"/>
        </w:numPr>
        <w:rPr/>
      </w:pPr>
      <w:r>
        <w:rPr/>
        <w:t>Oszillationsspektrum;</w:t>
      </w:r>
    </w:p>
    <w:p>
      <w:pPr>
        <w:pStyle w:val="Compact"/>
        <w:numPr>
          <w:ilvl w:val="0"/>
          <w:numId w:val="235"/>
        </w:numPr>
        <w:rPr/>
      </w:pPr>
      <w:r>
        <w:rPr/>
        <w:t>Fano-Faktor;</w:t>
      </w:r>
    </w:p>
    <w:p>
      <w:pPr>
        <w:pStyle w:val="Compact"/>
        <w:numPr>
          <w:ilvl w:val="0"/>
          <w:numId w:val="236"/>
        </w:numPr>
        <w:rPr/>
      </w:pPr>
      <w:r>
        <w:rPr/>
        <w:t>Perturbationsdivergenz;</w:t>
      </w:r>
    </w:p>
    <w:p>
      <w:pPr>
        <w:pStyle w:val="Compact"/>
        <w:numPr>
          <w:ilvl w:val="0"/>
          <w:numId w:val="237"/>
        </w:numPr>
        <w:rPr/>
      </w:pPr>
      <w:r>
        <w:rPr/>
        <w:t>Aufenthaltszeiten metastabiler Zustände;</w:t>
      </w:r>
    </w:p>
    <w:p>
      <w:pPr>
        <w:pStyle w:val="Compact"/>
        <w:numPr>
          <w:ilvl w:val="0"/>
          <w:numId w:val="238"/>
        </w:numPr>
        <w:rPr/>
      </w:pPr>
      <w:bookmarkStart w:id="345" w:name="dynamik"/>
      <w:r>
        <w:rPr/>
        <w:t>Anteil von Runaway- und Quieszenzphasen.</w:t>
      </w:r>
      <w:bookmarkEnd w:id="345"/>
    </w:p>
    <w:p>
      <w:pPr>
        <w:pStyle w:val="Heading3"/>
        <w:keepNext w:val="true"/>
        <w:widowControl/>
        <w:rPr/>
      </w:pPr>
      <w:bookmarkStart w:id="346" w:name="struktur"/>
      <w:r>
        <w:rPr/>
        <w:t>30.2 Struktur</w:t>
      </w:r>
    </w:p>
    <w:p>
      <w:pPr>
        <w:pStyle w:val="Compact"/>
        <w:numPr>
          <w:ilvl w:val="0"/>
          <w:numId w:val="239"/>
        </w:numPr>
        <w:rPr/>
      </w:pPr>
      <w:r>
        <w:rPr/>
        <w:t>Knoten- und Kantenzahl;</w:t>
      </w:r>
    </w:p>
    <w:p>
      <w:pPr>
        <w:pStyle w:val="Compact"/>
        <w:numPr>
          <w:ilvl w:val="0"/>
          <w:numId w:val="240"/>
        </w:numPr>
        <w:rPr/>
      </w:pPr>
      <w:r>
        <w:rPr/>
        <w:t>In-/Out-Degree und Strength;</w:t>
      </w:r>
    </w:p>
    <w:p>
      <w:pPr>
        <w:pStyle w:val="Compact"/>
        <w:numPr>
          <w:ilvl w:val="0"/>
          <w:numId w:val="241"/>
        </w:numPr>
        <w:rPr/>
      </w:pPr>
      <w:r>
        <w:rPr/>
        <w:t>Edge-Length- und Delay-Verteilung;</w:t>
      </w:r>
    </w:p>
    <w:p>
      <w:pPr>
        <w:pStyle w:val="Compact"/>
        <w:numPr>
          <w:ilvl w:val="0"/>
          <w:numId w:val="242"/>
        </w:numPr>
        <w:rPr/>
      </w:pPr>
      <w:r>
        <w:rPr/>
        <w:t>Clustering, Effizienz und Pfadlänge;</w:t>
      </w:r>
    </w:p>
    <w:p>
      <w:pPr>
        <w:pStyle w:val="Compact"/>
        <w:numPr>
          <w:ilvl w:val="0"/>
          <w:numId w:val="243"/>
        </w:numPr>
        <w:rPr/>
      </w:pPr>
      <w:r>
        <w:rPr/>
        <w:t>Modularität mit Nullmodellkorrektur;</w:t>
      </w:r>
    </w:p>
    <w:p>
      <w:pPr>
        <w:pStyle w:val="Compact"/>
        <w:numPr>
          <w:ilvl w:val="0"/>
          <w:numId w:val="244"/>
        </w:numPr>
        <w:rPr/>
      </w:pPr>
      <w:r>
        <w:rPr/>
        <w:t>Community-Persistenz;</w:t>
      </w:r>
    </w:p>
    <w:p>
      <w:pPr>
        <w:pStyle w:val="Compact"/>
        <w:numPr>
          <w:ilvl w:val="0"/>
          <w:numId w:val="245"/>
        </w:numPr>
        <w:rPr/>
      </w:pPr>
      <w:r>
        <w:rPr/>
        <w:t>Turnover, Survival und Altersverteilung;</w:t>
      </w:r>
    </w:p>
    <w:p>
      <w:pPr>
        <w:pStyle w:val="Compact"/>
        <w:numPr>
          <w:ilvl w:val="0"/>
          <w:numId w:val="246"/>
        </w:numPr>
        <w:rPr/>
      </w:pPr>
      <w:r>
        <w:rPr/>
        <w:t>räumliche Dichte und Regionenübergänge;</w:t>
      </w:r>
    </w:p>
    <w:p>
      <w:pPr>
        <w:pStyle w:val="Compact"/>
        <w:numPr>
          <w:ilvl w:val="0"/>
          <w:numId w:val="247"/>
        </w:numPr>
        <w:rPr/>
      </w:pPr>
      <w:r>
        <w:rPr/>
        <w:t>spektrale Größen;</w:t>
      </w:r>
    </w:p>
    <w:p>
      <w:pPr>
        <w:pStyle w:val="Compact"/>
        <w:numPr>
          <w:ilvl w:val="0"/>
          <w:numId w:val="248"/>
        </w:numPr>
        <w:rPr/>
      </w:pPr>
      <w:bookmarkStart w:id="347" w:name="struktur"/>
      <w:r>
        <w:rPr/>
        <w:t>Wiring- und Ressourcenaufwand.</w:t>
      </w:r>
      <w:bookmarkEnd w:id="347"/>
    </w:p>
    <w:p>
      <w:pPr>
        <w:pStyle w:val="Heading3"/>
        <w:keepNext w:val="true"/>
        <w:widowControl/>
        <w:rPr/>
      </w:pPr>
      <w:bookmarkStart w:id="348" w:name="plastizität"/>
      <w:r>
        <w:rPr/>
        <w:t>30.3 Plastizität</w:t>
      </w:r>
    </w:p>
    <w:p>
      <w:pPr>
        <w:pStyle w:val="Compact"/>
        <w:numPr>
          <w:ilvl w:val="0"/>
          <w:numId w:val="249"/>
        </w:numPr>
        <w:rPr/>
      </w:pPr>
      <w:r>
        <w:rPr/>
        <w:t>Gewichtsverteilung und Sättigungsanteil;</w:t>
      </w:r>
    </w:p>
    <w:p>
      <w:pPr>
        <w:pStyle w:val="Compact"/>
        <w:numPr>
          <w:ilvl w:val="0"/>
          <w:numId w:val="250"/>
        </w:numPr>
        <w:rPr/>
      </w:pPr>
      <w:r>
        <w:rPr/>
        <w:t>LTP-/LTD-Verhältnis;</w:t>
      </w:r>
    </w:p>
    <w:p>
      <w:pPr>
        <w:pStyle w:val="Compact"/>
        <w:numPr>
          <w:ilvl w:val="0"/>
          <w:numId w:val="251"/>
        </w:numPr>
        <w:rPr/>
      </w:pPr>
      <w:r>
        <w:rPr/>
        <w:t>Eligibility-Verteilung;</w:t>
      </w:r>
    </w:p>
    <w:p>
      <w:pPr>
        <w:pStyle w:val="Compact"/>
        <w:numPr>
          <w:ilvl w:val="0"/>
          <w:numId w:val="252"/>
        </w:numPr>
        <w:rPr/>
      </w:pPr>
      <w:r>
        <w:rPr/>
        <w:t xml:space="preserve">Homeostasefehler </w:t>
      </w:r>
      <w:r>
        <w:rPr/>
      </w:r>
      <m:oMath xmlns:m="http://schemas.openxmlformats.org/officeDocument/2006/math">
        <m:d>
          <m:dPr>
            <m:begChr m:val="|"/>
            <m:endChr m:val=")"/>
          </m:dPr>
          <m:e>
            <m:sSub>
              <m:e>
                <m:acc>
                  <m:accPr>
                    <m:chr m:val="´"/>
                  </m:accPr>
                  <m:e>
                    <m:r>
                      <m:t xml:space="preserve">r</m:t>
                    </m:r>
                  </m:e>
                </m:acc>
              </m:e>
              <m:sub>
                <m:r>
                  <m:t xml:space="preserve">i</m:t>
                </m:r>
              </m:sub>
            </m:sSub>
            <m:r>
              <m:t xml:space="preserve">−</m:t>
            </m:r>
            <m:sSubSup>
              <m:e>
                <m:r>
                  <m:t xml:space="preserve">r</m:t>
                </m:r>
              </m:e>
              <m:sub>
                <m:r>
                  <m:t xml:space="preserve">i</m:t>
                </m:r>
              </m:sub>
              <m:sup/>
            </m:sSubSup>
          </m:e>
        </m:d>
      </m:oMath>
      <w:r>
        <w:rPr/>
        <w:t>;</w:t>
      </w:r>
    </w:p>
    <w:p>
      <w:pPr>
        <w:pStyle w:val="Compact"/>
        <w:numPr>
          <w:ilvl w:val="0"/>
          <w:numId w:val="253"/>
        </w:numPr>
        <w:rPr/>
      </w:pPr>
      <w:r>
        <w:rPr/>
        <w:t>Synapsenbildung und Pruning je Zeiteinheit;</w:t>
      </w:r>
    </w:p>
    <w:p>
      <w:pPr>
        <w:pStyle w:val="Compact"/>
        <w:numPr>
          <w:ilvl w:val="0"/>
          <w:numId w:val="254"/>
        </w:numPr>
        <w:rPr/>
      </w:pPr>
      <w:r>
        <w:rPr/>
        <w:t>Netto- und Bruttowachstum;</w:t>
      </w:r>
    </w:p>
    <w:p>
      <w:pPr>
        <w:pStyle w:val="Compact"/>
        <w:numPr>
          <w:ilvl w:val="0"/>
          <w:numId w:val="255"/>
        </w:numPr>
        <w:rPr/>
      </w:pPr>
      <w:r>
        <w:rPr/>
        <w:t>neue Neuronen, Integration und Survival;</w:t>
      </w:r>
    </w:p>
    <w:p>
      <w:pPr>
        <w:pStyle w:val="Compact"/>
        <w:numPr>
          <w:ilvl w:val="0"/>
          <w:numId w:val="256"/>
        </w:numPr>
        <w:rPr/>
      </w:pPr>
      <w:bookmarkStart w:id="349" w:name="plastizität"/>
      <w:r>
        <w:rPr/>
        <w:t>Änderungsentropie und regionaler Turnover.</w:t>
      </w:r>
      <w:bookmarkEnd w:id="349"/>
    </w:p>
    <w:p>
      <w:pPr>
        <w:pStyle w:val="Heading3"/>
        <w:keepNext w:val="true"/>
        <w:widowControl/>
        <w:rPr/>
      </w:pPr>
      <w:bookmarkStart w:id="350" w:name="funktion"/>
      <w:r>
        <w:rPr/>
        <w:t>30.4 Funktion</w:t>
      </w:r>
    </w:p>
    <w:p>
      <w:pPr>
        <w:pStyle w:val="Compact"/>
        <w:numPr>
          <w:ilvl w:val="0"/>
          <w:numId w:val="257"/>
        </w:numPr>
        <w:rPr/>
      </w:pPr>
      <w:r>
        <w:rPr/>
        <w:t>Lernkurve und Sample Efficiency;</w:t>
      </w:r>
    </w:p>
    <w:p>
      <w:pPr>
        <w:pStyle w:val="Compact"/>
        <w:numPr>
          <w:ilvl w:val="0"/>
          <w:numId w:val="258"/>
        </w:numPr>
        <w:rPr/>
      </w:pPr>
      <w:r>
        <w:rPr/>
        <w:t>Recall, Precision, Specificity und Generalisierung;</w:t>
      </w:r>
    </w:p>
    <w:p>
      <w:pPr>
        <w:pStyle w:val="Compact"/>
        <w:numPr>
          <w:ilvl w:val="0"/>
          <w:numId w:val="259"/>
        </w:numPr>
        <w:rPr/>
      </w:pPr>
      <w:r>
        <w:rPr/>
        <w:t>Retention-AUC;</w:t>
      </w:r>
    </w:p>
    <w:p>
      <w:pPr>
        <w:pStyle w:val="Compact"/>
        <w:numPr>
          <w:ilvl w:val="0"/>
          <w:numId w:val="260"/>
        </w:numPr>
        <w:rPr/>
      </w:pPr>
      <w:r>
        <w:rPr/>
        <w:t>Forgetting, BWT und FWT;</w:t>
      </w:r>
    </w:p>
    <w:p>
      <w:pPr>
        <w:pStyle w:val="Compact"/>
        <w:numPr>
          <w:ilvl w:val="0"/>
          <w:numId w:val="261"/>
        </w:numPr>
        <w:rPr/>
      </w:pPr>
      <w:r>
        <w:rPr/>
        <w:t>Reward und Regret;</w:t>
      </w:r>
    </w:p>
    <w:p>
      <w:pPr>
        <w:pStyle w:val="Compact"/>
        <w:numPr>
          <w:ilvl w:val="0"/>
          <w:numId w:val="262"/>
        </w:numPr>
        <w:rPr/>
      </w:pPr>
      <w:r>
        <w:rPr/>
        <w:t>Adaptationszeit nach Umweltdrift;</w:t>
      </w:r>
    </w:p>
    <w:p>
      <w:pPr>
        <w:pStyle w:val="Compact"/>
        <w:numPr>
          <w:ilvl w:val="0"/>
          <w:numId w:val="263"/>
        </w:numPr>
        <w:rPr/>
      </w:pPr>
      <w:r>
        <w:rPr/>
        <w:t>Robustheit gegenüber Rauschen, Läsion und Sensorverlust;</w:t>
      </w:r>
    </w:p>
    <w:p>
      <w:pPr>
        <w:pStyle w:val="Compact"/>
        <w:numPr>
          <w:ilvl w:val="0"/>
          <w:numId w:val="264"/>
        </w:numPr>
        <w:rPr/>
      </w:pPr>
      <w:r>
        <w:rPr/>
        <w:t>Kalibrierung von Decoder-Confidence;</w:t>
      </w:r>
    </w:p>
    <w:p>
      <w:pPr>
        <w:pStyle w:val="Compact"/>
        <w:numPr>
          <w:ilvl w:val="0"/>
          <w:numId w:val="265"/>
        </w:numPr>
        <w:rPr/>
      </w:pPr>
      <w:bookmarkStart w:id="351" w:name="funktion"/>
      <w:r>
        <w:rPr/>
        <w:t>prädiktiver Mehrwert interner Zustände.</w:t>
      </w:r>
      <w:bookmarkEnd w:id="351"/>
    </w:p>
    <w:p>
      <w:pPr>
        <w:pStyle w:val="Heading3"/>
        <w:keepNext w:val="true"/>
        <w:widowControl/>
        <w:rPr/>
      </w:pPr>
      <w:bookmarkStart w:id="352" w:name="ressourcen-und-skalierung"/>
      <w:r>
        <w:rPr/>
        <w:t>30.5 Ressourcen und Skalierung</w:t>
      </w:r>
    </w:p>
    <w:p>
      <w:pPr>
        <w:pStyle w:val="Compact"/>
        <w:numPr>
          <w:ilvl w:val="0"/>
          <w:numId w:val="266"/>
        </w:numPr>
        <w:rPr/>
      </w:pPr>
      <w:r>
        <w:rPr/>
        <w:t>CPU-/GPU-Zeit je Simulationssekunde;</w:t>
      </w:r>
    </w:p>
    <w:p>
      <w:pPr>
        <w:pStyle w:val="Compact"/>
        <w:numPr>
          <w:ilvl w:val="0"/>
          <w:numId w:val="267"/>
        </w:numPr>
        <w:rPr/>
      </w:pPr>
      <w:r>
        <w:rPr/>
        <w:t>Peak- und Resident-Memory;</w:t>
      </w:r>
    </w:p>
    <w:p>
      <w:pPr>
        <w:pStyle w:val="Compact"/>
        <w:numPr>
          <w:ilvl w:val="0"/>
          <w:numId w:val="268"/>
        </w:numPr>
        <w:rPr/>
      </w:pPr>
      <w:r>
        <w:rPr/>
        <w:t>Spikes und synaptische Updates je Sekunde;</w:t>
      </w:r>
    </w:p>
    <w:p>
      <w:pPr>
        <w:pStyle w:val="Compact"/>
        <w:numPr>
          <w:ilvl w:val="0"/>
          <w:numId w:val="269"/>
        </w:numPr>
        <w:rPr/>
      </w:pPr>
      <w:r>
        <w:rPr/>
        <w:t>Snapshot- und Delta-Größe;</w:t>
      </w:r>
    </w:p>
    <w:p>
      <w:pPr>
        <w:pStyle w:val="Compact"/>
        <w:numPr>
          <w:ilvl w:val="0"/>
          <w:numId w:val="270"/>
        </w:numPr>
        <w:rPr/>
      </w:pPr>
      <w:r>
        <w:rPr/>
        <w:t>I/O-Durchsatz und Restore-Zeit;</w:t>
      </w:r>
    </w:p>
    <w:p>
      <w:pPr>
        <w:pStyle w:val="Compact"/>
        <w:numPr>
          <w:ilvl w:val="0"/>
          <w:numId w:val="271"/>
        </w:numPr>
        <w:rPr/>
      </w:pPr>
      <w:r>
        <w:rPr/>
        <w:t>Queue-Latenzen;</w:t>
      </w:r>
    </w:p>
    <w:p>
      <w:pPr>
        <w:pStyle w:val="Compact"/>
        <w:numPr>
          <w:ilvl w:val="0"/>
          <w:numId w:val="272"/>
        </w:numPr>
        <w:rPr/>
      </w:pPr>
      <w:r>
        <w:rPr/>
        <w:t>Energieproxy oder gemessene Hardwareenergie;</w:t>
      </w:r>
    </w:p>
    <w:p>
      <w:pPr>
        <w:pStyle w:val="Compact"/>
        <w:numPr>
          <w:ilvl w:val="0"/>
          <w:numId w:val="273"/>
        </w:numPr>
        <w:rPr/>
      </w:pPr>
      <w:bookmarkStart w:id="353" w:name="kernmetriken"/>
      <w:bookmarkStart w:id="354" w:name="ressourcen-und-skalierung"/>
      <w:r>
        <w:rPr/>
        <w:t>Kosten je korrektem funktionalem Ereignis.</w:t>
      </w:r>
      <w:bookmarkEnd w:id="353"/>
      <w:bookmarkEnd w:id="354"/>
    </w:p>
    <w:p>
      <w:pPr>
        <w:pStyle w:val="Heading2"/>
        <w:keepNext w:val="true"/>
        <w:widowControl/>
        <w:rPr/>
      </w:pPr>
      <w:bookmarkStart w:id="355" w:name="__RefHeading___Toc10167_954062153"/>
      <w:bookmarkStart w:id="356" w:name="X28e942c5b5b1ff7dc11f63cd6ff7fdc77a2bf71"/>
      <w:bookmarkEnd w:id="355"/>
      <w:r>
        <w:rPr/>
        <w:t>31. Experiment A — Dimensionalität und Geometrie</w:t>
      </w:r>
    </w:p>
    <w:p>
      <w:pPr>
        <w:pStyle w:val="Heading3"/>
        <w:keepNext w:val="true"/>
        <w:widowControl/>
        <w:rPr/>
      </w:pPr>
      <w:bookmarkStart w:id="357" w:name="fragestellung"/>
      <w:r>
        <w:rPr/>
        <w:t>31.1 Fragestellung</w:t>
      </w:r>
    </w:p>
    <w:p>
      <w:pPr>
        <w:pStyle w:val="FirstParagraph"/>
        <w:rPr/>
      </w:pPr>
      <w:bookmarkStart w:id="358" w:name="fragestellung"/>
      <w:r>
        <w:rPr/>
        <w:t>Besitzt 5D unter gematchten Ressourcen einen kausalen Vorteil, und stammt dieser gegebenenfalls aus der Anzahl der Dimensionen, der Distanzfunktion oder der resultierenden Topologie?</w:t>
      </w:r>
      <w:bookmarkEnd w:id="358"/>
    </w:p>
    <w:p>
      <w:pPr>
        <w:pStyle w:val="Heading3"/>
        <w:keepNext w:val="true"/>
        <w:widowControl/>
        <w:rPr/>
      </w:pPr>
      <w:bookmarkStart w:id="359" w:name="design"/>
      <w:r>
        <w:rPr/>
        <w:t>31.2 Design</w:t>
      </w:r>
    </w:p>
    <w:p>
      <w:pPr>
        <w:pStyle w:val="FirstParagraph"/>
        <w:rPr/>
      </w:pPr>
      <w:r>
        <w:rPr/>
        <w:t>Faktoren:</w:t>
      </w:r>
    </w:p>
    <w:p>
      <w:pPr>
        <w:pStyle w:val="Compact"/>
        <w:numPr>
          <w:ilvl w:val="0"/>
          <w:numId w:val="274"/>
        </w:numPr>
        <w:rPr/>
      </w:pPr>
      <w:r>
        <w:rPr/>
        <w:t xml:space="preserve">Dimension </w:t>
      </w:r>
      <w:r>
        <w:rPr/>
      </w:r>
      <m:oMath xmlns:m="http://schemas.openxmlformats.org/officeDocument/2006/math">
        <m:r>
          <m:t xml:space="preserve">D</m:t>
        </m:r>
        <m:r>
          <m:t xml:space="preserve">∈</m:t>
        </m:r>
        <m:r>
          <m:t xml:space="preserve">{</m:t>
        </m:r>
        <m:r>
          <m:t xml:space="preserve">2</m:t>
        </m:r>
        <m:r>
          <m:t xml:space="preserve">,</m:t>
        </m:r>
        <m:r>
          <m:t xml:space="preserve">3</m:t>
        </m:r>
        <m:r>
          <m:t xml:space="preserve">,</m:t>
        </m:r>
        <m:r>
          <m:t xml:space="preserve">4</m:t>
        </m:r>
        <m:r>
          <m:t xml:space="preserve">,</m:t>
        </m:r>
        <m:r>
          <m:t xml:space="preserve">5</m:t>
        </m:r>
        <m:r>
          <m:t xml:space="preserve">,</m:t>
        </m:r>
        <m:r>
          <m:t xml:space="preserve">6</m:t>
        </m:r>
        <m:r>
          <m:t xml:space="preserve">}</m:t>
        </m:r>
      </m:oMath>
      <w:r>
        <w:rPr/>
        <w:t>;</w:t>
      </w:r>
    </w:p>
    <w:p>
      <w:pPr>
        <w:pStyle w:val="Compact"/>
        <w:numPr>
          <w:ilvl w:val="0"/>
          <w:numId w:val="275"/>
        </w:numPr>
        <w:rPr/>
      </w:pPr>
      <w:r>
        <w:rPr/>
        <w:t>Metrik: Identität, diagonale Gewichtung, gelernte SPD-Matrix;</w:t>
      </w:r>
    </w:p>
    <w:p>
      <w:pPr>
        <w:pStyle w:val="Compact"/>
        <w:numPr>
          <w:ilvl w:val="0"/>
          <w:numId w:val="276"/>
        </w:numPr>
        <w:rPr/>
      </w:pPr>
      <w:r>
        <w:rPr/>
        <w:t>Topologie: geometrisch, degree-preserving rewired, nichtgeometrisch;</w:t>
      </w:r>
    </w:p>
    <w:p>
      <w:pPr>
        <w:pStyle w:val="Compact"/>
        <w:numPr>
          <w:ilvl w:val="0"/>
          <w:numId w:val="277"/>
        </w:numPr>
        <w:rPr/>
      </w:pPr>
      <w:r>
        <w:rPr/>
        <w:t>Aufgabenklasse: assoziativer Recall, Sequenzvorhersage, Closed-Loop-Navigation.</w:t>
      </w:r>
    </w:p>
    <w:p>
      <w:pPr>
        <w:pStyle w:val="FirstParagraph"/>
        <w:rPr/>
      </w:pPr>
      <w:bookmarkStart w:id="360" w:name="design"/>
      <w:r>
        <w:rPr/>
        <w:t>Primärendpunkt ist eine vorab gewählte funktionale Metrik. Sekundär werden Modularität, Interferenz, Edge Cost und Stabilität untersucht.</w:t>
      </w:r>
      <w:bookmarkEnd w:id="360"/>
    </w:p>
    <w:p>
      <w:pPr>
        <w:pStyle w:val="Heading3"/>
        <w:keepNext w:val="true"/>
        <w:widowControl/>
        <w:rPr/>
      </w:pPr>
      <w:bookmarkStart w:id="361" w:name="identifizierbarkeit-1"/>
      <w:r>
        <w:rPr/>
        <w:t>31.3 Identifizierbarkeit</w:t>
      </w:r>
    </w:p>
    <w:p>
      <w:pPr>
        <w:pStyle w:val="FirstParagraph"/>
        <w:rPr/>
      </w:pPr>
      <w:bookmarkStart w:id="362" w:name="identifizierbarkeit-1"/>
      <w:r>
        <w:rPr/>
        <w:t>Die Anzahl der Dimensionen beeinflusst bei gleicher Distanzschwelle die Nachbarschaftsvolumina. Deshalb werden Dichte und Grad nicht über identische Radiusparameter, sondern direkt gematcht. Koordinaten werden normalisiert. Metriklernen erhält Train-/Validation-Splits, damit die Metrik nicht auf dem Testset optimiert wird.</w:t>
      </w:r>
      <w:bookmarkEnd w:id="362"/>
    </w:p>
    <w:p>
      <w:pPr>
        <w:pStyle w:val="Heading3"/>
        <w:keepNext w:val="true"/>
        <w:widowControl/>
        <w:rPr/>
      </w:pPr>
      <w:bookmarkStart w:id="363" w:name="falsifikation"/>
      <w:r>
        <w:rPr/>
        <w:t>31.4 Falsifikation</w:t>
      </w:r>
    </w:p>
    <w:p>
      <w:pPr>
        <w:pStyle w:val="FirstParagraph"/>
        <w:rPr/>
      </w:pPr>
      <w:r>
        <w:rPr/>
      </w:r>
      <m:oMath xmlns:m="http://schemas.openxmlformats.org/officeDocument/2006/math">
        <m:sSubSup>
          <m:e>
            <m:r>
              <m:t xml:space="preserve">H</m:t>
            </m:r>
          </m:e>
          <m:sub>
            <m:r>
              <m:t xml:space="preserve">0</m:t>
            </m:r>
          </m:sub>
          <m:sup>
            <m:r>
              <m:t xml:space="preserve">5</m:t>
            </m:r>
            <m:r>
              <m:t xml:space="preserve">D</m:t>
            </m:r>
          </m:sup>
        </m:sSubSup>
      </m:oMath>
      <w:r>
        <w:rPr>
          <w:b/>
          <w:bCs/>
        </w:rPr>
        <w:t>:</w:t>
      </w:r>
      <w:r>
        <w:rPr/>
        <w:t xml:space="preserve"> 5D besitzt keinen relevanten Vorteil gegenüber der besten gematchten Kontrolltopologie. Die Hypothese gilt als nicht unterstützt, wenn Effekte klein, inkonsistent, kostenbedingt oder nicht replizierbar sind. Ein Vorteil nur in einem einzelnen Seed oder einem Decoder ist unzureichend.</w:t>
      </w:r>
      <w:bookmarkEnd w:id="356"/>
      <w:bookmarkEnd w:id="363"/>
    </w:p>
    <w:p>
      <w:pPr>
        <w:pStyle w:val="Heading2"/>
        <w:keepNext w:val="true"/>
        <w:widowControl/>
        <w:rPr/>
      </w:pPr>
      <w:bookmarkStart w:id="364" w:name="__RefHeading___Toc10169_954062153"/>
      <w:bookmarkStart w:id="365" w:name="X3054a8714c1919fb3b0f772fa70aa1585a52f77"/>
      <w:bookmarkEnd w:id="364"/>
      <w:r>
        <w:rPr/>
        <w:t>32. Experiment B — Stabilitäts- und Phasenkarte</w:t>
      </w:r>
    </w:p>
    <w:p>
      <w:pPr>
        <w:pStyle w:val="Heading3"/>
        <w:keepNext w:val="true"/>
        <w:widowControl/>
        <w:rPr/>
      </w:pPr>
      <w:bookmarkStart w:id="366" w:name="fragestellung-1"/>
      <w:r>
        <w:rPr/>
        <w:t>32.1 Fragestellung</w:t>
      </w:r>
    </w:p>
    <w:p>
      <w:pPr>
        <w:pStyle w:val="FirstParagraph"/>
        <w:rPr/>
      </w:pPr>
      <w:bookmarkStart w:id="367" w:name="fragestellung-1"/>
      <w:r>
        <w:rPr/>
        <w:t>Welche Kombination aus Konnektivität, E/I-Balance, Lernrate, Homeostasezeit, Delay und Rauschen erzeugt ein begrenztes, responsives und plastisches Regime?</w:t>
      </w:r>
      <w:bookmarkEnd w:id="367"/>
    </w:p>
    <w:p>
      <w:pPr>
        <w:pStyle w:val="Heading3"/>
        <w:keepNext w:val="true"/>
        <w:widowControl/>
        <w:rPr/>
      </w:pPr>
      <w:bookmarkStart w:id="368" w:name="parameterraum"/>
      <w:r>
        <w:rPr/>
        <w:t>32.2 Parameterraum</w:t>
      </w:r>
    </w:p>
    <w:p>
      <w:pPr>
        <w:pStyle w:val="FirstParagraph"/>
        <w:rPr/>
      </w:pPr>
      <w:r>
        <w:rPr/>
        <w:t>Ein vollfaktorielles Design ist häufig zu teuer. Vorgesehen ist eine sequenzielle Strategie:</w:t>
      </w:r>
    </w:p>
    <w:p>
      <w:pPr>
        <w:pStyle w:val="Compact"/>
        <w:numPr>
          <w:ilvl w:val="0"/>
          <w:numId w:val="278"/>
        </w:numPr>
        <w:rPr/>
      </w:pPr>
      <w:r>
        <w:rPr/>
        <w:t>Latin-Hypercube- oder Sobol-Sampling des Parameterraums;</w:t>
      </w:r>
    </w:p>
    <w:p>
      <w:pPr>
        <w:pStyle w:val="Compact"/>
        <w:numPr>
          <w:ilvl w:val="0"/>
          <w:numId w:val="279"/>
        </w:numPr>
        <w:rPr/>
      </w:pPr>
      <w:r>
        <w:rPr/>
        <w:t>Klassifikation dynamischer Regime;</w:t>
      </w:r>
    </w:p>
    <w:p>
      <w:pPr>
        <w:pStyle w:val="Compact"/>
        <w:numPr>
          <w:ilvl w:val="0"/>
          <w:numId w:val="280"/>
        </w:numPr>
        <w:rPr/>
      </w:pPr>
      <w:r>
        <w:rPr/>
        <w:t>adaptive Verdichtung an Übergangsbereichen;</w:t>
      </w:r>
    </w:p>
    <w:p>
      <w:pPr>
        <w:pStyle w:val="Compact"/>
        <w:numPr>
          <w:ilvl w:val="0"/>
          <w:numId w:val="281"/>
        </w:numPr>
        <w:rPr/>
      </w:pPr>
      <w:r>
        <w:rPr/>
        <w:t>Replikation ausgewählter Punkte über Seeds und Netzwerkgrößen;</w:t>
      </w:r>
    </w:p>
    <w:p>
      <w:pPr>
        <w:pStyle w:val="Compact"/>
        <w:numPr>
          <w:ilvl w:val="0"/>
          <w:numId w:val="282"/>
        </w:numPr>
        <w:rPr/>
      </w:pPr>
      <w:bookmarkStart w:id="369" w:name="parameterraum"/>
      <w:r>
        <w:rPr/>
        <w:t>lokale Bifurkations- beziehungsweise Perturbationsanalyse.</w:t>
      </w:r>
      <w:bookmarkEnd w:id="369"/>
    </w:p>
    <w:p>
      <w:pPr>
        <w:pStyle w:val="Heading3"/>
        <w:keepNext w:val="true"/>
        <w:widowControl/>
        <w:rPr/>
      </w:pPr>
      <w:bookmarkStart w:id="370" w:name="primärendpunkt"/>
      <w:r>
        <w:rPr/>
        <w:t>32.3 Primärendpunkt</w:t>
      </w:r>
    </w:p>
    <w:p>
      <w:pPr>
        <w:pStyle w:val="FirstParagraph"/>
        <w:rPr/>
      </w:pPr>
      <w:bookmarkStart w:id="371" w:name="X3054a8714c1919fb3b0f772fa70aa1585a52f77"/>
      <w:bookmarkStart w:id="372" w:name="primärendpunkt"/>
      <w:r>
        <w:rPr/>
        <w:t>Ein Lauf gilt nicht allein aufgrund mittlerer Zielrate als stabil. Ein zusammengesetzter Stabilitätsvektor umfasst Runaway-Anteil, Quieszenz, Sensitivität, Ressourcenüberschreitung, Feuerratenvarianz und funktionale Antwort. Phasengrenzen werden mit Unsicherheit berichtet.</w:t>
      </w:r>
      <w:bookmarkEnd w:id="371"/>
      <w:bookmarkEnd w:id="372"/>
    </w:p>
    <w:p>
      <w:pPr>
        <w:pStyle w:val="Heading2"/>
        <w:keepNext w:val="true"/>
        <w:widowControl/>
        <w:rPr/>
      </w:pPr>
      <w:bookmarkStart w:id="373" w:name="__RefHeading___Toc10171_954062153"/>
      <w:bookmarkStart w:id="374" w:name="experiment-c-plastizitätsmechanismen"/>
      <w:bookmarkEnd w:id="373"/>
      <w:r>
        <w:rPr/>
        <w:t>33. Experiment C — Plastizitätsmechanismen</w:t>
      </w:r>
    </w:p>
    <w:p>
      <w:pPr>
        <w:pStyle w:val="Heading3"/>
        <w:keepNext w:val="true"/>
        <w:widowControl/>
        <w:rPr/>
      </w:pPr>
      <w:bookmarkStart w:id="375" w:name="faktorielles-ablationsdesign"/>
      <w:r>
        <w:rPr/>
        <w:t>33.1 Faktorielles Ablationsdesign</w:t>
      </w:r>
    </w:p>
    <w:p>
      <w:pPr>
        <w:pStyle w:val="FirstParagraph"/>
        <w:rPr/>
      </w:pPr>
      <w:r>
        <w:rPr/>
        <w:t>Verglichen werden:</w:t>
      </w:r>
    </w:p>
    <w:p>
      <w:pPr>
        <w:pStyle w:val="Compact"/>
        <w:numPr>
          <w:ilvl w:val="0"/>
          <w:numId w:val="283"/>
        </w:numPr>
        <w:rPr/>
      </w:pPr>
      <w:r>
        <w:rPr/>
        <w:t>ohne Plastizität;</w:t>
      </w:r>
    </w:p>
    <w:p>
      <w:pPr>
        <w:pStyle w:val="Compact"/>
        <w:numPr>
          <w:ilvl w:val="0"/>
          <w:numId w:val="284"/>
        </w:numPr>
        <w:rPr/>
      </w:pPr>
      <w:r>
        <w:rPr/>
        <w:t>Pair-STDP;</w:t>
      </w:r>
    </w:p>
    <w:p>
      <w:pPr>
        <w:pStyle w:val="Compact"/>
        <w:numPr>
          <w:ilvl w:val="0"/>
          <w:numId w:val="285"/>
        </w:numPr>
        <w:rPr/>
      </w:pPr>
      <w:r>
        <w:rPr/>
        <w:t>STDP + Homeostase;</w:t>
      </w:r>
    </w:p>
    <w:p>
      <w:pPr>
        <w:pStyle w:val="Compact"/>
        <w:numPr>
          <w:ilvl w:val="0"/>
          <w:numId w:val="286"/>
        </w:numPr>
        <w:rPr/>
      </w:pPr>
      <w:r>
        <w:rPr/>
        <w:t>Three-Factor-Regel;</w:t>
      </w:r>
    </w:p>
    <w:p>
      <w:pPr>
        <w:pStyle w:val="Compact"/>
        <w:numPr>
          <w:ilvl w:val="0"/>
          <w:numId w:val="287"/>
        </w:numPr>
        <w:rPr/>
      </w:pPr>
      <w:r>
        <w:rPr/>
        <w:t>Three-Factor + Homeostase;</w:t>
      </w:r>
    </w:p>
    <w:p>
      <w:pPr>
        <w:pStyle w:val="Compact"/>
        <w:numPr>
          <w:ilvl w:val="0"/>
          <w:numId w:val="288"/>
        </w:numPr>
        <w:rPr/>
      </w:pPr>
      <w:r>
        <w:rPr/>
        <w:t>zusätzlich inhibitorische Plastizität;</w:t>
      </w:r>
    </w:p>
    <w:p>
      <w:pPr>
        <w:pStyle w:val="Compact"/>
        <w:numPr>
          <w:ilvl w:val="0"/>
          <w:numId w:val="289"/>
        </w:numPr>
        <w:rPr/>
      </w:pPr>
      <w:r>
        <w:rPr/>
        <w:t>zusätzlich strukturelle Plastizität;</w:t>
      </w:r>
    </w:p>
    <w:p>
      <w:pPr>
        <w:pStyle w:val="Compact"/>
        <w:numPr>
          <w:ilvl w:val="0"/>
          <w:numId w:val="290"/>
        </w:numPr>
        <w:rPr/>
      </w:pPr>
      <w:r>
        <w:rPr/>
        <w:t>vollständiges System.</w:t>
      </w:r>
    </w:p>
    <w:p>
      <w:pPr>
        <w:pStyle w:val="FirstParagraph"/>
        <w:rPr/>
      </w:pPr>
      <w:bookmarkStart w:id="376" w:name="faktorielles-ablationsdesign"/>
      <w:r>
        <w:rPr/>
        <w:t>Bei hoher Faktorzahl kann ein fraktionelles Design oder eine hierarchische Sequenz verwendet werden. Interaktionen sind wissenschaftlich relevant: Homeostase kann STDP nur in bestimmten Zeitskalen stabilisieren.</w:t>
      </w:r>
      <w:bookmarkEnd w:id="376"/>
    </w:p>
    <w:p>
      <w:pPr>
        <w:pStyle w:val="Heading3"/>
        <w:keepNext w:val="true"/>
        <w:widowControl/>
        <w:rPr/>
      </w:pPr>
      <w:bookmarkStart w:id="377" w:name="outcomes"/>
      <w:r>
        <w:rPr/>
        <w:t>33.2 Outcomes</w:t>
      </w:r>
    </w:p>
    <w:p>
      <w:pPr>
        <w:pStyle w:val="FirstParagraph"/>
        <w:rPr/>
      </w:pPr>
      <w:bookmarkStart w:id="378" w:name="experiment-c-plastizitätsmechanismen"/>
      <w:bookmarkStart w:id="379" w:name="outcomes"/>
      <w:r>
        <w:rPr/>
        <w:t>Lernleistung, Instabilitätsrate, Gewichtssättigung, Retention, Interferenz, Strukturkosten und Energieproxy. Ein Mechanismus gilt nur dann als funktional nützlich, wenn sein Nutzen nicht ausschließlich durch höhere Ressourcen entsteht.</w:t>
      </w:r>
      <w:bookmarkEnd w:id="378"/>
      <w:bookmarkEnd w:id="379"/>
    </w:p>
    <w:p>
      <w:pPr>
        <w:pStyle w:val="Heading2"/>
        <w:keepNext w:val="true"/>
        <w:widowControl/>
        <w:rPr/>
      </w:pPr>
      <w:bookmarkStart w:id="380" w:name="__RefHeading___Toc10173_954062153"/>
      <w:bookmarkStart w:id="381" w:name="X4f0cbac3940f82716fcaa9a70a2a5c7cbe12b4a"/>
      <w:bookmarkEnd w:id="380"/>
      <w:r>
        <w:rPr/>
        <w:t>34. Experiment D — Gedächtnis und Retrieval-Isolation</w:t>
      </w:r>
    </w:p>
    <w:p>
      <w:pPr>
        <w:pStyle w:val="Heading3"/>
        <w:keepNext w:val="true"/>
        <w:widowControl/>
        <w:rPr/>
      </w:pPr>
      <w:bookmarkStart w:id="382" w:name="phasen"/>
      <w:r>
        <w:rPr/>
        <w:t>34.1 Phasen</w:t>
      </w:r>
    </w:p>
    <w:p>
      <w:pPr>
        <w:pStyle w:val="FirstParagraph"/>
        <w:rPr/>
      </w:pPr>
      <w:r>
        <w:rPr>
          <w:b/>
          <w:bCs/>
        </w:rPr>
        <w:t>A — Baseline:</w:t>
      </w:r>
      <w:r>
        <w:rPr/>
        <w:t xml:space="preserve"> unbekannte Inhalte abfragen.</w:t>
        <w:br/>
      </w:r>
      <w:r>
        <w:rPr>
          <w:b/>
          <w:bCs/>
        </w:rPr>
        <w:t>B — Exposition:</w:t>
      </w:r>
      <w:r>
        <w:rPr/>
        <w:t xml:space="preserve"> kontrollierte Stimuluspläne mit dokumentierter Dosis.</w:t>
        <w:br/>
      </w:r>
      <w:r>
        <w:rPr>
          <w:b/>
          <w:bCs/>
        </w:rPr>
        <w:t>C — Konsolidierung:</w:t>
      </w:r>
      <w:r>
        <w:rPr/>
        <w:t xml:space="preserve"> keine externe Wiederholung.</w:t>
        <w:br/>
      </w:r>
      <w:r>
        <w:rPr>
          <w:b/>
          <w:bCs/>
        </w:rPr>
        <w:t>D — Isolation:</w:t>
      </w:r>
      <w:r>
        <w:rPr/>
        <w:t xml:space="preserve"> LLM, Retrieval, Cache und Netzwerkzugang abschalten.</w:t>
        <w:br/>
      </w:r>
      <w:r>
        <w:rPr>
          <w:b/>
          <w:bCs/>
        </w:rPr>
        <w:t>E — Recall:</w:t>
      </w:r>
      <w:r>
        <w:rPr/>
        <w:t xml:space="preserve"> identische, paraphrasierte und kontextvariierte Cues.</w:t>
        <w:br/>
      </w:r>
      <w:r>
        <w:rPr>
          <w:b/>
          <w:bCs/>
        </w:rPr>
        <w:t>F — Kontrollen:</w:t>
      </w:r>
      <w:r>
        <w:rPr/>
        <w:t xml:space="preserve"> ungeübtes, plastizitätsgesperrtes, randomisiertes und relevant lädiertes Netzwerk.</w:t>
      </w:r>
      <w:bookmarkEnd w:id="382"/>
    </w:p>
    <w:p>
      <w:pPr>
        <w:pStyle w:val="Heading3"/>
        <w:keepNext w:val="true"/>
        <w:widowControl/>
        <w:rPr/>
      </w:pPr>
      <w:bookmarkStart w:id="383" w:name="state-destruction-kontrollen"/>
      <w:r>
        <w:rPr/>
        <w:t>34.2 State-Destruction-Kontrollen</w:t>
      </w:r>
    </w:p>
    <w:p>
      <w:pPr>
        <w:pStyle w:val="FirstParagraph"/>
        <w:rPr/>
      </w:pPr>
      <w:bookmarkStart w:id="384" w:name="state-destruction-kontrollen"/>
      <w:r>
        <w:rPr/>
        <w:t>Um zu bestimmen, welcher Zustand Recall trägt, werden gezielt Gewichte, Eligibility, Schwellen, Struktur oder Aktivitätszustand zurückgesetzt beziehungsweise permutiert. Eine kontrollierte Störung, die Recall selektiv zerstört, stärkt die kausale Zuordnung.</w:t>
      </w:r>
      <w:bookmarkEnd w:id="384"/>
    </w:p>
    <w:p>
      <w:pPr>
        <w:pStyle w:val="Heading3"/>
        <w:keepNext w:val="true"/>
        <w:widowControl/>
        <w:rPr/>
      </w:pPr>
      <w:bookmarkStart w:id="385" w:name="decoder-confound"/>
      <w:r>
        <w:rPr/>
        <w:t>34.3 Decoder-Confound</w:t>
      </w:r>
    </w:p>
    <w:p>
      <w:pPr>
        <w:pStyle w:val="FirstParagraph"/>
        <w:rPr/>
      </w:pPr>
      <w:bookmarkStart w:id="386" w:name="X4f0cbac3940f82716fcaa9a70a2a5c7cbe12b4a"/>
      <w:bookmarkStart w:id="387" w:name="decoder-confound"/>
      <w:r>
        <w:rPr/>
        <w:t>Der Decoder wird entweder vor dem Lernexperiment eingefroren oder auf separaten Daten trainiert. Ein Decoder, der nachträglich auf dieselben Recall-Labels angepasst wird, kann Netzwerkrauschen in scheinbar sinnvolle Klassen überführen.</w:t>
      </w:r>
      <w:bookmarkEnd w:id="386"/>
      <w:bookmarkEnd w:id="387"/>
    </w:p>
    <w:p>
      <w:pPr>
        <w:pStyle w:val="Heading2"/>
        <w:keepNext w:val="true"/>
        <w:widowControl/>
        <w:rPr/>
      </w:pPr>
      <w:bookmarkStart w:id="388" w:name="__RefHeading___Toc10175_954062153"/>
      <w:bookmarkStart w:id="389" w:name="experiment-e-continual-learning"/>
      <w:bookmarkEnd w:id="388"/>
      <w:r>
        <w:rPr/>
        <w:t>35. Experiment E — Continual Learning</w:t>
      </w:r>
    </w:p>
    <w:p>
      <w:pPr>
        <w:pStyle w:val="Heading3"/>
        <w:keepNext w:val="true"/>
        <w:widowControl/>
        <w:rPr/>
      </w:pPr>
      <w:bookmarkStart w:id="390" w:name="aufgabenfolgen"/>
      <w:r>
        <w:rPr/>
        <w:t>35.1 Aufgabenfolgen</w:t>
      </w:r>
    </w:p>
    <w:p>
      <w:pPr>
        <w:pStyle w:val="FirstParagraph"/>
        <w:rPr/>
      </w:pPr>
      <w:r>
        <w:rPr/>
        <w:t>Es werden unterschiedliche Sequenztypen verwendet:</w:t>
      </w:r>
    </w:p>
    <w:p>
      <w:pPr>
        <w:pStyle w:val="Compact"/>
        <w:numPr>
          <w:ilvl w:val="0"/>
          <w:numId w:val="291"/>
        </w:numPr>
        <w:rPr/>
      </w:pPr>
      <w:r>
        <w:rPr/>
        <w:t>disjunkte Klassen;</w:t>
      </w:r>
    </w:p>
    <w:p>
      <w:pPr>
        <w:pStyle w:val="Compact"/>
        <w:numPr>
          <w:ilvl w:val="0"/>
          <w:numId w:val="292"/>
        </w:numPr>
        <w:rPr/>
      </w:pPr>
      <w:r>
        <w:rPr/>
        <w:t>gemeinsame Merkmale mit wechselnden Labels;</w:t>
      </w:r>
    </w:p>
    <w:p>
      <w:pPr>
        <w:pStyle w:val="Compact"/>
        <w:numPr>
          <w:ilvl w:val="0"/>
          <w:numId w:val="293"/>
        </w:numPr>
        <w:rPr/>
      </w:pPr>
      <w:r>
        <w:rPr/>
        <w:t>gradueller Domain Shift;</w:t>
      </w:r>
    </w:p>
    <w:p>
      <w:pPr>
        <w:pStyle w:val="Compact"/>
        <w:numPr>
          <w:ilvl w:val="0"/>
          <w:numId w:val="294"/>
        </w:numPr>
        <w:rPr/>
      </w:pPr>
      <w:r>
        <w:rPr/>
        <w:t>wiederkehrende Aufgaben;</w:t>
      </w:r>
    </w:p>
    <w:p>
      <w:pPr>
        <w:pStyle w:val="Compact"/>
        <w:numPr>
          <w:ilvl w:val="0"/>
          <w:numId w:val="295"/>
        </w:numPr>
        <w:rPr/>
      </w:pPr>
      <w:r>
        <w:rPr/>
        <w:t>widersprüchliche Inhalte;</w:t>
      </w:r>
    </w:p>
    <w:p>
      <w:pPr>
        <w:pStyle w:val="Compact"/>
        <w:numPr>
          <w:ilvl w:val="0"/>
          <w:numId w:val="296"/>
        </w:numPr>
        <w:rPr/>
      </w:pPr>
      <w:r>
        <w:rPr/>
        <w:t>neue Sensor- oder Aktorzuordnungen.</w:t>
      </w:r>
    </w:p>
    <w:p>
      <w:pPr>
        <w:pStyle w:val="FirstParagraph"/>
        <w:rPr/>
      </w:pPr>
      <w:bookmarkStart w:id="391" w:name="aufgabenfolgen"/>
      <w:r>
        <w:rPr/>
        <w:t>Die Reihenfolge wird randomisiert oder als Faktor behandelt. Ein einziges Curriculum kann Mechanismen bevorzugen.</w:t>
      </w:r>
      <w:bookmarkEnd w:id="391"/>
    </w:p>
    <w:p>
      <w:pPr>
        <w:pStyle w:val="Heading3"/>
        <w:keepNext w:val="true"/>
        <w:widowControl/>
        <w:rPr/>
      </w:pPr>
      <w:bookmarkStart w:id="392" w:name="baselines"/>
      <w:r>
        <w:rPr/>
        <w:t>35.2 Baselines</w:t>
      </w:r>
    </w:p>
    <w:p>
      <w:pPr>
        <w:pStyle w:val="FirstParagraph"/>
        <w:rPr/>
      </w:pPr>
      <w:r>
        <w:rPr/>
        <w:t>Neben Brain-5D-Ablationen werden Replay, Elastic Weight Consolidation, Synaptic Intelligence und gegebenenfalls Reservoir-Baselines einbezogen (</w:t>
      </w:r>
      <w:hyperlink w:anchor="ref-Kirkpatrick2017">
        <w:r>
          <w:rPr>
            <w:rStyle w:val="Hyperlink"/>
          </w:rPr>
          <w:t>Kirkpatrick et al., 2017</w:t>
        </w:r>
      </w:hyperlink>
      <w:r>
        <w:rPr/>
        <w:t xml:space="preserve">; </w:t>
      </w:r>
      <w:hyperlink w:anchor="ref-LopezPaz2017">
        <w:r>
          <w:rPr>
            <w:rStyle w:val="Hyperlink"/>
          </w:rPr>
          <w:t>Lopez-Paz &amp; Ranzato, 2017</w:t>
        </w:r>
      </w:hyperlink>
      <w:r>
        <w:rPr/>
        <w:t xml:space="preserve">; </w:t>
      </w:r>
      <w:hyperlink w:anchor="ref-Zenke2017CL">
        <w:r>
          <w:rPr>
            <w:rStyle w:val="Hyperlink"/>
          </w:rPr>
          <w:t>Zenke et al., 2017</w:t>
        </w:r>
      </w:hyperlink>
      <w:r>
        <w:rPr/>
        <w:t>). Ziel ist nicht, biologische Inspiration gegen beliebige Deep-Learning-Benchmarks auszuspielen, sondern den spezifischen Nutzen der Mechanismen zu bestimmen.</w:t>
      </w:r>
      <w:bookmarkEnd w:id="392"/>
    </w:p>
    <w:p>
      <w:pPr>
        <w:pStyle w:val="Heading3"/>
        <w:keepNext w:val="true"/>
        <w:widowControl/>
        <w:rPr/>
      </w:pPr>
      <w:bookmarkStart w:id="393" w:name="widerspruchsexperiment"/>
      <w:r>
        <w:rPr/>
        <w:t>35.3 Widerspruchsexperiment</w:t>
      </w:r>
    </w:p>
    <w:p>
      <w:pPr>
        <w:pStyle w:val="FirstParagraph"/>
        <w:rPr/>
      </w:pPr>
      <w:r>
        <w:rPr/>
        <w:t xml:space="preserve">Ein Inhalt </w:t>
      </w:r>
      <w:r>
        <w:rPr/>
      </w:r>
      <m:oMath xmlns:m="http://schemas.openxmlformats.org/officeDocument/2006/math">
        <m:r>
          <m:t xml:space="preserve">K</m:t>
        </m:r>
      </m:oMath>
      <w:r>
        <w:rPr/>
        <w:t xml:space="preserve"> wird gelernt, später durch </w:t>
      </w:r>
      <w:r>
        <w:rPr/>
      </w:r>
      <m:oMath xmlns:m="http://schemas.openxmlformats.org/officeDocument/2006/math">
        <m:r>
          <m:t xml:space="preserve">¬</m:t>
        </m:r>
        <m:r>
          <m:t xml:space="preserve">K</m:t>
        </m:r>
      </m:oMath>
      <w:r>
        <w:rPr/>
        <w:t xml:space="preserve"> oder eine kontextabhängige Variante ergänzt. Gemessen wird, ob das System überschreibt, beide Kontexte trennt oder inkonsistente Antworten erzeugt. Provenienz und Zeit müssen im Stimulus repräsentierbar sein; andernfalls ist Konfliktauflösung nicht fair prüfbar.</w:t>
      </w:r>
      <w:bookmarkEnd w:id="389"/>
      <w:bookmarkEnd w:id="393"/>
    </w:p>
    <w:p>
      <w:pPr>
        <w:pStyle w:val="Heading2"/>
        <w:keepNext w:val="true"/>
        <w:widowControl/>
        <w:rPr/>
      </w:pPr>
      <w:bookmarkStart w:id="394" w:name="__RefHeading___Toc10177_954062153"/>
      <w:bookmarkStart w:id="395" w:name="X2e2a6f1826556cc256cdf9812daa95b4c9c85bd"/>
      <w:bookmarkEnd w:id="394"/>
      <w:r>
        <w:rPr/>
        <w:t>36. Experiment F — Language Organ und Knowledge Intake</w:t>
      </w:r>
    </w:p>
    <w:p>
      <w:pPr>
        <w:pStyle w:val="Heading3"/>
        <w:keepNext w:val="true"/>
        <w:widowControl/>
        <w:rPr/>
      </w:pPr>
      <w:bookmarkStart w:id="396" w:name="komponentenzuschreibung"/>
      <w:r>
        <w:rPr/>
        <w:t>36.1 Komponentenzuschreibung</w:t>
      </w:r>
    </w:p>
    <w:p>
      <w:pPr>
        <w:pStyle w:val="FirstParagraph"/>
        <w:rPr/>
      </w:pPr>
      <w:r>
        <w:rPr/>
        <w:t>Die Bedingungen L0–L4 werden systematisch verglichen. Zusätzlich:</w:t>
      </w:r>
    </w:p>
    <w:p>
      <w:pPr>
        <w:pStyle w:val="Compact"/>
        <w:numPr>
          <w:ilvl w:val="0"/>
          <w:numId w:val="297"/>
        </w:numPr>
        <w:rPr/>
      </w:pPr>
      <w:r>
        <w:rPr/>
        <w:t>Decoder mit echten SignalFrames versus geshuffelten Frames;</w:t>
      </w:r>
    </w:p>
    <w:p>
      <w:pPr>
        <w:pStyle w:val="Compact"/>
        <w:numPr>
          <w:ilvl w:val="0"/>
          <w:numId w:val="298"/>
        </w:numPr>
        <w:rPr/>
      </w:pPr>
      <w:r>
        <w:rPr/>
        <w:t>LLM mit leerem versus vollständigem Promptkontext;</w:t>
      </w:r>
    </w:p>
    <w:p>
      <w:pPr>
        <w:pStyle w:val="Compact"/>
        <w:numPr>
          <w:ilvl w:val="0"/>
          <w:numId w:val="299"/>
        </w:numPr>
        <w:rPr/>
      </w:pPr>
      <w:r>
        <w:rPr/>
        <w:t>Retrieval mit und ohne SNN;</w:t>
      </w:r>
    </w:p>
    <w:p>
      <w:pPr>
        <w:pStyle w:val="Compact"/>
        <w:numPr>
          <w:ilvl w:val="0"/>
          <w:numId w:val="300"/>
        </w:numPr>
        <w:rPr/>
      </w:pPr>
      <w:r>
        <w:rPr/>
        <w:t>Encoder-Stimuli versus semantisch gematchte Zufallscodes;</w:t>
      </w:r>
    </w:p>
    <w:p>
      <w:pPr>
        <w:pStyle w:val="Compact"/>
        <w:numPr>
          <w:ilvl w:val="0"/>
          <w:numId w:val="301"/>
        </w:numPr>
        <w:rPr/>
      </w:pPr>
      <w:r>
        <w:rPr/>
        <w:t>FeedbackProposal akzeptiert versus abgelehnt;</w:t>
      </w:r>
    </w:p>
    <w:p>
      <w:pPr>
        <w:pStyle w:val="Compact"/>
        <w:numPr>
          <w:ilvl w:val="0"/>
          <w:numId w:val="302"/>
        </w:numPr>
        <w:rPr/>
      </w:pPr>
      <w:bookmarkStart w:id="397" w:name="komponentenzuschreibung"/>
      <w:r>
        <w:rPr/>
        <w:t>NullLanguageBackend.</w:t>
      </w:r>
      <w:bookmarkEnd w:id="397"/>
    </w:p>
    <w:p>
      <w:pPr>
        <w:pStyle w:val="Heading3"/>
        <w:keepNext w:val="true"/>
        <w:widowControl/>
        <w:rPr/>
      </w:pPr>
      <w:bookmarkStart w:id="398" w:name="outcome-zerlegung"/>
      <w:r>
        <w:rPr/>
        <w:t>36.2 Outcome-Zerlegung</w:t>
      </w:r>
    </w:p>
    <w:p>
      <w:pPr>
        <w:pStyle w:val="FirstParagraph"/>
        <w:rPr/>
      </w:pPr>
      <w:r>
        <w:rPr/>
        <w:t>Gesamtantwortqualität wird zerlegt in:</w:t>
      </w:r>
    </w:p>
    <w:p>
      <w:pPr>
        <w:pStyle w:val="BodyText"/>
        <w:jc w:val="center"/>
        <w:rPr/>
      </w:pPr>
      <w:r>
        <w:rPr/>
      </w:r>
      <m:oMathPara xmlns:m="http://schemas.openxmlformats.org/officeDocument/2006/math">
        <m:oMathParaPr>
          <m:jc m:val="center"/>
        </m:oMathParaPr>
        <m:oMath>
          <m:sSub>
            <m:e>
              <m:r>
                <m:t xml:space="preserve">Q</m:t>
              </m:r>
            </m:e>
            <m:sub>
              <m:r>
                <m:t xml:space="preserve">t</m:t>
              </m:r>
              <m:r>
                <m:t xml:space="preserve">o</m:t>
              </m:r>
              <m:r>
                <m:t xml:space="preserve">t</m:t>
              </m:r>
              <m:r>
                <m:t xml:space="preserve">a</m:t>
              </m:r>
              <m:r>
                <m:t xml:space="preserve">l</m:t>
              </m:r>
            </m:sub>
          </m:sSub>
          <m:r>
            <m:t xml:space="preserve">=</m:t>
          </m:r>
          <m:sSub>
            <m:e>
              <m:r>
                <m:t xml:space="preserve">Q</m:t>
              </m:r>
            </m:e>
            <m:sub>
              <m:r>
                <m:t xml:space="preserve">r</m:t>
              </m:r>
              <m:r>
                <m:t xml:space="preserve">e</m:t>
              </m:r>
              <m:r>
                <m:t xml:space="preserve">t</m:t>
              </m:r>
              <m:r>
                <m:t xml:space="preserve">r</m:t>
              </m:r>
              <m:r>
                <m:t xml:space="preserve">i</m:t>
              </m:r>
              <m:r>
                <m:t xml:space="preserve">e</m:t>
              </m:r>
              <m:r>
                <m:t xml:space="preserve">v</m:t>
              </m:r>
              <m:r>
                <m:t xml:space="preserve">a</m:t>
              </m:r>
              <m:r>
                <m:t xml:space="preserve">l</m:t>
              </m:r>
            </m:sub>
          </m:sSub>
          <m:r>
            <m:t xml:space="preserve">+</m:t>
          </m:r>
          <m:sSub>
            <m:e>
              <m:r>
                <m:t xml:space="preserve">Q</m:t>
              </m:r>
            </m:e>
            <m:sub>
              <m:r>
                <m:t xml:space="preserve">d</m:t>
              </m:r>
              <m:r>
                <m:t xml:space="preserve">e</m:t>
              </m:r>
              <m:r>
                <m:t xml:space="preserve">c</m:t>
              </m:r>
              <m:r>
                <m:t xml:space="preserve">o</m:t>
              </m:r>
              <m:r>
                <m:t xml:space="preserve">d</m:t>
              </m:r>
              <m:r>
                <m:t xml:space="preserve">e</m:t>
              </m:r>
              <m:r>
                <m:t xml:space="preserve">r</m:t>
              </m:r>
            </m:sub>
          </m:sSub>
          <m:r>
            <m:t xml:space="preserve">+</m:t>
          </m:r>
          <m:sSub>
            <m:e>
              <m:r>
                <m:t xml:space="preserve">Q</m:t>
              </m:r>
            </m:e>
            <m:sub>
              <m:r>
                <m:t xml:space="preserve">S</m:t>
              </m:r>
              <m:r>
                <m:t xml:space="preserve">N</m:t>
              </m:r>
              <m:r>
                <m:t xml:space="preserve">N</m:t>
              </m:r>
            </m:sub>
          </m:sSub>
          <m:r>
            <m:t xml:space="preserve">+</m:t>
          </m:r>
          <m:sSub>
            <m:e>
              <m:r>
                <m:t xml:space="preserve">Q</m:t>
              </m:r>
            </m:e>
            <m:sub>
              <m:r>
                <m:t xml:space="preserve">i</m:t>
              </m:r>
              <m:r>
                <m:t xml:space="preserve">n</m:t>
              </m:r>
              <m:r>
                <m:t xml:space="preserve">t</m:t>
              </m:r>
              <m:r>
                <m:t xml:space="preserve">e</m:t>
              </m:r>
              <m:r>
                <m:t xml:space="preserve">r</m:t>
              </m:r>
              <m:r>
                <m:t xml:space="preserve">a</m:t>
              </m:r>
              <m:r>
                <m:t xml:space="preserve">c</m:t>
              </m:r>
              <m:r>
                <m:t xml:space="preserve">t</m:t>
              </m:r>
              <m:r>
                <m:t xml:space="preserve">i</m:t>
              </m:r>
              <m:r>
                <m:t xml:space="preserve">o</m:t>
              </m:r>
              <m:r>
                <m:t xml:space="preserve">n</m:t>
              </m:r>
            </m:sub>
          </m:sSub>
          <m:r>
            <m:t xml:space="preserve">+</m:t>
          </m:r>
          <m:r>
            <m:t xml:space="preserve">ε</m:t>
          </m:r>
        </m:oMath>
      </m:oMathPara>
    </w:p>
    <w:p>
      <w:pPr>
        <w:pStyle w:val="FirstParagraph"/>
        <w:rPr/>
      </w:pPr>
      <w:r>
        <w:rPr>
          <w:b/>
          <w:bCs/>
        </w:rPr>
        <w:t>[MODEL]</w:t>
      </w:r>
      <w:r>
        <w:rPr/>
        <w:t xml:space="preserve"> Die additive Form ist nur eine Analyseheuristik; Interaktionen können erheblich sein. Faktorielles Design oder Shapley-artige Komponentenanalyse kann Beiträge schätzen, ersetzt aber keine mechanistische Isolation.</w:t>
      </w:r>
      <w:bookmarkEnd w:id="398"/>
    </w:p>
    <w:p>
      <w:pPr>
        <w:pStyle w:val="Heading3"/>
        <w:keepNext w:val="true"/>
        <w:widowControl/>
        <w:rPr/>
      </w:pPr>
      <w:bookmarkStart w:id="399" w:name="prompt--und-modellversionierung"/>
      <w:r>
        <w:rPr/>
        <w:t>36.3 Prompt- und Modellversionierung</w:t>
      </w:r>
    </w:p>
    <w:p>
      <w:pPr>
        <w:pStyle w:val="FirstParagraph"/>
        <w:rPr/>
      </w:pPr>
      <w:bookmarkStart w:id="400" w:name="X2e2a6f1826556cc256cdf9812daa95b4c9c85bd"/>
      <w:bookmarkStart w:id="401" w:name="prompt--und-modellversionierung"/>
      <w:r>
        <w:rPr/>
        <w:t>Jede LLM-Bedingung speichert Systemprompt, Userprompt, Toolkontext, Samplingparameter, Modell-Hash beziehungsweise API-Version und Antwort. Sonst ist ein späterer Vergleich nicht reproduzierbar.</w:t>
      </w:r>
      <w:bookmarkEnd w:id="400"/>
      <w:bookmarkEnd w:id="401"/>
    </w:p>
    <w:p>
      <w:pPr>
        <w:pStyle w:val="Heading2"/>
        <w:keepNext w:val="true"/>
        <w:widowControl/>
        <w:rPr/>
      </w:pPr>
      <w:bookmarkStart w:id="402" w:name="__RefHeading___Toc10179_954062153"/>
      <w:bookmarkStart w:id="403" w:name="experiment-g-embodiment"/>
      <w:bookmarkEnd w:id="402"/>
      <w:r>
        <w:rPr/>
        <w:t>37. Experiment G — Embodiment</w:t>
      </w:r>
    </w:p>
    <w:p>
      <w:pPr>
        <w:pStyle w:val="Heading3"/>
        <w:keepNext w:val="true"/>
        <w:widowControl/>
        <w:rPr/>
      </w:pPr>
      <w:bookmarkStart w:id="404" w:name="open-versus-closed-loop"/>
      <w:r>
        <w:rPr/>
        <w:t>37.1 Open versus Closed Loop</w:t>
      </w:r>
    </w:p>
    <w:p>
      <w:pPr>
        <w:pStyle w:val="FirstParagraph"/>
        <w:rPr/>
      </w:pPr>
      <w:r>
        <w:rPr/>
        <w:t xml:space="preserve">Zwei Systeme erhalten möglichst gleiche Architektur und sensorische Grundinformation. Im Open Loop sind Stimuli vorab aufgezeichnet; im Closed Loop beeinflussen Aktionen die Umwelt. Ein dritter </w:t>
      </w:r>
      <w:r>
        <w:rPr>
          <w:b/>
          <w:bCs/>
        </w:rPr>
        <w:t>yoked control</w:t>
      </w:r>
      <w:r>
        <w:rPr/>
        <w:t xml:space="preserve"> erhält die Beobachtungsfolge eines Closed-Loop-Agents, darf sie aber nicht selbst verursachen. Dadurch lässt sich aktive Kontingenz von bloßer Datenverteilung trennen.</w:t>
      </w:r>
      <w:bookmarkEnd w:id="404"/>
    </w:p>
    <w:p>
      <w:pPr>
        <w:pStyle w:val="Heading3"/>
        <w:keepNext w:val="true"/>
        <w:widowControl/>
        <w:rPr/>
      </w:pPr>
      <w:bookmarkStart w:id="405" w:name="aufgaben"/>
      <w:r>
        <w:rPr/>
        <w:t>37.2 Aufgaben</w:t>
      </w:r>
    </w:p>
    <w:p>
      <w:pPr>
        <w:pStyle w:val="FirstParagraph"/>
        <w:rPr/>
      </w:pPr>
      <w:bookmarkStart w:id="406" w:name="aufgaben"/>
      <w:r>
        <w:rPr/>
        <w:t>Geeignete frühe Aufgaben sind einfache Navigation, Objektannäherung/-vermeidung, sensorische Kalibrierung und verzögerte Handlungswahl. Sie sollen kausal transparent sein, bevor komplexe multimodale Umgebungen eingeführt werden.</w:t>
      </w:r>
      <w:bookmarkEnd w:id="406"/>
    </w:p>
    <w:p>
      <w:pPr>
        <w:pStyle w:val="Heading3"/>
        <w:keepNext w:val="true"/>
        <w:widowControl/>
        <w:rPr/>
      </w:pPr>
      <w:bookmarkStart w:id="407" w:name="messungen"/>
      <w:r>
        <w:rPr/>
        <w:t>37.3 Messungen</w:t>
      </w:r>
    </w:p>
    <w:p>
      <w:pPr>
        <w:pStyle w:val="FirstParagraph"/>
        <w:rPr/>
      </w:pPr>
      <w:bookmarkStart w:id="408" w:name="experiment-g-embodiment"/>
      <w:bookmarkStart w:id="409" w:name="messungen"/>
      <w:r>
        <w:rPr/>
        <w:t>Lernrate, Robustheit bei Dynamics Shift, action-conditional Decodability, kausale Läsionen und Vorhersage zukünftiger Beobachtungen. Eine höhere Belohnung kann aus einfacher Exploration stammen und ist nicht allein Nachweis reichhaltigerer Repräsentation.</w:t>
      </w:r>
      <w:bookmarkEnd w:id="408"/>
      <w:bookmarkEnd w:id="409"/>
    </w:p>
    <w:p>
      <w:pPr>
        <w:pStyle w:val="Heading2"/>
        <w:keepNext w:val="true"/>
        <w:widowControl/>
        <w:rPr/>
      </w:pPr>
      <w:bookmarkStart w:id="410" w:name="__RefHeading___Toc10181_954062153"/>
      <w:bookmarkStart w:id="411" w:name="experiment-h-messbare-emergenz"/>
      <w:bookmarkEnd w:id="410"/>
      <w:r>
        <w:rPr/>
        <w:t>38. Experiment H — Messbare Emergenz</w:t>
      </w:r>
    </w:p>
    <w:p>
      <w:pPr>
        <w:pStyle w:val="Heading3"/>
        <w:keepNext w:val="true"/>
        <w:widowControl/>
        <w:rPr/>
      </w:pPr>
      <w:bookmarkStart w:id="412" w:name="kandidatenerkennung"/>
      <w:r>
        <w:rPr/>
        <w:t>38.1 Kandidatenerkennung</w:t>
      </w:r>
    </w:p>
    <w:p>
      <w:pPr>
        <w:pStyle w:val="FirstParagraph"/>
        <w:rPr/>
      </w:pPr>
      <w:bookmarkStart w:id="413" w:name="kandidatenerkennung"/>
      <w:r>
        <w:rPr/>
        <w:t>Strukturelle Communities, dynamische Sequenzen oder metastabile Zustände werden explorativ identifiziert. Der Erkennungsdatensatz bleibt von der konfirmatorischen Prüfung getrennt. Kandidaten erhalten eindeutige IDs und Definitionen.</w:t>
      </w:r>
      <w:bookmarkEnd w:id="413"/>
    </w:p>
    <w:p>
      <w:pPr>
        <w:pStyle w:val="Heading3"/>
        <w:keepNext w:val="true"/>
        <w:widowControl/>
        <w:rPr/>
      </w:pPr>
      <w:bookmarkStart w:id="414" w:name="konfirmatorische-prüfung"/>
      <w:r>
        <w:rPr/>
        <w:t>38.2 Konfirmatorische Prüfung</w:t>
      </w:r>
    </w:p>
    <w:p>
      <w:pPr>
        <w:pStyle w:val="Compact"/>
        <w:numPr>
          <w:ilvl w:val="0"/>
          <w:numId w:val="303"/>
        </w:numPr>
        <w:rPr/>
      </w:pPr>
      <w:r>
        <w:rPr/>
        <w:t>Replikation des Kandidaten in neuen Seeds;</w:t>
      </w:r>
    </w:p>
    <w:p>
      <w:pPr>
        <w:pStyle w:val="Compact"/>
        <w:numPr>
          <w:ilvl w:val="0"/>
          <w:numId w:val="304"/>
        </w:numPr>
        <w:rPr/>
      </w:pPr>
      <w:r>
        <w:rPr/>
        <w:t>Vergleich mit Nullmodellen;</w:t>
      </w:r>
    </w:p>
    <w:p>
      <w:pPr>
        <w:pStyle w:val="Compact"/>
        <w:numPr>
          <w:ilvl w:val="0"/>
          <w:numId w:val="305"/>
        </w:numPr>
        <w:rPr/>
      </w:pPr>
      <w:r>
        <w:rPr/>
        <w:t>Stabilität gegenüber Analyseparametern;</w:t>
      </w:r>
    </w:p>
    <w:p>
      <w:pPr>
        <w:pStyle w:val="Compact"/>
        <w:numPr>
          <w:ilvl w:val="0"/>
          <w:numId w:val="306"/>
        </w:numPr>
        <w:rPr/>
      </w:pPr>
      <w:r>
        <w:rPr/>
        <w:t>gezielte Läsion;</w:t>
      </w:r>
    </w:p>
    <w:p>
      <w:pPr>
        <w:pStyle w:val="Compact"/>
        <w:numPr>
          <w:ilvl w:val="0"/>
          <w:numId w:val="307"/>
        </w:numPr>
        <w:rPr/>
      </w:pPr>
      <w:r>
        <w:rPr/>
        <w:t>matched lesions;</w:t>
      </w:r>
    </w:p>
    <w:p>
      <w:pPr>
        <w:pStyle w:val="Compact"/>
        <w:numPr>
          <w:ilvl w:val="0"/>
          <w:numId w:val="308"/>
        </w:numPr>
        <w:rPr/>
      </w:pPr>
      <w:r>
        <w:rPr/>
        <w:t>Rescue oder Ersatzintervention;</w:t>
      </w:r>
    </w:p>
    <w:p>
      <w:pPr>
        <w:pStyle w:val="Compact"/>
        <w:numPr>
          <w:ilvl w:val="0"/>
          <w:numId w:val="309"/>
        </w:numPr>
        <w:rPr/>
      </w:pPr>
      <w:bookmarkStart w:id="415" w:name="konfirmatorische-prüfung"/>
      <w:r>
        <w:rPr/>
        <w:t>Prüfung auf Aufgabenspezifität.</w:t>
      </w:r>
      <w:bookmarkEnd w:id="415"/>
    </w:p>
    <w:p>
      <w:pPr>
        <w:pStyle w:val="Heading3"/>
        <w:keepNext w:val="true"/>
        <w:widowControl/>
        <w:rPr/>
      </w:pPr>
      <w:bookmarkStart w:id="416" w:name="falsifikation-1"/>
      <w:r>
        <w:rPr/>
        <w:t>38.3 Falsifikation</w:t>
      </w:r>
    </w:p>
    <w:p>
      <w:pPr>
        <w:pStyle w:val="FirstParagraph"/>
        <w:rPr/>
      </w:pPr>
      <w:bookmarkStart w:id="417" w:name="experiment-h-messbare-emergenz"/>
      <w:bookmarkStart w:id="418" w:name="falsifikation-1"/>
      <w:r>
        <w:rPr/>
        <w:t>Ein Cluster ist nicht funktional emergent, wenn seine Entfernung keinen spezifischen Effekt hat oder wenn beliebige gleich große Läsionen denselben Effekt erzeugen. Ein dynamisches Muster ist nicht robust, wenn es nur unter einer Auswertungsparametrisierung erscheint.</w:t>
      </w:r>
      <w:bookmarkEnd w:id="417"/>
      <w:bookmarkEnd w:id="418"/>
    </w:p>
    <w:p>
      <w:pPr>
        <w:pStyle w:val="Heading2"/>
        <w:keepNext w:val="true"/>
        <w:widowControl/>
        <w:rPr/>
      </w:pPr>
      <w:bookmarkStart w:id="419" w:name="__RefHeading___Toc10183_954062153"/>
      <w:bookmarkStart w:id="420" w:name="experiment-i-storage--und-twin-fidelity"/>
      <w:bookmarkEnd w:id="419"/>
      <w:r>
        <w:rPr/>
        <w:t>39. Experiment I — Storage- und Twin-Fidelity</w:t>
      </w:r>
    </w:p>
    <w:p>
      <w:pPr>
        <w:pStyle w:val="Heading3"/>
        <w:keepNext w:val="true"/>
        <w:widowControl/>
        <w:rPr/>
      </w:pPr>
      <w:bookmarkStart w:id="421" w:name="rekonstruktionsprüfung"/>
      <w:r>
        <w:rPr/>
        <w:t>39.1 Rekonstruktionsprüfung</w:t>
      </w:r>
    </w:p>
    <w:p>
      <w:pPr>
        <w:pStyle w:val="FirstParagraph"/>
        <w:rPr/>
      </w:pPr>
      <w:r>
        <w:rPr/>
        <w:t>Aus einem Checkpoint plus Event-Log wird ein Zustand rekonstruiert. Verglichen werden Neuronenarrays, Synapsenstruktur, RNG, Scheduler, Metriken und Reaktion auf standardisierte Probe-Stimuli. Die Prüfung umfasst:</w:t>
      </w:r>
    </w:p>
    <w:p>
      <w:pPr>
        <w:pStyle w:val="Compact"/>
        <w:numPr>
          <w:ilvl w:val="0"/>
          <w:numId w:val="310"/>
        </w:numPr>
        <w:rPr/>
      </w:pPr>
      <w:r>
        <w:rPr/>
        <w:t>Hash- und Schema-Integrität;</w:t>
      </w:r>
    </w:p>
    <w:p>
      <w:pPr>
        <w:pStyle w:val="Compact"/>
        <w:numPr>
          <w:ilvl w:val="0"/>
          <w:numId w:val="311"/>
        </w:numPr>
        <w:rPr/>
      </w:pPr>
      <w:r>
        <w:rPr/>
        <w:t>State Error;</w:t>
      </w:r>
    </w:p>
    <w:p>
      <w:pPr>
        <w:pStyle w:val="Compact"/>
        <w:numPr>
          <w:ilvl w:val="0"/>
          <w:numId w:val="312"/>
        </w:numPr>
        <w:rPr/>
      </w:pPr>
      <w:r>
        <w:rPr/>
        <w:t>Edge Set-Differenz;</w:t>
      </w:r>
    </w:p>
    <w:p>
      <w:pPr>
        <w:pStyle w:val="Compact"/>
        <w:numPr>
          <w:ilvl w:val="0"/>
          <w:numId w:val="313"/>
        </w:numPr>
        <w:rPr/>
      </w:pPr>
      <w:r>
        <w:rPr/>
        <w:t>Event-Reihenfolge;</w:t>
      </w:r>
    </w:p>
    <w:p>
      <w:pPr>
        <w:pStyle w:val="Compact"/>
        <w:numPr>
          <w:ilvl w:val="0"/>
          <w:numId w:val="314"/>
        </w:numPr>
        <w:rPr/>
      </w:pPr>
      <w:r>
        <w:rPr/>
        <w:t>Probe-Response-Divergenz;</w:t>
      </w:r>
    </w:p>
    <w:p>
      <w:pPr>
        <w:pStyle w:val="Compact"/>
        <w:numPr>
          <w:ilvl w:val="0"/>
          <w:numId w:val="315"/>
        </w:numPr>
        <w:rPr/>
      </w:pPr>
      <w:bookmarkStart w:id="422" w:name="rekonstruktionsprüfung"/>
      <w:r>
        <w:rPr/>
        <w:t>Restore-Zeit und Storage-Overhead.</w:t>
      </w:r>
      <w:bookmarkEnd w:id="422"/>
    </w:p>
    <w:p>
      <w:pPr>
        <w:pStyle w:val="Heading3"/>
        <w:keepNext w:val="true"/>
        <w:widowControl/>
        <w:rPr/>
      </w:pPr>
      <w:bookmarkStart w:id="423" w:name="forked-counterfactuals"/>
      <w:r>
        <w:rPr/>
        <w:t>39.2 Forked Counterfactuals</w:t>
      </w:r>
    </w:p>
    <w:p>
      <w:pPr>
        <w:pStyle w:val="FirstParagraph"/>
        <w:rPr/>
      </w:pPr>
      <w:bookmarkStart w:id="424" w:name="forked-counterfactuals"/>
      <w:r>
        <w:rPr/>
        <w:t>Von demselben Snapshot werden mehrere Interventionen gestartet. Wenn Unterschiede vor der Intervention auftreten, ist der Fork nicht kausal sauber. Dieses Experiment ist Grundlage für spätere Emergenz- und Läsionsanalysen.</w:t>
      </w:r>
      <w:bookmarkEnd w:id="424"/>
    </w:p>
    <w:p>
      <w:pPr>
        <w:pStyle w:val="Heading3"/>
        <w:keepNext w:val="true"/>
        <w:widowControl/>
        <w:rPr/>
      </w:pPr>
      <w:bookmarkStart w:id="425" w:name="langzeitintegrität"/>
      <w:r>
        <w:rPr/>
        <w:t>39.3 Langzeitintegrität</w:t>
      </w:r>
    </w:p>
    <w:p>
      <w:pPr>
        <w:pStyle w:val="FirstParagraph"/>
        <w:rPr/>
      </w:pPr>
      <w:bookmarkStart w:id="426" w:name="experiment-i-storage--und-twin-fidelity"/>
      <w:bookmarkStart w:id="427" w:name="langzeitintegrität"/>
      <w:r>
        <w:rPr/>
        <w:t>Artefakte werden nach wiederholtem Speichern, Migrieren und Wiederherstellen geprüft. Checksums allein erkennen keine semantisch falsche Schemaumwandlung; daher sind migrationsspezifische Invarianten erforderlich.</w:t>
      </w:r>
      <w:bookmarkEnd w:id="426"/>
      <w:bookmarkEnd w:id="427"/>
    </w:p>
    <w:p>
      <w:pPr>
        <w:pStyle w:val="Heading2"/>
        <w:keepNext w:val="true"/>
        <w:widowControl/>
        <w:rPr/>
      </w:pPr>
      <w:bookmarkStart w:id="428" w:name="__RefHeading___Toc10185_954062153"/>
      <w:bookmarkStart w:id="429" w:name="experiment-j-scaling-und-performance"/>
      <w:bookmarkEnd w:id="428"/>
      <w:r>
        <w:rPr/>
        <w:t>40. Experiment J — Scaling und Performance</w:t>
      </w:r>
    </w:p>
    <w:p>
      <w:pPr>
        <w:pStyle w:val="Heading3"/>
        <w:keepNext w:val="true"/>
        <w:widowControl/>
        <w:rPr/>
      </w:pPr>
      <w:bookmarkStart w:id="430" w:name="komplexitätsmodell"/>
      <w:r>
        <w:rPr/>
        <w:t>40.1 Komplexitätsmodell</w:t>
      </w:r>
    </w:p>
    <w:p>
      <w:pPr>
        <w:pStyle w:val="FirstParagraph"/>
        <w:rPr/>
      </w:pPr>
      <w:r>
        <w:rPr/>
        <w:t>Für ereignisbasierte Verarbeitung gilt näherungsweise</w:t>
      </w:r>
    </w:p>
    <w:p>
      <w:pPr>
        <w:pStyle w:val="BodyText"/>
        <w:jc w:val="center"/>
        <w:rPr/>
      </w:pPr>
      <w:r>
        <w:rPr/>
      </w:r>
      <m:oMathPara xmlns:m="http://schemas.openxmlformats.org/officeDocument/2006/math">
        <m:oMathParaPr>
          <m:jc m:val="center"/>
        </m:oMathParaPr>
        <m:oMath>
          <m:sSub>
            <m:e>
              <m:r>
                <m:t xml:space="preserve">T</m:t>
              </m:r>
            </m:e>
            <m:sub>
              <m:r>
                <m:t xml:space="preserve">t</m:t>
              </m:r>
              <m:r>
                <m:t xml:space="preserve">i</m:t>
              </m:r>
              <m:r>
                <m:t xml:space="preserve">c</m:t>
              </m:r>
              <m:r>
                <m:t xml:space="preserve">k</m:t>
              </m:r>
            </m:sub>
          </m:sSub>
          <m:r>
            <m:t xml:space="preserve">=</m:t>
          </m:r>
          <m:r>
            <m:t xml:space="preserve">O</m:t>
          </m:r>
          <m:d>
            <m:dPr>
              <m:begChr m:val="("/>
              <m:endChr m:val=")"/>
            </m:dPr>
            <m:e>
              <m:sSub>
                <m:e>
                  <m:r>
                    <m:t xml:space="preserve">N</m:t>
                  </m:r>
                </m:e>
                <m:sub>
                  <m:r>
                    <m:t xml:space="preserve">i</m:t>
                  </m:r>
                  <m:r>
                    <m:t xml:space="preserve">n</m:t>
                  </m:r>
                  <m:r>
                    <m:t xml:space="preserve">t</m:t>
                  </m:r>
                  <m:r>
                    <m:t xml:space="preserve">e</m:t>
                  </m:r>
                  <m:r>
                    <m:t xml:space="preserve">g</m:t>
                  </m:r>
                  <m:r>
                    <m:t xml:space="preserve">r</m:t>
                  </m:r>
                  <m:r>
                    <m:t xml:space="preserve">a</m:t>
                  </m:r>
                  <m:r>
                    <m:t xml:space="preserve">t</m:t>
                  </m:r>
                  <m:r>
                    <m:t xml:space="preserve">e</m:t>
                  </m:r>
                  <m:r>
                    <m:t xml:space="preserve">d</m:t>
                  </m:r>
                </m:sub>
              </m:sSub>
            </m:e>
          </m:d>
          <m:r>
            <m:t xml:space="preserve">+</m:t>
          </m:r>
          <m:r>
            <m:t xml:space="preserve">O</m:t>
          </m:r>
          <m:d>
            <m:dPr>
              <m:begChr m:val="("/>
              <m:endChr m:val=")"/>
            </m:dPr>
            <m:e>
              <m:sSub>
                <m:e>
                  <m:r>
                    <m:t xml:space="preserve">S</m:t>
                  </m:r>
                </m:e>
                <m:sub>
                  <m:r>
                    <m:t xml:space="preserve">e</m:t>
                  </m:r>
                  <m:r>
                    <m:t xml:space="preserve">v</m:t>
                  </m:r>
                  <m:r>
                    <m:t xml:space="preserve">e</m:t>
                  </m:r>
                  <m:r>
                    <m:t xml:space="preserve">n</m:t>
                  </m:r>
                  <m:r>
                    <m:t xml:space="preserve">t</m:t>
                  </m:r>
                </m:sub>
              </m:sSub>
            </m:e>
          </m:d>
          <m:r>
            <m:t xml:space="preserve">+</m:t>
          </m:r>
          <m:r>
            <m:t xml:space="preserve">O</m:t>
          </m:r>
          <m:d>
            <m:dPr>
              <m:begChr m:val="("/>
              <m:endChr m:val=")"/>
            </m:dPr>
            <m:e>
              <m:sSub>
                <m:e>
                  <m:r>
                    <m:t xml:space="preserve">P</m:t>
                  </m:r>
                </m:e>
                <m:sub>
                  <m:r>
                    <m:t xml:space="preserve">p</m:t>
                  </m:r>
                  <m:r>
                    <m:t xml:space="preserve">l</m:t>
                  </m:r>
                  <m:r>
                    <m:t xml:space="preserve">a</m:t>
                  </m:r>
                  <m:r>
                    <m:t xml:space="preserve">s</m:t>
                  </m:r>
                  <m:r>
                    <m:t xml:space="preserve">t</m:t>
                  </m:r>
                  <m:r>
                    <m:t xml:space="preserve">i</m:t>
                  </m:r>
                  <m:r>
                    <m:t xml:space="preserve">c</m:t>
                  </m:r>
                  <m:r>
                    <m:t xml:space="preserve">i</m:t>
                  </m:r>
                  <m:r>
                    <m:t xml:space="preserve">t</m:t>
                  </m:r>
                  <m:r>
                    <m:t xml:space="preserve">y</m:t>
                  </m:r>
                </m:sub>
              </m:sSub>
            </m:e>
          </m:d>
          <m:r>
            <m:t xml:space="preserve">+</m:t>
          </m:r>
          <m:r>
            <m:t xml:space="preserve">O</m:t>
          </m:r>
          <m:d>
            <m:dPr>
              <m:begChr m:val="("/>
              <m:endChr m:val=")"/>
            </m:dPr>
            <m:e>
              <m:sSub>
                <m:e>
                  <m:r>
                    <m:t xml:space="preserve">G</m:t>
                  </m:r>
                </m:e>
                <m:sub>
                  <m:r>
                    <m:t xml:space="preserve">s</m:t>
                  </m:r>
                  <m:r>
                    <m:t xml:space="preserve">t</m:t>
                  </m:r>
                  <m:r>
                    <m:t xml:space="preserve">r</m:t>
                  </m:r>
                  <m:r>
                    <m:t xml:space="preserve">u</m:t>
                  </m:r>
                  <m:r>
                    <m:t xml:space="preserve">c</m:t>
                  </m:r>
                  <m:r>
                    <m:t xml:space="preserve">t</m:t>
                  </m:r>
                  <m:r>
                    <m:t xml:space="preserve">u</m:t>
                  </m:r>
                  <m:r>
                    <m:t xml:space="preserve">r</m:t>
                  </m:r>
                  <m:r>
                    <m:t xml:space="preserve">a</m:t>
                  </m:r>
                  <m:r>
                    <m:t xml:space="preserve">l</m:t>
                  </m:r>
                </m:sub>
              </m:sSub>
            </m:e>
          </m:d>
          <m:r>
            <m:t xml:space="preserve">+</m:t>
          </m:r>
          <m:r>
            <m:t xml:space="preserve">O</m:t>
          </m:r>
          <m:d>
            <m:dPr>
              <m:begChr m:val="("/>
              <m:endChr m:val=")"/>
            </m:dPr>
            <m:e>
              <m:r>
                <m:t xml:space="preserve">I</m:t>
              </m:r>
              <m:sSub>
                <m:e>
                  <m:r>
                    <m:t xml:space="preserve">O</m:t>
                  </m:r>
                </m:e>
                <m:sub>
                  <m:r>
                    <m:t xml:space="preserve">d</m:t>
                  </m:r>
                  <m:r>
                    <m:t xml:space="preserve">i</m:t>
                  </m:r>
                  <m:r>
                    <m:t xml:space="preserve">r</m:t>
                  </m:r>
                  <m:r>
                    <m:t xml:space="preserve">t</m:t>
                  </m:r>
                  <m:r>
                    <m:t xml:space="preserve">y</m:t>
                  </m:r>
                </m:sub>
              </m:sSub>
            </m:e>
          </m:d>
          <m:r>
            <m:t xml:space="preserve">.</m:t>
          </m:r>
        </m:oMath>
      </m:oMathPara>
    </w:p>
    <w:p>
      <w:pPr>
        <w:pStyle w:val="FirstParagraph"/>
        <w:rPr/>
      </w:pPr>
      <w:r>
        <w:rPr/>
        <w:t xml:space="preserve">Die Größen sind empirisch zu messen. Bei dichter Integration kann </w:t>
      </w:r>
      <w:r>
        <w:rPr/>
      </w:r>
      <m:oMath xmlns:m="http://schemas.openxmlformats.org/officeDocument/2006/math">
        <m:sSub>
          <m:e>
            <m:r>
              <m:t xml:space="preserve">N</m:t>
            </m:r>
          </m:e>
          <m:sub>
            <m:r>
              <m:t xml:space="preserve">i</m:t>
            </m:r>
            <m:r>
              <m:t xml:space="preserve">n</m:t>
            </m:r>
            <m:r>
              <m:t xml:space="preserve">t</m:t>
            </m:r>
            <m:r>
              <m:t xml:space="preserve">e</m:t>
            </m:r>
            <m:r>
              <m:t xml:space="preserve">g</m:t>
            </m:r>
            <m:r>
              <m:t xml:space="preserve">r</m:t>
            </m:r>
            <m:r>
              <m:t xml:space="preserve">a</m:t>
            </m:r>
            <m:r>
              <m:t xml:space="preserve">t</m:t>
            </m:r>
            <m:r>
              <m:t xml:space="preserve">e</m:t>
            </m:r>
            <m:r>
              <m:t xml:space="preserve">d</m:t>
            </m:r>
          </m:sub>
        </m:sSub>
        <m:r>
          <m:t xml:space="preserve">=</m:t>
        </m:r>
        <m:sSub>
          <m:e>
            <m:r>
              <m:t xml:space="preserve">N</m:t>
            </m:r>
          </m:e>
          <m:sub>
            <m:r>
              <m:t xml:space="preserve">a</m:t>
            </m:r>
            <m:r>
              <m:t xml:space="preserve">c</m:t>
            </m:r>
            <m:r>
              <m:t xml:space="preserve">t</m:t>
            </m:r>
            <m:r>
              <m:t xml:space="preserve">i</m:t>
            </m:r>
            <m:r>
              <m:t xml:space="preserve">v</m:t>
            </m:r>
            <m:r>
              <m:t xml:space="preserve">e</m:t>
            </m:r>
          </m:sub>
        </m:sSub>
      </m:oMath>
      <w:r>
        <w:rPr/>
        <w:t xml:space="preserve"> oder sogar </w:t>
      </w:r>
      <w:r>
        <w:rPr/>
      </w:r>
      <m:oMath xmlns:m="http://schemas.openxmlformats.org/officeDocument/2006/math">
        <m:sSub>
          <m:e>
            <m:r>
              <m:t xml:space="preserve">N</m:t>
            </m:r>
          </m:e>
          <m:sub>
            <m:r>
              <m:t xml:space="preserve">m</m:t>
            </m:r>
            <m:r>
              <m:t xml:space="preserve">a</m:t>
            </m:r>
            <m:r>
              <m:t xml:space="preserve">t</m:t>
            </m:r>
            <m:r>
              <m:t xml:space="preserve">e</m:t>
            </m:r>
            <m:r>
              <m:t xml:space="preserve">r</m:t>
            </m:r>
            <m:r>
              <m:t xml:space="preserve">i</m:t>
            </m:r>
            <m:r>
              <m:t xml:space="preserve">a</m:t>
            </m:r>
            <m:r>
              <m:t xml:space="preserve">l</m:t>
            </m:r>
            <m:r>
              <m:t xml:space="preserve">i</m:t>
            </m:r>
            <m:r>
              <m:t xml:space="preserve">z</m:t>
            </m:r>
            <m:r>
              <m:t xml:space="preserve">e</m:t>
            </m:r>
            <m:r>
              <m:t xml:space="preserve">d</m:t>
            </m:r>
          </m:sub>
        </m:sSub>
      </m:oMath>
      <w:r>
        <w:rPr/>
        <w:t xml:space="preserve"> sein; eventbasierte Optimierung reduziert dies nur, wenn Zustände zwischen Ereignissen effizient fortgeschrieben werden können.</w:t>
      </w:r>
      <w:bookmarkEnd w:id="430"/>
    </w:p>
    <w:p>
      <w:pPr>
        <w:pStyle w:val="Heading3"/>
        <w:keepNext w:val="true"/>
        <w:widowControl/>
        <w:rPr/>
      </w:pPr>
      <w:bookmarkStart w:id="431" w:name="skalierungsachsen"/>
      <w:r>
        <w:rPr/>
        <w:t>40.2 Skalierungsachsen</w:t>
      </w:r>
    </w:p>
    <w:p>
      <w:pPr>
        <w:pStyle w:val="Compact"/>
        <w:numPr>
          <w:ilvl w:val="0"/>
          <w:numId w:val="316"/>
        </w:numPr>
        <w:rPr/>
      </w:pPr>
      <w:r>
        <w:rPr/>
        <w:t>materialisierte Neuronen;</w:t>
      </w:r>
    </w:p>
    <w:p>
      <w:pPr>
        <w:pStyle w:val="Compact"/>
        <w:numPr>
          <w:ilvl w:val="0"/>
          <w:numId w:val="317"/>
        </w:numPr>
        <w:rPr/>
      </w:pPr>
      <w:r>
        <w:rPr/>
        <w:t>mittlerer Grad;</w:t>
      </w:r>
    </w:p>
    <w:p>
      <w:pPr>
        <w:pStyle w:val="Compact"/>
        <w:numPr>
          <w:ilvl w:val="0"/>
          <w:numId w:val="318"/>
        </w:numPr>
        <w:rPr/>
      </w:pPr>
      <w:r>
        <w:rPr/>
        <w:t>Spike-Rate;</w:t>
      </w:r>
    </w:p>
    <w:p>
      <w:pPr>
        <w:pStyle w:val="Compact"/>
        <w:numPr>
          <w:ilvl w:val="0"/>
          <w:numId w:val="319"/>
        </w:numPr>
        <w:rPr/>
      </w:pPr>
      <w:r>
        <w:rPr/>
        <w:t>Delay-Horizont;</w:t>
      </w:r>
    </w:p>
    <w:p>
      <w:pPr>
        <w:pStyle w:val="Compact"/>
        <w:numPr>
          <w:ilvl w:val="0"/>
          <w:numId w:val="320"/>
        </w:numPr>
        <w:rPr/>
      </w:pPr>
      <w:r>
        <w:rPr/>
        <w:t>Plastizitätsdichte;</w:t>
      </w:r>
    </w:p>
    <w:p>
      <w:pPr>
        <w:pStyle w:val="Compact"/>
        <w:numPr>
          <w:ilvl w:val="0"/>
          <w:numId w:val="321"/>
        </w:numPr>
        <w:rPr/>
      </w:pPr>
      <w:r>
        <w:rPr/>
        <w:t>Structural-Update-Frequenz;</w:t>
      </w:r>
    </w:p>
    <w:p>
      <w:pPr>
        <w:pStyle w:val="Compact"/>
        <w:numPr>
          <w:ilvl w:val="0"/>
          <w:numId w:val="322"/>
        </w:numPr>
        <w:rPr/>
      </w:pPr>
      <w:r>
        <w:rPr/>
        <w:t>Snapshot-Intervall;</w:t>
      </w:r>
    </w:p>
    <w:p>
      <w:pPr>
        <w:pStyle w:val="Compact"/>
        <w:numPr>
          <w:ilvl w:val="0"/>
          <w:numId w:val="323"/>
        </w:numPr>
        <w:rPr/>
      </w:pPr>
      <w:r>
        <w:rPr/>
        <w:t>Anzahl Regionen/Partitionen;</w:t>
      </w:r>
    </w:p>
    <w:p>
      <w:pPr>
        <w:pStyle w:val="Compact"/>
        <w:numPr>
          <w:ilvl w:val="0"/>
          <w:numId w:val="324"/>
        </w:numPr>
        <w:rPr/>
      </w:pPr>
      <w:r>
        <w:rPr/>
        <w:t>parallele Worker oder Geräte.</w:t>
      </w:r>
    </w:p>
    <w:p>
      <w:pPr>
        <w:pStyle w:val="FirstParagraph"/>
        <w:rPr/>
      </w:pPr>
      <w:bookmarkStart w:id="432" w:name="skalierungsachsen"/>
      <w:r>
        <w:rPr/>
        <w:t>Jeweils wird unterschieden, ob Laufzeit, RAM, I/O oder Synchronisation der Engpass ist.</w:t>
      </w:r>
      <w:bookmarkEnd w:id="432"/>
    </w:p>
    <w:p>
      <w:pPr>
        <w:pStyle w:val="Heading3"/>
        <w:keepNext w:val="true"/>
        <w:widowControl/>
        <w:rPr/>
      </w:pPr>
      <w:bookmarkStart w:id="433" w:name="strong-und-weak-scaling"/>
      <w:r>
        <w:rPr/>
        <w:t>40.3 Strong und Weak Scaling</w:t>
      </w:r>
    </w:p>
    <w:p>
      <w:pPr>
        <w:pStyle w:val="FirstParagraph"/>
        <w:rPr/>
      </w:pPr>
      <w:r>
        <w:rPr>
          <w:b/>
          <w:bCs/>
        </w:rPr>
        <w:t>Strong Scaling:</w:t>
      </w:r>
      <w:r>
        <w:rPr/>
        <w:t xml:space="preserve"> Problemgröße bleibt gleich, Ressourcen steigen.</w:t>
        <w:br/>
      </w:r>
      <w:r>
        <w:rPr>
          <w:b/>
          <w:bCs/>
        </w:rPr>
        <w:t>Weak Scaling:</w:t>
      </w:r>
      <w:r>
        <w:rPr/>
        <w:t xml:space="preserve"> Problemgröße wächst proportional zu Ressourcen.</w:t>
        <w:br/>
        <w:t>Effizienz wird nicht nur als Speedup, sondern auch als wissenschaftliche Reproduzierbarkeit und numerische Abweichung bewertet.</w:t>
      </w:r>
      <w:bookmarkEnd w:id="433"/>
    </w:p>
    <w:p>
      <w:pPr>
        <w:pStyle w:val="Heading3"/>
        <w:keepNext w:val="true"/>
        <w:widowControl/>
        <w:rPr/>
      </w:pPr>
      <w:bookmarkStart w:id="434" w:name="größenübertragung"/>
      <w:r>
        <w:rPr/>
        <w:t>40.4 Größenübertragung</w:t>
      </w:r>
    </w:p>
    <w:p>
      <w:pPr>
        <w:pStyle w:val="FirstParagraph"/>
        <w:rPr/>
      </w:pPr>
      <w:bookmarkStart w:id="435" w:name="experiment-j-scaling-und-performance"/>
      <w:bookmarkStart w:id="436" w:name="größenübertragung"/>
      <w:r>
        <w:rPr/>
        <w:t>Ein Mechanismus, der bei 5.000 Neuronen funktioniert, kann bei 500.000 andere Dynamik zeigen. Skalierungsexperimente prüfen dimensionslose oder normalisierte Parameter, Finite-Size-Effekte und Änderung der Phasengrenzen. Ergebnisse werden nicht allein auf Grundlage identischer absoluter Hyperparameter extrapoliert.</w:t>
      </w:r>
      <w:bookmarkEnd w:id="435"/>
      <w:bookmarkEnd w:id="436"/>
    </w:p>
    <w:p>
      <w:pPr>
        <w:pStyle w:val="Heading2"/>
        <w:keepNext w:val="true"/>
        <w:widowControl/>
        <w:rPr/>
      </w:pPr>
      <w:bookmarkStart w:id="437" w:name="__RefHeading___Toc10187_954062153"/>
      <w:bookmarkStart w:id="438" w:name="vergleichsbaselines"/>
      <w:bookmarkEnd w:id="437"/>
      <w:r>
        <w:rPr/>
        <w:t>41. Vergleichsbaselines</w:t>
      </w:r>
    </w:p>
    <w:p>
      <w:pPr>
        <w:pStyle w:val="FirstParagraph"/>
        <w:rPr/>
      </w:pPr>
      <w:r>
        <w:rPr/>
        <w:t>Brain-5D wird langfristig mindestens gegen folgende Systeme verglichen:</w:t>
      </w:r>
    </w:p>
    <w:p>
      <w:pPr>
        <w:pStyle w:val="Compact"/>
        <w:numPr>
          <w:ilvl w:val="0"/>
          <w:numId w:val="325"/>
        </w:numPr>
        <w:rPr/>
      </w:pPr>
      <w:r>
        <w:rPr/>
        <w:t>statisches SNN gleicher Größe;</w:t>
      </w:r>
    </w:p>
    <w:p>
      <w:pPr>
        <w:pStyle w:val="Compact"/>
        <w:numPr>
          <w:ilvl w:val="0"/>
          <w:numId w:val="326"/>
        </w:numPr>
        <w:rPr/>
      </w:pPr>
      <w:r>
        <w:rPr/>
        <w:t>SNN ohne 5D-Distanz;</w:t>
      </w:r>
    </w:p>
    <w:p>
      <w:pPr>
        <w:pStyle w:val="Compact"/>
        <w:numPr>
          <w:ilvl w:val="0"/>
          <w:numId w:val="327"/>
        </w:numPr>
        <w:rPr/>
      </w:pPr>
      <w:r>
        <w:rPr/>
        <w:t>randomisierte oder degree-preserving rewired Topologie;</w:t>
      </w:r>
    </w:p>
    <w:p>
      <w:pPr>
        <w:pStyle w:val="Compact"/>
        <w:numPr>
          <w:ilvl w:val="0"/>
          <w:numId w:val="328"/>
        </w:numPr>
        <w:rPr/>
      </w:pPr>
      <w:r>
        <w:rPr/>
        <w:t>Liquid State Machine beziehungsweise Reservoir Computing;</w:t>
      </w:r>
    </w:p>
    <w:p>
      <w:pPr>
        <w:pStyle w:val="Compact"/>
        <w:numPr>
          <w:ilvl w:val="0"/>
          <w:numId w:val="329"/>
        </w:numPr>
        <w:rPr/>
      </w:pPr>
      <w:r>
        <w:rPr/>
        <w:t>einfache RNN-/GRU-Baseline bei Aufgaben mit vergleichbarer Ein-/Ausgabe;</w:t>
      </w:r>
    </w:p>
    <w:p>
      <w:pPr>
        <w:pStyle w:val="Compact"/>
        <w:numPr>
          <w:ilvl w:val="0"/>
          <w:numId w:val="330"/>
        </w:numPr>
        <w:rPr/>
      </w:pPr>
      <w:r>
        <w:rPr/>
        <w:t>klassischer RL-Agent;</w:t>
      </w:r>
    </w:p>
    <w:p>
      <w:pPr>
        <w:pStyle w:val="Compact"/>
        <w:numPr>
          <w:ilvl w:val="0"/>
          <w:numId w:val="331"/>
        </w:numPr>
        <w:rPr/>
      </w:pPr>
      <w:r>
        <w:rPr/>
        <w:t>LLM-only;</w:t>
      </w:r>
    </w:p>
    <w:p>
      <w:pPr>
        <w:pStyle w:val="Compact"/>
        <w:numPr>
          <w:ilvl w:val="0"/>
          <w:numId w:val="332"/>
        </w:numPr>
        <w:rPr/>
      </w:pPr>
      <w:r>
        <w:rPr/>
        <w:t>Retrieval-Augmented LLM;</w:t>
      </w:r>
    </w:p>
    <w:p>
      <w:pPr>
        <w:pStyle w:val="Compact"/>
        <w:numPr>
          <w:ilvl w:val="0"/>
          <w:numId w:val="333"/>
        </w:numPr>
        <w:rPr/>
      </w:pPr>
      <w:r>
        <w:rPr/>
        <w:t>Brain-5D mit NullLanguageBackend;</w:t>
      </w:r>
    </w:p>
    <w:p>
      <w:pPr>
        <w:pStyle w:val="Compact"/>
        <w:numPr>
          <w:ilvl w:val="0"/>
          <w:numId w:val="334"/>
        </w:numPr>
        <w:rPr/>
      </w:pPr>
      <w:r>
        <w:rPr/>
        <w:t>zufälliges Feature- beziehungsweise untrainiertes Netzwerk.</w:t>
      </w:r>
    </w:p>
    <w:p>
      <w:pPr>
        <w:pStyle w:val="FirstParagraph"/>
        <w:rPr/>
      </w:pPr>
      <w:bookmarkStart w:id="439" w:name="vergleichsbaselines"/>
      <w:r>
        <w:rPr/>
        <w:t>Baselines werden nicht nur nach Leistung, sondern auch nach Ressourcen, Online-Lernfähigkeit, Persistenz und Ablationsinterpretierbarkeit bewertet.</w:t>
      </w:r>
      <w:bookmarkEnd w:id="439"/>
    </w:p>
    <w:p>
      <w:pPr>
        <w:pStyle w:val="Heading2"/>
        <w:keepNext w:val="true"/>
        <w:widowControl/>
        <w:rPr/>
      </w:pPr>
      <w:bookmarkStart w:id="440" w:name="__RefHeading___Toc10189_954062153"/>
      <w:bookmarkEnd w:id="440"/>
      <w:r>
        <w:rPr/>
        <w:t>42. Falsifikationsmatrix</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3312"/>
        <w:gridCol w:w="3312"/>
        <w:gridCol w:w="3312"/>
      </w:tblGrid>
      <w:tr>
        <w:trPr>
          <w:tblHeader w:val="true"/>
        </w:trPr>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Claim</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Unterstützendes Muster</w:t>
            </w:r>
          </w:p>
        </w:tc>
        <w:tc>
          <w:tcPr>
            <w:tcW w:w="3312"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Falsifikation / Nichtunterstützung</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5D verbessert funktionale Modularität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Vorteil gegenüber gematchten 2D–6D- und Rewiring-Kontrollen; Effekt über Seeds</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kein relevanter Vorteil; nur höhere Dichte oder Kosten erklären Effekt</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Homeostase stabilisiert Lernen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weniger Runaway/Quieszenz bei erhaltener Leistung</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Stabilität steigt nicht oder Lernen wird gleich stark unterdrückt</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strukturelle Plastizität verbessert Continual Learning</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geringeres Forgetting bei kontrolliertem Budget</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gleiche oder schlechtere Retention; Nutzen verschwindet bei Kostenmatching</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SNN speichert KnowledgeItem</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Recall nach Isolation über Kontrollen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Recall fällt nach Retrieval-/LLM-Abschaltung auf Kontrollniveau</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emergentes Cluster ist funktional</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spezifischer matched-lesion-Effekt und Rescue</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beliebige Läsion gleich wirksam; Effekt nicht replizierbar</w:t>
            </w:r>
          </w:p>
        </w:tc>
      </w:tr>
      <w:tr>
        <w:trPr/>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interner Zustand ist prädiktiv</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inkrementelle Zukunftsinformation und Verhaltensnutzen</w:t>
            </w:r>
          </w:p>
        </w:tc>
        <w:tc>
          <w:tcPr>
            <w:tcW w:w="3312"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keine Zusatzinformation über aktuellen Input; Ablation ohne spezifischen Effekt</w:t>
            </w:r>
          </w:p>
        </w:tc>
      </w:tr>
      <w:tr>
        <w:trPr/>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Digital State Twin ist kausal fidel</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Replay reagiert auf Probe-Stimuli äquivalent</w:t>
            </w:r>
          </w:p>
        </w:tc>
        <w:tc>
          <w:tcPr>
            <w:tcW w:w="3312"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Restore divergiert vor Intervention oder verliert relevante Struktur</w:t>
            </w:r>
            <w:bookmarkStart w:id="441" w:name="falsifikationsmatrix"/>
            <w:bookmarkEnd w:id="441"/>
          </w:p>
        </w:tc>
      </w:tr>
    </w:tbl>
    <w:p>
      <w:pPr>
        <w:pStyle w:val="Heading2"/>
        <w:keepNext w:val="true"/>
        <w:widowControl/>
        <w:rPr/>
      </w:pPr>
      <w:bookmarkStart w:id="442" w:name="__RefHeading___Toc10191_954062153"/>
      <w:bookmarkEnd w:id="442"/>
      <w:r>
        <w:rPr/>
        <w:t>43. Validität</w:t>
      </w:r>
    </w:p>
    <w:p>
      <w:pPr>
        <w:pStyle w:val="Heading3"/>
        <w:keepNext w:val="true"/>
        <w:widowControl/>
        <w:rPr/>
      </w:pPr>
      <w:bookmarkStart w:id="443" w:name="interne-validität"/>
      <w:r>
        <w:rPr/>
        <w:t>43.1 Interne Validität</w:t>
      </w:r>
    </w:p>
    <w:p>
      <w:pPr>
        <w:pStyle w:val="FirstParagraph"/>
        <w:rPr/>
      </w:pPr>
      <w:bookmarkStart w:id="444" w:name="interne-validität"/>
      <w:r>
        <w:rPr/>
        <w:t>Gefährdungen sind ungematchte Ressourcen, Decoder-Leakage, variable Seeds, nachträgliche Parameterwahl, versteckte Retrieval-Caches und unkontrollierte LLM-Rückkopplung. Architektur-Invarianten und präregistrierte Spezifikationen adressieren diese Risiken.</w:t>
      </w:r>
      <w:bookmarkEnd w:id="444"/>
    </w:p>
    <w:p>
      <w:pPr>
        <w:pStyle w:val="Heading3"/>
        <w:keepNext w:val="true"/>
        <w:widowControl/>
        <w:rPr/>
      </w:pPr>
      <w:bookmarkStart w:id="445" w:name="konstruktvalidität"/>
      <w:r>
        <w:rPr/>
        <w:t>43.2 Konstruktvalidität</w:t>
      </w:r>
    </w:p>
    <w:p>
      <w:pPr>
        <w:pStyle w:val="FirstParagraph"/>
        <w:rPr/>
      </w:pPr>
      <w:bookmarkStart w:id="446" w:name="konstruktvalidität"/>
      <w:r>
        <w:rPr/>
        <w:t>Spikezahl ist keine Intelligenz; Modularität ist keine kognitive Modularität; Decodability ist keine kausale Repräsentation; Persistenz ist kein Gedächtnis. Jede Metrik wird gegen die theoretische Bedeutung geprüft.</w:t>
      </w:r>
      <w:bookmarkEnd w:id="446"/>
    </w:p>
    <w:p>
      <w:pPr>
        <w:pStyle w:val="Heading3"/>
        <w:keepNext w:val="true"/>
        <w:widowControl/>
        <w:rPr/>
      </w:pPr>
      <w:bookmarkStart w:id="447" w:name="externe-validität"/>
      <w:r>
        <w:rPr/>
        <w:t>43.3 Externe Validität</w:t>
      </w:r>
    </w:p>
    <w:p>
      <w:pPr>
        <w:pStyle w:val="FirstParagraph"/>
        <w:rPr/>
      </w:pPr>
      <w:bookmarkStart w:id="448" w:name="externe-validität"/>
      <w:r>
        <w:rPr/>
        <w:t>Ergebnisse sollen über Seeds, Aufgaben, Netzwerkgrößen, Stimulusvarianten und Modelle geprüft werden. Ein Effekt in einem synthetischen Benchmark kann wertvoll sein, muss aber entsprechend eng formuliert werden.</w:t>
      </w:r>
      <w:bookmarkEnd w:id="448"/>
    </w:p>
    <w:p>
      <w:pPr>
        <w:pStyle w:val="Heading3"/>
        <w:keepNext w:val="true"/>
        <w:widowControl/>
        <w:rPr/>
      </w:pPr>
      <w:bookmarkStart w:id="449" w:name="ökologische-validität"/>
      <w:r>
        <w:rPr/>
        <w:t>43.4 Ökologische Validität</w:t>
      </w:r>
    </w:p>
    <w:p>
      <w:pPr>
        <w:pStyle w:val="FirstParagraph"/>
        <w:rPr/>
      </w:pPr>
      <w:bookmarkStart w:id="450" w:name="ökologische-validität"/>
      <w:r>
        <w:rPr/>
        <w:t>Closed-Loop- und physische Tests erhöhen ökologische Nähe, führen aber neue Confounds ein. Sie ersetzen keine kontrollierten Laborbenchmarks. Beide Ebenen sind komplementär.</w:t>
      </w:r>
      <w:bookmarkEnd w:id="450"/>
    </w:p>
    <w:p>
      <w:pPr>
        <w:pStyle w:val="Heading3"/>
        <w:keepNext w:val="true"/>
        <w:widowControl/>
        <w:rPr/>
      </w:pPr>
      <w:bookmarkStart w:id="451" w:name="schlussfolgerungsvalidität"/>
      <w:r>
        <w:rPr/>
        <w:t>43.5 Schlussfolgerungsvalidität</w:t>
      </w:r>
    </w:p>
    <w:p>
      <w:pPr>
        <w:pStyle w:val="FirstParagraph"/>
        <w:rPr/>
      </w:pPr>
      <w:r>
        <w:rPr/>
        <w:t>Zu kleine Seed-Zahlen, multiple Tests, selektive Berichterstattung und Pseudoreplikation gefährden Schlussfolgerungen. Reproduzierbare Forschungspraxis, Präregistrierung und vollständige Run-Berichte sind deshalb methodische Kernbestandteile (</w:t>
      </w:r>
      <w:hyperlink w:anchor="ref-Munafo2017">
        <w:r>
          <w:rPr>
            <w:rStyle w:val="Hyperlink"/>
          </w:rPr>
          <w:t>Munafò et al., 2017</w:t>
        </w:r>
      </w:hyperlink>
      <w:r>
        <w:rPr/>
        <w:t xml:space="preserve">; </w:t>
      </w:r>
      <w:hyperlink w:anchor="ref-Nosek2018">
        <w:r>
          <w:rPr>
            <w:rStyle w:val="Hyperlink"/>
          </w:rPr>
          <w:t>Nosek et al., 2018</w:t>
        </w:r>
      </w:hyperlink>
      <w:r>
        <w:rPr/>
        <w:t xml:space="preserve">; </w:t>
      </w:r>
      <w:hyperlink w:anchor="ref-Sandve2013">
        <w:r>
          <w:rPr>
            <w:rStyle w:val="Hyperlink"/>
          </w:rPr>
          <w:t>Sandve et al., 2013</w:t>
        </w:r>
      </w:hyperlink>
      <w:r>
        <w:rPr/>
        <w:t>).</w:t>
      </w:r>
      <w:bookmarkEnd w:id="305"/>
      <w:bookmarkEnd w:id="451"/>
      <w:r>
        <w:br w:type="page"/>
      </w:r>
    </w:p>
    <w:p>
      <w:pPr>
        <w:pStyle w:val="Heading1"/>
        <w:keepNext w:val="true"/>
        <w:widowControl/>
        <w:rPr/>
      </w:pPr>
      <w:bookmarkStart w:id="452" w:name="__RefHeading___Toc10193_954062153"/>
      <w:bookmarkStart w:id="453" w:name="X2478d44831f851c933cf175c50775249ebe31fd"/>
      <w:bookmarkEnd w:id="452"/>
      <w:r>
        <w:rPr/>
        <w:t>Teil V — Reproduzierbarkeit, Roadmap und offene Forschungsfragen</w:t>
      </w:r>
    </w:p>
    <w:p>
      <w:pPr>
        <w:pStyle w:val="Heading2"/>
        <w:keepNext w:val="true"/>
        <w:widowControl/>
        <w:rPr/>
      </w:pPr>
      <w:bookmarkStart w:id="454" w:name="__RefHeading___Toc10195_954062153"/>
      <w:bookmarkStart w:id="455" w:name="X296fa89c4b3c3a9112957cb2bd19c0c34e6fd6c"/>
      <w:bookmarkEnd w:id="454"/>
      <w:r>
        <w:rPr/>
        <w:t>44. Reproduzierbarkeit und Forschungssoftware</w:t>
      </w:r>
    </w:p>
    <w:p>
      <w:pPr>
        <w:pStyle w:val="Heading3"/>
        <w:keepNext w:val="true"/>
        <w:widowControl/>
        <w:rPr/>
      </w:pPr>
      <w:bookmarkStart w:id="456" w:name="Xde7aeedcad8a1f1b07e345b06aa47ac9facf39d"/>
      <w:r>
        <w:rPr/>
        <w:t>44.1 Minimalmetadaten eines wissenschaftlichen Laufs</w:t>
      </w:r>
    </w:p>
    <w:p>
      <w:pPr>
        <w:pStyle w:val="FirstParagraph"/>
        <w:rPr/>
      </w:pPr>
      <w:r>
        <w:rPr/>
        <w:t>Jeder wissenschaftlich relevante Lauf enthält mindestens:</w:t>
      </w:r>
    </w:p>
    <w:p>
      <w:pPr>
        <w:pStyle w:val="SourceCode"/>
        <w:shd w:val="clear" w:fill="F5F7FA"/>
        <w:rPr/>
      </w:pPr>
      <w:r>
        <w:rPr>
          <w:rStyle w:val="FunctionTok"/>
        </w:rPr>
        <w:t>experiment_id</w:t>
      </w:r>
      <w:r>
        <w:rPr>
          <w:rStyle w:val="KeywordTok"/>
        </w:rPr>
        <w:t>:</w:t>
      </w:r>
      <w:r>
        <w:rPr>
          <w:rStyle w:val="AttributeTok"/>
        </w:rPr>
        <w:t xml:space="preserve"> EXP-...</w:t>
      </w:r>
      <w:r>
        <w:rPr/>
        <w:br/>
      </w:r>
      <w:r>
        <w:rPr>
          <w:rStyle w:val="FunctionTok"/>
        </w:rPr>
        <w:t>run_id</w:t>
      </w:r>
      <w:r>
        <w:rPr>
          <w:rStyle w:val="KeywordTok"/>
        </w:rPr>
        <w:t>:</w:t>
      </w:r>
      <w:r>
        <w:rPr>
          <w:rStyle w:val="AttributeTok"/>
        </w:rPr>
        <w:t xml:space="preserve"> RUN-...</w:t>
      </w:r>
      <w:r>
        <w:rPr/>
        <w:br/>
      </w:r>
      <w:r>
        <w:rPr>
          <w:rStyle w:val="FunctionTok"/>
        </w:rPr>
        <w:t>claim_ids</w:t>
      </w:r>
      <w:r>
        <w:rPr>
          <w:rStyle w:val="KeywordTok"/>
        </w:rPr>
        <w:t>:</w:t>
      </w:r>
      <w:r>
        <w:rPr>
          <w:rStyle w:val="AttributeTok"/>
        </w:rPr>
        <w:t xml:space="preserve"> </w:t>
      </w:r>
      <w:r>
        <w:rPr>
          <w:rStyle w:val="KeywordTok"/>
        </w:rPr>
        <w:t>[</w:t>
      </w:r>
      <w:r>
        <w:rPr>
          <w:rStyle w:val="AttributeTok"/>
        </w:rPr>
        <w:t>CLAIM-...</w:t>
      </w:r>
      <w:r>
        <w:rPr>
          <w:rStyle w:val="KeywordTok"/>
        </w:rPr>
        <w:t>]</w:t>
      </w:r>
      <w:r>
        <w:rPr/>
        <w:br/>
      </w:r>
      <w:r>
        <w:rPr>
          <w:rStyle w:val="FunctionTok"/>
        </w:rPr>
        <w:t>git_repository</w:t>
      </w:r>
      <w:r>
        <w:rPr>
          <w:rStyle w:val="KeywordTok"/>
        </w:rPr>
        <w:t>:</w:t>
      </w:r>
      <w:r>
        <w:rPr>
          <w:rStyle w:val="AttributeTok"/>
        </w:rPr>
        <w:t xml:space="preserve"> Thomas-Heisig/Brain-5D</w:t>
      </w:r>
      <w:r>
        <w:rPr/>
        <w:br/>
      </w:r>
      <w:r>
        <w:rPr>
          <w:rStyle w:val="FunctionTok"/>
        </w:rPr>
        <w:t>git_commit</w:t>
      </w:r>
      <w:r>
        <w:rPr>
          <w:rStyle w:val="KeywordTok"/>
        </w:rPr>
        <w:t>:</w:t>
      </w:r>
      <w:r>
        <w:rPr>
          <w:rStyle w:val="AttributeTok"/>
        </w:rPr>
        <w:t xml:space="preserve"> </w:t>
      </w:r>
      <w:r>
        <w:rPr>
          <w:rStyle w:val="StringTok"/>
        </w:rPr>
        <w:t>"..."</w:t>
      </w:r>
      <w:r>
        <w:rPr/>
        <w:br/>
      </w:r>
      <w:r>
        <w:rPr>
          <w:rStyle w:val="FunctionTok"/>
        </w:rPr>
        <w:t>brain5d_version</w:t>
      </w:r>
      <w:r>
        <w:rPr>
          <w:rStyle w:val="KeywordTok"/>
        </w:rPr>
        <w:t>:</w:t>
      </w:r>
      <w:r>
        <w:rPr>
          <w:rStyle w:val="AttributeTok"/>
        </w:rPr>
        <w:t xml:space="preserve"> </w:t>
      </w:r>
      <w:r>
        <w:rPr>
          <w:rStyle w:val="StringTok"/>
        </w:rPr>
        <w:t>"..."</w:t>
      </w:r>
      <w:r>
        <w:rPr/>
        <w:br/>
      </w:r>
      <w:r>
        <w:rPr>
          <w:rStyle w:val="FunctionTok"/>
        </w:rPr>
        <w:t>working_tree_clean</w:t>
      </w:r>
      <w:r>
        <w:rPr>
          <w:rStyle w:val="KeywordTok"/>
        </w:rPr>
        <w:t>:</w:t>
      </w:r>
      <w:r>
        <w:rPr>
          <w:rStyle w:val="AttributeTok"/>
        </w:rPr>
        <w:t xml:space="preserve"> </w:t>
      </w:r>
      <w:r>
        <w:rPr>
          <w:rStyle w:val="CharTok"/>
        </w:rPr>
        <w:t>true</w:t>
      </w:r>
      <w:r>
        <w:rPr/>
        <w:br/>
      </w:r>
      <w:r>
        <w:rPr>
          <w:rStyle w:val="FunctionTok"/>
        </w:rPr>
        <w:t>configuration_hash</w:t>
      </w:r>
      <w:r>
        <w:rPr>
          <w:rStyle w:val="KeywordTok"/>
        </w:rPr>
        <w:t>:</w:t>
      </w:r>
      <w:r>
        <w:rPr>
          <w:rStyle w:val="AttributeTok"/>
        </w:rPr>
        <w:t xml:space="preserve"> sha256:...</w:t>
      </w:r>
      <w:r>
        <w:rPr/>
        <w:br/>
      </w:r>
      <w:r>
        <w:rPr>
          <w:rStyle w:val="FunctionTok"/>
        </w:rPr>
        <w:t>configuration_artifact</w:t>
      </w:r>
      <w:r>
        <w:rPr>
          <w:rStyle w:val="KeywordTok"/>
        </w:rPr>
        <w:t>:</w:t>
      </w:r>
      <w:r>
        <w:rPr>
          <w:rStyle w:val="AttributeTok"/>
        </w:rPr>
        <w:t xml:space="preserve"> ART-...</w:t>
      </w:r>
      <w:r>
        <w:rPr/>
        <w:br/>
      </w:r>
      <w:r>
        <w:rPr>
          <w:rStyle w:val="FunctionTok"/>
        </w:rPr>
        <w:t>random_seed</w:t>
      </w:r>
      <w:r>
        <w:rPr>
          <w:rStyle w:val="KeywordTok"/>
        </w:rPr>
        <w:t>:</w:t>
      </w:r>
      <w:r>
        <w:rPr>
          <w:rStyle w:val="AttributeTok"/>
        </w:rPr>
        <w:t xml:space="preserve"> </w:t>
      </w:r>
      <w:r>
        <w:rPr>
          <w:rStyle w:val="DecValTok"/>
        </w:rPr>
        <w:t>12345</w:t>
      </w:r>
      <w:r>
        <w:rPr/>
        <w:br/>
      </w:r>
      <w:r>
        <w:rPr>
          <w:rStyle w:val="FunctionTok"/>
        </w:rPr>
        <w:t>rng_algorithm</w:t>
      </w:r>
      <w:r>
        <w:rPr>
          <w:rStyle w:val="KeywordTok"/>
        </w:rPr>
        <w:t>:</w:t>
      </w:r>
      <w:r>
        <w:rPr>
          <w:rStyle w:val="AttributeTok"/>
        </w:rPr>
        <w:t xml:space="preserve"> PCG64</w:t>
      </w:r>
      <w:r>
        <w:rPr/>
        <w:br/>
      </w:r>
      <w:r>
        <w:rPr>
          <w:rStyle w:val="FunctionTok"/>
        </w:rPr>
        <w:t>rng_state_artifact</w:t>
      </w:r>
      <w:r>
        <w:rPr>
          <w:rStyle w:val="KeywordTok"/>
        </w:rPr>
        <w:t>:</w:t>
      </w:r>
      <w:r>
        <w:rPr>
          <w:rStyle w:val="AttributeTok"/>
        </w:rPr>
        <w:t xml:space="preserve"> ART-...</w:t>
      </w:r>
      <w:r>
        <w:rPr/>
        <w:br/>
      </w:r>
      <w:r>
        <w:rPr>
          <w:rStyle w:val="FunctionTok"/>
        </w:rPr>
        <w:t>dataset_ids</w:t>
      </w:r>
      <w:r>
        <w:rPr>
          <w:rStyle w:val="KeywordTok"/>
        </w:rPr>
        <w:t>:</w:t>
      </w:r>
      <w:r>
        <w:rPr>
          <w:rStyle w:val="AttributeTok"/>
        </w:rPr>
        <w:t xml:space="preserve"> </w:t>
      </w:r>
      <w:r>
        <w:rPr>
          <w:rStyle w:val="KeywordTok"/>
        </w:rPr>
        <w:t>[</w:t>
      </w:r>
      <w:r>
        <w:rPr>
          <w:rStyle w:val="AttributeTok"/>
        </w:rPr>
        <w:t>DATA-...</w:t>
      </w:r>
      <w:r>
        <w:rPr>
          <w:rStyle w:val="KeywordTok"/>
        </w:rPr>
        <w:t>]</w:t>
      </w:r>
      <w:r>
        <w:rPr/>
        <w:br/>
      </w:r>
      <w:r>
        <w:rPr>
          <w:rStyle w:val="FunctionTok"/>
        </w:rPr>
        <w:t>stimulus_schema</w:t>
      </w:r>
      <w:r>
        <w:rPr>
          <w:rStyle w:val="KeywordTok"/>
        </w:rPr>
        <w:t>:</w:t>
      </w:r>
      <w:r>
        <w:rPr>
          <w:rStyle w:val="AttributeTok"/>
        </w:rPr>
        <w:t xml:space="preserve"> </w:t>
      </w:r>
      <w:r>
        <w:rPr>
          <w:rStyle w:val="StringTok"/>
        </w:rPr>
        <w:t>"2.0"</w:t>
      </w:r>
      <w:r>
        <w:rPr/>
        <w:br/>
      </w:r>
      <w:r>
        <w:rPr>
          <w:rStyle w:val="FunctionTok"/>
        </w:rPr>
        <w:t>network_schema</w:t>
      </w:r>
      <w:r>
        <w:rPr>
          <w:rStyle w:val="KeywordTok"/>
        </w:rPr>
        <w:t>:</w:t>
      </w:r>
      <w:r>
        <w:rPr>
          <w:rStyle w:val="AttributeTok"/>
        </w:rPr>
        <w:t xml:space="preserve"> </w:t>
      </w:r>
      <w:r>
        <w:rPr>
          <w:rStyle w:val="StringTok"/>
        </w:rPr>
        <w:t>"3.1"</w:t>
      </w:r>
      <w:r>
        <w:rPr/>
        <w:br/>
      </w:r>
      <w:r>
        <w:rPr>
          <w:rStyle w:val="FunctionTok"/>
        </w:rPr>
        <w:t>plasticity_schema</w:t>
      </w:r>
      <w:r>
        <w:rPr>
          <w:rStyle w:val="KeywordTok"/>
        </w:rPr>
        <w:t>:</w:t>
      </w:r>
      <w:r>
        <w:rPr>
          <w:rStyle w:val="AttributeTok"/>
        </w:rPr>
        <w:t xml:space="preserve"> </w:t>
      </w:r>
      <w:r>
        <w:rPr>
          <w:rStyle w:val="StringTok"/>
        </w:rPr>
        <w:t>"2.4"</w:t>
      </w:r>
      <w:r>
        <w:rPr/>
        <w:br/>
      </w:r>
      <w:r>
        <w:rPr>
          <w:rStyle w:val="FunctionTok"/>
        </w:rPr>
        <w:t>metric_schema</w:t>
      </w:r>
      <w:r>
        <w:rPr>
          <w:rStyle w:val="KeywordTok"/>
        </w:rPr>
        <w:t>:</w:t>
      </w:r>
      <w:r>
        <w:rPr>
          <w:rStyle w:val="AttributeTok"/>
        </w:rPr>
        <w:t xml:space="preserve"> </w:t>
      </w:r>
      <w:r>
        <w:rPr>
          <w:rStyle w:val="StringTok"/>
        </w:rPr>
        <w:t>"1.2"</w:t>
      </w:r>
      <w:r>
        <w:rPr/>
        <w:br/>
      </w:r>
      <w:r>
        <w:rPr>
          <w:rStyle w:val="FunctionTok"/>
        </w:rPr>
        <w:t>decoder_id</w:t>
      </w:r>
      <w:r>
        <w:rPr>
          <w:rStyle w:val="KeywordTok"/>
        </w:rPr>
        <w:t>:</w:t>
      </w:r>
      <w:r>
        <w:rPr>
          <w:rStyle w:val="AttributeTok"/>
        </w:rPr>
        <w:t xml:space="preserve"> DEC-...</w:t>
      </w:r>
      <w:r>
        <w:rPr/>
        <w:br/>
      </w:r>
      <w:r>
        <w:rPr>
          <w:rStyle w:val="FunctionTok"/>
        </w:rPr>
        <w:t>language_backend</w:t>
      </w:r>
      <w:r>
        <w:rPr>
          <w:rStyle w:val="KeywordTok"/>
        </w:rPr>
        <w:t>:</w:t>
      </w:r>
      <w:r>
        <w:rPr>
          <w:rStyle w:val="AttributeTok"/>
        </w:rPr>
        <w:t xml:space="preserve"> null-language-1.0</w:t>
      </w:r>
      <w:r>
        <w:rPr/>
        <w:br/>
      </w:r>
      <w:r>
        <w:rPr>
          <w:rStyle w:val="FunctionTok"/>
        </w:rPr>
        <w:t>hardware</w:t>
      </w:r>
      <w:r>
        <w:rPr>
          <w:rStyle w:val="KeywordTok"/>
        </w:rPr>
        <w:t>:</w:t>
      </w:r>
      <w:r>
        <w:rPr/>
        <w:br/>
      </w:r>
      <w:r>
        <w:rPr>
          <w:rStyle w:val="AttributeTok"/>
        </w:rPr>
        <w:t xml:space="preserve">  </w:t>
      </w:r>
      <w:r>
        <w:rPr>
          <w:rStyle w:val="FunctionTok"/>
        </w:rPr>
        <w:t>cpu</w:t>
      </w:r>
      <w:r>
        <w:rPr>
          <w:rStyle w:val="KeywordTok"/>
        </w:rPr>
        <w:t>:</w:t>
      </w:r>
      <w:r>
        <w:rPr>
          <w:rStyle w:val="AttributeTok"/>
        </w:rPr>
        <w:t xml:space="preserve"> </w:t>
      </w:r>
      <w:r>
        <w:rPr>
          <w:rStyle w:val="StringTok"/>
        </w:rPr>
        <w:t>"..."</w:t>
      </w:r>
      <w:r>
        <w:rPr/>
        <w:br/>
      </w:r>
      <w:r>
        <w:rPr>
          <w:rStyle w:val="AttributeTok"/>
        </w:rPr>
        <w:t xml:space="preserve">  </w:t>
      </w:r>
      <w:r>
        <w:rPr>
          <w:rStyle w:val="FunctionTok"/>
        </w:rPr>
        <w:t>gpu</w:t>
      </w:r>
      <w:r>
        <w:rPr>
          <w:rStyle w:val="KeywordTok"/>
        </w:rPr>
        <w:t>:</w:t>
      </w:r>
      <w:r>
        <w:rPr>
          <w:rStyle w:val="AttributeTok"/>
        </w:rPr>
        <w:t xml:space="preserve"> </w:t>
      </w:r>
      <w:r>
        <w:rPr>
          <w:rStyle w:val="StringTok"/>
        </w:rPr>
        <w:t>"..."</w:t>
      </w:r>
      <w:r>
        <w:rPr/>
        <w:br/>
      </w:r>
      <w:r>
        <w:rPr>
          <w:rStyle w:val="AttributeTok"/>
        </w:rPr>
        <w:t xml:space="preserve">  </w:t>
      </w:r>
      <w:r>
        <w:rPr>
          <w:rStyle w:val="FunctionTok"/>
        </w:rPr>
        <w:t>ram_gib</w:t>
      </w:r>
      <w:r>
        <w:rPr>
          <w:rStyle w:val="KeywordTok"/>
        </w:rPr>
        <w:t>:</w:t>
      </w:r>
      <w:r>
        <w:rPr>
          <w:rStyle w:val="AttributeTok"/>
        </w:rPr>
        <w:t xml:space="preserve"> </w:t>
      </w:r>
      <w:r>
        <w:rPr>
          <w:rStyle w:val="DecValTok"/>
        </w:rPr>
        <w:t>64</w:t>
      </w:r>
      <w:r>
        <w:rPr/>
        <w:br/>
      </w:r>
      <w:r>
        <w:rPr>
          <w:rStyle w:val="FunctionTok"/>
        </w:rPr>
        <w:t>software</w:t>
      </w:r>
      <w:r>
        <w:rPr>
          <w:rStyle w:val="KeywordTok"/>
        </w:rPr>
        <w:t>:</w:t>
      </w:r>
      <w:r>
        <w:rPr/>
        <w:br/>
      </w:r>
      <w:r>
        <w:rPr>
          <w:rStyle w:val="AttributeTok"/>
        </w:rPr>
        <w:t xml:space="preserve">  </w:t>
      </w:r>
      <w:r>
        <w:rPr>
          <w:rStyle w:val="FunctionTok"/>
        </w:rPr>
        <w:t>os</w:t>
      </w:r>
      <w:r>
        <w:rPr>
          <w:rStyle w:val="KeywordTok"/>
        </w:rPr>
        <w:t>:</w:t>
      </w:r>
      <w:r>
        <w:rPr>
          <w:rStyle w:val="AttributeTok"/>
        </w:rPr>
        <w:t xml:space="preserve"> </w:t>
      </w:r>
      <w:r>
        <w:rPr>
          <w:rStyle w:val="StringTok"/>
        </w:rPr>
        <w:t>"..."</w:t>
      </w:r>
      <w:r>
        <w:rPr/>
        <w:br/>
      </w:r>
      <w:r>
        <w:rPr>
          <w:rStyle w:val="AttributeTok"/>
        </w:rPr>
        <w:t xml:space="preserve">  </w:t>
      </w:r>
      <w:r>
        <w:rPr>
          <w:rStyle w:val="FunctionTok"/>
        </w:rPr>
        <w:t>python</w:t>
      </w:r>
      <w:r>
        <w:rPr>
          <w:rStyle w:val="KeywordTok"/>
        </w:rPr>
        <w:t>:</w:t>
      </w:r>
      <w:r>
        <w:rPr>
          <w:rStyle w:val="AttributeTok"/>
        </w:rPr>
        <w:t xml:space="preserve"> </w:t>
      </w:r>
      <w:r>
        <w:rPr>
          <w:rStyle w:val="StringTok"/>
        </w:rPr>
        <w:t>"..."</w:t>
      </w:r>
      <w:r>
        <w:rPr/>
        <w:br/>
      </w:r>
      <w:r>
        <w:rPr>
          <w:rStyle w:val="AttributeTok"/>
        </w:rPr>
        <w:t xml:space="preserve">  </w:t>
      </w:r>
      <w:r>
        <w:rPr>
          <w:rStyle w:val="FunctionTok"/>
        </w:rPr>
        <w:t>dependencies_lock_hash</w:t>
      </w:r>
      <w:r>
        <w:rPr>
          <w:rStyle w:val="KeywordTok"/>
        </w:rPr>
        <w:t>:</w:t>
      </w:r>
      <w:r>
        <w:rPr>
          <w:rStyle w:val="AttributeTok"/>
        </w:rPr>
        <w:t xml:space="preserve"> sha256:...</w:t>
      </w:r>
      <w:r>
        <w:rPr/>
        <w:br/>
      </w:r>
      <w:r>
        <w:rPr>
          <w:rStyle w:val="FunctionTok"/>
        </w:rPr>
        <w:t>start_tick</w:t>
      </w:r>
      <w:r>
        <w:rPr>
          <w:rStyle w:val="KeywordTok"/>
        </w:rPr>
        <w:t>:</w:t>
      </w:r>
      <w:r>
        <w:rPr>
          <w:rStyle w:val="AttributeTok"/>
        </w:rPr>
        <w:t xml:space="preserve"> </w:t>
      </w:r>
      <w:r>
        <w:rPr>
          <w:rStyle w:val="DecValTok"/>
        </w:rPr>
        <w:t>0</w:t>
      </w:r>
      <w:r>
        <w:rPr/>
        <w:br/>
      </w:r>
      <w:r>
        <w:rPr>
          <w:rStyle w:val="FunctionTok"/>
        </w:rPr>
        <w:t>end_tick</w:t>
      </w:r>
      <w:r>
        <w:rPr>
          <w:rStyle w:val="KeywordTok"/>
        </w:rPr>
        <w:t>:</w:t>
      </w:r>
      <w:r>
        <w:rPr>
          <w:rStyle w:val="AttributeTok"/>
        </w:rPr>
        <w:t xml:space="preserve"> </w:t>
      </w:r>
      <w:r>
        <w:rPr>
          <w:rStyle w:val="DecValTok"/>
        </w:rPr>
        <w:t>2000000</w:t>
      </w:r>
      <w:r>
        <w:rPr/>
        <w:br/>
      </w:r>
      <w:r>
        <w:rPr>
          <w:rStyle w:val="FunctionTok"/>
        </w:rPr>
        <w:t>wall_clock_start</w:t>
      </w:r>
      <w:r>
        <w:rPr>
          <w:rStyle w:val="KeywordTok"/>
        </w:rPr>
        <w:t>:</w:t>
      </w:r>
      <w:r>
        <w:rPr>
          <w:rStyle w:val="AttributeTok"/>
        </w:rPr>
        <w:t xml:space="preserve"> </w:t>
      </w:r>
      <w:r>
        <w:rPr>
          <w:rStyle w:val="StringTok"/>
        </w:rPr>
        <w:t>"..."</w:t>
      </w:r>
      <w:r>
        <w:rPr/>
        <w:br/>
      </w:r>
      <w:r>
        <w:rPr>
          <w:rStyle w:val="FunctionTok"/>
        </w:rPr>
        <w:t>termination_reason</w:t>
      </w:r>
      <w:r>
        <w:rPr>
          <w:rStyle w:val="KeywordTok"/>
        </w:rPr>
        <w:t>:</w:t>
      </w:r>
      <w:r>
        <w:rPr>
          <w:rStyle w:val="AttributeTok"/>
        </w:rPr>
        <w:t xml:space="preserve"> completed</w:t>
      </w:r>
      <w:bookmarkEnd w:id="456"/>
    </w:p>
    <w:p>
      <w:pPr>
        <w:pStyle w:val="Heading3"/>
        <w:keepNext w:val="true"/>
        <w:widowControl/>
        <w:rPr/>
      </w:pPr>
      <w:bookmarkStart w:id="457" w:name="reproduzierbare-umgebungen"/>
      <w:r>
        <w:rPr/>
        <w:t>44.2 Reproduzierbare Umgebungen</w:t>
      </w:r>
    </w:p>
    <w:p>
      <w:pPr>
        <w:pStyle w:val="FirstParagraph"/>
        <w:rPr/>
      </w:pPr>
      <w:r>
        <w:rPr/>
        <w:t>Abhängigkeiten werden über Lockfiles und archivierte Build-Artefakte erfasst. Container oder virtuelle Umgebungen unterstützen Reproduzierbarkeit, ersetzen aber keine Dokumentation von Hardware, Treibern und numerischen Bibliotheken. Wissenschaftliche Software soll zitierbar versioniert und mit persistenten Releases archiviert werden (</w:t>
      </w:r>
      <w:hyperlink w:anchor="ref-Smith2016">
        <w:r>
          <w:rPr>
            <w:rStyle w:val="Hyperlink"/>
          </w:rPr>
          <w:t>Smith et al., 2016</w:t>
        </w:r>
      </w:hyperlink>
      <w:r>
        <w:rPr/>
        <w:t xml:space="preserve">; </w:t>
      </w:r>
      <w:hyperlink w:anchor="ref-Wilson2017">
        <w:r>
          <w:rPr>
            <w:rStyle w:val="Hyperlink"/>
          </w:rPr>
          <w:t>Wilson et al., 2017</w:t>
        </w:r>
      </w:hyperlink>
      <w:r>
        <w:rPr/>
        <w:t>).</w:t>
      </w:r>
      <w:bookmarkEnd w:id="457"/>
    </w:p>
    <w:p>
      <w:pPr>
        <w:pStyle w:val="Heading3"/>
        <w:keepNext w:val="true"/>
        <w:widowControl/>
        <w:rPr/>
      </w:pPr>
      <w:bookmarkStart w:id="458" w:name="tests-und-wissenschaftliche-validation"/>
      <w:r>
        <w:rPr/>
        <w:t>44.3 Tests und wissenschaftliche Validation</w:t>
      </w:r>
    </w:p>
    <w:p>
      <w:pPr>
        <w:pStyle w:val="FirstParagraph"/>
        <w:rPr/>
      </w:pPr>
      <w:r>
        <w:rPr/>
        <w:t>Die Testpyramide umfasst:</w:t>
      </w:r>
    </w:p>
    <w:p>
      <w:pPr>
        <w:pStyle w:val="Compact"/>
        <w:numPr>
          <w:ilvl w:val="0"/>
          <w:numId w:val="335"/>
        </w:numPr>
        <w:rPr/>
      </w:pPr>
      <w:r>
        <w:rPr>
          <w:b/>
          <w:bCs/>
        </w:rPr>
        <w:t>Unit Tests:</w:t>
      </w:r>
      <w:r>
        <w:rPr/>
        <w:t xml:space="preserve"> Formeln, Grenzen, Serialisierung, RNG;</w:t>
      </w:r>
    </w:p>
    <w:p>
      <w:pPr>
        <w:pStyle w:val="Compact"/>
        <w:numPr>
          <w:ilvl w:val="0"/>
          <w:numId w:val="336"/>
        </w:numPr>
        <w:rPr/>
      </w:pPr>
      <w:r>
        <w:rPr>
          <w:b/>
          <w:bCs/>
        </w:rPr>
        <w:t>Property Tests:</w:t>
      </w:r>
      <w:r>
        <w:rPr/>
        <w:t xml:space="preserve"> Invarianten über viele zufällige Eingaben;</w:t>
      </w:r>
    </w:p>
    <w:p>
      <w:pPr>
        <w:pStyle w:val="Compact"/>
        <w:numPr>
          <w:ilvl w:val="0"/>
          <w:numId w:val="337"/>
        </w:numPr>
        <w:rPr/>
      </w:pPr>
      <w:r>
        <w:rPr>
          <w:b/>
          <w:bCs/>
        </w:rPr>
        <w:t>Integration Tests:</w:t>
      </w:r>
      <w:r>
        <w:rPr/>
        <w:t xml:space="preserve"> Datenverträge und Komponentenfehler;</w:t>
      </w:r>
    </w:p>
    <w:p>
      <w:pPr>
        <w:pStyle w:val="Compact"/>
        <w:numPr>
          <w:ilvl w:val="0"/>
          <w:numId w:val="338"/>
        </w:numPr>
        <w:rPr/>
      </w:pPr>
      <w:r>
        <w:rPr>
          <w:b/>
          <w:bCs/>
        </w:rPr>
        <w:t>Golden Runs:</w:t>
      </w:r>
      <w:r>
        <w:rPr/>
        <w:t xml:space="preserve"> kleine deterministische Referenzläufe;</w:t>
      </w:r>
    </w:p>
    <w:p>
      <w:pPr>
        <w:pStyle w:val="Compact"/>
        <w:numPr>
          <w:ilvl w:val="0"/>
          <w:numId w:val="339"/>
        </w:numPr>
        <w:rPr/>
      </w:pPr>
      <w:r>
        <w:rPr>
          <w:b/>
          <w:bCs/>
        </w:rPr>
        <w:t>Scientific Regression Tests:</w:t>
      </w:r>
      <w:r>
        <w:rPr/>
        <w:t xml:space="preserve"> erwartete Verteilungen und Metrikbereiche;</w:t>
      </w:r>
    </w:p>
    <w:p>
      <w:pPr>
        <w:pStyle w:val="Compact"/>
        <w:numPr>
          <w:ilvl w:val="0"/>
          <w:numId w:val="340"/>
        </w:numPr>
        <w:rPr/>
      </w:pPr>
      <w:r>
        <w:rPr>
          <w:b/>
          <w:bCs/>
        </w:rPr>
        <w:t>Benchmark Tests:</w:t>
      </w:r>
      <w:r>
        <w:rPr/>
        <w:t xml:space="preserve"> Leistung und Ressourcen;</w:t>
      </w:r>
    </w:p>
    <w:p>
      <w:pPr>
        <w:pStyle w:val="Compact"/>
        <w:numPr>
          <w:ilvl w:val="0"/>
          <w:numId w:val="341"/>
        </w:numPr>
        <w:rPr/>
      </w:pPr>
      <w:r>
        <w:rPr>
          <w:b/>
          <w:bCs/>
        </w:rPr>
        <w:t>Experiment Reproduction:</w:t>
      </w:r>
      <w:r>
        <w:rPr/>
        <w:t xml:space="preserve"> vollständige registrierte Studien.</w:t>
      </w:r>
    </w:p>
    <w:p>
      <w:pPr>
        <w:pStyle w:val="FirstParagraph"/>
        <w:rPr/>
      </w:pPr>
      <w:bookmarkStart w:id="459" w:name="tests-und-wissenschaftliche-validation"/>
      <w:r>
        <w:rPr/>
        <w:t>Golden Runs dürfen nicht als wissenschaftliche Replikation gelten; sie prüfen technische Drift.</w:t>
      </w:r>
      <w:bookmarkEnd w:id="459"/>
    </w:p>
    <w:p>
      <w:pPr>
        <w:pStyle w:val="Heading3"/>
        <w:keepNext w:val="true"/>
        <w:widowControl/>
        <w:rPr/>
      </w:pPr>
      <w:bookmarkStart w:id="460" w:name="datenintegrität"/>
      <w:r>
        <w:rPr/>
        <w:t>44.4 Datenintegrität</w:t>
      </w:r>
    </w:p>
    <w:p>
      <w:pPr>
        <w:pStyle w:val="FirstParagraph"/>
        <w:rPr/>
      </w:pPr>
      <w:r>
        <w:rPr/>
        <w:t>Artefakte erhalten kryptografische Hashes, Schema-ID, Bytegröße, Erzeugerprozess und Elternartefakte. FAIR-Prinzipien motivieren Auffindbarkeit, Zugänglichkeit, Interoperabilität und Wiederverwendbarkeit (</w:t>
      </w:r>
      <w:hyperlink w:anchor="ref-Wilkinson2016">
        <w:r>
          <w:rPr>
            <w:rStyle w:val="Hyperlink"/>
          </w:rPr>
          <w:t>Wilkinson et al., 2016</w:t>
        </w:r>
      </w:hyperlink>
      <w:r>
        <w:rPr/>
        <w:t>). Datenschutz, Lizenzen und Speichergrenzen können offene Veröffentlichung einschränken; in diesem Fall werden Metadaten, synthetische Reproduktionsdaten oder kontrollierte Zugänge dokumentiert.</w:t>
      </w:r>
      <w:bookmarkEnd w:id="460"/>
    </w:p>
    <w:p>
      <w:pPr>
        <w:pStyle w:val="Heading3"/>
        <w:keepNext w:val="true"/>
        <w:widowControl/>
        <w:rPr/>
      </w:pPr>
      <w:bookmarkStart w:id="461" w:name="reproduktionspaket"/>
      <w:r>
        <w:rPr/>
        <w:t>44.5 Reproduktionspaket</w:t>
      </w:r>
    </w:p>
    <w:p>
      <w:pPr>
        <w:pStyle w:val="FirstParagraph"/>
        <w:rPr/>
      </w:pPr>
      <w:r>
        <w:rPr/>
        <w:t>Eine veröffentlichungsfähige Studie enthält:</w:t>
      </w:r>
    </w:p>
    <w:p>
      <w:pPr>
        <w:pStyle w:val="SourceCode"/>
        <w:shd w:val="clear" w:fill="F5F7FA"/>
        <w:rPr/>
      </w:pPr>
      <w:r>
        <w:rPr>
          <w:rStyle w:val="VerbatimChar"/>
        </w:rPr>
        <w:t>paper/</w:t>
      </w:r>
      <w:r>
        <w:rPr/>
        <w:br/>
      </w:r>
      <w:r>
        <w:rPr>
          <w:rStyle w:val="VerbatimChar"/>
        </w:rPr>
        <w:t>protocol/</w:t>
      </w:r>
      <w:r>
        <w:rPr/>
        <w:br/>
      </w:r>
      <w:r>
        <w:rPr>
          <w:rStyle w:val="VerbatimChar"/>
        </w:rPr>
        <w:t>configs/</w:t>
      </w:r>
      <w:r>
        <w:rPr/>
        <w:br/>
      </w:r>
      <w:r>
        <w:rPr>
          <w:rStyle w:val="VerbatimChar"/>
        </w:rPr>
        <w:t>source_commit.txt</w:t>
      </w:r>
      <w:r>
        <w:rPr/>
        <w:br/>
      </w:r>
      <w:r>
        <w:rPr>
          <w:rStyle w:val="VerbatimChar"/>
        </w:rPr>
        <w:t>environment.lock</w:t>
      </w:r>
      <w:r>
        <w:rPr/>
        <w:br/>
      </w:r>
      <w:r>
        <w:rPr>
          <w:rStyle w:val="VerbatimChar"/>
        </w:rPr>
        <w:t>run_manifest.csv</w:t>
      </w:r>
      <w:r>
        <w:rPr/>
        <w:br/>
      </w:r>
      <w:r>
        <w:rPr>
          <w:rStyle w:val="VerbatimChar"/>
        </w:rPr>
        <w:t>raw_or_pointer_data/</w:t>
      </w:r>
      <w:r>
        <w:rPr/>
        <w:br/>
      </w:r>
      <w:r>
        <w:rPr>
          <w:rStyle w:val="VerbatimChar"/>
        </w:rPr>
        <w:t>derived_data/</w:t>
      </w:r>
      <w:r>
        <w:rPr/>
        <w:br/>
      </w:r>
      <w:r>
        <w:rPr>
          <w:rStyle w:val="VerbatimChar"/>
        </w:rPr>
        <w:t>analysis/</w:t>
      </w:r>
      <w:r>
        <w:rPr/>
        <w:br/>
      </w:r>
      <w:r>
        <w:rPr>
          <w:rStyle w:val="VerbatimChar"/>
        </w:rPr>
        <w:t>figures/</w:t>
      </w:r>
      <w:r>
        <w:rPr/>
        <w:br/>
      </w:r>
      <w:r>
        <w:rPr>
          <w:rStyle w:val="VerbatimChar"/>
        </w:rPr>
        <w:t>checksums.txt</w:t>
      </w:r>
      <w:r>
        <w:rPr/>
        <w:br/>
      </w:r>
      <w:r>
        <w:rPr>
          <w:rStyle w:val="VerbatimChar"/>
        </w:rPr>
        <w:t>README_REPRODUCE.md</w:t>
      </w:r>
    </w:p>
    <w:p>
      <w:pPr>
        <w:pStyle w:val="FirstParagraph"/>
        <w:rPr/>
      </w:pPr>
      <w:bookmarkStart w:id="462" w:name="X296fa89c4b3c3a9112957cb2bd19c0c34e6fd6c"/>
      <w:bookmarkStart w:id="463" w:name="reproduktionspaket"/>
      <w:r>
        <w:rPr/>
        <w:t>Die Analyse beginnt aus Raw- oder kanonischen Primärartefakten. Manuell veränderte Tabellen ohne Herkunft sind unzulässig.</w:t>
      </w:r>
      <w:bookmarkEnd w:id="462"/>
      <w:bookmarkEnd w:id="463"/>
    </w:p>
    <w:p>
      <w:pPr>
        <w:pStyle w:val="Heading2"/>
        <w:keepNext w:val="true"/>
        <w:widowControl/>
        <w:rPr/>
      </w:pPr>
      <w:bookmarkStart w:id="464" w:name="__RefHeading___Toc10197_954062153"/>
      <w:bookmarkStart w:id="465" w:name="vorläufige-gerichtete-vorhersagen"/>
      <w:bookmarkEnd w:id="464"/>
      <w:r>
        <w:rPr/>
        <w:t>45. Vorläufige gerichtete Vorhersagen</w:t>
      </w:r>
    </w:p>
    <w:p>
      <w:pPr>
        <w:pStyle w:val="FirstParagraph"/>
        <w:rPr/>
      </w:pPr>
      <w:r>
        <w:rPr/>
        <w:t>Vor ausreichender Pilotbasis werden qualitative, falsifizierbare Vorhersagen formuliert.</w:t>
      </w:r>
    </w:p>
    <w:p>
      <w:pPr>
        <w:pStyle w:val="Heading3"/>
        <w:keepNext w:val="true"/>
        <w:widowControl/>
        <w:rPr/>
      </w:pPr>
      <w:bookmarkStart w:id="466" w:name="p1-homeostase"/>
      <w:r>
        <w:rPr/>
        <w:t>P1 — Homeostase</w:t>
      </w:r>
    </w:p>
    <w:p>
      <w:pPr>
        <w:pStyle w:val="FirstParagraph"/>
        <w:rPr/>
      </w:pPr>
      <w:r>
        <w:rPr>
          <w:b/>
          <w:bCs/>
        </w:rPr>
        <w:t>[E0 | PREDICTION]</w:t>
      </w:r>
      <w:r>
        <w:rPr/>
        <w:t xml:space="preserve"> Bei aktiver positiver Hebb-Plastizität verringert eine angemessen schnell reagierende Homeostase extreme Aktivitätszustände. Zu starke oder zu schnelle Homeostase kann Lernsignale abschwächen. Erwartet wird deshalb kein monotoner, sondern ein regimespezifischer Effekt (</w:t>
      </w:r>
      <w:hyperlink w:anchor="ref-Zenke2013">
        <w:r>
          <w:rPr>
            <w:rStyle w:val="Hyperlink"/>
          </w:rPr>
          <w:t>Zenke et al., 2013</w:t>
        </w:r>
      </w:hyperlink>
      <w:r>
        <w:rPr/>
        <w:t xml:space="preserve">; </w:t>
      </w:r>
      <w:hyperlink w:anchor="ref-Zenke2017homeostasis">
        <w:r>
          <w:rPr>
            <w:rStyle w:val="Hyperlink"/>
          </w:rPr>
          <w:t>Zenke &amp; Gerstner, 2017</w:t>
        </w:r>
      </w:hyperlink>
      <w:r>
        <w:rPr/>
        <w:t>).</w:t>
      </w:r>
      <w:bookmarkEnd w:id="466"/>
    </w:p>
    <w:p>
      <w:pPr>
        <w:pStyle w:val="Heading3"/>
        <w:keepNext w:val="true"/>
        <w:widowControl/>
        <w:rPr/>
      </w:pPr>
      <w:bookmarkStart w:id="467" w:name="p2-inhibitorische-plastizität"/>
      <w:r>
        <w:rPr/>
        <w:t>P2 — Inhibitorische Plastizität</w:t>
      </w:r>
    </w:p>
    <w:p>
      <w:pPr>
        <w:pStyle w:val="FirstParagraph"/>
        <w:rPr/>
      </w:pPr>
      <w:r>
        <w:rPr>
          <w:b/>
          <w:bCs/>
        </w:rPr>
        <w:t>[E0 | PREDICTION]</w:t>
      </w:r>
      <w:r>
        <w:rPr/>
        <w:t xml:space="preserve"> Inhibitorische Plastizität reduziert regionale Überaktivität und verbessert die Wiederverwendbarkeit von Populationen, sofern Zielraten und Zeitskalen passend gewählt sind (</w:t>
      </w:r>
      <w:hyperlink w:anchor="ref-Vogels2011">
        <w:r>
          <w:rPr>
            <w:rStyle w:val="Hyperlink"/>
          </w:rPr>
          <w:t>Vogels et al., 2011</w:t>
        </w:r>
      </w:hyperlink>
      <w:r>
        <w:rPr/>
        <w:t>).</w:t>
      </w:r>
      <w:bookmarkEnd w:id="467"/>
    </w:p>
    <w:p>
      <w:pPr>
        <w:pStyle w:val="Heading3"/>
        <w:keepNext w:val="true"/>
        <w:widowControl/>
        <w:rPr/>
      </w:pPr>
      <w:bookmarkStart w:id="468" w:name="p3-strukturelle-plastizität"/>
      <w:r>
        <w:rPr/>
        <w:t>P3 — Strukturelle Plastizität</w:t>
      </w:r>
    </w:p>
    <w:p>
      <w:pPr>
        <w:pStyle w:val="FirstParagraph"/>
        <w:rPr/>
      </w:pPr>
      <w:r>
        <w:rPr>
          <w:b/>
          <w:bCs/>
        </w:rPr>
        <w:t>[E0 | PREDICTION]</w:t>
      </w:r>
      <w:r>
        <w:rPr/>
        <w:t xml:space="preserve"> Strukturelle Plastizität verbessert insbesondere bei veränderlichen Aufgaben die Adaptation, erhöht jedoch Storage-, Compute- und Instabilitätskosten. Ein Vorteil sollte nach Kostenmatching kleiner ausfallen als ohne Ressourcenabgleich.</w:t>
      </w:r>
      <w:bookmarkEnd w:id="468"/>
    </w:p>
    <w:p>
      <w:pPr>
        <w:pStyle w:val="Heading3"/>
        <w:keepNext w:val="true"/>
        <w:widowControl/>
        <w:rPr/>
      </w:pPr>
      <w:bookmarkStart w:id="469" w:name="p4-5d-geometrie"/>
      <w:r>
        <w:rPr/>
        <w:t>P4 — 5D-Geometrie</w:t>
      </w:r>
    </w:p>
    <w:p>
      <w:pPr>
        <w:pStyle w:val="FirstParagraph"/>
        <w:rPr/>
      </w:pPr>
      <w:r>
        <w:rPr>
          <w:b/>
          <w:bCs/>
        </w:rPr>
        <w:t>[E0 | PREDICTION]</w:t>
      </w:r>
      <w:r>
        <w:rPr/>
        <w:t xml:space="preserve"> Ein möglicher Nutzen zusätzlicher Dimensionen zeigt sich eher in geringerer Interferenz und flexibler Nachbarschaftsbildung als in unmittelbarer Einzeltask-Genauigkeit. Bleibt die effektive Metrik nahe rangreduziert, spricht dies gegen einen eigenständigen Nutzen aller fünf Achsen.</w:t>
      </w:r>
      <w:bookmarkEnd w:id="469"/>
    </w:p>
    <w:p>
      <w:pPr>
        <w:pStyle w:val="Heading3"/>
        <w:keepNext w:val="true"/>
        <w:widowControl/>
        <w:rPr/>
      </w:pPr>
      <w:bookmarkStart w:id="470" w:name="p5-learned-metric"/>
      <w:r>
        <w:rPr/>
        <w:t>P5 — Learned Metric</w:t>
      </w:r>
    </w:p>
    <w:p>
      <w:pPr>
        <w:pStyle w:val="FirstParagraph"/>
        <w:rPr/>
      </w:pPr>
      <w:r>
        <w:rPr>
          <w:b/>
          <w:bCs/>
        </w:rPr>
        <w:t>[E0 | PREDICTION]</w:t>
      </w:r>
      <w:r>
        <w:rPr/>
        <w:t xml:space="preserve"> Eine regulierte lernbare Metrik kann taskrelevante Nachbarschaften besser trennen als eine feste isotrope Metrik, ist aber anfällig für Kollaps und Leakage. Generalisierung auf neue Episoden ist entscheidend.</w:t>
      </w:r>
      <w:bookmarkEnd w:id="470"/>
    </w:p>
    <w:p>
      <w:pPr>
        <w:pStyle w:val="Heading3"/>
        <w:keepNext w:val="true"/>
        <w:widowControl/>
        <w:rPr/>
      </w:pPr>
      <w:bookmarkStart w:id="471" w:name="p6-language-organ"/>
      <w:r>
        <w:rPr/>
        <w:t>P6 — Language Organ</w:t>
      </w:r>
    </w:p>
    <w:p>
      <w:pPr>
        <w:pStyle w:val="FirstParagraph"/>
        <w:rPr/>
      </w:pPr>
      <w:r>
        <w:rPr>
          <w:b/>
          <w:bCs/>
        </w:rPr>
        <w:t>[E0 | PREDICTION]</w:t>
      </w:r>
      <w:r>
        <w:rPr/>
        <w:t xml:space="preserve"> Das Language Organ verbessert sofortige sprachliche Verständlichkeit deutlich. Dieser Effekt wird größer sein als ein möglicher kurzfristiger SNN-Lerneffekt und darf deshalb nicht als Nachweis neuronaler Semantik interpretiert werden.</w:t>
      </w:r>
      <w:bookmarkEnd w:id="471"/>
    </w:p>
    <w:p>
      <w:pPr>
        <w:pStyle w:val="Heading3"/>
        <w:keepNext w:val="true"/>
        <w:widowControl/>
        <w:rPr/>
      </w:pPr>
      <w:bookmarkStart w:id="472" w:name="p7-embodiment"/>
      <w:r>
        <w:rPr/>
        <w:t>P7 — Embodiment</w:t>
      </w:r>
    </w:p>
    <w:p>
      <w:pPr>
        <w:pStyle w:val="FirstParagraph"/>
        <w:rPr/>
      </w:pPr>
      <w:r>
        <w:rPr>
          <w:b/>
          <w:bCs/>
        </w:rPr>
        <w:t>[E0 | PREDICTION]</w:t>
      </w:r>
      <w:r>
        <w:rPr/>
        <w:t xml:space="preserve"> Closed-Loop-Systeme entwickeln stärker action-konditionierte Zustände; passiv „yoked“ Systeme können ähnliche sensorische Statistiken, aber geringere kausale Kontingenz aufweisen.</w:t>
      </w:r>
      <w:bookmarkEnd w:id="472"/>
    </w:p>
    <w:p>
      <w:pPr>
        <w:pStyle w:val="Heading3"/>
        <w:keepNext w:val="true"/>
        <w:widowControl/>
        <w:rPr/>
      </w:pPr>
      <w:bookmarkStart w:id="473" w:name="p8-continual-learning"/>
      <w:r>
        <w:rPr/>
        <w:t>P8 — Continual Learning</w:t>
      </w:r>
    </w:p>
    <w:p>
      <w:pPr>
        <w:pStyle w:val="FirstParagraph"/>
        <w:rPr/>
      </w:pPr>
      <w:r>
        <w:rPr>
          <w:b/>
          <w:bCs/>
        </w:rPr>
        <w:t>[E0 | PREDICTION]</w:t>
      </w:r>
      <w:r>
        <w:rPr/>
        <w:t xml:space="preserve"> Unregulierte Hebb-Plastizität zeigt stärkere Interferenz als Systeme mit Homeostase und Konsolidierung. Struktureller Turnover kann sowohl Forgetting reduzieren als auch alte Pfade zerstören; der Effekt hängt von Pruning-Grace und Ressourcenbudget ab.</w:t>
      </w:r>
      <w:bookmarkEnd w:id="473"/>
    </w:p>
    <w:p>
      <w:pPr>
        <w:pStyle w:val="Heading3"/>
        <w:keepNext w:val="true"/>
        <w:widowControl/>
        <w:rPr/>
      </w:pPr>
      <w:bookmarkStart w:id="474" w:name="p9-digital-state-twin"/>
      <w:r>
        <w:rPr/>
        <w:t>P9 — Digital-State-Twin</w:t>
      </w:r>
    </w:p>
    <w:p>
      <w:pPr>
        <w:pStyle w:val="FirstParagraph"/>
        <w:rPr/>
      </w:pPr>
      <w:r>
        <w:rPr>
          <w:b/>
          <w:bCs/>
        </w:rPr>
        <w:t>[E0 | PREDICTION]</w:t>
      </w:r>
      <w:r>
        <w:rPr/>
        <w:t xml:space="preserve"> Checkpoint-plus-Delta reduziert Speicher gegenüber Vollsnapshots deutlich, während Restore-Zeit mit Delta-Länge steigt. Ein adaptives Checkpoint-Intervall sollte den kombinierten Kostenwert minimieren.</w:t>
      </w:r>
      <w:bookmarkEnd w:id="474"/>
    </w:p>
    <w:p>
      <w:pPr>
        <w:pStyle w:val="Heading3"/>
        <w:keepNext w:val="true"/>
        <w:widowControl/>
        <w:rPr/>
      </w:pPr>
      <w:bookmarkStart w:id="475" w:name="p10-skalierung"/>
      <w:r>
        <w:rPr/>
        <w:t>P10 — Skalierung</w:t>
      </w:r>
    </w:p>
    <w:p>
      <w:pPr>
        <w:pStyle w:val="FirstParagraph"/>
        <w:rPr/>
      </w:pPr>
      <w:r>
        <w:rPr>
          <w:b/>
          <w:bCs/>
        </w:rPr>
        <w:t>[E0 | PREDICTION]</w:t>
      </w:r>
      <w:r>
        <w:rPr/>
        <w:t xml:space="preserve"> Dynamische Regime und optimale Plastizitätsparameter verschieben sich mit Netzwerkgröße. Direkte Hyperparameterübertragung ohne Normalisierung wird nicht zuverlässig sein.</w:t>
      </w:r>
      <w:bookmarkEnd w:id="465"/>
      <w:bookmarkEnd w:id="475"/>
    </w:p>
    <w:p>
      <w:pPr>
        <w:pStyle w:val="Heading2"/>
        <w:keepNext w:val="true"/>
        <w:widowControl/>
        <w:rPr/>
      </w:pPr>
      <w:bookmarkStart w:id="476" w:name="__RefHeading___Toc10199_954062153"/>
      <w:bookmarkStart w:id="477" w:name="limitationen-und-risiken-der-theorie"/>
      <w:bookmarkEnd w:id="476"/>
      <w:r>
        <w:rPr/>
        <w:t>46. Limitationen und Risiken der Theorie</w:t>
      </w:r>
    </w:p>
    <w:p>
      <w:pPr>
        <w:pStyle w:val="Heading3"/>
        <w:keepNext w:val="true"/>
        <w:widowControl/>
        <w:rPr/>
      </w:pPr>
      <w:bookmarkStart w:id="478" w:name="biologische-abstraktion"/>
      <w:r>
        <w:rPr/>
        <w:t>46.1 Biologische Abstraktion</w:t>
      </w:r>
    </w:p>
    <w:p>
      <w:pPr>
        <w:pStyle w:val="FirstParagraph"/>
        <w:rPr/>
      </w:pPr>
      <w:r>
        <w:rPr/>
        <w:t>Izhikevich-, LIF-, STDP- und Homeostasemodelle sind funktionale Abstraktionen. Sie bilden keine vollständige Morphologie, Kanaldynamik, Glia, Genexpression, Gefäßversorgung oder Molekularbiologie ab. Höhere Detailtiefe kann lokal ergänzt werden, erhöht aber Parameter- und Validationsbedarf (</w:t>
      </w:r>
      <w:hyperlink w:anchor="ref-Carnevale2006">
        <w:r>
          <w:rPr>
            <w:rStyle w:val="Hyperlink"/>
          </w:rPr>
          <w:t>Carnevale &amp; Hines, 2006</w:t>
        </w:r>
      </w:hyperlink>
      <w:r>
        <w:rPr/>
        <w:t xml:space="preserve">; </w:t>
      </w:r>
      <w:hyperlink w:anchor="ref-Hodgkin1952">
        <w:r>
          <w:rPr>
            <w:rStyle w:val="Hyperlink"/>
          </w:rPr>
          <w:t>Hodgkin &amp; Huxley, 1952</w:t>
        </w:r>
      </w:hyperlink>
      <w:r>
        <w:rPr/>
        <w:t>).</w:t>
      </w:r>
      <w:bookmarkEnd w:id="478"/>
    </w:p>
    <w:p>
      <w:pPr>
        <w:pStyle w:val="Heading3"/>
        <w:keepNext w:val="true"/>
        <w:widowControl/>
        <w:rPr/>
      </w:pPr>
      <w:bookmarkStart w:id="479" w:name="kombinatorische-komplexität"/>
      <w:r>
        <w:rPr/>
        <w:t>46.2 Kombinatorische Komplexität</w:t>
      </w:r>
    </w:p>
    <w:p>
      <w:pPr>
        <w:pStyle w:val="FirstParagraph"/>
        <w:rPr/>
      </w:pPr>
      <w:bookmarkStart w:id="480" w:name="kombinatorische-komplexität"/>
      <w:r>
        <w:rPr/>
        <w:t>Die Kombination vieler Mechanismen erzeugt einen großen Hypothesen- und Parameterraum. Ohne hierarchische Experimente sind Kausalbeiträge nicht identifizierbar. Das Framework bevorzugt deshalb kleine, isolierbare Benchmarks vor der Vollintegration.</w:t>
      </w:r>
      <w:bookmarkEnd w:id="480"/>
    </w:p>
    <w:p>
      <w:pPr>
        <w:pStyle w:val="Heading3"/>
        <w:keepNext w:val="true"/>
        <w:widowControl/>
        <w:rPr/>
      </w:pPr>
      <w:bookmarkStart w:id="481" w:name="semantikproblem"/>
      <w:r>
        <w:rPr/>
        <w:t>46.3 Semantikproblem</w:t>
      </w:r>
    </w:p>
    <w:p>
      <w:pPr>
        <w:pStyle w:val="FirstParagraph"/>
        <w:rPr/>
      </w:pPr>
      <w:bookmarkStart w:id="482" w:name="semantikproblem"/>
      <w:r>
        <w:rPr/>
        <w:t>Neuronale Zustände besitzen keine automatisch menschenlesbare Semantik. Ein Decoder kann plausible Texte aus schwachen Signalen erzeugen. Die Trennung zwischen Decodability, Repräsentation und Funktion reduziert, beseitigt aber nicht alle Interpretationsrisiken.</w:t>
      </w:r>
      <w:bookmarkEnd w:id="482"/>
    </w:p>
    <w:p>
      <w:pPr>
        <w:pStyle w:val="Heading3"/>
        <w:keepNext w:val="true"/>
        <w:widowControl/>
        <w:rPr/>
      </w:pPr>
      <w:bookmarkStart w:id="483" w:name="d-arbitrarität"/>
      <w:r>
        <w:rPr/>
        <w:t>46.4 5D-Arbitrarität</w:t>
      </w:r>
    </w:p>
    <w:p>
      <w:pPr>
        <w:pStyle w:val="FirstParagraph"/>
        <w:rPr/>
      </w:pPr>
      <w:bookmarkStart w:id="484" w:name="d-arbitrarität"/>
      <w:r>
        <w:rPr/>
        <w:t>Fünf Dimensionen sind eine Architekturhypothese. Andere Dimensionen, Graphen oder nichtgeometrische Darstellungen können gleich gut oder besser sein. Ein negatives Ergebnis wäre keine Niederlage des Forschungsprogramms, sondern eine Einschränkung oder Revision der Geometrieannahme.</w:t>
      </w:r>
      <w:bookmarkEnd w:id="484"/>
    </w:p>
    <w:p>
      <w:pPr>
        <w:pStyle w:val="Heading3"/>
        <w:keepNext w:val="true"/>
        <w:widowControl/>
        <w:rPr/>
      </w:pPr>
      <w:bookmarkStart w:id="485" w:name="simulations-realität"/>
      <w:r>
        <w:rPr/>
        <w:t>46.5 Simulations-Realität</w:t>
      </w:r>
    </w:p>
    <w:p>
      <w:pPr>
        <w:pStyle w:val="FirstParagraph"/>
        <w:rPr/>
      </w:pPr>
      <w:bookmarkStart w:id="486" w:name="simulations-realität"/>
      <w:r>
        <w:rPr/>
        <w:t>Ein digitaler Spike ist kein biologisches Aktionspotential. Eine realistische Visualisierung oder hohe Neuronenzahl erhöht nicht automatisch biologische Gültigkeit. Modelle werden nach der Fragestellung und ihren Vorhersagen bewertet.</w:t>
      </w:r>
      <w:bookmarkEnd w:id="486"/>
    </w:p>
    <w:p>
      <w:pPr>
        <w:pStyle w:val="Heading3"/>
        <w:keepNext w:val="true"/>
        <w:widowControl/>
        <w:rPr/>
      </w:pPr>
      <w:bookmarkStart w:id="487" w:name="rechen--und-speichergrenzen"/>
      <w:r>
        <w:rPr/>
        <w:t>46.6 Rechen- und Speichergrenzen</w:t>
      </w:r>
    </w:p>
    <w:p>
      <w:pPr>
        <w:pStyle w:val="FirstParagraph"/>
        <w:rPr/>
      </w:pPr>
      <w:bookmarkStart w:id="488" w:name="rechen--und-speichergrenzen"/>
      <w:r>
        <w:rPr/>
        <w:t>Hundertmillionen Neuronen und Milliarden Synapsen überschreiten eine naive Einzelrechnerarchitektur. Sparse Materialisierung, Partitionierung und ereignisbasierte Verarbeitung sind notwendig, garantieren aber keine Echtzeitfähigkeit.</w:t>
      </w:r>
      <w:bookmarkEnd w:id="488"/>
    </w:p>
    <w:p>
      <w:pPr>
        <w:pStyle w:val="Heading3"/>
        <w:keepNext w:val="true"/>
        <w:widowControl/>
        <w:rPr/>
      </w:pPr>
      <w:bookmarkStart w:id="489" w:name="nichtstationarität"/>
      <w:r>
        <w:rPr/>
        <w:t>46.7 Nichtstationarität</w:t>
      </w:r>
    </w:p>
    <w:p>
      <w:pPr>
        <w:pStyle w:val="FirstParagraph"/>
        <w:rPr/>
      </w:pPr>
      <w:bookmarkStart w:id="490" w:name="nichtstationarität"/>
      <w:r>
        <w:rPr/>
        <w:t>Strukturelle Plastizität verändert den Daten erzeugenden Prozess. Metriken, Decoder und Regionen können dadurch über Zeit ihre Bedeutung ändern. Versionierte Zeitfenster und Driftanalysen sind erforderlich.</w:t>
      </w:r>
      <w:bookmarkEnd w:id="490"/>
    </w:p>
    <w:p>
      <w:pPr>
        <w:pStyle w:val="Heading3"/>
        <w:keepNext w:val="true"/>
        <w:widowControl/>
        <w:rPr/>
      </w:pPr>
      <w:bookmarkStart w:id="491" w:name="externe-modelle-als-confound"/>
      <w:r>
        <w:rPr/>
        <w:t>46.8 Externe Modelle als Confound</w:t>
      </w:r>
    </w:p>
    <w:p>
      <w:pPr>
        <w:pStyle w:val="FirstParagraph"/>
        <w:rPr/>
      </w:pPr>
      <w:bookmarkStart w:id="492" w:name="externe-modelle-als-confound"/>
      <w:r>
        <w:rPr/>
        <w:t>LLMs und Encoder enthalten umfangreiches Vorwissen. Selbst bei direkter Schreibsperre können sie den SNN-Input so strukturieren, dass Aufgaben stark vereinfacht werden. Null-, Zufalls- und Fixed-Encoder-Kontrollen bleiben notwendig.</w:t>
      </w:r>
      <w:bookmarkEnd w:id="492"/>
    </w:p>
    <w:p>
      <w:pPr>
        <w:pStyle w:val="Heading3"/>
        <w:keepNext w:val="true"/>
        <w:widowControl/>
        <w:rPr/>
      </w:pPr>
      <w:bookmarkStart w:id="493" w:name="messinvasivität"/>
      <w:r>
        <w:rPr/>
        <w:t>46.9 Messinvasivität</w:t>
      </w:r>
    </w:p>
    <w:p>
      <w:pPr>
        <w:pStyle w:val="FirstParagraph"/>
        <w:rPr/>
      </w:pPr>
      <w:bookmarkStart w:id="494" w:name="messinvasivität"/>
      <w:r>
        <w:rPr/>
        <w:t>Monitoring kann technisch Ressourcen verbrauchen, Timing verändern oder Speicherzugriffe beeinflussen. „Beobachtend“ bedeutet kausal nicht interventionell auf Modellzustände; Performanceeinflüsse des Instrumentariums müssen dennoch gemessen werden.</w:t>
      </w:r>
      <w:bookmarkEnd w:id="494"/>
    </w:p>
    <w:p>
      <w:pPr>
        <w:pStyle w:val="Heading3"/>
        <w:keepNext w:val="true"/>
        <w:widowControl/>
        <w:rPr/>
      </w:pPr>
      <w:bookmarkStart w:id="495" w:name="open-ended-learning"/>
      <w:r>
        <w:rPr/>
        <w:t>46.10 Open-Ended Learning</w:t>
      </w:r>
    </w:p>
    <w:p>
      <w:pPr>
        <w:pStyle w:val="FirstParagraph"/>
        <w:rPr/>
      </w:pPr>
      <w:bookmarkStart w:id="496" w:name="limitationen-und-risiken-der-theorie"/>
      <w:bookmarkStart w:id="497" w:name="open-ended-learning"/>
      <w:r>
        <w:rPr/>
        <w:t>Langfristig offenes Lernen erschwert feste Ground Truth und Endpunkte. Zunächst werden begrenzte Aufgaben verwendet. Später sind Methoden für Verhaltensvielfalt, Kompetenzfortschritt und Sicherheitsregression nötig.</w:t>
      </w:r>
      <w:bookmarkEnd w:id="496"/>
      <w:bookmarkEnd w:id="497"/>
    </w:p>
    <w:p>
      <w:pPr>
        <w:pStyle w:val="Heading2"/>
        <w:keepNext w:val="true"/>
        <w:widowControl/>
        <w:rPr/>
      </w:pPr>
      <w:bookmarkStart w:id="498" w:name="__RefHeading___Toc10201_954062153"/>
      <w:bookmarkStart w:id="499" w:name="roadmap-mit-evidenzgates"/>
      <w:bookmarkEnd w:id="498"/>
      <w:r>
        <w:rPr/>
        <w:t>47. Roadmap mit Evidenzgates</w:t>
      </w:r>
    </w:p>
    <w:p>
      <w:pPr>
        <w:pStyle w:val="Heading3"/>
        <w:keepNext w:val="true"/>
        <w:widowControl/>
        <w:rPr/>
      </w:pPr>
      <w:bookmarkStart w:id="500" w:name="alpha.6-morphological-stabilization"/>
      <w:r>
        <w:rPr/>
        <w:t>47.1 Alpha.6 — Morphological Stabilization</w:t>
      </w:r>
    </w:p>
    <w:p>
      <w:pPr>
        <w:pStyle w:val="FirstParagraph"/>
        <w:rPr/>
      </w:pPr>
      <w:r>
        <w:rPr>
          <w:b/>
          <w:bCs/>
        </w:rPr>
        <w:t>Ziele</w:t>
      </w:r>
    </w:p>
    <w:p>
      <w:pPr>
        <w:pStyle w:val="Compact"/>
        <w:numPr>
          <w:ilvl w:val="0"/>
          <w:numId w:val="342"/>
        </w:numPr>
        <w:rPr/>
      </w:pPr>
      <w:r>
        <w:rPr/>
        <w:t>Homeostase, Growth Budgets und strukturelle Kosten;</w:t>
      </w:r>
    </w:p>
    <w:p>
      <w:pPr>
        <w:pStyle w:val="Compact"/>
        <w:numPr>
          <w:ilvl w:val="0"/>
          <w:numId w:val="343"/>
        </w:numPr>
        <w:rPr/>
      </w:pPr>
      <w:r>
        <w:rPr/>
        <w:t>Anti-Runaway- und Quieszenzdetektion;</w:t>
      </w:r>
    </w:p>
    <w:p>
      <w:pPr>
        <w:pStyle w:val="Compact"/>
        <w:numPr>
          <w:ilvl w:val="0"/>
          <w:numId w:val="344"/>
        </w:numPr>
        <w:rPr/>
      </w:pPr>
      <w:r>
        <w:rPr/>
        <w:t>Alter und Provenienz von Neuronen/Synapsen;</w:t>
      </w:r>
    </w:p>
    <w:p>
      <w:pPr>
        <w:pStyle w:val="Compact"/>
        <w:numPr>
          <w:ilvl w:val="0"/>
          <w:numId w:val="345"/>
        </w:numPr>
        <w:rPr/>
      </w:pPr>
      <w:r>
        <w:rPr/>
        <w:t xml:space="preserve">deterministische </w:t>
      </w:r>
      <w:r>
        <w:rPr>
          <w:rStyle w:val="VerbatimChar"/>
        </w:rPr>
        <w:t>SignalFrame</w:t>
      </w:r>
      <w:r>
        <w:rPr/>
        <w:t xml:space="preserve">- und </w:t>
      </w:r>
      <w:r>
        <w:rPr>
          <w:rStyle w:val="VerbatimChar"/>
        </w:rPr>
        <w:t>StimulusPlan</w:t>
      </w:r>
      <w:r>
        <w:rPr/>
        <w:t>-Verträge;</w:t>
      </w:r>
    </w:p>
    <w:p>
      <w:pPr>
        <w:pStyle w:val="Compact"/>
        <w:numPr>
          <w:ilvl w:val="0"/>
          <w:numId w:val="346"/>
        </w:numPr>
        <w:rPr/>
      </w:pPr>
      <w:r>
        <w:rPr/>
        <w:t>NullLanguageBackend;</w:t>
      </w:r>
    </w:p>
    <w:p>
      <w:pPr>
        <w:pStyle w:val="Compact"/>
        <w:numPr>
          <w:ilvl w:val="0"/>
          <w:numId w:val="347"/>
        </w:numPr>
        <w:rPr/>
      </w:pPr>
      <w:r>
        <w:rPr/>
        <w:t>Checkpoint-/Restore-Basis.</w:t>
      </w:r>
    </w:p>
    <w:p>
      <w:pPr>
        <w:pStyle w:val="FirstParagraph"/>
        <w:rPr/>
      </w:pPr>
      <w:r>
        <w:rPr>
          <w:b/>
          <w:bCs/>
        </w:rPr>
        <w:t>Exit Gate</w:t>
      </w:r>
    </w:p>
    <w:p>
      <w:pPr>
        <w:pStyle w:val="Compact"/>
        <w:numPr>
          <w:ilvl w:val="0"/>
          <w:numId w:val="348"/>
        </w:numPr>
        <w:rPr/>
      </w:pPr>
      <w:r>
        <w:rPr/>
        <w:t>alle relevanten Komponenten E1;</w:t>
      </w:r>
    </w:p>
    <w:p>
      <w:pPr>
        <w:pStyle w:val="Compact"/>
        <w:numPr>
          <w:ilvl w:val="0"/>
          <w:numId w:val="349"/>
        </w:numPr>
        <w:rPr/>
      </w:pPr>
      <w:r>
        <w:rPr/>
        <w:t>deterministische Golden Runs auf Referenzplattform;</w:t>
      </w:r>
    </w:p>
    <w:p>
      <w:pPr>
        <w:pStyle w:val="Compact"/>
        <w:numPr>
          <w:ilvl w:val="0"/>
          <w:numId w:val="350"/>
        </w:numPr>
        <w:rPr/>
      </w:pPr>
      <w:r>
        <w:rPr/>
        <w:t>keine Verletzung der Architektur-Invarianten in Failure-Injection-Tests;</w:t>
      </w:r>
    </w:p>
    <w:p>
      <w:pPr>
        <w:pStyle w:val="Compact"/>
        <w:numPr>
          <w:ilvl w:val="0"/>
          <w:numId w:val="351"/>
        </w:numPr>
        <w:rPr/>
      </w:pPr>
      <w:bookmarkStart w:id="501" w:name="alpha.6-morphological-stabilization"/>
      <w:r>
        <w:rPr/>
        <w:t>Baseline-Phasenkarte für ein kleines Netz.</w:t>
      </w:r>
      <w:bookmarkEnd w:id="501"/>
    </w:p>
    <w:p>
      <w:pPr>
        <w:pStyle w:val="Heading3"/>
        <w:keepNext w:val="true"/>
        <w:widowControl/>
        <w:rPr/>
      </w:pPr>
      <w:bookmarkStart w:id="502" w:name="alpha.7-language-organ-proof-of-concept"/>
      <w:r>
        <w:rPr/>
        <w:t>47.2 Alpha.7 — Language Organ Proof of Concept</w:t>
      </w:r>
    </w:p>
    <w:p>
      <w:pPr>
        <w:pStyle w:val="FirstParagraph"/>
        <w:rPr/>
      </w:pPr>
      <w:r>
        <w:rPr>
          <w:b/>
          <w:bCs/>
        </w:rPr>
        <w:t>Ziele</w:t>
      </w:r>
    </w:p>
    <w:p>
      <w:pPr>
        <w:pStyle w:val="Compact"/>
        <w:numPr>
          <w:ilvl w:val="0"/>
          <w:numId w:val="352"/>
        </w:numPr>
        <w:rPr/>
      </w:pPr>
      <w:r>
        <w:rPr/>
        <w:t>lokales und optionales Remote-Backend;</w:t>
      </w:r>
    </w:p>
    <w:p>
      <w:pPr>
        <w:pStyle w:val="Compact"/>
        <w:numPr>
          <w:ilvl w:val="0"/>
          <w:numId w:val="353"/>
        </w:numPr>
        <w:rPr/>
      </w:pPr>
      <w:r>
        <w:rPr/>
        <w:t>asynchrone Queue, Timeout und Ressourcenlimits;</w:t>
      </w:r>
    </w:p>
    <w:p>
      <w:pPr>
        <w:pStyle w:val="Compact"/>
        <w:numPr>
          <w:ilvl w:val="0"/>
          <w:numId w:val="354"/>
        </w:numPr>
        <w:rPr/>
      </w:pPr>
      <w:r>
        <w:rPr/>
        <w:t>rein beobachtender Monitor;</w:t>
      </w:r>
    </w:p>
    <w:p>
      <w:pPr>
        <w:pStyle w:val="Compact"/>
        <w:numPr>
          <w:ilvl w:val="0"/>
          <w:numId w:val="355"/>
        </w:numPr>
        <w:rPr/>
      </w:pPr>
      <w:r>
        <w:rPr>
          <w:rStyle w:val="VerbatimChar"/>
        </w:rPr>
        <w:t>FeedbackProposal</w:t>
      </w:r>
      <w:r>
        <w:rPr/>
        <w:t xml:space="preserve"> und </w:t>
      </w:r>
      <w:r>
        <w:rPr>
          <w:rStyle w:val="VerbatimChar"/>
        </w:rPr>
        <w:t>PolicyGate</w:t>
      </w:r>
      <w:r>
        <w:rPr/>
        <w:t>;</w:t>
      </w:r>
    </w:p>
    <w:p>
      <w:pPr>
        <w:pStyle w:val="Compact"/>
        <w:numPr>
          <w:ilvl w:val="0"/>
          <w:numId w:val="356"/>
        </w:numPr>
        <w:rPr/>
      </w:pPr>
      <w:r>
        <w:rPr/>
        <w:t>L0–L3-Ablationen.</w:t>
      </w:r>
    </w:p>
    <w:p>
      <w:pPr>
        <w:pStyle w:val="FirstParagraph"/>
        <w:rPr/>
      </w:pPr>
      <w:r>
        <w:rPr>
          <w:b/>
          <w:bCs/>
        </w:rPr>
        <w:t>Exit Gate</w:t>
      </w:r>
    </w:p>
    <w:p>
      <w:pPr>
        <w:pStyle w:val="Compact"/>
        <w:numPr>
          <w:ilvl w:val="0"/>
          <w:numId w:val="357"/>
        </w:numPr>
        <w:rPr/>
      </w:pPr>
      <w:r>
        <w:rPr/>
        <w:t>SNN läuft bei vollständigem Backend-Ausfall weiter;</w:t>
      </w:r>
    </w:p>
    <w:p>
      <w:pPr>
        <w:pStyle w:val="Compact"/>
        <w:numPr>
          <w:ilvl w:val="0"/>
          <w:numId w:val="358"/>
        </w:numPr>
        <w:rPr/>
      </w:pPr>
      <w:r>
        <w:rPr/>
        <w:t>kein direkter Schreibpfad zu Gewichten oder Topologie;</w:t>
      </w:r>
    </w:p>
    <w:p>
      <w:pPr>
        <w:pStyle w:val="Compact"/>
        <w:numPr>
          <w:ilvl w:val="0"/>
          <w:numId w:val="359"/>
        </w:numPr>
        <w:rPr/>
      </w:pPr>
      <w:r>
        <w:rPr/>
        <w:t>alle Interventionen vollständig rückverfolgbar;</w:t>
      </w:r>
    </w:p>
    <w:p>
      <w:pPr>
        <w:pStyle w:val="Compact"/>
        <w:numPr>
          <w:ilvl w:val="0"/>
          <w:numId w:val="360"/>
        </w:numPr>
        <w:rPr/>
      </w:pPr>
      <w:bookmarkStart w:id="503" w:name="alpha.7-language-organ-proof-of-concept"/>
      <w:r>
        <w:rPr/>
        <w:t>Decoder-Leakage-Test bestanden.</w:t>
      </w:r>
      <w:bookmarkEnd w:id="503"/>
    </w:p>
    <w:p>
      <w:pPr>
        <w:pStyle w:val="Heading3"/>
        <w:keepNext w:val="true"/>
        <w:widowControl/>
        <w:rPr/>
      </w:pPr>
      <w:bookmarkStart w:id="504" w:name="X5ba35c39f3dc9d43916d6c6b86f487048db8a29"/>
      <w:r>
        <w:rPr/>
        <w:t>47.3 v0.6 — Scaling, Storage und Knowledge Intake</w:t>
      </w:r>
    </w:p>
    <w:p>
      <w:pPr>
        <w:pStyle w:val="FirstParagraph"/>
        <w:rPr/>
      </w:pPr>
      <w:r>
        <w:rPr>
          <w:b/>
          <w:bCs/>
        </w:rPr>
        <w:t>Ziele</w:t>
      </w:r>
    </w:p>
    <w:p>
      <w:pPr>
        <w:pStyle w:val="Compact"/>
        <w:numPr>
          <w:ilvl w:val="0"/>
          <w:numId w:val="361"/>
        </w:numPr>
        <w:rPr/>
      </w:pPr>
      <w:r>
        <w:rPr/>
        <w:t>sparse arrayorientierter Zustand;</w:t>
      </w:r>
    </w:p>
    <w:p>
      <w:pPr>
        <w:pStyle w:val="Compact"/>
        <w:numPr>
          <w:ilvl w:val="0"/>
          <w:numId w:val="362"/>
        </w:numPr>
        <w:rPr/>
      </w:pPr>
      <w:r>
        <w:rPr/>
        <w:t>chunked snapshots, dirty tracking und Delta-Log;</w:t>
      </w:r>
    </w:p>
    <w:p>
      <w:pPr>
        <w:pStyle w:val="Compact"/>
        <w:numPr>
          <w:ilvl w:val="0"/>
          <w:numId w:val="363"/>
        </w:numPr>
        <w:rPr/>
      </w:pPr>
      <w:r>
        <w:rPr/>
        <w:t>SourceRecord/KnowledgeItem-Provenienz;</w:t>
      </w:r>
    </w:p>
    <w:p>
      <w:pPr>
        <w:pStyle w:val="Compact"/>
        <w:numPr>
          <w:ilvl w:val="0"/>
          <w:numId w:val="364"/>
        </w:numPr>
        <w:rPr/>
      </w:pPr>
      <w:r>
        <w:rPr/>
        <w:t>Registry-Basis;</w:t>
      </w:r>
    </w:p>
    <w:p>
      <w:pPr>
        <w:pStyle w:val="Compact"/>
        <w:numPr>
          <w:ilvl w:val="0"/>
          <w:numId w:val="365"/>
        </w:numPr>
        <w:rPr/>
      </w:pPr>
      <w:r>
        <w:rPr/>
        <w:t>Benchmarks bis zu mehreren Größenordnungen.</w:t>
      </w:r>
    </w:p>
    <w:p>
      <w:pPr>
        <w:pStyle w:val="FirstParagraph"/>
        <w:rPr/>
      </w:pPr>
      <w:r>
        <w:rPr>
          <w:b/>
          <w:bCs/>
        </w:rPr>
        <w:t>Exit Gate</w:t>
      </w:r>
    </w:p>
    <w:p>
      <w:pPr>
        <w:pStyle w:val="Compact"/>
        <w:numPr>
          <w:ilvl w:val="0"/>
          <w:numId w:val="366"/>
        </w:numPr>
        <w:rPr/>
      </w:pPr>
      <w:r>
        <w:rPr/>
        <w:t>definierte State-, Temporal- und Structural-Fidelity;</w:t>
      </w:r>
    </w:p>
    <w:p>
      <w:pPr>
        <w:pStyle w:val="Compact"/>
        <w:numPr>
          <w:ilvl w:val="0"/>
          <w:numId w:val="367"/>
        </w:numPr>
        <w:rPr/>
      </w:pPr>
      <w:r>
        <w:rPr/>
        <w:t>reproduzierbarer Restore kleiner und mittlerer Läufe;</w:t>
      </w:r>
    </w:p>
    <w:p>
      <w:pPr>
        <w:pStyle w:val="Compact"/>
        <w:numPr>
          <w:ilvl w:val="0"/>
          <w:numId w:val="368"/>
        </w:numPr>
        <w:rPr/>
      </w:pPr>
      <w:r>
        <w:rPr/>
        <w:t>Storage- und Scaling-Bericht;</w:t>
      </w:r>
    </w:p>
    <w:p>
      <w:pPr>
        <w:pStyle w:val="Compact"/>
        <w:numPr>
          <w:ilvl w:val="0"/>
          <w:numId w:val="369"/>
        </w:numPr>
        <w:rPr/>
      </w:pPr>
      <w:bookmarkStart w:id="505" w:name="X5ba35c39f3dc9d43916d6c6b86f487048db8a29"/>
      <w:r>
        <w:rPr/>
        <w:t>KnowledgeItem kann bis zum Stimulus und Ergebnis verfolgt werden.</w:t>
      </w:r>
      <w:bookmarkEnd w:id="505"/>
    </w:p>
    <w:p>
      <w:pPr>
        <w:pStyle w:val="Heading3"/>
        <w:keepNext w:val="true"/>
        <w:widowControl/>
        <w:rPr/>
      </w:pPr>
      <w:bookmarkStart w:id="506" w:name="v0.7-controlled-learning"/>
      <w:r>
        <w:rPr/>
        <w:t>47.4 v0.7 — Controlled Learning</w:t>
      </w:r>
    </w:p>
    <w:p>
      <w:pPr>
        <w:pStyle w:val="FirstParagraph"/>
        <w:rPr/>
      </w:pPr>
      <w:r>
        <w:rPr>
          <w:b/>
          <w:bCs/>
        </w:rPr>
        <w:t>Ziele</w:t>
      </w:r>
    </w:p>
    <w:p>
      <w:pPr>
        <w:pStyle w:val="Compact"/>
        <w:numPr>
          <w:ilvl w:val="0"/>
          <w:numId w:val="370"/>
        </w:numPr>
        <w:rPr/>
      </w:pPr>
      <w:r>
        <w:rPr/>
        <w:t>KnowledgeEpisode;</w:t>
      </w:r>
    </w:p>
    <w:p>
      <w:pPr>
        <w:pStyle w:val="Compact"/>
        <w:numPr>
          <w:ilvl w:val="0"/>
          <w:numId w:val="371"/>
        </w:numPr>
        <w:rPr/>
      </w:pPr>
      <w:r>
        <w:rPr/>
        <w:t>isolierte Train-/Eval-Phasen;</w:t>
      </w:r>
    </w:p>
    <w:p>
      <w:pPr>
        <w:pStyle w:val="Compact"/>
        <w:numPr>
          <w:ilvl w:val="0"/>
          <w:numId w:val="372"/>
        </w:numPr>
        <w:rPr/>
      </w:pPr>
      <w:r>
        <w:rPr/>
        <w:t>delayed reward und Three-Factor Learning;</w:t>
      </w:r>
    </w:p>
    <w:p>
      <w:pPr>
        <w:pStyle w:val="Compact"/>
        <w:numPr>
          <w:ilvl w:val="0"/>
          <w:numId w:val="373"/>
        </w:numPr>
        <w:rPr/>
      </w:pPr>
      <w:r>
        <w:rPr/>
        <w:t>Retention, Widerspruch und Continual-Learning-Benchmarks;</w:t>
      </w:r>
    </w:p>
    <w:p>
      <w:pPr>
        <w:pStyle w:val="Compact"/>
        <w:numPr>
          <w:ilvl w:val="0"/>
          <w:numId w:val="374"/>
        </w:numPr>
        <w:rPr/>
      </w:pPr>
      <w:r>
        <w:rPr/>
        <w:t>erste E2-Claims.</w:t>
      </w:r>
    </w:p>
    <w:p>
      <w:pPr>
        <w:pStyle w:val="FirstParagraph"/>
        <w:rPr/>
      </w:pPr>
      <w:r>
        <w:rPr>
          <w:b/>
          <w:bCs/>
        </w:rPr>
        <w:t>Exit Gate</w:t>
      </w:r>
    </w:p>
    <w:p>
      <w:pPr>
        <w:pStyle w:val="Compact"/>
        <w:numPr>
          <w:ilvl w:val="0"/>
          <w:numId w:val="375"/>
        </w:numPr>
        <w:rPr/>
      </w:pPr>
      <w:r>
        <w:rPr/>
        <w:t>mindestens ein präregistrierter, replizierter E2-Funktionsnachweis;</w:t>
      </w:r>
    </w:p>
    <w:p>
      <w:pPr>
        <w:pStyle w:val="Compact"/>
        <w:numPr>
          <w:ilvl w:val="0"/>
          <w:numId w:val="376"/>
        </w:numPr>
        <w:rPr/>
      </w:pPr>
      <w:r>
        <w:rPr/>
        <w:t>vollständige Null- und Retrieval-Isolation;</w:t>
      </w:r>
    </w:p>
    <w:p>
      <w:pPr>
        <w:pStyle w:val="Compact"/>
        <w:numPr>
          <w:ilvl w:val="0"/>
          <w:numId w:val="377"/>
        </w:numPr>
        <w:rPr/>
      </w:pPr>
      <w:bookmarkStart w:id="507" w:name="v0.7-controlled-learning"/>
      <w:r>
        <w:rPr/>
        <w:t>veröffentlichbares Reproduktionspaket.</w:t>
      </w:r>
      <w:bookmarkEnd w:id="507"/>
    </w:p>
    <w:p>
      <w:pPr>
        <w:pStyle w:val="Heading3"/>
        <w:keepNext w:val="true"/>
        <w:widowControl/>
        <w:rPr/>
      </w:pPr>
      <w:bookmarkStart w:id="508" w:name="v0.8-embodiment"/>
      <w:r>
        <w:rPr/>
        <w:t>47.5 v0.8 — Embodiment</w:t>
      </w:r>
    </w:p>
    <w:p>
      <w:pPr>
        <w:pStyle w:val="FirstParagraph"/>
        <w:rPr/>
      </w:pPr>
      <w:r>
        <w:rPr>
          <w:b/>
          <w:bCs/>
        </w:rPr>
        <w:t>Ziele</w:t>
      </w:r>
    </w:p>
    <w:p>
      <w:pPr>
        <w:pStyle w:val="Compact"/>
        <w:numPr>
          <w:ilvl w:val="0"/>
          <w:numId w:val="378"/>
        </w:numPr>
        <w:rPr/>
      </w:pPr>
      <w:r>
        <w:rPr/>
        <w:t>multimodale Sensoren und Aktoren;</w:t>
      </w:r>
    </w:p>
    <w:p>
      <w:pPr>
        <w:pStyle w:val="Compact"/>
        <w:numPr>
          <w:ilvl w:val="0"/>
          <w:numId w:val="379"/>
        </w:numPr>
        <w:rPr/>
      </w:pPr>
      <w:r>
        <w:rPr/>
        <w:t>Open-, Yoked- und Closed-Loop-Design;</w:t>
      </w:r>
    </w:p>
    <w:p>
      <w:pPr>
        <w:pStyle w:val="Compact"/>
        <w:numPr>
          <w:ilvl w:val="0"/>
          <w:numId w:val="380"/>
        </w:numPr>
        <w:rPr/>
      </w:pPr>
      <w:r>
        <w:rPr/>
        <w:t>Zeitsynchronisation;</w:t>
      </w:r>
    </w:p>
    <w:p>
      <w:pPr>
        <w:pStyle w:val="Compact"/>
        <w:numPr>
          <w:ilvl w:val="0"/>
          <w:numId w:val="381"/>
        </w:numPr>
        <w:rPr/>
      </w:pPr>
      <w:r>
        <w:rPr/>
        <w:t>Policy- und Safety-Gates;</w:t>
      </w:r>
    </w:p>
    <w:p>
      <w:pPr>
        <w:pStyle w:val="Compact"/>
        <w:numPr>
          <w:ilvl w:val="0"/>
          <w:numId w:val="382"/>
        </w:numPr>
        <w:rPr/>
      </w:pPr>
      <w:r>
        <w:rPr/>
        <w:t>Environment-Forks.</w:t>
      </w:r>
    </w:p>
    <w:p>
      <w:pPr>
        <w:pStyle w:val="FirstParagraph"/>
        <w:rPr/>
      </w:pPr>
      <w:r>
        <w:rPr>
          <w:b/>
          <w:bCs/>
        </w:rPr>
        <w:t>Exit Gate</w:t>
      </w:r>
    </w:p>
    <w:p>
      <w:pPr>
        <w:pStyle w:val="Compact"/>
        <w:numPr>
          <w:ilvl w:val="0"/>
          <w:numId w:val="383"/>
        </w:numPr>
        <w:rPr/>
      </w:pPr>
      <w:r>
        <w:rPr/>
        <w:t>kein ungeprüfter Aktorpfad;</w:t>
      </w:r>
    </w:p>
    <w:p>
      <w:pPr>
        <w:pStyle w:val="Compact"/>
        <w:numPr>
          <w:ilvl w:val="0"/>
          <w:numId w:val="384"/>
        </w:numPr>
        <w:rPr/>
      </w:pPr>
      <w:r>
        <w:rPr/>
        <w:t>Closed-Loop-Effekt gegenüber Yoked Control ausgewertet;</w:t>
      </w:r>
    </w:p>
    <w:p>
      <w:pPr>
        <w:pStyle w:val="Compact"/>
        <w:numPr>
          <w:ilvl w:val="0"/>
          <w:numId w:val="385"/>
        </w:numPr>
        <w:rPr/>
      </w:pPr>
      <w:bookmarkStart w:id="509" w:name="v0.8-embodiment"/>
      <w:r>
        <w:rPr/>
        <w:t>Sensor- und Aktuatorausfall sicher behandelt.</w:t>
      </w:r>
      <w:bookmarkEnd w:id="509"/>
    </w:p>
    <w:p>
      <w:pPr>
        <w:pStyle w:val="Heading3"/>
        <w:keepNext w:val="true"/>
        <w:widowControl/>
        <w:rPr/>
      </w:pPr>
      <w:bookmarkStart w:id="510" w:name="X96d03a0aff2413bd4041c3318c84b7d641dd701"/>
      <w:r>
        <w:rPr/>
        <w:t>47.6 v0.9 — Candidate Internal Predictive State Model</w:t>
      </w:r>
    </w:p>
    <w:p>
      <w:pPr>
        <w:pStyle w:val="FirstParagraph"/>
        <w:rPr/>
      </w:pPr>
      <w:r>
        <w:rPr>
          <w:b/>
          <w:bCs/>
        </w:rPr>
        <w:t>Ziele</w:t>
      </w:r>
    </w:p>
    <w:p>
      <w:pPr>
        <w:pStyle w:val="Compact"/>
        <w:numPr>
          <w:ilvl w:val="0"/>
          <w:numId w:val="386"/>
        </w:numPr>
        <w:rPr/>
      </w:pPr>
      <w:r>
        <w:rPr/>
        <w:t>action-konditionierte Vorhersage;</w:t>
      </w:r>
    </w:p>
    <w:p>
      <w:pPr>
        <w:pStyle w:val="Compact"/>
        <w:numPr>
          <w:ilvl w:val="0"/>
          <w:numId w:val="387"/>
        </w:numPr>
        <w:rPr/>
      </w:pPr>
      <w:r>
        <w:rPr/>
        <w:t>Multi-Step-Rollouts;</w:t>
      </w:r>
    </w:p>
    <w:p>
      <w:pPr>
        <w:pStyle w:val="Compact"/>
        <w:numPr>
          <w:ilvl w:val="0"/>
          <w:numId w:val="388"/>
        </w:numPr>
        <w:rPr/>
      </w:pPr>
      <w:r>
        <w:rPr/>
        <w:t>prädiktive Zustandsdekodierung;</w:t>
      </w:r>
    </w:p>
    <w:p>
      <w:pPr>
        <w:pStyle w:val="Compact"/>
        <w:numPr>
          <w:ilvl w:val="0"/>
          <w:numId w:val="389"/>
        </w:numPr>
        <w:rPr/>
      </w:pPr>
      <w:r>
        <w:rPr/>
        <w:t>Läsion und Verhaltensnutzen;</w:t>
      </w:r>
    </w:p>
    <w:p>
      <w:pPr>
        <w:pStyle w:val="Compact"/>
        <w:numPr>
          <w:ilvl w:val="0"/>
          <w:numId w:val="390"/>
        </w:numPr>
        <w:rPr/>
      </w:pPr>
      <w:r>
        <w:rPr/>
        <w:t>keine vorzeitige „World Model“-Behauptung.</w:t>
      </w:r>
    </w:p>
    <w:p>
      <w:pPr>
        <w:pStyle w:val="FirstParagraph"/>
        <w:rPr/>
      </w:pPr>
      <w:r>
        <w:rPr>
          <w:b/>
          <w:bCs/>
        </w:rPr>
        <w:t>Exit Gate</w:t>
      </w:r>
    </w:p>
    <w:p>
      <w:pPr>
        <w:pStyle w:val="Compact"/>
        <w:numPr>
          <w:ilvl w:val="0"/>
          <w:numId w:val="391"/>
        </w:numPr>
        <w:rPr/>
      </w:pPr>
      <w:r>
        <w:rPr/>
        <w:t>inkrementelle Zukunftsinformation über aktuellen Input hinaus;</w:t>
      </w:r>
    </w:p>
    <w:p>
      <w:pPr>
        <w:pStyle w:val="Compact"/>
        <w:numPr>
          <w:ilvl w:val="0"/>
          <w:numId w:val="392"/>
        </w:numPr>
        <w:rPr/>
      </w:pPr>
      <w:r>
        <w:rPr/>
        <w:t>reproduzierbarer Verhaltensnutzen;</w:t>
      </w:r>
    </w:p>
    <w:p>
      <w:pPr>
        <w:pStyle w:val="Compact"/>
        <w:numPr>
          <w:ilvl w:val="0"/>
          <w:numId w:val="393"/>
        </w:numPr>
        <w:rPr/>
      </w:pPr>
      <w:r>
        <w:rPr/>
        <w:t>spezifischer Ablationseffekt;</w:t>
      </w:r>
    </w:p>
    <w:p>
      <w:pPr>
        <w:pStyle w:val="Compact"/>
        <w:numPr>
          <w:ilvl w:val="0"/>
          <w:numId w:val="394"/>
        </w:numPr>
        <w:rPr/>
      </w:pPr>
      <w:bookmarkStart w:id="511" w:name="X96d03a0aff2413bd4041c3318c84b7d641dd701"/>
      <w:r>
        <w:rPr/>
        <w:t>dokumentierte Grenzen und Fehlermodi.</w:t>
      </w:r>
      <w:bookmarkEnd w:id="511"/>
    </w:p>
    <w:p>
      <w:pPr>
        <w:pStyle w:val="Heading3"/>
        <w:keepNext w:val="true"/>
        <w:widowControl/>
        <w:rPr/>
      </w:pPr>
      <w:bookmarkStart w:id="512" w:name="v1.0-validated-research-platform"/>
      <w:r>
        <w:rPr/>
        <w:t>47.7 v1.0 — Validated Research Platform</w:t>
      </w:r>
    </w:p>
    <w:p>
      <w:pPr>
        <w:pStyle w:val="FirstParagraph"/>
        <w:rPr/>
      </w:pPr>
      <w:r>
        <w:rPr/>
        <w:t>Eine Version 1.0 bezeichnet nicht allgemeine Intelligenz. Sie setzt voraus:</w:t>
      </w:r>
    </w:p>
    <w:p>
      <w:pPr>
        <w:pStyle w:val="Compact"/>
        <w:numPr>
          <w:ilvl w:val="0"/>
          <w:numId w:val="395"/>
        </w:numPr>
        <w:rPr/>
      </w:pPr>
      <w:r>
        <w:rPr/>
        <w:t>stabile Daten- und Architekturverträge;</w:t>
      </w:r>
    </w:p>
    <w:p>
      <w:pPr>
        <w:pStyle w:val="Compact"/>
        <w:numPr>
          <w:ilvl w:val="0"/>
          <w:numId w:val="396"/>
        </w:numPr>
        <w:rPr/>
      </w:pPr>
      <w:r>
        <w:rPr/>
        <w:t>vollständige Reproduzierbarkeit zentraler Benchmarks;</w:t>
      </w:r>
    </w:p>
    <w:p>
      <w:pPr>
        <w:pStyle w:val="Compact"/>
        <w:numPr>
          <w:ilvl w:val="0"/>
          <w:numId w:val="397"/>
        </w:numPr>
        <w:rPr/>
      </w:pPr>
      <w:r>
        <w:rPr/>
        <w:t>mehrere E2- und mindestens ausgewählte E3-Claims;</w:t>
      </w:r>
    </w:p>
    <w:p>
      <w:pPr>
        <w:pStyle w:val="Compact"/>
        <w:numPr>
          <w:ilvl w:val="0"/>
          <w:numId w:val="398"/>
        </w:numPr>
        <w:rPr/>
      </w:pPr>
      <w:r>
        <w:rPr/>
        <w:t>externe oder unabhängige Replikationsversuche;</w:t>
      </w:r>
    </w:p>
    <w:p>
      <w:pPr>
        <w:pStyle w:val="Compact"/>
        <w:numPr>
          <w:ilvl w:val="0"/>
          <w:numId w:val="399"/>
        </w:numPr>
        <w:rPr/>
      </w:pPr>
      <w:r>
        <w:rPr/>
        <w:t>dokumentierte Security-, Safety- und Governance-Prozesse;</w:t>
      </w:r>
    </w:p>
    <w:p>
      <w:pPr>
        <w:pStyle w:val="Compact"/>
        <w:numPr>
          <w:ilvl w:val="0"/>
          <w:numId w:val="400"/>
        </w:numPr>
        <w:rPr/>
      </w:pPr>
      <w:bookmarkStart w:id="513" w:name="roadmap-mit-evidenzgates"/>
      <w:bookmarkStart w:id="514" w:name="v1.0-validated-research-platform"/>
      <w:r>
        <w:rPr/>
        <w:t>archivierten Release mit persistentem Identifikator.</w:t>
      </w:r>
      <w:bookmarkEnd w:id="513"/>
      <w:bookmarkEnd w:id="514"/>
    </w:p>
    <w:p>
      <w:pPr>
        <w:pStyle w:val="Heading2"/>
        <w:keepNext w:val="true"/>
        <w:widowControl/>
        <w:rPr/>
      </w:pPr>
      <w:bookmarkStart w:id="515" w:name="__RefHeading___Toc10203_954062153"/>
      <w:bookmarkStart w:id="516" w:name="dokumenthierarchie"/>
      <w:bookmarkEnd w:id="515"/>
      <w:r>
        <w:rPr/>
        <w:t>48. Dokumenthierarchie</w:t>
      </w:r>
    </w:p>
    <w:p>
      <w:pPr>
        <w:pStyle w:val="FirstParagraph"/>
        <w:rPr/>
      </w:pPr>
      <w:r>
        <w:rPr/>
        <w:t>Das vorliegende Framework bleibt die wissenschaftliche Klammer. Mathematische und experimentelle Vertiefungen werden ausgelagert:</w:t>
      </w:r>
    </w:p>
    <w:p>
      <w:pPr>
        <w:pStyle w:val="SourceCode"/>
        <w:shd w:val="clear" w:fill="F5F7FA"/>
        <w:rPr/>
      </w:pPr>
      <w:r>
        <w:rPr>
          <w:rStyle w:val="VerbatimChar"/>
        </w:rPr>
        <w:t>Brain-5D Scientific Framework</w:t>
      </w:r>
      <w:r>
        <w:rPr/>
        <w:br/>
      </w:r>
      <w:r>
        <w:rPr>
          <w:rStyle w:val="VerbatimChar"/>
        </w:rPr>
        <w:t>│</w:t>
      </w:r>
      <w:r>
        <w:rPr/>
        <w:br/>
      </w:r>
      <w:r>
        <w:rPr>
          <w:rStyle w:val="VerbatimChar"/>
        </w:rPr>
        <w:t>├── 01 Mathematical Foundations</w:t>
      </w:r>
      <w:r>
        <w:rPr/>
        <w:br/>
      </w:r>
      <w:r>
        <w:rPr>
          <w:rStyle w:val="VerbatimChar"/>
        </w:rPr>
        <w:t>│   ├── Hybrid Dynamical Systems</w:t>
      </w:r>
      <w:r>
        <w:rPr/>
        <w:br/>
      </w:r>
      <w:r>
        <w:rPr>
          <w:rStyle w:val="VerbatimChar"/>
        </w:rPr>
        <w:t>│   ├── Stability and Lyapunov Analysis</w:t>
      </w:r>
      <w:r>
        <w:rPr/>
        <w:br/>
      </w:r>
      <w:r>
        <w:rPr>
          <w:rStyle w:val="VerbatimChar"/>
        </w:rPr>
        <w:t>│   ├── Bifurcation and Phase Diagrams</w:t>
      </w:r>
      <w:r>
        <w:rPr/>
        <w:br/>
      </w:r>
      <w:r>
        <w:rPr>
          <w:rStyle w:val="VerbatimChar"/>
        </w:rPr>
        <w:t>│   └── Mean-Field and Reduced Models</w:t>
      </w:r>
      <w:r>
        <w:rPr/>
        <w:br/>
      </w:r>
      <w:r>
        <w:rPr>
          <w:rStyle w:val="VerbatimChar"/>
        </w:rPr>
        <w:t>│</w:t>
      </w:r>
      <w:r>
        <w:rPr/>
        <w:br/>
      </w:r>
      <w:r>
        <w:rPr>
          <w:rStyle w:val="VerbatimChar"/>
        </w:rPr>
        <w:t>├── 02 5D Geometry</w:t>
      </w:r>
      <w:r>
        <w:rPr/>
        <w:br/>
      </w:r>
      <w:r>
        <w:rPr>
          <w:rStyle w:val="VerbatimChar"/>
        </w:rPr>
        <w:t>│   ├── Metric Space and Boundary Conditions</w:t>
      </w:r>
      <w:r>
        <w:rPr/>
        <w:br/>
      </w:r>
      <w:r>
        <w:rPr>
          <w:rStyle w:val="VerbatimChar"/>
        </w:rPr>
        <w:t>│   ├── Learned Geometry</w:t>
      </w:r>
      <w:r>
        <w:rPr/>
        <w:br/>
      </w:r>
      <w:r>
        <w:rPr>
          <w:rStyle w:val="VerbatimChar"/>
        </w:rPr>
        <w:t>│   ├── Dynamic Graph Topology</w:t>
      </w:r>
      <w:r>
        <w:rPr/>
        <w:br/>
      </w:r>
      <w:r>
        <w:rPr>
          <w:rStyle w:val="VerbatimChar"/>
        </w:rPr>
        <w:t>│   └── Dimensional Ablation</w:t>
      </w:r>
      <w:r>
        <w:rPr/>
        <w:br/>
      </w:r>
      <w:r>
        <w:rPr>
          <w:rStyle w:val="VerbatimChar"/>
        </w:rPr>
        <w:t>│</w:t>
      </w:r>
      <w:r>
        <w:rPr/>
        <w:br/>
      </w:r>
      <w:r>
        <w:rPr>
          <w:rStyle w:val="VerbatimChar"/>
        </w:rPr>
        <w:t>├── 03 Neural Dynamics</w:t>
      </w:r>
      <w:r>
        <w:rPr/>
        <w:br/>
      </w:r>
      <w:r>
        <w:rPr>
          <w:rStyle w:val="VerbatimChar"/>
        </w:rPr>
        <w:t>├── 04 Plasticity, Homeostasis and Metaplasticity</w:t>
      </w:r>
      <w:r>
        <w:rPr/>
        <w:br/>
      </w:r>
      <w:r>
        <w:rPr>
          <w:rStyle w:val="VerbatimChar"/>
        </w:rPr>
        <w:t>├── 05 Structural Plasticity and Neurogenesis</w:t>
      </w:r>
      <w:r>
        <w:rPr/>
        <w:br/>
      </w:r>
      <w:r>
        <w:rPr>
          <w:rStyle w:val="VerbatimChar"/>
        </w:rPr>
        <w:t>├── 06 Representation and Information Theory</w:t>
      </w:r>
      <w:r>
        <w:rPr/>
        <w:br/>
      </w:r>
      <w:r>
        <w:rPr>
          <w:rStyle w:val="VerbatimChar"/>
        </w:rPr>
        <w:t>├── 07 Memory and Continual Learning</w:t>
      </w:r>
      <w:r>
        <w:rPr/>
        <w:br/>
      </w:r>
      <w:r>
        <w:rPr>
          <w:rStyle w:val="VerbatimChar"/>
        </w:rPr>
        <w:t>├── 08 Language Organ</w:t>
      </w:r>
      <w:r>
        <w:rPr/>
        <w:br/>
      </w:r>
      <w:r>
        <w:rPr>
          <w:rStyle w:val="VerbatimChar"/>
        </w:rPr>
        <w:t>├── 09 Knowledge Intake and Provenance</w:t>
      </w:r>
      <w:r>
        <w:rPr/>
        <w:br/>
      </w:r>
      <w:r>
        <w:rPr>
          <w:rStyle w:val="VerbatimChar"/>
        </w:rPr>
        <w:t>├── 10 Embodiment and Safety</w:t>
      </w:r>
      <w:r>
        <w:rPr/>
        <w:br/>
      </w:r>
      <w:r>
        <w:rPr>
          <w:rStyle w:val="VerbatimChar"/>
        </w:rPr>
        <w:t>├── 11 Storage and 5D Digital State Twin</w:t>
      </w:r>
      <w:r>
        <w:rPr/>
        <w:br/>
      </w:r>
      <w:r>
        <w:rPr>
          <w:rStyle w:val="VerbatimChar"/>
        </w:rPr>
        <w:t>├── 12 Experimental Methodology</w:t>
      </w:r>
      <w:r>
        <w:rPr/>
        <w:br/>
      </w:r>
      <w:r>
        <w:rPr>
          <w:rStyle w:val="VerbatimChar"/>
        </w:rPr>
        <w:t>├── 13 Scaling and Performance</w:t>
      </w:r>
      <w:r>
        <w:rPr/>
        <w:br/>
      </w:r>
      <w:r>
        <w:rPr>
          <w:rStyle w:val="VerbatimChar"/>
        </w:rPr>
        <w:t>├── 14 Ethics and Governance</w:t>
      </w:r>
      <w:r>
        <w:rPr/>
        <w:br/>
      </w:r>
      <w:r>
        <w:rPr>
          <w:rStyle w:val="VerbatimChar"/>
        </w:rPr>
        <w:t>└── 15 Results and Evidence Registry</w:t>
      </w:r>
    </w:p>
    <w:p>
      <w:pPr>
        <w:pStyle w:val="FirstParagraph"/>
        <w:rPr/>
      </w:pPr>
      <w:r>
        <w:rPr/>
        <w:t xml:space="preserve">Das Framework beantwortet </w:t>
      </w:r>
      <w:r>
        <w:rPr>
          <w:b/>
          <w:bCs/>
        </w:rPr>
        <w:t>was</w:t>
      </w:r>
      <w:r>
        <w:rPr/>
        <w:t xml:space="preserve">, </w:t>
      </w:r>
      <w:r>
        <w:rPr>
          <w:b/>
          <w:bCs/>
        </w:rPr>
        <w:t>warum</w:t>
      </w:r>
      <w:r>
        <w:rPr/>
        <w:t xml:space="preserve"> und </w:t>
      </w:r>
      <w:r>
        <w:rPr>
          <w:b/>
          <w:bCs/>
        </w:rPr>
        <w:t>wie die Teile zusammenhängen</w:t>
      </w:r>
      <w:r>
        <w:rPr/>
        <w:t xml:space="preserve">. Fachpapiere beantworten mathematisch und experimentell </w:t>
      </w:r>
      <w:r>
        <w:rPr>
          <w:b/>
          <w:bCs/>
        </w:rPr>
        <w:t>wie genau</w:t>
      </w:r>
      <w:r>
        <w:rPr/>
        <w:t>. Querverweise sollen künftig stabile Dokument-IDs und Paragraphen verwenden.</w:t>
      </w:r>
      <w:bookmarkEnd w:id="516"/>
    </w:p>
    <w:p>
      <w:pPr>
        <w:pStyle w:val="Heading2"/>
        <w:keepNext w:val="true"/>
        <w:widowControl/>
        <w:rPr/>
      </w:pPr>
      <w:bookmarkStart w:id="517" w:name="__RefHeading___Toc10205_954062153"/>
      <w:bookmarkStart w:id="518" w:name="literaturstrategie-und-coverage-matrix"/>
      <w:bookmarkEnd w:id="517"/>
      <w:r>
        <w:rPr/>
        <w:t>49. Literaturstrategie und Coverage Matrix</w:t>
      </w:r>
    </w:p>
    <w:p>
      <w:pPr>
        <w:pStyle w:val="Heading3"/>
        <w:keepNext w:val="true"/>
        <w:widowControl/>
        <w:rPr/>
      </w:pPr>
      <w:bookmarkStart w:id="519" w:name="prinzip"/>
      <w:r>
        <w:rPr/>
        <w:t>49.1 Prinzip</w:t>
      </w:r>
    </w:p>
    <w:p>
      <w:pPr>
        <w:pStyle w:val="FirstParagraph"/>
        <w:rPr/>
      </w:pPr>
      <w:bookmarkStart w:id="520" w:name="prinzip"/>
      <w:r>
        <w:rPr/>
        <w:t>Die Literaturbasis wird nicht über eine Mindestzahl definiert. Für jeden zentralen Mechanismus werden Grundlagen, Schlüsselarbeiten, Reviews, Methoden- und Gegenpositionen erfasst. Eine ausreichende Recherche liegt vor, wenn die Argumentations- und Abgrenzungskette transparent belegt ist.</w:t>
      </w:r>
      <w:bookmarkEnd w:id="520"/>
    </w:p>
    <w:p>
      <w:pPr>
        <w:pStyle w:val="Heading3"/>
        <w:keepNext w:val="true"/>
        <w:widowControl/>
        <w:rPr/>
      </w:pPr>
      <w:bookmarkStart w:id="521" w:name="coverage-matrix"/>
      <w:r>
        <w:rPr/>
        <w:t>49.2 Coverage Matrix</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1987"/>
        <w:gridCol w:w="1987"/>
        <w:gridCol w:w="1987"/>
        <w:gridCol w:w="1987"/>
        <w:gridCol w:w="1988"/>
      </w:tblGrid>
      <w:tr>
        <w:trPr>
          <w:tblHeader w:val="true"/>
        </w:trPr>
        <w:tc>
          <w:tcPr>
            <w:tcW w:w="1987"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Themenfeld</w:t>
            </w:r>
          </w:p>
        </w:tc>
        <w:tc>
          <w:tcPr>
            <w:tcW w:w="1987"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Grundlagen</w:t>
            </w:r>
          </w:p>
        </w:tc>
        <w:tc>
          <w:tcPr>
            <w:tcW w:w="1987"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methodische Schlüsselquellen</w:t>
            </w:r>
          </w:p>
        </w:tc>
        <w:tc>
          <w:tcPr>
            <w:tcW w:w="1987"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aktuelle/ergänzende Perspektiven</w:t>
            </w:r>
          </w:p>
        </w:tc>
        <w:tc>
          <w:tcPr>
            <w:tcW w:w="1988"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offene Lücke</w:t>
            </w:r>
          </w:p>
        </w:tc>
      </w:tr>
      <w:tr>
        <w:trPr/>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Spike-Dynamik</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Hodgkin-Huxley; LIF; Izhikevich</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Gerstner et al.; Ermentrout/Terman</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Eshraghian et al.; Roy et al.</w:t>
            </w:r>
          </w:p>
        </w:tc>
        <w:tc>
          <w:tcPr>
            <w:tcW w:w="198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Modellrobustheit in wachsender 5D-Topologie</w:t>
            </w:r>
          </w:p>
        </w:tc>
      </w:tr>
      <w:tr>
        <w:trPr/>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STDP/Three-Factor</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Markram; Bi/Poo; Song</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Pfister; Clopath; Frémaux/Gerstner</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Gerstner et al. 2018</w:t>
            </w:r>
          </w:p>
        </w:tc>
        <w:tc>
          <w:tcPr>
            <w:tcW w:w="198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Interaktion mit strukturellem Turnover</w:t>
            </w:r>
          </w:p>
        </w:tc>
      </w:tr>
      <w:tr>
        <w:trPr/>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Homeostase</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Turrigiano</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Zenke et al.; Vogels et al.</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Kaster et al.</w:t>
            </w:r>
          </w:p>
        </w:tc>
        <w:tc>
          <w:tcPr>
            <w:tcW w:w="198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Zeitskalen in continual embodied tasks</w:t>
            </w:r>
          </w:p>
        </w:tc>
      </w:tr>
      <w:tr>
        <w:trPr/>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Dynamik/Stabilität</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Strogatz; Kuznetsov</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Brunel; Breakspear</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Criticality-Debatte</w:t>
            </w:r>
          </w:p>
        </w:tc>
        <w:tc>
          <w:tcPr>
            <w:tcW w:w="198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hybride Bifurkation mit Graphmutationen</w:t>
            </w:r>
          </w:p>
        </w:tc>
      </w:tr>
      <w:tr>
        <w:trPr/>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Graphen/Geometrie</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Newman; Penrose</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Rubinov/Sporns; Weinberger/Saul</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Geometric Deep Learning</w:t>
            </w:r>
          </w:p>
        </w:tc>
        <w:tc>
          <w:tcPr>
            <w:tcW w:w="198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gelernte 5D-Metrik für SNN-Wachstum</w:t>
            </w:r>
          </w:p>
        </w:tc>
      </w:tr>
      <w:tr>
        <w:trPr/>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Information/Repräsentation</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Shannon; Cover/Thomas</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Panzeri; RSA; Temporal Generalization</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kausale Repräsentationsprüfung</w:t>
            </w:r>
          </w:p>
        </w:tc>
        <w:tc>
          <w:tcPr>
            <w:tcW w:w="198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Verbindung von Decodability und Intervention</w:t>
            </w:r>
          </w:p>
        </w:tc>
      </w:tr>
      <w:tr>
        <w:trPr/>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Memory/Continual Learning</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Marr; McClelland</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Fusi; Kirkpatrick; Zenke</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Parisi Review</w:t>
            </w:r>
          </w:p>
        </w:tc>
        <w:tc>
          <w:tcPr>
            <w:tcW w:w="198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lokale und strukturelle Mechanismen ohne Backprop</w:t>
            </w:r>
          </w:p>
        </w:tc>
      </w:tr>
      <w:tr>
        <w:trPr/>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Embodiment</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Brooks; Beer</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Pfeifer/Bongard</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predictive state/world models</w:t>
            </w:r>
          </w:p>
        </w:tc>
        <w:tc>
          <w:tcPr>
            <w:tcW w:w="198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kausaler Vergleich mit yoked controls</w:t>
            </w:r>
          </w:p>
        </w:tc>
      </w:tr>
      <w:tr>
        <w:trPr/>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Provenienz/Reproduktion</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Buneman; W3C PROV</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FAIR; Sandve; Nosek</w:t>
            </w:r>
          </w:p>
        </w:tc>
        <w:tc>
          <w:tcPr>
            <w:tcW w:w="198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Software citation</w:t>
            </w:r>
          </w:p>
        </w:tc>
        <w:tc>
          <w:tcPr>
            <w:tcW w:w="198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Registry direkt im Simulator</w:t>
            </w:r>
          </w:p>
        </w:tc>
      </w:tr>
      <w:tr>
        <w:trPr/>
        <w:tc>
          <w:tcPr>
            <w:tcW w:w="1987"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Digital Twin/Storage</w:t>
            </w:r>
          </w:p>
        </w:tc>
        <w:tc>
          <w:tcPr>
            <w:tcW w:w="1987"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Chandy/Lamport; HDF5</w:t>
            </w:r>
          </w:p>
        </w:tc>
        <w:tc>
          <w:tcPr>
            <w:tcW w:w="1987"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Grieves; Jones; Fuller</w:t>
            </w:r>
          </w:p>
        </w:tc>
        <w:tc>
          <w:tcPr>
            <w:tcW w:w="1987"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digitale Zustandszwillinge</w:t>
            </w:r>
          </w:p>
        </w:tc>
        <w:tc>
          <w:tcPr>
            <w:tcW w:w="1988"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kausale Fidelity neuronaler Replays</w:t>
            </w:r>
          </w:p>
        </w:tc>
      </w:tr>
    </w:tbl>
    <w:p>
      <w:pPr>
        <w:pStyle w:val="BodyText"/>
        <w:rPr/>
      </w:pPr>
      <w:r>
        <w:rPr/>
        <w:t>Die Coverage Matrix wird durch Grundlagen zu hybriden Automaten, nichtlinearer Dynamik, Informationsgeometrie und manifoldbasierten Repräsentationen ergänzt (</w:t>
      </w:r>
      <w:hyperlink w:anchor="ref-Alur1995Hybrid">
        <w:r>
          <w:rPr>
            <w:rStyle w:val="Hyperlink"/>
          </w:rPr>
          <w:t>Alur et al., 1993</w:t>
        </w:r>
      </w:hyperlink>
      <w:r>
        <w:rPr/>
        <w:t xml:space="preserve">; </w:t>
      </w:r>
      <w:hyperlink w:anchor="ref-Amari2016">
        <w:r>
          <w:rPr>
            <w:rStyle w:val="Hyperlink"/>
          </w:rPr>
          <w:t>Amari, 2016</w:t>
        </w:r>
      </w:hyperlink>
      <w:r>
        <w:rPr/>
        <w:t xml:space="preserve">; </w:t>
      </w:r>
      <w:hyperlink w:anchor="ref-Belkin2003">
        <w:r>
          <w:rPr>
            <w:rStyle w:val="Hyperlink"/>
          </w:rPr>
          <w:t>Belkin &amp; Niyogi, 2003</w:t>
        </w:r>
      </w:hyperlink>
      <w:r>
        <w:rPr/>
        <w:t xml:space="preserve">; </w:t>
      </w:r>
      <w:hyperlink w:anchor="ref-Coifman2006">
        <w:r>
          <w:rPr>
            <w:rStyle w:val="Hyperlink"/>
          </w:rPr>
          <w:t>Coifman &amp; Lafon, 2006</w:t>
        </w:r>
      </w:hyperlink>
      <w:r>
        <w:rPr/>
        <w:t xml:space="preserve">; </w:t>
      </w:r>
      <w:hyperlink w:anchor="ref-Deco2011">
        <w:r>
          <w:rPr>
            <w:rStyle w:val="Hyperlink"/>
          </w:rPr>
          <w:t>Deco et al., 2011</w:t>
        </w:r>
      </w:hyperlink>
      <w:r>
        <w:rPr/>
        <w:t xml:space="preserve">; </w:t>
      </w:r>
      <w:hyperlink w:anchor="ref-Ermentrout2010">
        <w:r>
          <w:rPr>
            <w:rStyle w:val="Hyperlink"/>
          </w:rPr>
          <w:t>Ermentrout &amp; Terman, 2010</w:t>
        </w:r>
      </w:hyperlink>
      <w:r>
        <w:rPr/>
        <w:t xml:space="preserve">; </w:t>
      </w:r>
      <w:hyperlink w:anchor="ref-Rabinovich2008">
        <w:r>
          <w:rPr>
            <w:rStyle w:val="Hyperlink"/>
          </w:rPr>
          <w:t>Rabinovich et al., 2008</w:t>
        </w:r>
      </w:hyperlink>
      <w:r>
        <w:rPr/>
        <w:t xml:space="preserve">; </w:t>
      </w:r>
      <w:hyperlink w:anchor="ref-Sussillo2009">
        <w:r>
          <w:rPr>
            <w:rStyle w:val="Hyperlink"/>
          </w:rPr>
          <w:t>Sussillo &amp; Abbott, 2009</w:t>
        </w:r>
      </w:hyperlink>
      <w:r>
        <w:rPr/>
        <w:t>). Für die strukturelle und technische Einordnung werden Arbeiten zu Small-World- und skalenfreien Netzen, Community-Struktur, selbstorganisierenden rekurrenten Netzen sowie etablierten SNN-Simulatoren und neuromorpher Hardware berücksichtigt (</w:t>
      </w:r>
      <w:hyperlink w:anchor="ref-Barabasi1999">
        <w:r>
          <w:rPr>
            <w:rStyle w:val="Hyperlink"/>
          </w:rPr>
          <w:t>Barabási &amp; Albert, 1999</w:t>
        </w:r>
      </w:hyperlink>
      <w:r>
        <w:rPr/>
        <w:t xml:space="preserve">; </w:t>
      </w:r>
      <w:hyperlink w:anchor="ref-Bullmore2009">
        <w:r>
          <w:rPr>
            <w:rStyle w:val="Hyperlink"/>
          </w:rPr>
          <w:t>Bullmore &amp; Sporns, 2009</w:t>
        </w:r>
      </w:hyperlink>
      <w:r>
        <w:rPr/>
        <w:t xml:space="preserve">; </w:t>
      </w:r>
      <w:hyperlink w:anchor="ref-Furber2016">
        <w:r>
          <w:rPr>
            <w:rStyle w:val="Hyperlink"/>
          </w:rPr>
          <w:t>Furber, 2016</w:t>
        </w:r>
      </w:hyperlink>
      <w:r>
        <w:rPr/>
        <w:t xml:space="preserve">; </w:t>
      </w:r>
      <w:hyperlink w:anchor="ref-Gewaltig2007">
        <w:r>
          <w:rPr>
            <w:rStyle w:val="Hyperlink"/>
          </w:rPr>
          <w:t>Gewaltig &amp; Diesmann, 2007</w:t>
        </w:r>
      </w:hyperlink>
      <w:r>
        <w:rPr/>
        <w:t xml:space="preserve">; </w:t>
      </w:r>
      <w:hyperlink w:anchor="ref-Izhikevich2007book">
        <w:r>
          <w:rPr>
            <w:rStyle w:val="Hyperlink"/>
          </w:rPr>
          <w:t>Izhikevich, 2007a</w:t>
        </w:r>
      </w:hyperlink>
      <w:r>
        <w:rPr/>
        <w:t xml:space="preserve">; </w:t>
      </w:r>
      <w:hyperlink w:anchor="ref-LitwinKumar2014">
        <w:r>
          <w:rPr>
            <w:rStyle w:val="Hyperlink"/>
          </w:rPr>
          <w:t>Litwin-Kumar &amp; Doiron, 2014</w:t>
        </w:r>
      </w:hyperlink>
      <w:r>
        <w:rPr/>
        <w:t xml:space="preserve">; </w:t>
      </w:r>
      <w:hyperlink w:anchor="ref-NewmanGirvan2004">
        <w:r>
          <w:rPr>
            <w:rStyle w:val="Hyperlink"/>
          </w:rPr>
          <w:t>Newman &amp; Girvan, 2004</w:t>
        </w:r>
      </w:hyperlink>
      <w:r>
        <w:rPr/>
        <w:t xml:space="preserve">; </w:t>
      </w:r>
      <w:hyperlink w:anchor="ref-Ocker2015">
        <w:r>
          <w:rPr>
            <w:rStyle w:val="Hyperlink"/>
          </w:rPr>
          <w:t>Ocker et al., 2015</w:t>
        </w:r>
      </w:hyperlink>
      <w:r>
        <w:rPr/>
        <w:t xml:space="preserve">; </w:t>
      </w:r>
      <w:hyperlink w:anchor="ref-Stimberg2019">
        <w:r>
          <w:rPr>
            <w:rStyle w:val="Hyperlink"/>
          </w:rPr>
          <w:t>Stimberg et al., 2019</w:t>
        </w:r>
      </w:hyperlink>
      <w:r>
        <w:rPr/>
        <w:t xml:space="preserve">; </w:t>
      </w:r>
      <w:hyperlink w:anchor="ref-Watts1998">
        <w:r>
          <w:rPr>
            <w:rStyle w:val="Hyperlink"/>
          </w:rPr>
          <w:t>Watts &amp; Strogatz, 1998</w:t>
        </w:r>
      </w:hyperlink>
      <w:r>
        <w:rPr/>
        <w:t xml:space="preserve">; </w:t>
      </w:r>
      <w:hyperlink w:anchor="ref-Zenke2015">
        <w:r>
          <w:rPr>
            <w:rStyle w:val="Hyperlink"/>
          </w:rPr>
          <w:t>Zenke et al., 2015</w:t>
        </w:r>
      </w:hyperlink>
      <w:r>
        <w:rPr/>
        <w:t>). Die kognitive und systemische Rahmung stützt sich zusätzlich auf Analyseebenen, sensorimotorische Kontingenzen, sparse beziehungsweise selektive Repräsentation, komplementäre Lernsysteme, prädiktive Verarbeitung, Reinforcement Learning und Digital-Twin-Konzepte (</w:t>
      </w:r>
      <w:hyperlink w:anchor="ref-Davies2018">
        <w:r>
          <w:rPr>
            <w:rStyle w:val="Hyperlink"/>
          </w:rPr>
          <w:t>Davies et al., 2018</w:t>
        </w:r>
      </w:hyperlink>
      <w:r>
        <w:rPr/>
        <w:t xml:space="preserve">; </w:t>
      </w:r>
      <w:hyperlink w:anchor="ref-Friston2010">
        <w:r>
          <w:rPr>
            <w:rStyle w:val="Hyperlink"/>
          </w:rPr>
          <w:t>Friston, 2010</w:t>
        </w:r>
      </w:hyperlink>
      <w:r>
        <w:rPr/>
        <w:t xml:space="preserve">; </w:t>
      </w:r>
      <w:hyperlink w:anchor="ref-Grieves2017">
        <w:r>
          <w:rPr>
            <w:rStyle w:val="Hyperlink"/>
          </w:rPr>
          <w:t>Grieves &amp; Vickers, 2017</w:t>
        </w:r>
      </w:hyperlink>
      <w:r>
        <w:rPr/>
        <w:t xml:space="preserve">; </w:t>
      </w:r>
      <w:hyperlink w:anchor="ref-Kumaran2016">
        <w:r>
          <w:rPr>
            <w:rStyle w:val="Hyperlink"/>
          </w:rPr>
          <w:t>Kumaran et al., 2016</w:t>
        </w:r>
      </w:hyperlink>
      <w:r>
        <w:rPr/>
        <w:t xml:space="preserve">; </w:t>
      </w:r>
      <w:hyperlink w:anchor="ref-Marr1971">
        <w:r>
          <w:rPr>
            <w:rStyle w:val="Hyperlink"/>
          </w:rPr>
          <w:t>Marr, 1971</w:t>
        </w:r>
      </w:hyperlink>
      <w:r>
        <w:rPr/>
        <w:t xml:space="preserve">; </w:t>
      </w:r>
      <w:hyperlink w:anchor="ref-ORegan2001">
        <w:r>
          <w:rPr>
            <w:rStyle w:val="Hyperlink"/>
          </w:rPr>
          <w:t>O’Regan &amp; Noë, 2001</w:t>
        </w:r>
      </w:hyperlink>
      <w:r>
        <w:rPr/>
        <w:t xml:space="preserve">; </w:t>
      </w:r>
      <w:hyperlink w:anchor="ref-Quiroga2009">
        <w:r>
          <w:rPr>
            <w:rStyle w:val="Hyperlink"/>
          </w:rPr>
          <w:t>Quiroga &amp; Panzeri, 2009</w:t>
        </w:r>
      </w:hyperlink>
      <w:r>
        <w:rPr/>
        <w:t xml:space="preserve">; </w:t>
      </w:r>
      <w:hyperlink w:anchor="ref-SuttonBarto2018">
        <w:r>
          <w:rPr>
            <w:rStyle w:val="Hyperlink"/>
          </w:rPr>
          <w:t>Sutton &amp; Barto, 2018</w:t>
        </w:r>
      </w:hyperlink>
      <w:r>
        <w:rPr/>
        <w:t>).</w:t>
      </w:r>
      <w:bookmarkEnd w:id="521"/>
    </w:p>
    <w:p>
      <w:pPr>
        <w:pStyle w:val="Heading3"/>
        <w:keepNext w:val="true"/>
        <w:widowControl/>
        <w:rPr/>
      </w:pPr>
      <w:bookmarkStart w:id="522" w:name="rechercheprozess"/>
      <w:r>
        <w:rPr/>
        <w:t>49.3 Rechercheprozess</w:t>
      </w:r>
    </w:p>
    <w:p>
      <w:pPr>
        <w:pStyle w:val="FirstParagraph"/>
        <w:rPr/>
      </w:pPr>
      <w:bookmarkStart w:id="523" w:name="literaturstrategie-und-coverage-matrix"/>
      <w:bookmarkStart w:id="524" w:name="rechercheprozess"/>
      <w:r>
        <w:rPr/>
        <w:t>Für spätere Publikationen werden Datenbanken, Suchstrings, Zeitfenster, Ein-/Ausschlusskriterien und Screening dokumentiert. Zitationsketten und Gegenpositionen werden gezielt gesucht. Preprints werden als solche gekennzeichnet und bei vorhandener begutachteter Fassung aktualisiert.</w:t>
      </w:r>
      <w:bookmarkEnd w:id="523"/>
      <w:bookmarkEnd w:id="524"/>
    </w:p>
    <w:p>
      <w:pPr>
        <w:pStyle w:val="Heading2"/>
        <w:keepNext w:val="true"/>
        <w:widowControl/>
        <w:rPr/>
      </w:pPr>
      <w:bookmarkStart w:id="525" w:name="__RefHeading___Toc10207_954062153"/>
      <w:bookmarkStart w:id="526" w:name="offene-forschungsfragen"/>
      <w:bookmarkEnd w:id="525"/>
      <w:r>
        <w:rPr/>
        <w:t>50. Offene Forschungsfragen</w:t>
      </w:r>
    </w:p>
    <w:p>
      <w:pPr>
        <w:pStyle w:val="Heading3"/>
        <w:keepNext w:val="true"/>
        <w:widowControl/>
        <w:rPr/>
      </w:pPr>
      <w:bookmarkStart w:id="527" w:name="geometrie"/>
      <w:r>
        <w:rPr/>
        <w:t>50.1 Geometrie</w:t>
      </w:r>
    </w:p>
    <w:p>
      <w:pPr>
        <w:pStyle w:val="Compact"/>
        <w:numPr>
          <w:ilvl w:val="0"/>
          <w:numId w:val="401"/>
        </w:numPr>
        <w:rPr/>
      </w:pPr>
      <w:r>
        <w:rPr/>
        <w:t>Kollabiert eine gelernte 5D-Metrik effektiv auf weniger Dimensionen?</w:t>
      </w:r>
    </w:p>
    <w:p>
      <w:pPr>
        <w:pStyle w:val="Compact"/>
        <w:numPr>
          <w:ilvl w:val="0"/>
          <w:numId w:val="402"/>
        </w:numPr>
        <w:rPr/>
      </w:pPr>
      <w:r>
        <w:rPr/>
        <w:t>Sind off-diagonale Kopplungen stabil oder nur task-spezifisch?</w:t>
      </w:r>
    </w:p>
    <w:p>
      <w:pPr>
        <w:pStyle w:val="Compact"/>
        <w:numPr>
          <w:ilvl w:val="0"/>
          <w:numId w:val="403"/>
        </w:numPr>
        <w:rPr/>
      </w:pPr>
      <w:r>
        <w:rPr/>
        <w:t>Soll die Metrik global, regional oder zelltypspezifisch sein?</w:t>
      </w:r>
    </w:p>
    <w:p>
      <w:pPr>
        <w:pStyle w:val="Compact"/>
        <w:numPr>
          <w:ilvl w:val="0"/>
          <w:numId w:val="404"/>
        </w:numPr>
        <w:rPr/>
      </w:pPr>
      <w:r>
        <w:rPr/>
        <w:t>Können Koordinaten selbst plastisch sein, ohne Identität und Reproduzierbarkeit zu zerstören?</w:t>
      </w:r>
    </w:p>
    <w:p>
      <w:pPr>
        <w:pStyle w:val="Compact"/>
        <w:numPr>
          <w:ilvl w:val="0"/>
          <w:numId w:val="405"/>
        </w:numPr>
        <w:rPr/>
      </w:pPr>
      <w:bookmarkStart w:id="528" w:name="geometrie"/>
      <w:r>
        <w:rPr/>
        <w:t>Welche Randbedingungen minimieren Artefakte?</w:t>
      </w:r>
      <w:bookmarkEnd w:id="528"/>
    </w:p>
    <w:p>
      <w:pPr>
        <w:pStyle w:val="Heading3"/>
        <w:keepNext w:val="true"/>
        <w:widowControl/>
        <w:rPr/>
      </w:pPr>
      <w:bookmarkStart w:id="529" w:name="dynamik-und-stabilität"/>
      <w:r>
        <w:rPr/>
        <w:t>50.2 Dynamik und Stabilität</w:t>
      </w:r>
    </w:p>
    <w:p>
      <w:pPr>
        <w:pStyle w:val="Compact"/>
        <w:numPr>
          <w:ilvl w:val="0"/>
          <w:numId w:val="406"/>
        </w:numPr>
        <w:rPr/>
      </w:pPr>
      <w:r>
        <w:rPr/>
        <w:t>Existiert ein robustes Aktivitätsregime über mehrere Netzwerkgrößen?</w:t>
      </w:r>
    </w:p>
    <w:p>
      <w:pPr>
        <w:pStyle w:val="Compact"/>
        <w:numPr>
          <w:ilvl w:val="0"/>
          <w:numId w:val="407"/>
        </w:numPr>
        <w:rPr/>
      </w:pPr>
      <w:r>
        <w:rPr/>
        <w:t>Welche Mechanismen bestimmen Phasenübergänge stärker: Delay, E/I, Homöostase oder Strukturturnover?</w:t>
      </w:r>
    </w:p>
    <w:p>
      <w:pPr>
        <w:pStyle w:val="Compact"/>
        <w:numPr>
          <w:ilvl w:val="0"/>
          <w:numId w:val="408"/>
        </w:numPr>
        <w:rPr/>
      </w:pPr>
      <w:r>
        <w:rPr/>
        <w:t>Sind metastabile Zustände funktional oder nur Nebenprodukte?</w:t>
      </w:r>
    </w:p>
    <w:p>
      <w:pPr>
        <w:pStyle w:val="Compact"/>
        <w:numPr>
          <w:ilvl w:val="0"/>
          <w:numId w:val="409"/>
        </w:numPr>
        <w:rPr/>
      </w:pPr>
      <w:r>
        <w:rPr/>
        <w:t>Welche reduzierten Mean-Field-Modelle sind trotz 5D-Geometrie möglich?</w:t>
      </w:r>
    </w:p>
    <w:p>
      <w:pPr>
        <w:pStyle w:val="Compact"/>
        <w:numPr>
          <w:ilvl w:val="0"/>
          <w:numId w:val="410"/>
        </w:numPr>
        <w:rPr/>
      </w:pPr>
      <w:bookmarkStart w:id="530" w:name="dynamik-und-stabilität"/>
      <w:r>
        <w:rPr/>
        <w:t>Wie werden strukturelle Sprünge in einer Lyapunov- oder Hybridanalyse behandelt?</w:t>
      </w:r>
      <w:bookmarkEnd w:id="530"/>
    </w:p>
    <w:p>
      <w:pPr>
        <w:pStyle w:val="Heading3"/>
        <w:keepNext w:val="true"/>
        <w:widowControl/>
        <w:rPr/>
      </w:pPr>
      <w:bookmarkStart w:id="531" w:name="lernen-und-gedächtnis-1"/>
      <w:r>
        <w:rPr/>
        <w:t>50.3 Lernen und Gedächtnis</w:t>
      </w:r>
    </w:p>
    <w:p>
      <w:pPr>
        <w:pStyle w:val="Compact"/>
        <w:numPr>
          <w:ilvl w:val="0"/>
          <w:numId w:val="411"/>
        </w:numPr>
        <w:rPr/>
      </w:pPr>
      <w:r>
        <w:rPr/>
        <w:t>Welche Three-Factor-Regel ist für verzögerten Reward ausreichend?</w:t>
      </w:r>
    </w:p>
    <w:p>
      <w:pPr>
        <w:pStyle w:val="Compact"/>
        <w:numPr>
          <w:ilvl w:val="0"/>
          <w:numId w:val="412"/>
        </w:numPr>
        <w:rPr/>
      </w:pPr>
      <w:r>
        <w:rPr/>
        <w:t>Wie werden Kontext und Widerspruch ohne externen symbolischen Speicher getrennt?</w:t>
      </w:r>
    </w:p>
    <w:p>
      <w:pPr>
        <w:pStyle w:val="Compact"/>
        <w:numPr>
          <w:ilvl w:val="0"/>
          <w:numId w:val="413"/>
        </w:numPr>
        <w:rPr/>
      </w:pPr>
      <w:r>
        <w:rPr/>
        <w:t>Welche Zustandskomponenten tragen Retention: Gewichte, Struktur, Schwellen oder dynamische Trajektorien?</w:t>
      </w:r>
    </w:p>
    <w:p>
      <w:pPr>
        <w:pStyle w:val="Compact"/>
        <w:numPr>
          <w:ilvl w:val="0"/>
          <w:numId w:val="414"/>
        </w:numPr>
        <w:rPr/>
      </w:pPr>
      <w:r>
        <w:rPr/>
        <w:t>Kann Structural Plasticity Forgetting reduzieren, ohne unbegrenztes Wachstum?</w:t>
      </w:r>
    </w:p>
    <w:p>
      <w:pPr>
        <w:pStyle w:val="Compact"/>
        <w:numPr>
          <w:ilvl w:val="0"/>
          <w:numId w:val="415"/>
        </w:numPr>
        <w:rPr/>
      </w:pPr>
      <w:bookmarkStart w:id="532" w:name="lernen-und-gedächtnis-1"/>
      <w:r>
        <w:rPr/>
        <w:t>Welche Konsolidierungszeitskalen entstehen versus werden vorgegeben?</w:t>
      </w:r>
      <w:bookmarkEnd w:id="532"/>
    </w:p>
    <w:p>
      <w:pPr>
        <w:pStyle w:val="Heading3"/>
        <w:keepNext w:val="true"/>
        <w:widowControl/>
        <w:rPr/>
      </w:pPr>
      <w:bookmarkStart w:id="533" w:name="repräsentation"/>
      <w:r>
        <w:rPr/>
        <w:t>50.4 Repräsentation</w:t>
      </w:r>
    </w:p>
    <w:p>
      <w:pPr>
        <w:pStyle w:val="Compact"/>
        <w:numPr>
          <w:ilvl w:val="0"/>
          <w:numId w:val="416"/>
        </w:numPr>
        <w:rPr/>
      </w:pPr>
      <w:r>
        <w:rPr/>
        <w:t>Welche internen Merkmale generalisieren über Encoder und Stimulusvarianten?</w:t>
      </w:r>
    </w:p>
    <w:p>
      <w:pPr>
        <w:pStyle w:val="Compact"/>
        <w:numPr>
          <w:ilvl w:val="0"/>
          <w:numId w:val="417"/>
        </w:numPr>
        <w:rPr/>
      </w:pPr>
      <w:r>
        <w:rPr/>
        <w:t>Wie stark hängt Decodability vom gewählten Beobachtungsraum ab?</w:t>
      </w:r>
    </w:p>
    <w:p>
      <w:pPr>
        <w:pStyle w:val="Compact"/>
        <w:numPr>
          <w:ilvl w:val="0"/>
          <w:numId w:val="418"/>
        </w:numPr>
        <w:rPr/>
      </w:pPr>
      <w:r>
        <w:rPr/>
        <w:t>Welche Interventionen sind hinreichend spezifisch, um funktionale Repräsentation zu belegen?</w:t>
      </w:r>
    </w:p>
    <w:p>
      <w:pPr>
        <w:pStyle w:val="Compact"/>
        <w:numPr>
          <w:ilvl w:val="0"/>
          <w:numId w:val="419"/>
        </w:numPr>
        <w:rPr/>
      </w:pPr>
      <w:r>
        <w:rPr/>
        <w:t>Entstehen relationale oder kompositionale Zustände?</w:t>
      </w:r>
    </w:p>
    <w:p>
      <w:pPr>
        <w:pStyle w:val="Compact"/>
        <w:numPr>
          <w:ilvl w:val="0"/>
          <w:numId w:val="420"/>
        </w:numPr>
        <w:rPr/>
      </w:pPr>
      <w:bookmarkStart w:id="534" w:name="repräsentation"/>
      <w:r>
        <w:rPr/>
        <w:t>Können interne Zustände unbekannte Kombinationen korrekt unterstützen?</w:t>
      </w:r>
      <w:bookmarkEnd w:id="534"/>
    </w:p>
    <w:p>
      <w:pPr>
        <w:pStyle w:val="Heading3"/>
        <w:keepNext w:val="true"/>
        <w:widowControl/>
        <w:rPr/>
      </w:pPr>
      <w:bookmarkStart w:id="535" w:name="language-organ-1"/>
      <w:r>
        <w:rPr/>
        <w:t>50.5 Language Organ</w:t>
      </w:r>
    </w:p>
    <w:p>
      <w:pPr>
        <w:pStyle w:val="Compact"/>
        <w:numPr>
          <w:ilvl w:val="0"/>
          <w:numId w:val="421"/>
        </w:numPr>
        <w:rPr/>
      </w:pPr>
      <w:r>
        <w:rPr/>
        <w:t>Wie viel Struktur darf ein Encoder vorgeben, ohne die Lernfrage zu trivialisieren?</w:t>
      </w:r>
    </w:p>
    <w:p>
      <w:pPr>
        <w:pStyle w:val="Compact"/>
        <w:numPr>
          <w:ilvl w:val="0"/>
          <w:numId w:val="422"/>
        </w:numPr>
        <w:rPr/>
      </w:pPr>
      <w:r>
        <w:rPr/>
        <w:t>Wie kalibriert man Decoder-Confidence gegen Signalqualität?</w:t>
      </w:r>
    </w:p>
    <w:p>
      <w:pPr>
        <w:pStyle w:val="Compact"/>
        <w:numPr>
          <w:ilvl w:val="0"/>
          <w:numId w:val="423"/>
        </w:numPr>
        <w:rPr/>
      </w:pPr>
      <w:r>
        <w:rPr/>
        <w:t>Kann ein LLM-unabhängiger Decoder dieselben Zustände lesen?</w:t>
      </w:r>
    </w:p>
    <w:p>
      <w:pPr>
        <w:pStyle w:val="Compact"/>
        <w:numPr>
          <w:ilvl w:val="0"/>
          <w:numId w:val="424"/>
        </w:numPr>
        <w:rPr/>
      </w:pPr>
      <w:r>
        <w:rPr/>
        <w:t>Welche FeedbackProposal-Klassen sind wissenschaftlich sinnvoll und sicher?</w:t>
      </w:r>
    </w:p>
    <w:p>
      <w:pPr>
        <w:pStyle w:val="Compact"/>
        <w:numPr>
          <w:ilvl w:val="0"/>
          <w:numId w:val="425"/>
        </w:numPr>
        <w:rPr/>
      </w:pPr>
      <w:bookmarkStart w:id="536" w:name="language-organ-1"/>
      <w:r>
        <w:rPr/>
        <w:t>Wie lassen sich Prompt- und Modelländerungen langfristig reproduzieren?</w:t>
      </w:r>
      <w:bookmarkEnd w:id="536"/>
    </w:p>
    <w:p>
      <w:pPr>
        <w:pStyle w:val="Heading3"/>
        <w:keepNext w:val="true"/>
        <w:widowControl/>
        <w:rPr/>
      </w:pPr>
      <w:bookmarkStart w:id="537" w:name="storage-und-digital-state-twin"/>
      <w:r>
        <w:rPr/>
        <w:t>50.6 Storage und Digital State Twin</w:t>
      </w:r>
    </w:p>
    <w:p>
      <w:pPr>
        <w:pStyle w:val="Compact"/>
        <w:numPr>
          <w:ilvl w:val="0"/>
          <w:numId w:val="426"/>
        </w:numPr>
        <w:rPr/>
      </w:pPr>
      <w:r>
        <w:rPr/>
        <w:t>Welche Mindestereignisse erlauben kausal fidelen Replay?</w:t>
      </w:r>
    </w:p>
    <w:p>
      <w:pPr>
        <w:pStyle w:val="Compact"/>
        <w:numPr>
          <w:ilvl w:val="0"/>
          <w:numId w:val="427"/>
        </w:numPr>
        <w:rPr/>
      </w:pPr>
      <w:r>
        <w:rPr/>
        <w:t>Wie häufig müssen Checkpoints bei struktureller Plastizität erfolgen?</w:t>
      </w:r>
    </w:p>
    <w:p>
      <w:pPr>
        <w:pStyle w:val="Compact"/>
        <w:numPr>
          <w:ilvl w:val="0"/>
          <w:numId w:val="428"/>
        </w:numPr>
        <w:rPr/>
      </w:pPr>
      <w:r>
        <w:rPr/>
        <w:t>Welche Daten sind kanonisch, welche nur abgeleitet?</w:t>
      </w:r>
    </w:p>
    <w:p>
      <w:pPr>
        <w:pStyle w:val="Compact"/>
        <w:numPr>
          <w:ilvl w:val="0"/>
          <w:numId w:val="429"/>
        </w:numPr>
        <w:rPr/>
      </w:pPr>
      <w:r>
        <w:rPr/>
        <w:t>Wie werden Schemaänderungen über Jahre migrationssicher?</w:t>
      </w:r>
    </w:p>
    <w:p>
      <w:pPr>
        <w:pStyle w:val="Compact"/>
        <w:numPr>
          <w:ilvl w:val="0"/>
          <w:numId w:val="430"/>
        </w:numPr>
        <w:rPr/>
      </w:pPr>
      <w:bookmarkStart w:id="538" w:name="storage-und-digital-state-twin"/>
      <w:r>
        <w:rPr/>
        <w:t>Welche optischen beziehungsweise tensorartigen Repräsentationen beschleunigen Analyse, ohne Information zu verlieren?</w:t>
      </w:r>
      <w:bookmarkEnd w:id="538"/>
    </w:p>
    <w:p>
      <w:pPr>
        <w:pStyle w:val="Heading3"/>
        <w:keepNext w:val="true"/>
        <w:widowControl/>
        <w:rPr/>
      </w:pPr>
      <w:bookmarkStart w:id="539" w:name="embodiment-und-prädiktive-zustände"/>
      <w:r>
        <w:rPr/>
        <w:t>50.7 Embodiment und prädiktive Zustände</w:t>
      </w:r>
    </w:p>
    <w:p>
      <w:pPr>
        <w:pStyle w:val="Compact"/>
        <w:numPr>
          <w:ilvl w:val="0"/>
          <w:numId w:val="431"/>
        </w:numPr>
        <w:rPr/>
      </w:pPr>
      <w:r>
        <w:rPr/>
        <w:t>Entsteht action-konditionierte Vorhersage ohne expliziten differentiablen Weltmodell-Loss?</w:t>
      </w:r>
    </w:p>
    <w:p>
      <w:pPr>
        <w:pStyle w:val="Compact"/>
        <w:numPr>
          <w:ilvl w:val="0"/>
          <w:numId w:val="432"/>
        </w:numPr>
        <w:rPr/>
      </w:pPr>
      <w:r>
        <w:rPr/>
        <w:t>Wie unterscheiden sich aktive und yoked Erfahrung in der internen Geometrie?</w:t>
      </w:r>
    </w:p>
    <w:p>
      <w:pPr>
        <w:pStyle w:val="Compact"/>
        <w:numPr>
          <w:ilvl w:val="0"/>
          <w:numId w:val="433"/>
        </w:numPr>
        <w:rPr/>
      </w:pPr>
      <w:r>
        <w:rPr/>
        <w:t>Wie robust ist Sensorfusion gegenüber asynchronen oder fehlenden Kanälen?</w:t>
      </w:r>
    </w:p>
    <w:p>
      <w:pPr>
        <w:pStyle w:val="Compact"/>
        <w:numPr>
          <w:ilvl w:val="0"/>
          <w:numId w:val="434"/>
        </w:numPr>
        <w:rPr/>
      </w:pPr>
      <w:r>
        <w:rPr/>
        <w:t>Welche minimalen Aufgaben zeigen echte Planung statt reaktiver Politik?</w:t>
      </w:r>
    </w:p>
    <w:p>
      <w:pPr>
        <w:pStyle w:val="Compact"/>
        <w:numPr>
          <w:ilvl w:val="0"/>
          <w:numId w:val="435"/>
        </w:numPr>
        <w:rPr/>
      </w:pPr>
      <w:bookmarkStart w:id="540" w:name="embodiment-und-prädiktive-zustände"/>
      <w:r>
        <w:rPr/>
        <w:t>Wie wird Sim-to-Real sicher und kausal bewertet?</w:t>
      </w:r>
      <w:bookmarkEnd w:id="540"/>
    </w:p>
    <w:p>
      <w:pPr>
        <w:pStyle w:val="Heading3"/>
        <w:keepNext w:val="true"/>
        <w:widowControl/>
        <w:rPr/>
      </w:pPr>
      <w:bookmarkStart w:id="541" w:name="wissenschaftstheorie-und-governance"/>
      <w:r>
        <w:rPr/>
        <w:t>50.8 Wissenschaftstheorie und Governance</w:t>
      </w:r>
    </w:p>
    <w:p>
      <w:pPr>
        <w:pStyle w:val="Compact"/>
        <w:numPr>
          <w:ilvl w:val="0"/>
          <w:numId w:val="436"/>
        </w:numPr>
        <w:rPr/>
      </w:pPr>
      <w:r>
        <w:rPr/>
        <w:t>Welche Claims sind stark genug für E3, und wann ist externe Replikation erforderlich?</w:t>
      </w:r>
    </w:p>
    <w:p>
      <w:pPr>
        <w:pStyle w:val="Compact"/>
        <w:numPr>
          <w:ilvl w:val="0"/>
          <w:numId w:val="437"/>
        </w:numPr>
        <w:rPr/>
      </w:pPr>
      <w:r>
        <w:rPr/>
        <w:t>Wie werden nicht reproduzierte E2-Ergebnisse herabgestuft?</w:t>
      </w:r>
    </w:p>
    <w:p>
      <w:pPr>
        <w:pStyle w:val="Compact"/>
        <w:numPr>
          <w:ilvl w:val="0"/>
          <w:numId w:val="438"/>
        </w:numPr>
        <w:rPr/>
      </w:pPr>
      <w:r>
        <w:rPr/>
        <w:t>Welche Kriterien rechtfertigen kognitive Begriffe?</w:t>
      </w:r>
    </w:p>
    <w:p>
      <w:pPr>
        <w:pStyle w:val="Compact"/>
        <w:numPr>
          <w:ilvl w:val="0"/>
          <w:numId w:val="439"/>
        </w:numPr>
        <w:rPr/>
      </w:pPr>
      <w:r>
        <w:rPr/>
        <w:t>Wie verhindert die Projektkommunikation Anthropomorphisierung?</w:t>
      </w:r>
    </w:p>
    <w:p>
      <w:pPr>
        <w:pStyle w:val="Compact"/>
        <w:numPr>
          <w:ilvl w:val="0"/>
          <w:numId w:val="440"/>
        </w:numPr>
        <w:rPr/>
      </w:pPr>
      <w:bookmarkStart w:id="542" w:name="offene-forschungsfragen"/>
      <w:bookmarkStart w:id="543" w:name="wissenschaftstheorie-und-governance"/>
      <w:r>
        <w:rPr/>
        <w:t>Wie werden Sicherheit und wissenschaftliche Offenheit ausbalanciert?</w:t>
      </w:r>
      <w:bookmarkEnd w:id="542"/>
      <w:bookmarkEnd w:id="543"/>
    </w:p>
    <w:p>
      <w:pPr>
        <w:pStyle w:val="Heading2"/>
        <w:keepNext w:val="true"/>
        <w:widowControl/>
        <w:rPr/>
      </w:pPr>
      <w:bookmarkStart w:id="544" w:name="__RefHeading___Toc10209_954062153"/>
      <w:bookmarkStart w:id="545" w:name="schlussfolgerung"/>
      <w:bookmarkEnd w:id="544"/>
      <w:r>
        <w:rPr/>
        <w:t>51. Schlussfolgerung</w:t>
      </w:r>
    </w:p>
    <w:p>
      <w:pPr>
        <w:pStyle w:val="FirstParagraph"/>
        <w:rPr/>
      </w:pPr>
      <w:r>
        <w:rPr/>
        <w:t>Brain-5D wird in diesem Framework nicht als fertige Theorie und nicht als bereits intelligente Entität präsentiert. Es ist eine experimentelle Architektur, die eine präzise wissenschaftliche Frage technisch zugänglich machen soll: Können lokale Spike-Dynamik, adaptive Topologie, Persistenz, Ressourcenbegrenzung und verkörperte Rückkopplung interne Zustände hervorbringen, die über unmittelbare Stimulation hinaus stabil, abrufbar, generalisierbar und kausal funktional sind?</w:t>
      </w:r>
    </w:p>
    <w:p>
      <w:pPr>
        <w:pStyle w:val="BodyText"/>
        <w:rPr/>
      </w:pPr>
      <w:r>
        <w:rPr/>
        <w:t>Die fünfdimensionale Organisation ist dabei kein dekorativer Kubus. Sie ist eine falsifizierbare Geometriehypothese. Der potenzielle Raum wird sparse materialisiert; Distanz wird durch eine allgemeine, gegebenenfalls lernbare Metrik beschrieben; Graph und Dynamik werden getrennt, aber gekoppelt gemessen. Ein positiver wissenschaftlicher Befund verlangt, dass 5D oder eine daraus entstehende funktionale Geometrie bei gematchten Ressourcen einen reproduzierbaren Zusatznutzen besitzt. Ein negatives Ergebnis kann zu einer rangreduzierten, niedrigerdimensionalen oder nichtgeometrischen Nachfolgearchitektur führen.</w:t>
      </w:r>
    </w:p>
    <w:p>
      <w:pPr>
        <w:pStyle w:val="BodyText"/>
        <w:rPr/>
      </w:pPr>
      <w:r>
        <w:rPr/>
        <w:t>Das Language Organ wird bewusst entmachtet. Es kann Sprache, Quellen und Interpretationen bereitstellen, darf aber den untersuchten neuronalen Zustand nicht unkontrolliert schreiben. Monitoring endet im Logging. Jede Rückkopplung ist ein Proposal, passiert ein deterministisches PolicyGate und wird als Stimulus mit vollständiger Provenienz behandelt. Diese Trennung ist die Voraussetzung, um später glaubwürdig sagen zu können, wo eine beobachtete Fähigkeit entstanden ist.</w:t>
      </w:r>
    </w:p>
    <w:p>
      <w:pPr>
        <w:pStyle w:val="BodyText"/>
        <w:rPr/>
      </w:pPr>
      <w:r>
        <w:rPr/>
        <w:t>Der wissenschaftliche Kern des Projekts liegt deshalb nicht in überzeugender Konversation, maximaler Neuronenzahl oder biologisch klingender Terminologie. Er liegt in der Nachweisstruktur. Jeder Claim muss mit einem konkreten Experiment, einem rekonstruktionsfähigen Zustand, unabhängigen Seeds, Kontrollbedingungen, statistischer Auswertung, Ablation und Falsifikationskriterium verbunden sein. Das Digital-State-Twin-Konzept dient nicht nur der Speicherung, sondern der kontrafaktischen Prüfung: identische Zustände können geforkt, gezielt verändert und hinsichtlich ihrer Folgen verglichen werden.</w:t>
      </w:r>
    </w:p>
    <w:p>
      <w:pPr>
        <w:pStyle w:val="BodyText"/>
        <w:rPr/>
      </w:pPr>
      <w:r>
        <w:rPr/>
        <w:t>Die wichtigste methodische Forderung bleibt:</w:t>
      </w:r>
    </w:p>
    <w:p>
      <w:pPr>
        <w:pStyle w:val="BlockText"/>
        <w:rPr/>
      </w:pPr>
      <w:r>
        <w:rPr>
          <w:b/>
          <w:bCs/>
        </w:rPr>
        <w:t>Jede beobachtete Fähigkeit muss daraufhin untersucht werden, in welcher Komponente, unter welchen Randbedingungen und durch welchen kausalen Mechanismus sie tatsächlich entsteht.</w:t>
      </w:r>
    </w:p>
    <w:p>
      <w:pPr>
        <w:pStyle w:val="FirstParagraph"/>
        <w:rPr/>
      </w:pPr>
      <w:r>
        <w:rPr/>
        <w:t>Liegt sie im LLM, im Retrieval-System, im Encoder, im Decoder, in handgeschriebenen Regeln, in der Umwelt oder im SNN? Bleibt sie nach Isolation bestehen? Generalisiert sie? Übersteht sie geeignete Nullmodelle und Läsionen? Kann der Zustand rekonstruiert und das Ergebnis reproduziert werden?</w:t>
      </w:r>
    </w:p>
    <w:p>
      <w:pPr>
        <w:pStyle w:val="BodyText"/>
        <w:rPr/>
      </w:pPr>
      <w:bookmarkStart w:id="546" w:name="X2478d44831f851c933cf175c50775249ebe31fd"/>
      <w:bookmarkStart w:id="547" w:name="schlussfolgerung"/>
      <w:r>
        <w:rPr/>
        <w:t>Erst wenn diese Fragen systematisch beantwortet werden, kann Brain-5D von einem ambitionierten Architekturprojekt zu einer belastbaren Forschungsplattform werden. Das Ziel ist nicht, eine gewünschte Theorie zu bestätigen, sondern eine Infrastruktur zu schaffen, in der starke Hypothesen präzise formuliert, technisch implementiert, experimentell geprüft, widerlegt oder schrittweise evidenzbasiert gestärkt werden können.</w:t>
      </w:r>
      <w:bookmarkEnd w:id="546"/>
      <w:bookmarkEnd w:id="547"/>
      <w:r>
        <w:br w:type="page"/>
      </w:r>
    </w:p>
    <w:p>
      <w:pPr>
        <w:pStyle w:val="Heading1"/>
        <w:keepNext w:val="true"/>
        <w:widowControl/>
        <w:rPr/>
      </w:pPr>
      <w:bookmarkStart w:id="548" w:name="__RefHeading___Toc10211_954062153"/>
      <w:bookmarkStart w:id="549" w:name="anhang-a-status--und-claim-konventionen"/>
      <w:bookmarkEnd w:id="548"/>
      <w:r>
        <w:rPr/>
        <w:t>Anhang A — Status- und Claim-Konventionen</w:t>
      </w:r>
    </w:p>
    <w:p>
      <w:pPr>
        <w:pStyle w:val="Heading2"/>
        <w:keepNext w:val="true"/>
        <w:widowControl/>
        <w:rPr/>
      </w:pPr>
      <w:bookmarkStart w:id="550" w:name="__RefHeading___Toc10213_954062153"/>
      <w:bookmarkStart w:id="551" w:name="a.1-statussyntax"/>
      <w:bookmarkEnd w:id="550"/>
      <w:r>
        <w:rPr/>
        <w:t>A.1 Statussyntax</w:t>
      </w:r>
    </w:p>
    <w:p>
      <w:pPr>
        <w:pStyle w:val="SourceCode"/>
        <w:shd w:val="clear" w:fill="F5F7FA"/>
        <w:rPr/>
      </w:pPr>
      <w:r>
        <w:rPr>
          <w:rStyle w:val="VerbatimChar"/>
        </w:rPr>
        <w:t>[E0 | HYPOTHESIS | CLAIM-GEO-001]</w:t>
      </w:r>
      <w:r>
        <w:rPr/>
        <w:br/>
      </w:r>
      <w:r>
        <w:rPr>
          <w:rStyle w:val="VerbatimChar"/>
        </w:rPr>
        <w:t>[E1 | IMPLEMENTED | CLAIM-ARCH-012 | commit=... | tests=...]</w:t>
      </w:r>
      <w:r>
        <w:rPr/>
        <w:br/>
      </w:r>
      <w:r>
        <w:rPr>
          <w:rStyle w:val="VerbatimChar"/>
        </w:rPr>
        <w:t>[E2 | VALIDATED | CLAIM-MEM-004 | EXP-MEM-018 | n=30]</w:t>
      </w:r>
      <w:r>
        <w:rPr/>
        <w:br/>
      </w:r>
      <w:r>
        <w:rPr>
          <w:rStyle w:val="VerbatimChar"/>
        </w:rPr>
        <w:t>[E3 | SYSTEM | CLAIM-EMB-003 | EXP-EMB-022,EXP-EMB-031]</w:t>
      </w:r>
      <w:bookmarkEnd w:id="551"/>
    </w:p>
    <w:p>
      <w:pPr>
        <w:pStyle w:val="Heading2"/>
        <w:keepNext w:val="true"/>
        <w:widowControl/>
        <w:rPr/>
      </w:pPr>
      <w:bookmarkStart w:id="552" w:name="__RefHeading___Toc10215_954062153"/>
      <w:bookmarkStart w:id="553" w:name="a.2-herabstufung"/>
      <w:bookmarkEnd w:id="552"/>
      <w:r>
        <w:rPr/>
        <w:t>A.2 Herabstufung</w:t>
      </w:r>
    </w:p>
    <w:p>
      <w:pPr>
        <w:pStyle w:val="FirstParagraph"/>
        <w:rPr/>
      </w:pPr>
      <w:r>
        <w:rPr/>
        <w:t>Ein Claim wird herabgestuft oder eingeschränkt, wenn:</w:t>
      </w:r>
    </w:p>
    <w:p>
      <w:pPr>
        <w:pStyle w:val="Compact"/>
        <w:numPr>
          <w:ilvl w:val="0"/>
          <w:numId w:val="441"/>
        </w:numPr>
        <w:rPr/>
      </w:pPr>
      <w:r>
        <w:rPr/>
        <w:t>Replikation scheitert;</w:t>
      </w:r>
    </w:p>
    <w:p>
      <w:pPr>
        <w:pStyle w:val="Compact"/>
        <w:numPr>
          <w:ilvl w:val="0"/>
          <w:numId w:val="442"/>
        </w:numPr>
        <w:rPr/>
      </w:pPr>
      <w:r>
        <w:rPr/>
        <w:t>ein Confound identifiziert wird;</w:t>
      </w:r>
    </w:p>
    <w:p>
      <w:pPr>
        <w:pStyle w:val="Compact"/>
        <w:numPr>
          <w:ilvl w:val="0"/>
          <w:numId w:val="443"/>
        </w:numPr>
        <w:rPr/>
      </w:pPr>
      <w:r>
        <w:rPr/>
        <w:t>Implementierung oder Datenintegrität fehlerhaft war;</w:t>
      </w:r>
    </w:p>
    <w:p>
      <w:pPr>
        <w:pStyle w:val="Compact"/>
        <w:numPr>
          <w:ilvl w:val="0"/>
          <w:numId w:val="444"/>
        </w:numPr>
        <w:rPr/>
      </w:pPr>
      <w:r>
        <w:rPr/>
        <w:t>der Effekt nur in engerem Scope gilt;</w:t>
      </w:r>
    </w:p>
    <w:p>
      <w:pPr>
        <w:pStyle w:val="Compact"/>
        <w:numPr>
          <w:ilvl w:val="0"/>
          <w:numId w:val="445"/>
        </w:numPr>
        <w:rPr/>
      </w:pPr>
      <w:r>
        <w:rPr/>
        <w:t>ein stärkeres Nullmodell die Erklärung übernimmt.</w:t>
      </w:r>
    </w:p>
    <w:p>
      <w:pPr>
        <w:pStyle w:val="FirstParagraph"/>
        <w:rPr/>
      </w:pPr>
      <w:bookmarkStart w:id="554" w:name="a.2-herabstufung"/>
      <w:r>
        <w:rPr/>
        <w:t>Historische EvidenceRecords bleiben erhalten; eine neue Version ersetzt die Entscheidung nicht rückwirkend.</w:t>
      </w:r>
      <w:bookmarkEnd w:id="554"/>
    </w:p>
    <w:p>
      <w:pPr>
        <w:pStyle w:val="Heading2"/>
        <w:keepNext w:val="true"/>
        <w:widowControl/>
        <w:rPr/>
      </w:pPr>
      <w:bookmarkStart w:id="555" w:name="__RefHeading___Toc10217_954062153"/>
      <w:bookmarkStart w:id="556" w:name="a.3-claim-formulierung"/>
      <w:bookmarkEnd w:id="555"/>
      <w:r>
        <w:rPr/>
        <w:t>A.3 Claim-Formulierung</w:t>
      </w:r>
    </w:p>
    <w:p>
      <w:pPr>
        <w:pStyle w:val="FirstParagraph"/>
        <w:rPr/>
      </w:pPr>
      <w:r>
        <w:rPr/>
        <w:t>Gute Claims sind atomar, operationalisiert und begrenzt. Ungünstig ist: „Brain-5D versteht Sprache.“ Besser:</w:t>
      </w:r>
    </w:p>
    <w:p>
      <w:pPr>
        <w:pStyle w:val="SourceCode"/>
        <w:shd w:val="clear" w:fill="F5F7FA"/>
        <w:rPr/>
      </w:pPr>
      <w:r>
        <w:rPr>
          <w:rStyle w:val="VerbatimChar"/>
        </w:rPr>
        <w:t>In benchmark SEM-REL-02, a decoder trained on frozen SignalFrames predicts</w:t>
      </w:r>
      <w:r>
        <w:rPr/>
        <w:br/>
      </w:r>
      <w:r>
        <w:rPr>
          <w:rStyle w:val="VerbatimChar"/>
        </w:rPr>
        <w:t>held-out relation class Y above the preregistered permutation baseline after</w:t>
      </w:r>
      <w:r>
        <w:rPr/>
        <w:br/>
      </w:r>
      <w:r>
        <w:rPr>
          <w:rStyle w:val="VerbatimChar"/>
        </w:rPr>
        <w:t>LLM and retrieval isolation, across 30 independent network seeds.</w:t>
      </w:r>
    </w:p>
    <w:p>
      <w:pPr>
        <w:pStyle w:val="FirstParagraph"/>
        <w:rPr/>
      </w:pPr>
      <w:bookmarkStart w:id="557" w:name="anhang-a-status--und-claim-konventionen"/>
      <w:bookmarkStart w:id="558" w:name="a.3-claim-formulierung"/>
      <w:r>
        <w:rPr/>
        <w:t>Die kognitive Interpretation kann anschließend diskutiert werden, bleibt aber vom empirischen Claim getrennt.</w:t>
      </w:r>
      <w:bookmarkEnd w:id="557"/>
      <w:bookmarkEnd w:id="558"/>
    </w:p>
    <w:p>
      <w:pPr>
        <w:pStyle w:val="Heading1"/>
        <w:keepNext w:val="true"/>
        <w:widowControl/>
        <w:rPr/>
      </w:pPr>
      <w:bookmarkStart w:id="559" w:name="__RefHeading___Toc10219_954062153"/>
      <w:bookmarkStart w:id="560" w:name="anhang-b-datenverträge"/>
      <w:bookmarkEnd w:id="559"/>
      <w:r>
        <w:rPr/>
        <w:t>Anhang B — Datenverträge</w:t>
      </w:r>
    </w:p>
    <w:p>
      <w:pPr>
        <w:pStyle w:val="Heading2"/>
        <w:keepNext w:val="true"/>
        <w:widowControl/>
        <w:rPr/>
      </w:pPr>
      <w:bookmarkStart w:id="561" w:name="__RefHeading___Toc10221_954062153"/>
      <w:bookmarkStart w:id="562" w:name="b.1-stimulusplan"/>
      <w:bookmarkEnd w:id="561"/>
      <w:r>
        <w:rPr/>
        <w:t>B.1 StimulusPlan</w:t>
      </w:r>
    </w:p>
    <w:p>
      <w:pPr>
        <w:pStyle w:val="SourceCode"/>
        <w:shd w:val="clear" w:fill="F5F7FA"/>
        <w:rPr/>
      </w:pPr>
      <w:r>
        <w:rPr>
          <w:rStyle w:val="AttributeTok"/>
        </w:rPr>
        <w:t>@dataclass</w:t>
      </w:r>
      <w:r>
        <w:rPr>
          <w:rStyle w:val="NormalTok"/>
        </w:rPr>
        <w:t>(frozen</w:t>
      </w:r>
      <w:r>
        <w:rPr>
          <w:rStyle w:val="OperatorTok"/>
        </w:rPr>
        <w:t>=</w:t>
      </w:r>
      <w:r>
        <w:rPr>
          <w:rStyle w:val="VariableTok"/>
        </w:rPr>
        <w:t>True</w:t>
      </w:r>
      <w:r>
        <w:rPr>
          <w:rStyle w:val="NormalTok"/>
        </w:rPr>
        <w:t>, slots</w:t>
      </w:r>
      <w:r>
        <w:rPr>
          <w:rStyle w:val="OperatorTok"/>
        </w:rPr>
        <w:t>=</w:t>
      </w:r>
      <w:r>
        <w:rPr>
          <w:rStyle w:val="VariableTok"/>
        </w:rPr>
        <w:t>True</w:t>
      </w:r>
      <w:r>
        <w:rPr>
          <w:rStyle w:val="NormalTok"/>
        </w:rPr>
        <w:t>)</w:t>
      </w:r>
      <w:r>
        <w:rPr/>
        <w:br/>
      </w:r>
      <w:r>
        <w:rPr>
          <w:rStyle w:val="KeywordTok"/>
        </w:rPr>
        <w:t>class</w:t>
      </w:r>
      <w:r>
        <w:rPr>
          <w:rStyle w:val="NormalTok"/>
        </w:rPr>
        <w:t xml:space="preserve"> StimulusPlan:</w:t>
      </w:r>
      <w:r>
        <w:rPr/>
        <w:br/>
      </w:r>
      <w:r>
        <w:rPr>
          <w:rStyle w:val="NormalTok"/>
        </w:rPr>
        <w:t xml:space="preserve">    stimulus_id: </w:t>
      </w:r>
      <w:r>
        <w:rPr>
          <w:rStyle w:val="BuiltInTok"/>
        </w:rPr>
        <w:t>str</w:t>
      </w:r>
      <w:r>
        <w:rPr/>
        <w:br/>
      </w:r>
      <w:r>
        <w:rPr>
          <w:rStyle w:val="NormalTok"/>
        </w:rPr>
        <w:t xml:space="preserve">    schema_version: </w:t>
      </w:r>
      <w:r>
        <w:rPr>
          <w:rStyle w:val="BuiltInTok"/>
        </w:rPr>
        <w:t>str</w:t>
      </w:r>
      <w:r>
        <w:rPr/>
        <w:br/>
      </w:r>
      <w:r>
        <w:rPr>
          <w:rStyle w:val="NormalTok"/>
        </w:rPr>
        <w:t xml:space="preserve">    source_record_ids: </w:t>
      </w:r>
      <w:r>
        <w:rPr>
          <w:rStyle w:val="BuiltInTok"/>
        </w:rPr>
        <w:t>tuple</w:t>
      </w:r>
      <w:r>
        <w:rPr>
          <w:rStyle w:val="NormalTok"/>
        </w:rPr>
        <w:t>[</w:t>
      </w:r>
      <w:r>
        <w:rPr>
          <w:rStyle w:val="BuiltInTok"/>
        </w:rPr>
        <w:t>str</w:t>
      </w:r>
      <w:r>
        <w:rPr>
          <w:rStyle w:val="NormalTok"/>
        </w:rPr>
        <w:t>, ...]</w:t>
      </w:r>
      <w:r>
        <w:rPr/>
        <w:br/>
      </w:r>
      <w:r>
        <w:rPr>
          <w:rStyle w:val="NormalTok"/>
        </w:rPr>
        <w:t xml:space="preserve">    modality: </w:t>
      </w:r>
      <w:r>
        <w:rPr>
          <w:rStyle w:val="BuiltInTok"/>
        </w:rPr>
        <w:t>str</w:t>
      </w:r>
      <w:r>
        <w:rPr/>
        <w:br/>
      </w:r>
      <w:r>
        <w:rPr>
          <w:rStyle w:val="NormalTok"/>
        </w:rPr>
        <w:t xml:space="preserve">    target_region: </w:t>
      </w:r>
      <w:r>
        <w:rPr>
          <w:rStyle w:val="BuiltInTok"/>
        </w:rPr>
        <w:t>str</w:t>
      </w:r>
      <w:r>
        <w:rPr/>
        <w:br/>
      </w:r>
      <w:r>
        <w:rPr>
          <w:rStyle w:val="NormalTok"/>
        </w:rPr>
        <w:t xml:space="preserve">    start_tick: </w:t>
      </w:r>
      <w:r>
        <w:rPr>
          <w:rStyle w:val="BuiltInTok"/>
        </w:rPr>
        <w:t>int</w:t>
      </w:r>
      <w:r>
        <w:rPr/>
        <w:br/>
      </w:r>
      <w:r>
        <w:rPr>
          <w:rStyle w:val="NormalTok"/>
        </w:rPr>
        <w:t xml:space="preserve">    duration_ticks: </w:t>
      </w:r>
      <w:r>
        <w:rPr>
          <w:rStyle w:val="BuiltInTok"/>
        </w:rPr>
        <w:t>int</w:t>
      </w:r>
      <w:r>
        <w:rPr/>
        <w:br/>
      </w:r>
      <w:r>
        <w:rPr>
          <w:rStyle w:val="NormalTok"/>
        </w:rPr>
        <w:t xml:space="preserve">    intensity: </w:t>
      </w:r>
      <w:r>
        <w:rPr>
          <w:rStyle w:val="BuiltInTok"/>
        </w:rPr>
        <w:t>float</w:t>
      </w:r>
      <w:r>
        <w:rPr/>
        <w:br/>
      </w:r>
      <w:r>
        <w:rPr>
          <w:rStyle w:val="NormalTok"/>
        </w:rPr>
        <w:t xml:space="preserve">    frequency_hz: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spatial_distribution: </w:t>
      </w:r>
      <w:r>
        <w:rPr>
          <w:rStyle w:val="BuiltInTok"/>
        </w:rPr>
        <w:t>str</w:t>
      </w:r>
      <w:r>
        <w:rPr/>
        <w:br/>
      </w:r>
      <w:r>
        <w:rPr>
          <w:rStyle w:val="NormalTok"/>
        </w:rPr>
        <w:t xml:space="preserve">    temporal_pattern: </w:t>
      </w:r>
      <w:r>
        <w:rPr>
          <w:rStyle w:val="BuiltInTok"/>
        </w:rPr>
        <w:t>str</w:t>
      </w:r>
      <w:r>
        <w:rPr/>
        <w:br/>
      </w:r>
      <w:r>
        <w:rPr>
          <w:rStyle w:val="NormalTok"/>
        </w:rPr>
        <w:t xml:space="preserve">    encoder_id: </w:t>
      </w:r>
      <w:r>
        <w:rPr>
          <w:rStyle w:val="BuiltInTok"/>
        </w:rPr>
        <w:t>str</w:t>
      </w:r>
      <w:r>
        <w:rPr/>
        <w:br/>
      </w:r>
      <w:r>
        <w:rPr>
          <w:rStyle w:val="NormalTok"/>
        </w:rPr>
        <w:t xml:space="preserve">    random_seed: </w:t>
      </w:r>
      <w:r>
        <w:rPr>
          <w:rStyle w:val="BuiltInTok"/>
        </w:rPr>
        <w:t>int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safety_class: </w:t>
      </w:r>
      <w:r>
        <w:rPr>
          <w:rStyle w:val="BuiltInTok"/>
        </w:rPr>
        <w:t>str</w:t>
      </w:r>
      <w:r>
        <w:rPr/>
        <w:br/>
      </w:r>
      <w:r>
        <w:rPr>
          <w:rStyle w:val="NormalTok"/>
        </w:rPr>
        <w:t xml:space="preserve">    content_hash: </w:t>
      </w:r>
      <w:r>
        <w:rPr>
          <w:rStyle w:val="BuiltInTok"/>
        </w:rPr>
        <w:t>str</w:t>
      </w:r>
      <w:bookmarkEnd w:id="562"/>
    </w:p>
    <w:p>
      <w:pPr>
        <w:pStyle w:val="Heading2"/>
        <w:keepNext w:val="true"/>
        <w:widowControl/>
        <w:rPr/>
      </w:pPr>
      <w:bookmarkStart w:id="563" w:name="__RefHeading___Toc10223_954062153"/>
      <w:bookmarkStart w:id="564" w:name="b.2-interpretation"/>
      <w:bookmarkEnd w:id="563"/>
      <w:r>
        <w:rPr/>
        <w:t>B.2 Interpretation</w:t>
      </w:r>
    </w:p>
    <w:p>
      <w:pPr>
        <w:pStyle w:val="SourceCode"/>
        <w:shd w:val="clear" w:fill="F5F7FA"/>
        <w:rPr/>
      </w:pPr>
      <w:r>
        <w:rPr>
          <w:rStyle w:val="AttributeTok"/>
        </w:rPr>
        <w:t>@dataclass</w:t>
      </w:r>
      <w:r>
        <w:rPr>
          <w:rStyle w:val="NormalTok"/>
        </w:rPr>
        <w:t>(frozen</w:t>
      </w:r>
      <w:r>
        <w:rPr>
          <w:rStyle w:val="OperatorTok"/>
        </w:rPr>
        <w:t>=</w:t>
      </w:r>
      <w:r>
        <w:rPr>
          <w:rStyle w:val="VariableTok"/>
        </w:rPr>
        <w:t>True</w:t>
      </w:r>
      <w:r>
        <w:rPr>
          <w:rStyle w:val="NormalTok"/>
        </w:rPr>
        <w:t>, slots</w:t>
      </w:r>
      <w:r>
        <w:rPr>
          <w:rStyle w:val="OperatorTok"/>
        </w:rPr>
        <w:t>=</w:t>
      </w:r>
      <w:r>
        <w:rPr>
          <w:rStyle w:val="VariableTok"/>
        </w:rPr>
        <w:t>True</w:t>
      </w:r>
      <w:r>
        <w:rPr>
          <w:rStyle w:val="NormalTok"/>
        </w:rPr>
        <w:t>)</w:t>
      </w:r>
      <w:r>
        <w:rPr/>
        <w:br/>
      </w:r>
      <w:r>
        <w:rPr>
          <w:rStyle w:val="KeywordTok"/>
        </w:rPr>
        <w:t>class</w:t>
      </w:r>
      <w:r>
        <w:rPr>
          <w:rStyle w:val="NormalTok"/>
        </w:rPr>
        <w:t xml:space="preserve"> Interpretation:</w:t>
      </w:r>
      <w:r>
        <w:rPr/>
        <w:br/>
      </w:r>
      <w:r>
        <w:rPr>
          <w:rStyle w:val="NormalTok"/>
        </w:rPr>
        <w:t xml:space="preserve">    interpretation_id: </w:t>
      </w:r>
      <w:r>
        <w:rPr>
          <w:rStyle w:val="BuiltInTok"/>
        </w:rPr>
        <w:t>str</w:t>
      </w:r>
      <w:r>
        <w:rPr/>
        <w:br/>
      </w:r>
      <w:r>
        <w:rPr>
          <w:rStyle w:val="NormalTok"/>
        </w:rPr>
        <w:t xml:space="preserve">    signal_frame_ids: </w:t>
      </w:r>
      <w:r>
        <w:rPr>
          <w:rStyle w:val="BuiltInTok"/>
        </w:rPr>
        <w:t>tuple</w:t>
      </w:r>
      <w:r>
        <w:rPr>
          <w:rStyle w:val="NormalTok"/>
        </w:rPr>
        <w:t>[</w:t>
      </w:r>
      <w:r>
        <w:rPr>
          <w:rStyle w:val="BuiltInTok"/>
        </w:rPr>
        <w:t>str</w:t>
      </w:r>
      <w:r>
        <w:rPr>
          <w:rStyle w:val="NormalTok"/>
        </w:rPr>
        <w:t>, ...]</w:t>
      </w:r>
      <w:r>
        <w:rPr/>
        <w:br/>
      </w:r>
      <w:r>
        <w:rPr>
          <w:rStyle w:val="NormalTok"/>
        </w:rPr>
        <w:t xml:space="preserve">    decoder_id: </w:t>
      </w:r>
      <w:r>
        <w:rPr>
          <w:rStyle w:val="BuiltInTok"/>
        </w:rPr>
        <w:t>str</w:t>
      </w:r>
      <w:r>
        <w:rPr/>
        <w:br/>
      </w:r>
      <w:r>
        <w:rPr>
          <w:rStyle w:val="NormalTok"/>
        </w:rPr>
        <w:t xml:space="preserve">    decoder_version: </w:t>
      </w:r>
      <w:r>
        <w:rPr>
          <w:rStyle w:val="BuiltInTok"/>
        </w:rPr>
        <w:t>str</w:t>
      </w:r>
      <w:r>
        <w:rPr/>
        <w:br/>
      </w:r>
      <w:r>
        <w:rPr>
          <w:rStyle w:val="NormalTok"/>
        </w:rPr>
        <w:t xml:space="preserve">    hypothesis_text: </w:t>
      </w:r>
      <w:r>
        <w:rPr>
          <w:rStyle w:val="BuiltInTok"/>
        </w:rPr>
        <w:t>str</w:t>
      </w:r>
      <w:r>
        <w:rPr/>
        <w:br/>
      </w:r>
      <w:r>
        <w:rPr>
          <w:rStyle w:val="NormalTok"/>
        </w:rPr>
        <w:t xml:space="preserve">    predicted_labels: </w:t>
      </w:r>
      <w:r>
        <w:rPr>
          <w:rStyle w:val="BuiltInTok"/>
        </w:rPr>
        <w:t>tuple</w:t>
      </w:r>
      <w:r>
        <w:rPr>
          <w:rStyle w:val="NormalTok"/>
        </w:rPr>
        <w:t>[</w:t>
      </w:r>
      <w:r>
        <w:rPr>
          <w:rStyle w:val="BuiltInTok"/>
        </w:rPr>
        <w:t>str</w:t>
      </w:r>
      <w:r>
        <w:rPr>
          <w:rStyle w:val="NormalTok"/>
        </w:rPr>
        <w:t>, ...]</w:t>
      </w:r>
      <w:r>
        <w:rPr/>
        <w:br/>
      </w:r>
      <w:r>
        <w:rPr>
          <w:rStyle w:val="NormalTok"/>
        </w:rPr>
        <w:t xml:space="preserve">    confidence: </w:t>
      </w:r>
      <w:r>
        <w:rPr>
          <w:rStyle w:val="BuiltInTok"/>
        </w:rPr>
        <w:t>float</w:t>
      </w:r>
      <w:r>
        <w:rPr/>
        <w:br/>
      </w:r>
      <w:r>
        <w:rPr>
          <w:rStyle w:val="NormalTok"/>
        </w:rPr>
        <w:t xml:space="preserve">    calibration_version: </w:t>
      </w:r>
      <w:r>
        <w:rPr>
          <w:rStyle w:val="BuiltInTok"/>
        </w:rPr>
        <w:t>str</w:t>
      </w:r>
      <w:r>
        <w:rPr/>
        <w:br/>
      </w:r>
      <w:r>
        <w:rPr>
          <w:rStyle w:val="NormalTok"/>
        </w:rPr>
        <w:t xml:space="preserve">    allowed_features_hash: </w:t>
      </w:r>
      <w:r>
        <w:rPr>
          <w:rStyle w:val="BuiltInTok"/>
        </w:rPr>
        <w:t>str</w:t>
      </w:r>
      <w:r>
        <w:rPr/>
        <w:br/>
      </w:r>
      <w:r>
        <w:rPr>
          <w:rStyle w:val="NormalTok"/>
        </w:rPr>
        <w:t xml:space="preserve">    created_at_tick: </w:t>
      </w:r>
      <w:r>
        <w:rPr>
          <w:rStyle w:val="BuiltInTok"/>
        </w:rPr>
        <w:t>int</w:t>
      </w:r>
      <w:bookmarkEnd w:id="564"/>
    </w:p>
    <w:p>
      <w:pPr>
        <w:pStyle w:val="Heading2"/>
        <w:keepNext w:val="true"/>
        <w:widowControl/>
        <w:rPr/>
      </w:pPr>
      <w:bookmarkStart w:id="565" w:name="__RefHeading___Toc10225_954062153"/>
      <w:bookmarkStart w:id="566" w:name="b.3-rejectionrecord"/>
      <w:bookmarkEnd w:id="565"/>
      <w:r>
        <w:rPr/>
        <w:t>B.3 RejectionRecord</w:t>
      </w:r>
    </w:p>
    <w:p>
      <w:pPr>
        <w:pStyle w:val="SourceCode"/>
        <w:shd w:val="clear" w:fill="F5F7FA"/>
        <w:rPr/>
      </w:pPr>
      <w:r>
        <w:rPr>
          <w:rStyle w:val="AttributeTok"/>
        </w:rPr>
        <w:t>@dataclass</w:t>
      </w:r>
      <w:r>
        <w:rPr>
          <w:rStyle w:val="NormalTok"/>
        </w:rPr>
        <w:t>(frozen</w:t>
      </w:r>
      <w:r>
        <w:rPr>
          <w:rStyle w:val="OperatorTok"/>
        </w:rPr>
        <w:t>=</w:t>
      </w:r>
      <w:r>
        <w:rPr>
          <w:rStyle w:val="VariableTok"/>
        </w:rPr>
        <w:t>True</w:t>
      </w:r>
      <w:r>
        <w:rPr>
          <w:rStyle w:val="NormalTok"/>
        </w:rPr>
        <w:t>, slots</w:t>
      </w:r>
      <w:r>
        <w:rPr>
          <w:rStyle w:val="OperatorTok"/>
        </w:rPr>
        <w:t>=</w:t>
      </w:r>
      <w:r>
        <w:rPr>
          <w:rStyle w:val="VariableTok"/>
        </w:rPr>
        <w:t>True</w:t>
      </w:r>
      <w:r>
        <w:rPr>
          <w:rStyle w:val="NormalTok"/>
        </w:rPr>
        <w:t>)</w:t>
      </w:r>
      <w:r>
        <w:rPr/>
        <w:br/>
      </w:r>
      <w:r>
        <w:rPr>
          <w:rStyle w:val="KeywordTok"/>
        </w:rPr>
        <w:t>class</w:t>
      </w:r>
      <w:r>
        <w:rPr>
          <w:rStyle w:val="NormalTok"/>
        </w:rPr>
        <w:t xml:space="preserve"> RejectionRecord:</w:t>
      </w:r>
      <w:r>
        <w:rPr/>
        <w:br/>
      </w:r>
      <w:r>
        <w:rPr>
          <w:rStyle w:val="NormalTok"/>
        </w:rPr>
        <w:t xml:space="preserve">    proposal_id: </w:t>
      </w:r>
      <w:r>
        <w:rPr>
          <w:rStyle w:val="BuiltInTok"/>
        </w:rPr>
        <w:t>str</w:t>
      </w:r>
      <w:r>
        <w:rPr/>
        <w:br/>
      </w:r>
      <w:r>
        <w:rPr>
          <w:rStyle w:val="NormalTok"/>
        </w:rPr>
        <w:t xml:space="preserve">    policy_version: </w:t>
      </w:r>
      <w:r>
        <w:rPr>
          <w:rStyle w:val="BuiltInTok"/>
        </w:rPr>
        <w:t>str</w:t>
      </w:r>
      <w:r>
        <w:rPr/>
        <w:br/>
      </w:r>
      <w:r>
        <w:rPr>
          <w:rStyle w:val="NormalTok"/>
        </w:rPr>
        <w:t xml:space="preserve">    reason_codes: </w:t>
      </w:r>
      <w:r>
        <w:rPr>
          <w:rStyle w:val="BuiltInTok"/>
        </w:rPr>
        <w:t>tuple</w:t>
      </w:r>
      <w:r>
        <w:rPr>
          <w:rStyle w:val="NormalTok"/>
        </w:rPr>
        <w:t>[</w:t>
      </w:r>
      <w:r>
        <w:rPr>
          <w:rStyle w:val="BuiltInTok"/>
        </w:rPr>
        <w:t>str</w:t>
      </w:r>
      <w:r>
        <w:rPr>
          <w:rStyle w:val="NormalTok"/>
        </w:rPr>
        <w:t>, ...]</w:t>
      </w:r>
      <w:r>
        <w:rPr/>
        <w:br/>
      </w:r>
      <w:r>
        <w:rPr>
          <w:rStyle w:val="NormalTok"/>
        </w:rPr>
        <w:t xml:space="preserve">    evaluated_at_tick: </w:t>
      </w:r>
      <w:r>
        <w:rPr>
          <w:rStyle w:val="BuiltInTok"/>
        </w:rPr>
        <w:t>int</w:t>
      </w:r>
      <w:r>
        <w:rPr/>
        <w:br/>
      </w:r>
      <w:r>
        <w:rPr>
          <w:rStyle w:val="NormalTok"/>
        </w:rPr>
        <w:t xml:space="preserve">    evaluated_limits_hash: </w:t>
      </w:r>
      <w:r>
        <w:rPr>
          <w:rStyle w:val="BuiltInTok"/>
        </w:rPr>
        <w:t>str</w:t>
      </w:r>
      <w:bookmarkEnd w:id="560"/>
      <w:bookmarkEnd w:id="566"/>
    </w:p>
    <w:p>
      <w:pPr>
        <w:pStyle w:val="Heading1"/>
        <w:keepNext w:val="true"/>
        <w:widowControl/>
        <w:rPr/>
      </w:pPr>
      <w:bookmarkStart w:id="567" w:name="__RefHeading___Toc10227_954062153"/>
      <w:bookmarkStart w:id="568" w:name="anhang-c-beispiel-eines-evidencerecord"/>
      <w:bookmarkEnd w:id="567"/>
      <w:r>
        <w:rPr/>
        <w:t>Anhang C — Beispiel eines EvidenceRecord</w:t>
      </w:r>
    </w:p>
    <w:p>
      <w:pPr>
        <w:pStyle w:val="SourceCode"/>
        <w:shd w:val="clear" w:fill="F5F7FA"/>
        <w:rPr/>
      </w:pPr>
      <w:r>
        <w:rPr>
          <w:rStyle w:val="FunctionTok"/>
        </w:rPr>
        <w:t>evidence_id</w:t>
      </w:r>
      <w:r>
        <w:rPr>
          <w:rStyle w:val="KeywordTok"/>
        </w:rPr>
        <w:t>:</w:t>
      </w:r>
      <w:r>
        <w:rPr>
          <w:rStyle w:val="AttributeTok"/>
        </w:rPr>
        <w:t xml:space="preserve"> EVID-2027-0041</w:t>
      </w:r>
      <w:r>
        <w:rPr/>
        <w:br/>
      </w:r>
      <w:r>
        <w:rPr>
          <w:rStyle w:val="FunctionTok"/>
        </w:rPr>
        <w:t>claim_id</w:t>
      </w:r>
      <w:r>
        <w:rPr>
          <w:rStyle w:val="KeywordTok"/>
        </w:rPr>
        <w:t>:</w:t>
      </w:r>
      <w:r>
        <w:rPr>
          <w:rStyle w:val="AttributeTok"/>
        </w:rPr>
        <w:t xml:space="preserve"> CLAIM-HOME-002</w:t>
      </w:r>
      <w:r>
        <w:rPr/>
        <w:br/>
      </w:r>
      <w:r>
        <w:rPr>
          <w:rStyle w:val="FunctionTok"/>
        </w:rPr>
        <w:t>previous_status</w:t>
      </w:r>
      <w:r>
        <w:rPr>
          <w:rStyle w:val="KeywordTok"/>
        </w:rPr>
        <w:t>:</w:t>
      </w:r>
      <w:r>
        <w:rPr>
          <w:rStyle w:val="AttributeTok"/>
        </w:rPr>
        <w:t xml:space="preserve"> E1</w:t>
      </w:r>
      <w:r>
        <w:rPr/>
        <w:br/>
      </w:r>
      <w:r>
        <w:rPr>
          <w:rStyle w:val="FunctionTok"/>
        </w:rPr>
        <w:t>new_status</w:t>
      </w:r>
      <w:r>
        <w:rPr>
          <w:rStyle w:val="KeywordTok"/>
        </w:rPr>
        <w:t>:</w:t>
      </w:r>
      <w:r>
        <w:rPr>
          <w:rStyle w:val="AttributeTok"/>
        </w:rPr>
        <w:t xml:space="preserve"> E2</w:t>
      </w:r>
      <w:r>
        <w:rPr/>
        <w:br/>
      </w:r>
      <w:r>
        <w:rPr>
          <w:rStyle w:val="FunctionTok"/>
        </w:rPr>
        <w:t>decision</w:t>
      </w:r>
      <w:r>
        <w:rPr>
          <w:rStyle w:val="KeywordTok"/>
        </w:rPr>
        <w:t>:</w:t>
      </w:r>
      <w:r>
        <w:rPr>
          <w:rStyle w:val="AttributeTok"/>
        </w:rPr>
        <w:t xml:space="preserve"> promoted</w:t>
      </w:r>
      <w:r>
        <w:rPr/>
        <w:br/>
      </w:r>
      <w:r>
        <w:rPr>
          <w:rStyle w:val="FunctionTok"/>
        </w:rPr>
        <w:t>basis</w:t>
      </w:r>
      <w:r>
        <w:rPr>
          <w:rStyle w:val="KeywordTok"/>
        </w:rPr>
        <w:t>:</w:t>
      </w:r>
      <w:r>
        <w:rPr/>
        <w:br/>
      </w:r>
      <w:r>
        <w:rPr>
          <w:rStyle w:val="AttributeTok"/>
        </w:rPr>
        <w:t xml:space="preserve">  </w:t>
      </w:r>
      <w:r>
        <w:rPr>
          <w:rStyle w:val="FunctionTok"/>
        </w:rPr>
        <w:t>experiments</w:t>
      </w:r>
      <w:r>
        <w:rPr>
          <w:rStyle w:val="KeywordTok"/>
        </w:rPr>
        <w:t>:</w:t>
      </w:r>
      <w:r>
        <w:rPr>
          <w:rStyle w:val="AttributeTok"/>
        </w:rPr>
        <w:t xml:space="preserve"> </w:t>
      </w:r>
      <w:r>
        <w:rPr>
          <w:rStyle w:val="KeywordTok"/>
        </w:rPr>
        <w:t>[</w:t>
      </w:r>
      <w:r>
        <w:rPr>
          <w:rStyle w:val="AttributeTok"/>
        </w:rPr>
        <w:t>EXP-HOME</w:t>
      </w:r>
      <w:r>
        <w:rPr>
          <w:rStyle w:val="DecValTok"/>
        </w:rPr>
        <w:t>-007</w:t>
      </w:r>
      <w:r>
        <w:rPr>
          <w:rStyle w:val="KeywordTok"/>
        </w:rPr>
        <w:t>,</w:t>
      </w:r>
      <w:r>
        <w:rPr>
          <w:rStyle w:val="AttributeTok"/>
        </w:rPr>
        <w:t xml:space="preserve"> EXP-HOME-009</w:t>
      </w:r>
      <w:r>
        <w:rPr>
          <w:rStyle w:val="KeywordTok"/>
        </w:rPr>
        <w:t>]</w:t>
      </w:r>
      <w:r>
        <w:rPr/>
        <w:br/>
      </w:r>
      <w:r>
        <w:rPr>
          <w:rStyle w:val="AttributeTok"/>
        </w:rPr>
        <w:t xml:space="preserve">  </w:t>
      </w:r>
      <w:r>
        <w:rPr>
          <w:rStyle w:val="FunctionTok"/>
        </w:rPr>
        <w:t>run_count_total</w:t>
      </w:r>
      <w:r>
        <w:rPr>
          <w:rStyle w:val="KeywordTok"/>
        </w:rPr>
        <w:t>:</w:t>
      </w:r>
      <w:r>
        <w:rPr>
          <w:rStyle w:val="AttributeTok"/>
        </w:rPr>
        <w:t xml:space="preserve"> </w:t>
      </w:r>
      <w:r>
        <w:rPr>
          <w:rStyle w:val="DecValTok"/>
        </w:rPr>
        <w:t>60</w:t>
      </w:r>
      <w:r>
        <w:rPr/>
        <w:br/>
      </w:r>
      <w:r>
        <w:rPr>
          <w:rStyle w:val="AttributeTok"/>
        </w:rPr>
        <w:t xml:space="preserve">  </w:t>
      </w:r>
      <w:r>
        <w:rPr>
          <w:rStyle w:val="FunctionTok"/>
        </w:rPr>
        <w:t>preregistered_primary_endpoint</w:t>
      </w:r>
      <w:r>
        <w:rPr>
          <w:rStyle w:val="KeywordTok"/>
        </w:rPr>
        <w:t>:</w:t>
      </w:r>
      <w:r>
        <w:rPr>
          <w:rStyle w:val="AttributeTok"/>
        </w:rPr>
        <w:t xml:space="preserve"> population_rate_variance</w:t>
      </w:r>
      <w:r>
        <w:rPr/>
        <w:br/>
      </w:r>
      <w:r>
        <w:rPr>
          <w:rStyle w:val="AttributeTok"/>
        </w:rPr>
        <w:t xml:space="preserve">  </w:t>
      </w:r>
      <w:r>
        <w:rPr>
          <w:rStyle w:val="FunctionTok"/>
        </w:rPr>
        <w:t>effect_estimate</w:t>
      </w:r>
      <w:r>
        <w:rPr>
          <w:rStyle w:val="KeywordTok"/>
        </w:rPr>
        <w:t>:</w:t>
      </w:r>
      <w:r>
        <w:rPr>
          <w:rStyle w:val="AttributeTok"/>
        </w:rPr>
        <w:t xml:space="preserve"> </w:t>
      </w:r>
      <w:r>
        <w:rPr>
          <w:rStyle w:val="FloatTok"/>
        </w:rPr>
        <w:t>-0.31</w:t>
      </w:r>
      <w:r>
        <w:rPr/>
        <w:br/>
      </w:r>
      <w:r>
        <w:rPr>
          <w:rStyle w:val="AttributeTok"/>
        </w:rPr>
        <w:t xml:space="preserve">  </w:t>
      </w:r>
      <w:r>
        <w:rPr>
          <w:rStyle w:val="FunctionTok"/>
        </w:rPr>
        <w:t>confidence_interval_95</w:t>
      </w:r>
      <w:r>
        <w:rPr>
          <w:rStyle w:val="KeywordTok"/>
        </w:rPr>
        <w:t>:</w:t>
      </w:r>
      <w:r>
        <w:rPr>
          <w:rStyle w:val="AttributeTok"/>
        </w:rPr>
        <w:t xml:space="preserve"> </w:t>
      </w:r>
      <w:r>
        <w:rPr>
          <w:rStyle w:val="KeywordTok"/>
        </w:rPr>
        <w:t>[</w:t>
      </w:r>
      <w:r>
        <w:rPr>
          <w:rStyle w:val="FloatTok"/>
        </w:rPr>
        <w:t>-0.42</w:t>
      </w:r>
      <w:r>
        <w:rPr>
          <w:rStyle w:val="KeywordTok"/>
        </w:rPr>
        <w:t>,</w:t>
      </w:r>
      <w:r>
        <w:rPr>
          <w:rStyle w:val="AttributeTok"/>
        </w:rPr>
        <w:t xml:space="preserve"> </w:t>
      </w:r>
      <w:r>
        <w:rPr>
          <w:rStyle w:val="FloatTok"/>
        </w:rPr>
        <w:t>-0.19</w:t>
      </w:r>
      <w:r>
        <w:rPr>
          <w:rStyle w:val="KeywordTok"/>
        </w:rPr>
        <w:t>]</w:t>
      </w:r>
      <w:r>
        <w:rPr/>
        <w:br/>
      </w:r>
      <w:r>
        <w:rPr>
          <w:rStyle w:val="AttributeTok"/>
        </w:rPr>
        <w:t xml:space="preserve">  </w:t>
      </w:r>
      <w:r>
        <w:rPr>
          <w:rStyle w:val="FunctionTok"/>
        </w:rPr>
        <w:t>robustness_checks</w:t>
      </w:r>
      <w:r>
        <w:rPr>
          <w:rStyle w:val="KeywordTok"/>
        </w:rPr>
        <w:t>:</w:t>
      </w:r>
      <w:r>
        <w:rPr/>
        <w:br/>
      </w:r>
      <w:r>
        <w:rPr>
          <w:rStyle w:val="AttributeTok"/>
        </w:rPr>
        <w:t xml:space="preserve">    </w:t>
      </w:r>
      <w:r>
        <w:rPr>
          <w:rStyle w:val="KeywordTok"/>
        </w:rPr>
        <w:t>-</w:t>
      </w:r>
      <w:r>
        <w:rPr>
          <w:rStyle w:val="AttributeTok"/>
        </w:rPr>
        <w:t xml:space="preserve"> alternative_window_sizes</w:t>
      </w:r>
      <w:r>
        <w:rPr/>
        <w:br/>
      </w:r>
      <w:r>
        <w:rPr>
          <w:rStyle w:val="AttributeTok"/>
        </w:rPr>
        <w:t xml:space="preserve">    </w:t>
      </w:r>
      <w:r>
        <w:rPr>
          <w:rStyle w:val="KeywordTok"/>
        </w:rPr>
        <w:t>-</w:t>
      </w:r>
      <w:r>
        <w:rPr>
          <w:rStyle w:val="AttributeTok"/>
        </w:rPr>
        <w:t xml:space="preserve"> exclusion_sensitivity</w:t>
      </w:r>
      <w:r>
        <w:rPr/>
        <w:br/>
      </w:r>
      <w:r>
        <w:rPr>
          <w:rStyle w:val="AttributeTok"/>
        </w:rPr>
        <w:t xml:space="preserve">    </w:t>
      </w:r>
      <w:r>
        <w:rPr>
          <w:rStyle w:val="KeywordTok"/>
        </w:rPr>
        <w:t>-</w:t>
      </w:r>
      <w:r>
        <w:rPr>
          <w:rStyle w:val="AttributeTok"/>
        </w:rPr>
        <w:t xml:space="preserve"> matched_activity_control</w:t>
      </w:r>
      <w:r>
        <w:rPr/>
        <w:br/>
      </w:r>
      <w:r>
        <w:rPr>
          <w:rStyle w:val="FunctionTok"/>
        </w:rPr>
        <w:t>limitations</w:t>
      </w:r>
      <w:r>
        <w:rPr>
          <w:rStyle w:val="KeywordTok"/>
        </w:rPr>
        <w:t>:</w:t>
      </w:r>
      <w:r>
        <w:rPr/>
        <w:br/>
      </w:r>
      <w:r>
        <w:rPr>
          <w:rStyle w:val="AttributeTok"/>
        </w:rPr>
        <w:t xml:space="preserve">  </w:t>
      </w:r>
      <w:r>
        <w:rPr>
          <w:rStyle w:val="KeywordTok"/>
        </w:rPr>
        <w:t>-</w:t>
      </w:r>
      <w:r>
        <w:rPr>
          <w:rStyle w:val="AttributeTok"/>
        </w:rPr>
        <w:t xml:space="preserve"> validated_only_for_5000_and_20000_neuron_networks</w:t>
      </w:r>
      <w:r>
        <w:rPr/>
        <w:br/>
      </w:r>
      <w:r>
        <w:rPr>
          <w:rStyle w:val="AttributeTok"/>
        </w:rPr>
        <w:t xml:space="preserve">  </w:t>
      </w:r>
      <w:r>
        <w:rPr>
          <w:rStyle w:val="KeywordTok"/>
        </w:rPr>
        <w:t>-</w:t>
      </w:r>
      <w:r>
        <w:rPr>
          <w:rStyle w:val="AttributeTok"/>
        </w:rPr>
        <w:t xml:space="preserve"> no_closed_loop_validation</w:t>
      </w:r>
      <w:r>
        <w:rPr/>
        <w:br/>
      </w:r>
      <w:r>
        <w:rPr>
          <w:rStyle w:val="FunctionTok"/>
        </w:rPr>
        <w:t>reviewed_by</w:t>
      </w:r>
      <w:r>
        <w:rPr>
          <w:rStyle w:val="KeywordTok"/>
        </w:rPr>
        <w:t>:</w:t>
      </w:r>
      <w:r>
        <w:rPr>
          <w:rStyle w:val="AttributeTok"/>
        </w:rPr>
        <w:t xml:space="preserve"> </w:t>
      </w:r>
      <w:r>
        <w:rPr>
          <w:rStyle w:val="KeywordTok"/>
        </w:rPr>
        <w:t>[</w:t>
      </w:r>
      <w:r>
        <w:rPr>
          <w:rStyle w:val="AttributeTok"/>
        </w:rPr>
        <w:t>researcher_a</w:t>
      </w:r>
      <w:r>
        <w:rPr>
          <w:rStyle w:val="KeywordTok"/>
        </w:rPr>
        <w:t>,</w:t>
      </w:r>
      <w:r>
        <w:rPr>
          <w:rStyle w:val="AttributeTok"/>
        </w:rPr>
        <w:t xml:space="preserve"> researcher_b</w:t>
      </w:r>
      <w:r>
        <w:rPr>
          <w:rStyle w:val="KeywordTok"/>
        </w:rPr>
        <w:t>]</w:t>
      </w:r>
      <w:r>
        <w:rPr/>
        <w:br/>
      </w:r>
      <w:r>
        <w:rPr>
          <w:rStyle w:val="FunctionTok"/>
        </w:rPr>
        <w:t>created_at</w:t>
      </w:r>
      <w:r>
        <w:rPr>
          <w:rStyle w:val="KeywordTok"/>
        </w:rPr>
        <w:t>:</w:t>
      </w:r>
      <w:r>
        <w:rPr>
          <w:rStyle w:val="AttributeTok"/>
        </w:rPr>
        <w:t xml:space="preserve"> </w:t>
      </w:r>
      <w:r>
        <w:rPr>
          <w:rStyle w:val="StringTok"/>
        </w:rPr>
        <w:t>"2027-04-18"</w:t>
      </w:r>
      <w:bookmarkEnd w:id="568"/>
    </w:p>
    <w:p>
      <w:pPr>
        <w:pStyle w:val="Heading1"/>
        <w:keepNext w:val="true"/>
        <w:widowControl/>
        <w:rPr/>
      </w:pPr>
      <w:bookmarkStart w:id="569" w:name="__RefHeading___Toc10229_954062153"/>
      <w:bookmarkEnd w:id="569"/>
      <w:r>
        <w:rPr/>
        <w:t>Anhang D — Architekturprüfungen</w:t>
      </w:r>
    </w:p>
    <w:tbl>
      <w:tblPr>
        <w:tblStyle w:val="Table"/>
        <w:tblW w:w="5000" w:type="pct"/>
        <w:jc w:val="center"/>
        <w:tblInd w:w="0" w:type="dxa"/>
        <w:tblLayout w:type="fixed"/>
        <w:tblCellMar>
          <w:top w:w="85" w:type="dxa"/>
          <w:start w:w="100" w:type="dxa"/>
          <w:bottom w:w="85" w:type="dxa"/>
          <w:end w:w="100" w:type="dxa"/>
        </w:tblCellMar>
        <w:tblLook w:val="04a0" w:noHBand="1" w:noVBand="1" w:firstColumn="0" w:lastRow="0" w:lastColumn="0" w:firstRow="1"/>
      </w:tblPr>
      <w:tblGrid>
        <w:gridCol w:w="4967"/>
        <w:gridCol w:w="4968"/>
      </w:tblGrid>
      <w:tr>
        <w:trPr>
          <w:tblHeader w:val="true"/>
        </w:trPr>
        <w:tc>
          <w:tcPr>
            <w:tcW w:w="4967"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Prüfung</w:t>
            </w:r>
          </w:p>
        </w:tc>
        <w:tc>
          <w:tcPr>
            <w:tcW w:w="4968"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Erfolgsbedingung</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LLM-Crash</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Runtime läuft weiter; Fehler wird protokolliert; keine Zustandskorruption</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ungültiger StimulusPlan</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Reject ohne partielle Anwendung</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direkter Weight-Write-Versuch</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Capability verweigert; Security-Event</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Snapshot-Restore</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Probe-Response innerhalb definierter Toleranz</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RNG-Replay</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identische beziehungsweise spezifizierte statistische Trajektorie</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Queue-Überlauf</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dokumentierte Drop-/Backpressure-Policy</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Sensorverlust</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Missing-Data-Zustand; kein impliziter Nullwert</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Aktorgrenze</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SafetyController begrenzt oder blockiert</w:t>
            </w:r>
          </w:p>
        </w:tc>
      </w:tr>
      <w:tr>
        <w:trPr/>
        <w:tc>
          <w:tcPr>
            <w:tcW w:w="4967"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Schemawechsel</w:t>
            </w:r>
          </w:p>
        </w:tc>
        <w:tc>
          <w:tcPr>
            <w:tcW w:w="4968"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explizite Migration; alter Run bleibt lesbar</w:t>
            </w:r>
          </w:p>
        </w:tc>
      </w:tr>
      <w:tr>
        <w:trPr/>
        <w:tc>
          <w:tcPr>
            <w:tcW w:w="4967"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Decoder-Leakage</w:t>
            </w:r>
          </w:p>
        </w:tc>
        <w:tc>
          <w:tcPr>
            <w:tcW w:w="4968"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Ziel-/Stimulus-IDs nicht in Feature-Allowlist</w:t>
            </w:r>
            <w:bookmarkStart w:id="570" w:name="anhang-d-architekturprüfungen"/>
            <w:bookmarkEnd w:id="570"/>
          </w:p>
        </w:tc>
      </w:tr>
    </w:tbl>
    <w:p>
      <w:pPr>
        <w:pStyle w:val="Heading1"/>
        <w:keepNext w:val="true"/>
        <w:widowControl/>
        <w:rPr/>
      </w:pPr>
      <w:bookmarkStart w:id="571" w:name="__RefHeading___Toc10231_954062153"/>
      <w:bookmarkEnd w:id="571"/>
      <w:r>
        <w:rPr/>
        <w:t>Anhang E — Abkürzungen und Symbole</w:t>
      </w:r>
    </w:p>
    <w:tbl>
      <w:tblPr>
        <w:tblStyle w:val="Table"/>
        <w:tblW w:w="7920" w:type="dxa"/>
        <w:jc w:val="center"/>
        <w:tblInd w:w="0" w:type="dxa"/>
        <w:tblLayout w:type="fixed"/>
        <w:tblCellMar>
          <w:top w:w="85" w:type="dxa"/>
          <w:start w:w="100" w:type="dxa"/>
          <w:bottom w:w="85" w:type="dxa"/>
          <w:end w:w="100" w:type="dxa"/>
        </w:tblCellMar>
        <w:tblLook w:val="04a0" w:noHBand="1" w:noVBand="1" w:firstColumn="0" w:lastRow="0" w:lastColumn="0" w:firstRow="1"/>
      </w:tblPr>
      <w:tblGrid>
        <w:gridCol w:w="3960"/>
        <w:gridCol w:w="3959"/>
      </w:tblGrid>
      <w:tr>
        <w:trPr>
          <w:tblHeader w:val="true"/>
        </w:trPr>
        <w:tc>
          <w:tcPr>
            <w:tcW w:w="3960"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Kürzel / Symbol</w:t>
            </w:r>
          </w:p>
        </w:tc>
        <w:tc>
          <w:tcPr>
            <w:tcW w:w="3959" w:type="dxa"/>
            <w:tcBorders>
              <w:top w:val="single" w:sz="8" w:space="0" w:color="17365D"/>
              <w:start w:val="single" w:sz="4" w:space="0" w:color="B8C7D9"/>
              <w:bottom w:val="single" w:sz="6" w:space="0" w:color="000000"/>
              <w:end w:val="single" w:sz="4" w:space="0" w:color="B8C7D9"/>
            </w:tcBorders>
            <w:shd w:fill="EAF2F8" w:val="clear"/>
            <w:vAlign w:val="center"/>
          </w:tcPr>
          <w:p>
            <w:pPr>
              <w:pStyle w:val="Compact"/>
              <w:spacing w:lineRule="auto" w:line="247" w:before="0" w:after="36"/>
              <w:jc w:val="start"/>
              <w:rPr>
                <w:kern w:val="0"/>
                <w:szCs w:val="24"/>
                <w:lang w:val="de-DE" w:eastAsia="en-US" w:bidi="ar-SA"/>
              </w:rPr>
            </w:pPr>
            <w:r>
              <w:rPr>
                <w:rFonts w:eastAsia="Liberation Sans" w:cs="Liberation Sans"/>
                <w:b/>
                <w:i w:val="false"/>
                <w:color w:val="17365D"/>
                <w:kern w:val="0"/>
                <w:sz w:val="17"/>
                <w:szCs w:val="24"/>
                <w:lang w:val="de-DE" w:eastAsia="en-US" w:bidi="ar-SA"/>
              </w:rPr>
              <w:t>Bedeutung</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SNN</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Spiking Neural Network</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LLM</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Large Language Model</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SIL</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Signal Interpretation Layer</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KIE</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Knowledge Intake Engine</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STDP</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Spike-Timing-Dependent Plasticity</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LTP / LTD</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Long-Term Potentiation / Depression</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E/I</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Excitation / Inhibition</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SPD</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symmetric positive definite</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X</m:t>
                    </m:r>
                  </m:e>
                  <m:sub>
                    <m:r>
                      <m:t xml:space="preserve">t</m:t>
                    </m:r>
                  </m:sub>
                </m:sSub>
              </m:oMath>
            </m:oMathPara>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vollständiger materialisierter Systemzustand</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p</m:t>
                    </m:r>
                  </m:e>
                  <m:sub>
                    <m:r>
                      <m:t xml:space="preserve">i</m:t>
                    </m:r>
                  </m:sub>
                </m:sSub>
              </m:oMath>
            </m:oMathPara>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5D-Position eines Neurons</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r>
                  <m:t xml:space="preserve">M</m:t>
                </m:r>
              </m:oMath>
            </m:oMathPara>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Metrikmatrix</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G</m:t>
                    </m:r>
                  </m:e>
                  <m:sub>
                    <m:r>
                      <m:t xml:space="preserve">t</m:t>
                    </m:r>
                  </m:sub>
                </m:sSub>
              </m:oMath>
            </m:oMathPara>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dynamischer Netzwerkgraph</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d</m:t>
                    </m:r>
                  </m:e>
                  <m:sub>
                    <m:r>
                      <m:t xml:space="preserve">M</m:t>
                    </m:r>
                  </m:sub>
                </m:sSub>
              </m:oMath>
            </m:oMathPara>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 xml:space="preserve">Umgebungsdistanz in der Metrik </w:t>
            </w:r>
            <w:r>
              <w:rPr>
                <w:kern w:val="0"/>
                <w:szCs w:val="24"/>
                <w:lang w:val="de-DE" w:eastAsia="en-US" w:bidi="ar-SA"/>
              </w:rPr>
            </w:r>
            <m:oMath xmlns:m="http://schemas.openxmlformats.org/officeDocument/2006/math">
              <m:r>
                <m:t xml:space="preserve">M</m:t>
              </m:r>
            </m:oMath>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d</m:t>
                    </m:r>
                  </m:e>
                  <m:sub>
                    <m:r>
                      <m:t xml:space="preserve">G</m:t>
                    </m:r>
                  </m:sub>
                </m:sSub>
              </m:oMath>
            </m:oMathPara>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Graphgeodätische Distanz</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sSub>
                  <m:e>
                    <m:r>
                      <m:t xml:space="preserve">e</m:t>
                    </m:r>
                  </m:e>
                  <m:sub>
                    <m:r>
                      <m:t xml:space="preserve">i</m:t>
                    </m:r>
                    <m:r>
                      <m:t xml:space="preserve">j</m:t>
                    </m:r>
                  </m:sub>
                </m:sSub>
              </m:oMath>
            </m:oMathPara>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Eligibility Trace</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kern w:val="0"/>
                <w:szCs w:val="24"/>
                <w:lang w:val="de-DE" w:eastAsia="en-US" w:bidi="ar-SA"/>
              </w:rPr>
            </w:r>
            <m:oMathPara xmlns:m="http://schemas.openxmlformats.org/officeDocument/2006/math">
              <m:oMathParaPr>
                <m:jc m:val="left"/>
              </m:oMathParaPr>
              <m:oMath>
                <m:r>
                  <m:t xml:space="preserve">Q</m:t>
                </m:r>
              </m:oMath>
            </m:oMathPara>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aufgabenspezifische Leistungsmetrik</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ACE</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Average Causal Effect</w:t>
            </w:r>
          </w:p>
        </w:tc>
      </w:tr>
      <w:tr>
        <w:trPr/>
        <w:tc>
          <w:tcPr>
            <w:tcW w:w="3960"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BWT / FWT</w:t>
            </w:r>
          </w:p>
        </w:tc>
        <w:tc>
          <w:tcPr>
            <w:tcW w:w="3959" w:type="dxa"/>
            <w:tcBorders>
              <w:top w:val="single" w:sz="4" w:space="0" w:color="B8C7D9"/>
              <w:start w:val="single" w:sz="4" w:space="0" w:color="B8C7D9"/>
              <w:bottom w:val="single" w:sz="4" w:space="0" w:color="B8C7D9"/>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Backward / Forward Transfer</w:t>
            </w:r>
          </w:p>
        </w:tc>
      </w:tr>
      <w:tr>
        <w:trPr/>
        <w:tc>
          <w:tcPr>
            <w:tcW w:w="3960"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RNG</w:t>
            </w:r>
          </w:p>
        </w:tc>
        <w:tc>
          <w:tcPr>
            <w:tcW w:w="3959" w:type="dxa"/>
            <w:tcBorders>
              <w:top w:val="single" w:sz="4" w:space="0" w:color="B8C7D9"/>
              <w:start w:val="single" w:sz="4" w:space="0" w:color="B8C7D9"/>
              <w:bottom w:val="single" w:sz="8" w:space="0" w:color="17365D"/>
              <w:end w:val="single" w:sz="4" w:space="0" w:color="B8C7D9"/>
            </w:tcBorders>
            <w:shd w:fill="FFFFFF" w:val="clear"/>
            <w:vAlign w:val="center"/>
          </w:tcPr>
          <w:p>
            <w:pPr>
              <w:pStyle w:val="Compact"/>
              <w:spacing w:lineRule="auto" w:line="247" w:before="0" w:after="36"/>
              <w:jc w:val="start"/>
              <w:rPr>
                <w:kern w:val="0"/>
                <w:szCs w:val="24"/>
                <w:lang w:val="de-DE" w:eastAsia="en-US" w:bidi="ar-SA"/>
              </w:rPr>
            </w:pPr>
            <w:r>
              <w:rPr>
                <w:rFonts w:eastAsia="Liberation Sans" w:cs="Liberation Sans"/>
                <w:b w:val="false"/>
                <w:i w:val="false"/>
                <w:color w:val="202020"/>
                <w:kern w:val="0"/>
                <w:sz w:val="16"/>
                <w:szCs w:val="24"/>
                <w:lang w:val="de-DE" w:eastAsia="en-US" w:bidi="ar-SA"/>
              </w:rPr>
              <w:t>Random Number Generator</w:t>
            </w:r>
          </w:p>
        </w:tc>
      </w:tr>
    </w:tbl>
    <w:p>
      <w:pPr>
        <w:pStyle w:val="Heading1"/>
        <w:keepNext w:val="true"/>
        <w:widowControl/>
        <w:rPr/>
      </w:pPr>
      <w:r>
        <w:br w:type="page"/>
      </w:r>
      <w:bookmarkStart w:id="572" w:name="__RefHeading___Toc10233_954062153"/>
      <w:bookmarkEnd w:id="572"/>
      <w:r>
        <w:rPr/>
        <w:t>Literaturverzeichnis</w:t>
      </w:r>
    </w:p>
    <w:p>
      <w:pPr>
        <w:pStyle w:val="Bibliography"/>
        <w:rPr/>
      </w:pPr>
      <w:bookmarkStart w:id="573" w:name="refs"/>
      <w:bookmarkStart w:id="574" w:name="ref-Alur1995Hybrid"/>
      <w:r>
        <w:rPr/>
        <w:t xml:space="preserve">Alur, R., Courcoubetis, C., Henzinger, T. A., &amp; Ho, P.-H. (1993). Hybrid Automata: An Algorithmic Approach to the Specification and Verification of Hybrid Systems. </w:t>
      </w:r>
      <w:r>
        <w:rPr>
          <w:i/>
          <w:iCs/>
        </w:rPr>
        <w:t>Hybrid Systems</w:t>
      </w:r>
      <w:r>
        <w:rPr/>
        <w:t xml:space="preserve">, 209–229. </w:t>
      </w:r>
      <w:hyperlink r:id="rId7">
        <w:r>
          <w:rPr>
            <w:rStyle w:val="Hyperlink"/>
          </w:rPr>
          <w:t>https://doi.org/10.1007/3-540-57318-6_30</w:t>
        </w:r>
      </w:hyperlink>
      <w:bookmarkEnd w:id="574"/>
    </w:p>
    <w:p>
      <w:pPr>
        <w:pStyle w:val="Bibliography"/>
        <w:rPr/>
      </w:pPr>
      <w:bookmarkStart w:id="575" w:name="ref-Amari2016"/>
      <w:r>
        <w:rPr/>
        <w:t xml:space="preserve">Amari, S. (2016). </w:t>
      </w:r>
      <w:r>
        <w:rPr>
          <w:i/>
          <w:iCs/>
        </w:rPr>
        <w:t>Information Geometry and Its Applications</w:t>
      </w:r>
      <w:r>
        <w:rPr/>
        <w:t xml:space="preserve">. Springer. </w:t>
      </w:r>
      <w:hyperlink r:id="rId8">
        <w:r>
          <w:rPr>
            <w:rStyle w:val="Hyperlink"/>
          </w:rPr>
          <w:t>https://doi.org/10.1007/978-4-431-55978-8</w:t>
        </w:r>
      </w:hyperlink>
      <w:bookmarkEnd w:id="575"/>
    </w:p>
    <w:p>
      <w:pPr>
        <w:pStyle w:val="Bibliography"/>
        <w:rPr/>
      </w:pPr>
      <w:bookmarkStart w:id="576" w:name="ref-Ames2017"/>
      <w:r>
        <w:rPr/>
        <w:t xml:space="preserve">Ames, A. D., Xu, X., Grizzle, J. W., &amp; Tabuada, P. (2017). Control Barrier Function Based Quadratic Programs for Safety Critical Systems. </w:t>
      </w:r>
      <w:r>
        <w:rPr>
          <w:i/>
          <w:iCs/>
        </w:rPr>
        <w:t>IEEE Transactions on Automatic Control</w:t>
      </w:r>
      <w:r>
        <w:rPr/>
        <w:t xml:space="preserve">, </w:t>
      </w:r>
      <w:r>
        <w:rPr>
          <w:i/>
          <w:iCs/>
        </w:rPr>
        <w:t>62</w:t>
      </w:r>
      <w:r>
        <w:rPr/>
        <w:t xml:space="preserve">(8), 3861–3876. </w:t>
      </w:r>
      <w:hyperlink r:id="rId9">
        <w:r>
          <w:rPr>
            <w:rStyle w:val="Hyperlink"/>
          </w:rPr>
          <w:t>https://doi.org/10.1109/TAC.2016.2638961</w:t>
        </w:r>
      </w:hyperlink>
      <w:bookmarkEnd w:id="576"/>
    </w:p>
    <w:p>
      <w:pPr>
        <w:pStyle w:val="Bibliography"/>
        <w:rPr/>
      </w:pPr>
      <w:bookmarkStart w:id="577" w:name="ref-Amodei2016"/>
      <w:r>
        <w:rPr/>
        <w:t xml:space="preserve">Amodei, D., Olah, C., Steinhardt, J., Christiano, P., Schulman, J., &amp; Mané, D. (2016). Concrete Problems in AI Safety. </w:t>
      </w:r>
      <w:r>
        <w:rPr>
          <w:i/>
          <w:iCs/>
        </w:rPr>
        <w:t>arXiv preprint arXiv:1606.06565</w:t>
      </w:r>
      <w:r>
        <w:rPr/>
        <w:t xml:space="preserve">. </w:t>
      </w:r>
      <w:hyperlink r:id="rId10">
        <w:r>
          <w:rPr>
            <w:rStyle w:val="Hyperlink"/>
          </w:rPr>
          <w:t>https://doi.org/10.48550/arXiv.1606.06565</w:t>
        </w:r>
      </w:hyperlink>
      <w:bookmarkEnd w:id="577"/>
    </w:p>
    <w:p>
      <w:pPr>
        <w:pStyle w:val="Bibliography"/>
        <w:rPr/>
      </w:pPr>
      <w:bookmarkStart w:id="578" w:name="ref-Barabasi1999"/>
      <w:r>
        <w:rPr/>
        <w:t xml:space="preserve">Barabási, A.-L., &amp; Albert, R. (1999). Emergence of Scaling in Random Networks. </w:t>
      </w:r>
      <w:r>
        <w:rPr>
          <w:i/>
          <w:iCs/>
        </w:rPr>
        <w:t>Science</w:t>
      </w:r>
      <w:r>
        <w:rPr/>
        <w:t xml:space="preserve">, </w:t>
      </w:r>
      <w:r>
        <w:rPr>
          <w:i/>
          <w:iCs/>
        </w:rPr>
        <w:t>286</w:t>
      </w:r>
      <w:r>
        <w:rPr/>
        <w:t xml:space="preserve">(5439), 509–512. </w:t>
      </w:r>
      <w:hyperlink r:id="rId11">
        <w:r>
          <w:rPr>
            <w:rStyle w:val="Hyperlink"/>
          </w:rPr>
          <w:t>https://doi.org/10.1126/science.286.5439.509</w:t>
        </w:r>
      </w:hyperlink>
      <w:bookmarkEnd w:id="578"/>
    </w:p>
    <w:p>
      <w:pPr>
        <w:pStyle w:val="Bibliography"/>
        <w:rPr/>
      </w:pPr>
      <w:bookmarkStart w:id="579" w:name="ref-Bassett2017"/>
      <w:r>
        <w:rPr/>
        <w:t xml:space="preserve">Bassett, D. S., &amp; Sporns, O. (2017). Network Neuroscience. </w:t>
      </w:r>
      <w:r>
        <w:rPr>
          <w:i/>
          <w:iCs/>
        </w:rPr>
        <w:t>Nature Neuroscience</w:t>
      </w:r>
      <w:r>
        <w:rPr/>
        <w:t xml:space="preserve">, </w:t>
      </w:r>
      <w:r>
        <w:rPr>
          <w:i/>
          <w:iCs/>
        </w:rPr>
        <w:t>20</w:t>
      </w:r>
      <w:r>
        <w:rPr/>
        <w:t xml:space="preserve">, 353–364. </w:t>
      </w:r>
      <w:hyperlink r:id="rId12">
        <w:r>
          <w:rPr>
            <w:rStyle w:val="Hyperlink"/>
          </w:rPr>
          <w:t>https://doi.org/10.1038/nn.4502</w:t>
        </w:r>
      </w:hyperlink>
      <w:bookmarkEnd w:id="579"/>
    </w:p>
    <w:p>
      <w:pPr>
        <w:pStyle w:val="Bibliography"/>
        <w:rPr/>
      </w:pPr>
      <w:bookmarkStart w:id="580" w:name="ref-Bedau1997"/>
      <w:r>
        <w:rPr/>
        <w:t xml:space="preserve">Bedau, M. A. (1997). Weak Emergence. </w:t>
      </w:r>
      <w:r>
        <w:rPr>
          <w:i/>
          <w:iCs/>
        </w:rPr>
        <w:t>Philosophical Perspectives</w:t>
      </w:r>
      <w:r>
        <w:rPr/>
        <w:t xml:space="preserve">, </w:t>
      </w:r>
      <w:r>
        <w:rPr>
          <w:i/>
          <w:iCs/>
        </w:rPr>
        <w:t>11</w:t>
      </w:r>
      <w:r>
        <w:rPr/>
        <w:t xml:space="preserve">, 375–399. </w:t>
      </w:r>
      <w:hyperlink r:id="rId13">
        <w:r>
          <w:rPr>
            <w:rStyle w:val="Hyperlink"/>
          </w:rPr>
          <w:t>https://doi.org/10.1111/0029-4624.31.s11.17</w:t>
        </w:r>
      </w:hyperlink>
      <w:bookmarkEnd w:id="580"/>
    </w:p>
    <w:p>
      <w:pPr>
        <w:pStyle w:val="Bibliography"/>
        <w:rPr/>
      </w:pPr>
      <w:bookmarkStart w:id="581" w:name="ref-Beer1995"/>
      <w:r>
        <w:rPr/>
        <w:t xml:space="preserve">Beer, R. D. (1995). A Dynamical Systems Perspective on Agent-Environment Interaction. </w:t>
      </w:r>
      <w:r>
        <w:rPr>
          <w:i/>
          <w:iCs/>
        </w:rPr>
        <w:t>Artificial Intelligence</w:t>
      </w:r>
      <w:r>
        <w:rPr/>
        <w:t xml:space="preserve">, </w:t>
      </w:r>
      <w:r>
        <w:rPr>
          <w:i/>
          <w:iCs/>
        </w:rPr>
        <w:t>72</w:t>
      </w:r>
      <w:r>
        <w:rPr/>
        <w:t xml:space="preserve">(1–2), 173–215. </w:t>
      </w:r>
      <w:hyperlink r:id="rId14">
        <w:r>
          <w:rPr>
            <w:rStyle w:val="Hyperlink"/>
          </w:rPr>
          <w:t>https://doi.org/10.1016/0004-3702(94)00005-L</w:t>
        </w:r>
      </w:hyperlink>
      <w:bookmarkEnd w:id="581"/>
    </w:p>
    <w:p>
      <w:pPr>
        <w:pStyle w:val="Bibliography"/>
        <w:rPr/>
      </w:pPr>
      <w:bookmarkStart w:id="582" w:name="ref-Beggs2003"/>
      <w:r>
        <w:rPr/>
        <w:t xml:space="preserve">Beggs, J. M., &amp; Plenz, D. (2003). Neuronal Avalanches in Neocortical Circuits. </w:t>
      </w:r>
      <w:r>
        <w:rPr>
          <w:i/>
          <w:iCs/>
        </w:rPr>
        <w:t>The Journal of Neuroscience</w:t>
      </w:r>
      <w:r>
        <w:rPr/>
        <w:t xml:space="preserve">, </w:t>
      </w:r>
      <w:r>
        <w:rPr>
          <w:i/>
          <w:iCs/>
        </w:rPr>
        <w:t>23</w:t>
      </w:r>
      <w:r>
        <w:rPr/>
        <w:t xml:space="preserve">(35), 11167–11177. </w:t>
      </w:r>
      <w:hyperlink r:id="rId15">
        <w:r>
          <w:rPr>
            <w:rStyle w:val="Hyperlink"/>
          </w:rPr>
          <w:t>https://doi.org/10.1523/JNEUROSCI.23-35-11167.2003</w:t>
        </w:r>
      </w:hyperlink>
      <w:bookmarkEnd w:id="582"/>
    </w:p>
    <w:p>
      <w:pPr>
        <w:pStyle w:val="Bibliography"/>
        <w:rPr/>
      </w:pPr>
      <w:bookmarkStart w:id="583" w:name="ref-Belkin2003"/>
      <w:r>
        <w:rPr/>
        <w:t xml:space="preserve">Belkin, M., &amp; Niyogi, P. (2003). Laplacian Eigenmaps for Dimensionality Reduction and Data Representation. </w:t>
      </w:r>
      <w:r>
        <w:rPr>
          <w:i/>
          <w:iCs/>
        </w:rPr>
        <w:t>Neural Computation</w:t>
      </w:r>
      <w:r>
        <w:rPr/>
        <w:t xml:space="preserve">, </w:t>
      </w:r>
      <w:r>
        <w:rPr>
          <w:i/>
          <w:iCs/>
        </w:rPr>
        <w:t>15</w:t>
      </w:r>
      <w:r>
        <w:rPr/>
        <w:t xml:space="preserve">(6), 1373–1396. </w:t>
      </w:r>
      <w:hyperlink r:id="rId16">
        <w:r>
          <w:rPr>
            <w:rStyle w:val="Hyperlink"/>
          </w:rPr>
          <w:t>https://doi.org/10.1162/089976603321780317</w:t>
        </w:r>
      </w:hyperlink>
      <w:bookmarkEnd w:id="583"/>
    </w:p>
    <w:p>
      <w:pPr>
        <w:pStyle w:val="Bibliography"/>
        <w:rPr/>
      </w:pPr>
      <w:bookmarkStart w:id="584" w:name="ref-Bender2021"/>
      <w:r>
        <w:rPr/>
        <w:t xml:space="preserve">Bender, E. M., Gebru, T., McMillan-Major, A., &amp; Shmitchell, S. (2021). On the Dangers of Stochastic Parrots: Can Language Models Be Too Big? </w:t>
      </w:r>
      <w:r>
        <w:rPr>
          <w:i/>
          <w:iCs/>
        </w:rPr>
        <w:t>Proceedings of the 2021 ACM Conference on Fairness, Accountability, and Transparency</w:t>
      </w:r>
      <w:r>
        <w:rPr/>
        <w:t xml:space="preserve">, 610–623. </w:t>
      </w:r>
      <w:hyperlink r:id="rId17">
        <w:r>
          <w:rPr>
            <w:rStyle w:val="Hyperlink"/>
          </w:rPr>
          <w:t>https://doi.org/10.1145/3442188.3445922</w:t>
        </w:r>
      </w:hyperlink>
      <w:bookmarkEnd w:id="584"/>
    </w:p>
    <w:p>
      <w:pPr>
        <w:pStyle w:val="Bibliography"/>
        <w:rPr/>
      </w:pPr>
      <w:bookmarkStart w:id="585" w:name="ref-Benna2016"/>
      <w:r>
        <w:rPr/>
        <w:t xml:space="preserve">Benna, M. K., &amp; Fusi, S. (2016). Computational Principles of Synaptic Memory Consolidation. </w:t>
      </w:r>
      <w:r>
        <w:rPr>
          <w:i/>
          <w:iCs/>
        </w:rPr>
        <w:t>Nature Neuroscience</w:t>
      </w:r>
      <w:r>
        <w:rPr/>
        <w:t xml:space="preserve">, </w:t>
      </w:r>
      <w:r>
        <w:rPr>
          <w:i/>
          <w:iCs/>
        </w:rPr>
        <w:t>19</w:t>
      </w:r>
      <w:r>
        <w:rPr/>
        <w:t xml:space="preserve">, 1697–1706. </w:t>
      </w:r>
      <w:hyperlink r:id="rId18">
        <w:r>
          <w:rPr>
            <w:rStyle w:val="Hyperlink"/>
          </w:rPr>
          <w:t>https://doi.org/10.1038/nn.4401</w:t>
        </w:r>
      </w:hyperlink>
      <w:bookmarkEnd w:id="585"/>
    </w:p>
    <w:p>
      <w:pPr>
        <w:pStyle w:val="Bibliography"/>
        <w:rPr/>
      </w:pPr>
      <w:bookmarkStart w:id="586" w:name="ref-Bi1998"/>
      <w:r>
        <w:rPr/>
        <w:t xml:space="preserve">Bi, G.-Q., &amp; Poo, M.-M. (1998). Synaptic Modifications in Cultured Hippocampal Neurons: Dependence on Spike Timing, Synaptic Strength, and Postsynaptic Cell Type. </w:t>
      </w:r>
      <w:r>
        <w:rPr>
          <w:i/>
          <w:iCs/>
        </w:rPr>
        <w:t>The Journal of Neuroscience</w:t>
      </w:r>
      <w:r>
        <w:rPr/>
        <w:t xml:space="preserve">, </w:t>
      </w:r>
      <w:r>
        <w:rPr>
          <w:i/>
          <w:iCs/>
        </w:rPr>
        <w:t>18</w:t>
      </w:r>
      <w:r>
        <w:rPr/>
        <w:t xml:space="preserve">(24), 10464–10472. </w:t>
      </w:r>
      <w:hyperlink r:id="rId19">
        <w:r>
          <w:rPr>
            <w:rStyle w:val="Hyperlink"/>
          </w:rPr>
          <w:t>https://doi.org/10.1523/JNEUROSCI.18-24-10464.1998</w:t>
        </w:r>
      </w:hyperlink>
      <w:bookmarkEnd w:id="586"/>
    </w:p>
    <w:p>
      <w:pPr>
        <w:pStyle w:val="Bibliography"/>
        <w:rPr/>
      </w:pPr>
      <w:bookmarkStart w:id="587" w:name="ref-Bienenstock1982"/>
      <w:r>
        <w:rPr/>
        <w:t xml:space="preserve">Bienenstock, E. L., Cooper, L. N., &amp; Munro, P. W. (1982). Theory for the Development of Neuron Selectivity: Orientation Specificity and Binocular Interaction in Visual Cortex. </w:t>
      </w:r>
      <w:r>
        <w:rPr>
          <w:i/>
          <w:iCs/>
        </w:rPr>
        <w:t>The Journal of Neuroscience</w:t>
      </w:r>
      <w:r>
        <w:rPr/>
        <w:t xml:space="preserve">, </w:t>
      </w:r>
      <w:r>
        <w:rPr>
          <w:i/>
          <w:iCs/>
        </w:rPr>
        <w:t>2</w:t>
      </w:r>
      <w:r>
        <w:rPr/>
        <w:t xml:space="preserve">(1), 32–48. </w:t>
      </w:r>
      <w:hyperlink r:id="rId20">
        <w:r>
          <w:rPr>
            <w:rStyle w:val="Hyperlink"/>
          </w:rPr>
          <w:t>https://doi.org/10.1523/JNEUROSCI.02-01-00032.1982</w:t>
        </w:r>
      </w:hyperlink>
      <w:bookmarkEnd w:id="587"/>
    </w:p>
    <w:p>
      <w:pPr>
        <w:pStyle w:val="Bibliography"/>
        <w:rPr/>
      </w:pPr>
      <w:bookmarkStart w:id="588" w:name="ref-Breakspear2017"/>
      <w:r>
        <w:rPr/>
        <w:t xml:space="preserve">Breakspear, M. (2017). Dynamic Models of Large-Scale Brain Activity. </w:t>
      </w:r>
      <w:r>
        <w:rPr>
          <w:i/>
          <w:iCs/>
        </w:rPr>
        <w:t>Nature Neuroscience</w:t>
      </w:r>
      <w:r>
        <w:rPr/>
        <w:t xml:space="preserve">, </w:t>
      </w:r>
      <w:r>
        <w:rPr>
          <w:i/>
          <w:iCs/>
        </w:rPr>
        <w:t>20</w:t>
      </w:r>
      <w:r>
        <w:rPr/>
        <w:t xml:space="preserve">, 340–352. </w:t>
      </w:r>
      <w:hyperlink r:id="rId21">
        <w:r>
          <w:rPr>
            <w:rStyle w:val="Hyperlink"/>
          </w:rPr>
          <w:t>https://doi.org/10.1038/nn.4497</w:t>
        </w:r>
      </w:hyperlink>
      <w:bookmarkEnd w:id="588"/>
    </w:p>
    <w:p>
      <w:pPr>
        <w:pStyle w:val="Bibliography"/>
        <w:rPr/>
      </w:pPr>
      <w:bookmarkStart w:id="589" w:name="ref-Brette2005"/>
      <w:r>
        <w:rPr/>
        <w:t xml:space="preserve">Brette, R., &amp; Gerstner, W. (2005). Adaptive Exponential Integrate-and-Fire Model as an Effective Description of Neuronal Activity. </w:t>
      </w:r>
      <w:r>
        <w:rPr>
          <w:i/>
          <w:iCs/>
        </w:rPr>
        <w:t>Journal of Neurophysiology</w:t>
      </w:r>
      <w:r>
        <w:rPr/>
        <w:t xml:space="preserve">, </w:t>
      </w:r>
      <w:r>
        <w:rPr>
          <w:i/>
          <w:iCs/>
        </w:rPr>
        <w:t>94</w:t>
      </w:r>
      <w:r>
        <w:rPr/>
        <w:t xml:space="preserve">(5), 3637–3642. </w:t>
      </w:r>
      <w:hyperlink r:id="rId22">
        <w:r>
          <w:rPr>
            <w:rStyle w:val="Hyperlink"/>
          </w:rPr>
          <w:t>https://doi.org/10.1152/jn.00686.2005</w:t>
        </w:r>
      </w:hyperlink>
      <w:bookmarkEnd w:id="589"/>
    </w:p>
    <w:p>
      <w:pPr>
        <w:pStyle w:val="Bibliography"/>
        <w:rPr/>
      </w:pPr>
      <w:bookmarkStart w:id="590" w:name="ref-Bronstein2017"/>
      <w:r>
        <w:rPr/>
        <w:t xml:space="preserve">Bronstein, M. M., Bruna, J., LeCun, Y., Szlam, A., &amp; Vandergheynst, P. (2017). Geometric Deep Learning: Going Beyond Euclidean Data. </w:t>
      </w:r>
      <w:r>
        <w:rPr>
          <w:i/>
          <w:iCs/>
        </w:rPr>
        <w:t>IEEE Signal Processing Magazine</w:t>
      </w:r>
      <w:r>
        <w:rPr/>
        <w:t xml:space="preserve">, </w:t>
      </w:r>
      <w:r>
        <w:rPr>
          <w:i/>
          <w:iCs/>
        </w:rPr>
        <w:t>34</w:t>
      </w:r>
      <w:r>
        <w:rPr/>
        <w:t xml:space="preserve">(4), 18–42. </w:t>
      </w:r>
      <w:hyperlink r:id="rId23">
        <w:r>
          <w:rPr>
            <w:rStyle w:val="Hyperlink"/>
          </w:rPr>
          <w:t>https://doi.org/10.1109/MSP.2017.2693418</w:t>
        </w:r>
      </w:hyperlink>
      <w:bookmarkEnd w:id="590"/>
    </w:p>
    <w:p>
      <w:pPr>
        <w:pStyle w:val="Bibliography"/>
        <w:rPr/>
      </w:pPr>
      <w:bookmarkStart w:id="591" w:name="ref-Brooks1991"/>
      <w:r>
        <w:rPr/>
        <w:t xml:space="preserve">Brooks, R. A. (1991). Intelligence without Representation. </w:t>
      </w:r>
      <w:r>
        <w:rPr>
          <w:i/>
          <w:iCs/>
        </w:rPr>
        <w:t>Artificial Intelligence</w:t>
      </w:r>
      <w:r>
        <w:rPr/>
        <w:t xml:space="preserve">, </w:t>
      </w:r>
      <w:r>
        <w:rPr>
          <w:i/>
          <w:iCs/>
        </w:rPr>
        <w:t>47</w:t>
      </w:r>
      <w:r>
        <w:rPr/>
        <w:t xml:space="preserve">(1–3), 139–159. </w:t>
      </w:r>
      <w:hyperlink r:id="rId24">
        <w:r>
          <w:rPr>
            <w:rStyle w:val="Hyperlink"/>
          </w:rPr>
          <w:t>https://doi.org/10.1016/0004-3702(91)90053-M</w:t>
        </w:r>
      </w:hyperlink>
      <w:bookmarkEnd w:id="591"/>
    </w:p>
    <w:p>
      <w:pPr>
        <w:pStyle w:val="Bibliography"/>
        <w:rPr/>
      </w:pPr>
      <w:bookmarkStart w:id="592" w:name="ref-Brunel2000"/>
      <w:r>
        <w:rPr/>
        <w:t xml:space="preserve">Brunel, N. (2000). Dynamics of Sparsely Connected Networks of Excitatory and Inhibitory Spiking Neurons. </w:t>
      </w:r>
      <w:r>
        <w:rPr>
          <w:i/>
          <w:iCs/>
        </w:rPr>
        <w:t>Journal of Computational Neuroscience</w:t>
      </w:r>
      <w:r>
        <w:rPr/>
        <w:t xml:space="preserve">, </w:t>
      </w:r>
      <w:r>
        <w:rPr>
          <w:i/>
          <w:iCs/>
        </w:rPr>
        <w:t>8</w:t>
      </w:r>
      <w:r>
        <w:rPr/>
        <w:t xml:space="preserve">, 183–208. </w:t>
      </w:r>
      <w:hyperlink r:id="rId25">
        <w:r>
          <w:rPr>
            <w:rStyle w:val="Hyperlink"/>
          </w:rPr>
          <w:t>https://doi.org/10.1023/A:1008925309027</w:t>
        </w:r>
      </w:hyperlink>
      <w:bookmarkEnd w:id="592"/>
    </w:p>
    <w:p>
      <w:pPr>
        <w:pStyle w:val="Bibliography"/>
        <w:rPr/>
      </w:pPr>
      <w:bookmarkStart w:id="593" w:name="ref-Bullmore2009"/>
      <w:r>
        <w:rPr/>
        <w:t xml:space="preserve">Bullmore, E., &amp; Sporns, O. (2009). Complex Brain Networks: Graph Theoretical Analysis of Structural and Functional Systems. </w:t>
      </w:r>
      <w:r>
        <w:rPr>
          <w:i/>
          <w:iCs/>
        </w:rPr>
        <w:t>Nature Reviews Neuroscience</w:t>
      </w:r>
      <w:r>
        <w:rPr/>
        <w:t xml:space="preserve">, </w:t>
      </w:r>
      <w:r>
        <w:rPr>
          <w:i/>
          <w:iCs/>
        </w:rPr>
        <w:t>10</w:t>
      </w:r>
      <w:r>
        <w:rPr/>
        <w:t xml:space="preserve">, 186–198. </w:t>
      </w:r>
      <w:hyperlink r:id="rId26">
        <w:r>
          <w:rPr>
            <w:rStyle w:val="Hyperlink"/>
          </w:rPr>
          <w:t>https://doi.org/10.1038/nrn2575</w:t>
        </w:r>
      </w:hyperlink>
      <w:bookmarkEnd w:id="593"/>
    </w:p>
    <w:p>
      <w:pPr>
        <w:pStyle w:val="Bibliography"/>
        <w:rPr/>
      </w:pPr>
      <w:bookmarkStart w:id="594" w:name="ref-Buneman2001"/>
      <w:r>
        <w:rPr/>
        <w:t xml:space="preserve">Buneman, P., Khanna, S., &amp; Tan, W.-C. (2001). Why and Where: A Characterization of Data Provenance. </w:t>
      </w:r>
      <w:r>
        <w:rPr>
          <w:i/>
          <w:iCs/>
        </w:rPr>
        <w:t>Database Theory – ICDT 2001</w:t>
      </w:r>
      <w:r>
        <w:rPr/>
        <w:t xml:space="preserve">, 316–330. </w:t>
      </w:r>
      <w:hyperlink r:id="rId27">
        <w:r>
          <w:rPr>
            <w:rStyle w:val="Hyperlink"/>
          </w:rPr>
          <w:t>https://doi.org/10.1007/3-540-44503-X_20</w:t>
        </w:r>
      </w:hyperlink>
      <w:bookmarkEnd w:id="594"/>
    </w:p>
    <w:p>
      <w:pPr>
        <w:pStyle w:val="Bibliography"/>
        <w:rPr/>
      </w:pPr>
      <w:bookmarkStart w:id="595" w:name="ref-Butz2009"/>
      <w:r>
        <w:rPr/>
        <w:t xml:space="preserve">Butz, M., Wörgötter, F., &amp; Ooyen, A. van. (2009). Activity-Dependent Structural Plasticity. </w:t>
      </w:r>
      <w:r>
        <w:rPr>
          <w:i/>
          <w:iCs/>
        </w:rPr>
        <w:t>Brain Research Reviews</w:t>
      </w:r>
      <w:r>
        <w:rPr/>
        <w:t xml:space="preserve">, </w:t>
      </w:r>
      <w:r>
        <w:rPr>
          <w:i/>
          <w:iCs/>
        </w:rPr>
        <w:t>60</w:t>
      </w:r>
      <w:r>
        <w:rPr/>
        <w:t xml:space="preserve">(2), 287–305. </w:t>
      </w:r>
      <w:hyperlink r:id="rId28">
        <w:r>
          <w:rPr>
            <w:rStyle w:val="Hyperlink"/>
          </w:rPr>
          <w:t>https://doi.org/10.1016/j.brainresrev.2008.12.023</w:t>
        </w:r>
      </w:hyperlink>
      <w:bookmarkEnd w:id="595"/>
    </w:p>
    <w:p>
      <w:pPr>
        <w:pStyle w:val="Bibliography"/>
        <w:rPr/>
      </w:pPr>
      <w:bookmarkStart w:id="596" w:name="ref-Carnevale2006"/>
      <w:r>
        <w:rPr/>
        <w:t xml:space="preserve">Carnevale, N. T., &amp; Hines, M. L. (2006). </w:t>
      </w:r>
      <w:r>
        <w:rPr>
          <w:i/>
          <w:iCs/>
        </w:rPr>
        <w:t>The NEURON Book</w:t>
      </w:r>
      <w:r>
        <w:rPr/>
        <w:t xml:space="preserve">. Cambridge University Press. </w:t>
      </w:r>
      <w:hyperlink r:id="rId29">
        <w:r>
          <w:rPr>
            <w:rStyle w:val="Hyperlink"/>
          </w:rPr>
          <w:t>https://doi.org/10.1017/CBO9780511541612</w:t>
        </w:r>
      </w:hyperlink>
      <w:bookmarkEnd w:id="596"/>
    </w:p>
    <w:p>
      <w:pPr>
        <w:pStyle w:val="Bibliography"/>
        <w:rPr/>
      </w:pPr>
      <w:bookmarkStart w:id="597" w:name="ref-Chandy1985"/>
      <w:r>
        <w:rPr/>
        <w:t xml:space="preserve">Chandy, K. M., &amp; Lamport, L. (1985). Distributed Snapshots: Determining Global States of Distributed Systems. </w:t>
      </w:r>
      <w:r>
        <w:rPr>
          <w:i/>
          <w:iCs/>
        </w:rPr>
        <w:t>ACM Transactions on Computer Systems</w:t>
      </w:r>
      <w:r>
        <w:rPr/>
        <w:t xml:space="preserve">, </w:t>
      </w:r>
      <w:r>
        <w:rPr>
          <w:i/>
          <w:iCs/>
        </w:rPr>
        <w:t>3</w:t>
      </w:r>
      <w:r>
        <w:rPr/>
        <w:t xml:space="preserve">(1), 63–75. </w:t>
      </w:r>
      <w:hyperlink r:id="rId30">
        <w:r>
          <w:rPr>
            <w:rStyle w:val="Hyperlink"/>
          </w:rPr>
          <w:t>https://doi.org/10.1145/214451.214456</w:t>
        </w:r>
      </w:hyperlink>
      <w:bookmarkEnd w:id="597"/>
    </w:p>
    <w:p>
      <w:pPr>
        <w:pStyle w:val="Bibliography"/>
        <w:rPr/>
      </w:pPr>
      <w:bookmarkStart w:id="598" w:name="ref-Chung1997"/>
      <w:r>
        <w:rPr/>
        <w:t xml:space="preserve">Chung, F. R. K. (1997). </w:t>
      </w:r>
      <w:r>
        <w:rPr>
          <w:i/>
          <w:iCs/>
        </w:rPr>
        <w:t>Spectral Graph Theory</w:t>
      </w:r>
      <w:r>
        <w:rPr/>
        <w:t>. American Mathematical Society.</w:t>
      </w:r>
      <w:bookmarkEnd w:id="598"/>
    </w:p>
    <w:p>
      <w:pPr>
        <w:pStyle w:val="Bibliography"/>
        <w:rPr/>
      </w:pPr>
      <w:bookmarkStart w:id="599" w:name="ref-Clopath2010"/>
      <w:r>
        <w:rPr/>
        <w:t xml:space="preserve">Clopath, C., Büsing, L., Vasilaki, E., &amp; Gerstner, W. (2010). Connectivity Reflects Coding: A Model of Voltage-Based STDP with Homeostasis. </w:t>
      </w:r>
      <w:r>
        <w:rPr>
          <w:i/>
          <w:iCs/>
        </w:rPr>
        <w:t>Nature Neuroscience</w:t>
      </w:r>
      <w:r>
        <w:rPr/>
        <w:t xml:space="preserve">, </w:t>
      </w:r>
      <w:r>
        <w:rPr>
          <w:i/>
          <w:iCs/>
        </w:rPr>
        <w:t>13</w:t>
      </w:r>
      <w:r>
        <w:rPr/>
        <w:t xml:space="preserve">, 344–352. </w:t>
      </w:r>
      <w:hyperlink r:id="rId31">
        <w:r>
          <w:rPr>
            <w:rStyle w:val="Hyperlink"/>
          </w:rPr>
          <w:t>https://doi.org/10.1038/nn.2479</w:t>
        </w:r>
      </w:hyperlink>
      <w:bookmarkEnd w:id="599"/>
    </w:p>
    <w:p>
      <w:pPr>
        <w:pStyle w:val="Bibliography"/>
        <w:rPr/>
      </w:pPr>
      <w:bookmarkStart w:id="600" w:name="ref-Coifman2006"/>
      <w:r>
        <w:rPr/>
        <w:t xml:space="preserve">Coifman, R. R., &amp; Lafon, S. (2006). Diffusion Maps. </w:t>
      </w:r>
      <w:r>
        <w:rPr>
          <w:i/>
          <w:iCs/>
        </w:rPr>
        <w:t>Applied and Computational Harmonic Analysis</w:t>
      </w:r>
      <w:r>
        <w:rPr/>
        <w:t xml:space="preserve">, </w:t>
      </w:r>
      <w:r>
        <w:rPr>
          <w:i/>
          <w:iCs/>
        </w:rPr>
        <w:t>21</w:t>
      </w:r>
      <w:r>
        <w:rPr/>
        <w:t xml:space="preserve">(1), 5–30. </w:t>
      </w:r>
      <w:hyperlink r:id="rId32">
        <w:r>
          <w:rPr>
            <w:rStyle w:val="Hyperlink"/>
          </w:rPr>
          <w:t>https://doi.org/10.1016/j.acha.2006.04.006</w:t>
        </w:r>
      </w:hyperlink>
      <w:bookmarkEnd w:id="600"/>
    </w:p>
    <w:p>
      <w:pPr>
        <w:pStyle w:val="Bibliography"/>
        <w:rPr/>
      </w:pPr>
      <w:bookmarkStart w:id="601" w:name="ref-Cover2006"/>
      <w:r>
        <w:rPr/>
        <w:t xml:space="preserve">Cover, T. M., &amp; Thomas, J. A. (2006). </w:t>
      </w:r>
      <w:r>
        <w:rPr>
          <w:i/>
          <w:iCs/>
        </w:rPr>
        <w:t>Elements of Information Theory</w:t>
      </w:r>
      <w:r>
        <w:rPr/>
        <w:t xml:space="preserve"> (2. Aufl.). Wiley. </w:t>
      </w:r>
      <w:hyperlink r:id="rId33">
        <w:r>
          <w:rPr>
            <w:rStyle w:val="Hyperlink"/>
          </w:rPr>
          <w:t>https://doi.org/10.1002/047174882X</w:t>
        </w:r>
      </w:hyperlink>
      <w:bookmarkEnd w:id="601"/>
    </w:p>
    <w:p>
      <w:pPr>
        <w:pStyle w:val="Bibliography"/>
        <w:rPr/>
      </w:pPr>
      <w:bookmarkStart w:id="602" w:name="ref-Davies2018"/>
      <w:r>
        <w:rPr/>
        <w:t xml:space="preserve">Davies, M., Srinivasa, N., Lin, T.-H., Chinya, G., Cao, Y., Choday, S. H., Dimou, G., Joshi, P., Imam, N., Jain, S., Liao, Y., Lin, C.-K., Lines, A., Liu, R., Mathaikutty, D., McCoy, S., Paul, A., Tse, J., Venkataramanan, G., … Wang, H. (2018). Loihi: A Neuromorphic Manycore Processor with On-Chip Learning. </w:t>
      </w:r>
      <w:r>
        <w:rPr>
          <w:i/>
          <w:iCs/>
        </w:rPr>
        <w:t>IEEE Micro</w:t>
      </w:r>
      <w:r>
        <w:rPr/>
        <w:t xml:space="preserve">, </w:t>
      </w:r>
      <w:r>
        <w:rPr>
          <w:i/>
          <w:iCs/>
        </w:rPr>
        <w:t>38</w:t>
      </w:r>
      <w:r>
        <w:rPr/>
        <w:t xml:space="preserve">(1), 82–99. </w:t>
      </w:r>
      <w:hyperlink r:id="rId34">
        <w:r>
          <w:rPr>
            <w:rStyle w:val="Hyperlink"/>
          </w:rPr>
          <w:t>https://doi.org/10.1109/MM.2018.112130359</w:t>
        </w:r>
      </w:hyperlink>
      <w:bookmarkEnd w:id="602"/>
    </w:p>
    <w:p>
      <w:pPr>
        <w:pStyle w:val="Bibliography"/>
        <w:rPr/>
      </w:pPr>
      <w:bookmarkStart w:id="603" w:name="ref-Deco2011"/>
      <w:r>
        <w:rPr/>
        <w:t xml:space="preserve">Deco, G., Jirsa, V. K., &amp; McIntosh, A. R. (2011). Emerging Concepts for the Dynamical Organization of Resting-State Activity in the Brain. </w:t>
      </w:r>
      <w:r>
        <w:rPr>
          <w:i/>
          <w:iCs/>
        </w:rPr>
        <w:t>Nature Reviews Neuroscience</w:t>
      </w:r>
      <w:r>
        <w:rPr/>
        <w:t xml:space="preserve">, </w:t>
      </w:r>
      <w:r>
        <w:rPr>
          <w:i/>
          <w:iCs/>
        </w:rPr>
        <w:t>12</w:t>
      </w:r>
      <w:r>
        <w:rPr/>
        <w:t xml:space="preserve">, 43–56. </w:t>
      </w:r>
      <w:hyperlink r:id="rId35">
        <w:r>
          <w:rPr>
            <w:rStyle w:val="Hyperlink"/>
          </w:rPr>
          <w:t>https://doi.org/10.1038/nrn2961</w:t>
        </w:r>
      </w:hyperlink>
      <w:bookmarkEnd w:id="603"/>
    </w:p>
    <w:p>
      <w:pPr>
        <w:pStyle w:val="Bibliography"/>
        <w:rPr/>
      </w:pPr>
      <w:bookmarkStart w:id="604" w:name="ref-Ermentrout2010"/>
      <w:r>
        <w:rPr/>
        <w:t xml:space="preserve">Ermentrout, G. B., &amp; Terman, D. H. (2010). </w:t>
      </w:r>
      <w:r>
        <w:rPr>
          <w:i/>
          <w:iCs/>
        </w:rPr>
        <w:t>Mathematical Foundations of Neuroscience</w:t>
      </w:r>
      <w:r>
        <w:rPr/>
        <w:t xml:space="preserve">. Springer. </w:t>
      </w:r>
      <w:hyperlink r:id="rId36">
        <w:r>
          <w:rPr>
            <w:rStyle w:val="Hyperlink"/>
          </w:rPr>
          <w:t>https://doi.org/10.1007/978-0-387-87708-2</w:t>
        </w:r>
      </w:hyperlink>
      <w:bookmarkEnd w:id="604"/>
    </w:p>
    <w:p>
      <w:pPr>
        <w:pStyle w:val="Bibliography"/>
        <w:rPr/>
      </w:pPr>
      <w:bookmarkStart w:id="605" w:name="ref-Eshraghian2023"/>
      <w:r>
        <w:rPr/>
        <w:t xml:space="preserve">Eshraghian, J. K., Ward, M., Neftci, E. O., Wang, X., Lenz, G., Dwivedi, G., Bennamoun, M., Jeong, D. S., &amp; Lu, W. D. (2023). Training Spiking Neural Networks Using Lessons From Deep Learning. </w:t>
      </w:r>
      <w:r>
        <w:rPr>
          <w:i/>
          <w:iCs/>
        </w:rPr>
        <w:t>Proceedings of the IEEE</w:t>
      </w:r>
      <w:r>
        <w:rPr/>
        <w:t xml:space="preserve">, </w:t>
      </w:r>
      <w:r>
        <w:rPr>
          <w:i/>
          <w:iCs/>
        </w:rPr>
        <w:t>111</w:t>
      </w:r>
      <w:r>
        <w:rPr/>
        <w:t xml:space="preserve">(9), 1016–1054. </w:t>
      </w:r>
      <w:hyperlink r:id="rId37">
        <w:r>
          <w:rPr>
            <w:rStyle w:val="Hyperlink"/>
          </w:rPr>
          <w:t>https://doi.org/10.1109/JPROC.2023.3308088</w:t>
        </w:r>
      </w:hyperlink>
      <w:bookmarkEnd w:id="605"/>
    </w:p>
    <w:p>
      <w:pPr>
        <w:pStyle w:val="Bibliography"/>
        <w:rPr/>
      </w:pPr>
      <w:bookmarkStart w:id="606" w:name="ref-Folk2011"/>
      <w:r>
        <w:rPr/>
        <w:t xml:space="preserve">Folk, M., Heber, G., Koziol, Q., Pourmal, E., &amp; Robinson, D. (2011). An Overview of the HDF5 Technology Suite and Its Applications. </w:t>
      </w:r>
      <w:r>
        <w:rPr>
          <w:i/>
          <w:iCs/>
        </w:rPr>
        <w:t>Proceedings of the EDBT/ICDT 2011 Workshop on Array Databases</w:t>
      </w:r>
      <w:r>
        <w:rPr/>
        <w:t xml:space="preserve">, 36–47. </w:t>
      </w:r>
      <w:hyperlink r:id="rId38">
        <w:r>
          <w:rPr>
            <w:rStyle w:val="Hyperlink"/>
          </w:rPr>
          <w:t>https://doi.org/10.1145/1966895.1966900</w:t>
        </w:r>
      </w:hyperlink>
      <w:bookmarkEnd w:id="606"/>
    </w:p>
    <w:p>
      <w:pPr>
        <w:pStyle w:val="Bibliography"/>
        <w:rPr/>
      </w:pPr>
      <w:bookmarkStart w:id="607" w:name="ref-Fortunato2010"/>
      <w:r>
        <w:rPr/>
        <w:t xml:space="preserve">Fortunato, S. (2010). Community Detection in Graphs. </w:t>
      </w:r>
      <w:r>
        <w:rPr>
          <w:i/>
          <w:iCs/>
        </w:rPr>
        <w:t>Physics Reports</w:t>
      </w:r>
      <w:r>
        <w:rPr/>
        <w:t xml:space="preserve">, </w:t>
      </w:r>
      <w:r>
        <w:rPr>
          <w:i/>
          <w:iCs/>
        </w:rPr>
        <w:t>486</w:t>
      </w:r>
      <w:r>
        <w:rPr/>
        <w:t xml:space="preserve">(3–5), 75–174. </w:t>
      </w:r>
      <w:hyperlink r:id="rId39">
        <w:r>
          <w:rPr>
            <w:rStyle w:val="Hyperlink"/>
          </w:rPr>
          <w:t>https://doi.org/10.1016/j.physrep.2009.11.002</w:t>
        </w:r>
      </w:hyperlink>
      <w:bookmarkEnd w:id="607"/>
    </w:p>
    <w:p>
      <w:pPr>
        <w:pStyle w:val="Bibliography"/>
        <w:rPr/>
      </w:pPr>
      <w:bookmarkStart w:id="608" w:name="ref-Fremaux2016"/>
      <w:r>
        <w:rPr/>
        <w:t xml:space="preserve">Frémaux, N., &amp; Gerstner, W. (2016). Neuromodulated Spike-Timing-Dependent Plasticity, and Theory of Three-Factor Learning Rules. </w:t>
      </w:r>
      <w:r>
        <w:rPr>
          <w:i/>
          <w:iCs/>
        </w:rPr>
        <w:t>Frontiers in Neural Circuits</w:t>
      </w:r>
      <w:r>
        <w:rPr/>
        <w:t xml:space="preserve">, </w:t>
      </w:r>
      <w:r>
        <w:rPr>
          <w:i/>
          <w:iCs/>
        </w:rPr>
        <w:t>9</w:t>
      </w:r>
      <w:r>
        <w:rPr/>
        <w:t xml:space="preserve">, 85. </w:t>
      </w:r>
      <w:hyperlink r:id="rId40">
        <w:r>
          <w:rPr>
            <w:rStyle w:val="Hyperlink"/>
          </w:rPr>
          <w:t>https://doi.org/10.3389/fncir.2015.00085</w:t>
        </w:r>
      </w:hyperlink>
      <w:bookmarkEnd w:id="608"/>
    </w:p>
    <w:p>
      <w:pPr>
        <w:pStyle w:val="Bibliography"/>
        <w:rPr/>
      </w:pPr>
      <w:bookmarkStart w:id="609" w:name="ref-French1999"/>
      <w:r>
        <w:rPr/>
        <w:t xml:space="preserve">French, R. M. (1999). Catastrophic Forgetting in Connectionist Networks. </w:t>
      </w:r>
      <w:r>
        <w:rPr>
          <w:i/>
          <w:iCs/>
        </w:rPr>
        <w:t>Trends in Cognitive Sciences</w:t>
      </w:r>
      <w:r>
        <w:rPr/>
        <w:t xml:space="preserve">, </w:t>
      </w:r>
      <w:r>
        <w:rPr>
          <w:i/>
          <w:iCs/>
        </w:rPr>
        <w:t>3</w:t>
      </w:r>
      <w:r>
        <w:rPr/>
        <w:t xml:space="preserve">(4), 128–135. </w:t>
      </w:r>
      <w:hyperlink r:id="rId41">
        <w:r>
          <w:rPr>
            <w:rStyle w:val="Hyperlink"/>
          </w:rPr>
          <w:t>https://doi.org/10.1016/S1364-6613(99)01294-2</w:t>
        </w:r>
      </w:hyperlink>
      <w:bookmarkEnd w:id="609"/>
    </w:p>
    <w:p>
      <w:pPr>
        <w:pStyle w:val="Bibliography"/>
        <w:rPr/>
      </w:pPr>
      <w:bookmarkStart w:id="610" w:name="ref-Friston2010"/>
      <w:r>
        <w:rPr/>
        <w:t xml:space="preserve">Friston, K. (2010). The Free-Energy Principle: A Unified Brain Theory? </w:t>
      </w:r>
      <w:r>
        <w:rPr>
          <w:i/>
          <w:iCs/>
        </w:rPr>
        <w:t>Nature Reviews Neuroscience</w:t>
      </w:r>
      <w:r>
        <w:rPr/>
        <w:t xml:space="preserve">, </w:t>
      </w:r>
      <w:r>
        <w:rPr>
          <w:i/>
          <w:iCs/>
        </w:rPr>
        <w:t>11</w:t>
      </w:r>
      <w:r>
        <w:rPr/>
        <w:t xml:space="preserve">, 127–138. </w:t>
      </w:r>
      <w:hyperlink r:id="rId42">
        <w:r>
          <w:rPr>
            <w:rStyle w:val="Hyperlink"/>
          </w:rPr>
          <w:t>https://doi.org/10.1038/nrn2787</w:t>
        </w:r>
      </w:hyperlink>
      <w:bookmarkEnd w:id="610"/>
    </w:p>
    <w:p>
      <w:pPr>
        <w:pStyle w:val="Bibliography"/>
        <w:rPr/>
      </w:pPr>
      <w:bookmarkStart w:id="611" w:name="ref-Fuller2020"/>
      <w:r>
        <w:rPr/>
        <w:t xml:space="preserve">Fuller, A., Fan, Z., Day, C., &amp; Barlow, C. (2020). Digital Twin: Enabling Technologies, Challenges and Open Research. </w:t>
      </w:r>
      <w:r>
        <w:rPr>
          <w:i/>
          <w:iCs/>
        </w:rPr>
        <w:t>IEEE Access</w:t>
      </w:r>
      <w:r>
        <w:rPr/>
        <w:t xml:space="preserve">, </w:t>
      </w:r>
      <w:r>
        <w:rPr>
          <w:i/>
          <w:iCs/>
        </w:rPr>
        <w:t>8</w:t>
      </w:r>
      <w:r>
        <w:rPr/>
        <w:t xml:space="preserve">, 108952–108971. </w:t>
      </w:r>
      <w:hyperlink r:id="rId43">
        <w:r>
          <w:rPr>
            <w:rStyle w:val="Hyperlink"/>
          </w:rPr>
          <w:t>https://doi.org/10.1109/ACCESS.2020.2998358</w:t>
        </w:r>
      </w:hyperlink>
      <w:bookmarkEnd w:id="611"/>
    </w:p>
    <w:p>
      <w:pPr>
        <w:pStyle w:val="Bibliography"/>
        <w:rPr/>
      </w:pPr>
      <w:bookmarkStart w:id="612" w:name="ref-Furber2016"/>
      <w:r>
        <w:rPr/>
        <w:t xml:space="preserve">Furber, S. (2016). Large-Scale Neuromorphic Computing Systems. </w:t>
      </w:r>
      <w:r>
        <w:rPr>
          <w:i/>
          <w:iCs/>
        </w:rPr>
        <w:t>Journal of Neural Engineering</w:t>
      </w:r>
      <w:r>
        <w:rPr/>
        <w:t xml:space="preserve">, </w:t>
      </w:r>
      <w:r>
        <w:rPr>
          <w:i/>
          <w:iCs/>
        </w:rPr>
        <w:t>13</w:t>
      </w:r>
      <w:r>
        <w:rPr/>
        <w:t xml:space="preserve">(5), 051001. </w:t>
      </w:r>
      <w:hyperlink r:id="rId44">
        <w:r>
          <w:rPr>
            <w:rStyle w:val="Hyperlink"/>
          </w:rPr>
          <w:t>https://doi.org/10.1088/1741-2560/13/5/051001</w:t>
        </w:r>
      </w:hyperlink>
      <w:bookmarkEnd w:id="612"/>
    </w:p>
    <w:p>
      <w:pPr>
        <w:pStyle w:val="Bibliography"/>
        <w:rPr/>
      </w:pPr>
      <w:bookmarkStart w:id="613" w:name="ref-Fusi2005"/>
      <w:r>
        <w:rPr/>
        <w:t xml:space="preserve">Fusi, S., Drew, P. J., &amp; Abbott, L. F. (2005). Cascade Models of Synaptically Stored Memories. </w:t>
      </w:r>
      <w:r>
        <w:rPr>
          <w:i/>
          <w:iCs/>
        </w:rPr>
        <w:t>Neuron</w:t>
      </w:r>
      <w:r>
        <w:rPr/>
        <w:t xml:space="preserve">, </w:t>
      </w:r>
      <w:r>
        <w:rPr>
          <w:i/>
          <w:iCs/>
        </w:rPr>
        <w:t>45</w:t>
      </w:r>
      <w:r>
        <w:rPr/>
        <w:t xml:space="preserve">(4), 599–611. </w:t>
      </w:r>
      <w:hyperlink r:id="rId45">
        <w:r>
          <w:rPr>
            <w:rStyle w:val="Hyperlink"/>
          </w:rPr>
          <w:t>https://doi.org/10.1016/j.neuron.2005.02.001</w:t>
        </w:r>
      </w:hyperlink>
      <w:bookmarkEnd w:id="613"/>
    </w:p>
    <w:p>
      <w:pPr>
        <w:pStyle w:val="Bibliography"/>
        <w:rPr/>
      </w:pPr>
      <w:bookmarkStart w:id="614" w:name="ref-Garcez2009"/>
      <w:r>
        <w:rPr/>
        <w:t xml:space="preserve">Garcez, A. S. d’Avila, Lamb, L. C., &amp; Gabbay, D. M. (2009). </w:t>
      </w:r>
      <w:r>
        <w:rPr>
          <w:i/>
          <w:iCs/>
        </w:rPr>
        <w:t>Neural-Symbolic Cognitive Reasoning</w:t>
      </w:r>
      <w:r>
        <w:rPr/>
        <w:t xml:space="preserve">. Springer. </w:t>
      </w:r>
      <w:hyperlink r:id="rId46">
        <w:r>
          <w:rPr>
            <w:rStyle w:val="Hyperlink"/>
          </w:rPr>
          <w:t>https://doi.org/10.1007/978-3-540-73246-4</w:t>
        </w:r>
      </w:hyperlink>
      <w:bookmarkEnd w:id="614"/>
    </w:p>
    <w:p>
      <w:pPr>
        <w:pStyle w:val="Bibliography"/>
        <w:rPr/>
      </w:pPr>
      <w:bookmarkStart w:id="615" w:name="ref-Gebru2021"/>
      <w:r>
        <w:rPr/>
        <w:t xml:space="preserve">Gebru, T., Morgenstern, J., Vecchione, B., Vaughan, J. W., Wallach, H., Daumé III, H., &amp; Crawford, K. (2021). Datasheets for Datasets. </w:t>
      </w:r>
      <w:r>
        <w:rPr>
          <w:i/>
          <w:iCs/>
        </w:rPr>
        <w:t>Communications of the ACM</w:t>
      </w:r>
      <w:r>
        <w:rPr/>
        <w:t xml:space="preserve">, </w:t>
      </w:r>
      <w:r>
        <w:rPr>
          <w:i/>
          <w:iCs/>
        </w:rPr>
        <w:t>64</w:t>
      </w:r>
      <w:r>
        <w:rPr/>
        <w:t xml:space="preserve">(12), 86–92. </w:t>
      </w:r>
      <w:hyperlink r:id="rId47">
        <w:r>
          <w:rPr>
            <w:rStyle w:val="Hyperlink"/>
          </w:rPr>
          <w:t>https://doi.org/10.1145/3458723</w:t>
        </w:r>
      </w:hyperlink>
      <w:bookmarkEnd w:id="615"/>
    </w:p>
    <w:p>
      <w:pPr>
        <w:pStyle w:val="Bibliography"/>
        <w:rPr/>
      </w:pPr>
      <w:bookmarkStart w:id="616" w:name="ref-Gerstner2014"/>
      <w:r>
        <w:rPr/>
        <w:t xml:space="preserve">Gerstner, W., Kistler, W. M., Naud, R., &amp; Paninski, L. (2014). </w:t>
      </w:r>
      <w:r>
        <w:rPr>
          <w:i/>
          <w:iCs/>
        </w:rPr>
        <w:t>Neuronal Dynamics: From Single Neurons to Networks and Models of Cognition</w:t>
      </w:r>
      <w:r>
        <w:rPr/>
        <w:t xml:space="preserve">. Cambridge University Press. </w:t>
      </w:r>
      <w:hyperlink r:id="rId48">
        <w:r>
          <w:rPr>
            <w:rStyle w:val="Hyperlink"/>
          </w:rPr>
          <w:t>https://doi.org/10.1017/CBO9781107447615</w:t>
        </w:r>
      </w:hyperlink>
      <w:bookmarkEnd w:id="616"/>
    </w:p>
    <w:p>
      <w:pPr>
        <w:pStyle w:val="Bibliography"/>
        <w:rPr/>
      </w:pPr>
      <w:bookmarkStart w:id="617" w:name="ref-Gerstner2018eligibility"/>
      <w:r>
        <w:rPr/>
        <w:t xml:space="preserve">Gerstner, W., Lehmann, M., Liakoni, V., Corneil, D., &amp; Brea, J. (2018). Eligibility Traces and Plasticity on Behavioral Time Scales: Experimental Support of NeoHebbian Three-Factor Learning Rules. </w:t>
      </w:r>
      <w:r>
        <w:rPr>
          <w:i/>
          <w:iCs/>
        </w:rPr>
        <w:t>Neuron</w:t>
      </w:r>
      <w:r>
        <w:rPr/>
        <w:t xml:space="preserve">, </w:t>
      </w:r>
      <w:r>
        <w:rPr>
          <w:i/>
          <w:iCs/>
        </w:rPr>
        <w:t>100</w:t>
      </w:r>
      <w:r>
        <w:rPr/>
        <w:t xml:space="preserve">(2), 276–293. </w:t>
      </w:r>
      <w:hyperlink r:id="rId49">
        <w:r>
          <w:rPr>
            <w:rStyle w:val="Hyperlink"/>
          </w:rPr>
          <w:t>https://doi.org/10.1016/j.neuron.2018.10.020</w:t>
        </w:r>
      </w:hyperlink>
      <w:bookmarkEnd w:id="617"/>
    </w:p>
    <w:p>
      <w:pPr>
        <w:pStyle w:val="Bibliography"/>
        <w:rPr/>
      </w:pPr>
      <w:bookmarkStart w:id="618" w:name="ref-Gewaltig2007"/>
      <w:r>
        <w:rPr/>
        <w:t xml:space="preserve">Gewaltig, M.-O., &amp; Diesmann, M. (2007). NEST (Neural Simulation Tool). </w:t>
      </w:r>
      <w:r>
        <w:rPr>
          <w:i/>
          <w:iCs/>
        </w:rPr>
        <w:t>Scholarpedia</w:t>
      </w:r>
      <w:r>
        <w:rPr/>
        <w:t xml:space="preserve">, </w:t>
      </w:r>
      <w:r>
        <w:rPr>
          <w:i/>
          <w:iCs/>
        </w:rPr>
        <w:t>2</w:t>
      </w:r>
      <w:r>
        <w:rPr/>
        <w:t xml:space="preserve">(4), 1430. </w:t>
      </w:r>
      <w:hyperlink r:id="rId50">
        <w:r>
          <w:rPr>
            <w:rStyle w:val="Hyperlink"/>
          </w:rPr>
          <w:t>https://doi.org/10.4249/scholarpedia.1430</w:t>
        </w:r>
      </w:hyperlink>
      <w:bookmarkEnd w:id="618"/>
    </w:p>
    <w:p>
      <w:pPr>
        <w:pStyle w:val="Bibliography"/>
        <w:rPr/>
      </w:pPr>
      <w:bookmarkStart w:id="619" w:name="ref-Goebel2012Hybrid"/>
      <w:r>
        <w:rPr/>
        <w:t xml:space="preserve">Goebel, R., Sanfelice, R. G., &amp; Teel, A. R. (2012). </w:t>
      </w:r>
      <w:r>
        <w:rPr>
          <w:i/>
          <w:iCs/>
        </w:rPr>
        <w:t>Hybrid Dynamical Systems: Modeling, Stability, and Robustness</w:t>
      </w:r>
      <w:r>
        <w:rPr/>
        <w:t xml:space="preserve">. Princeton University Press. </w:t>
      </w:r>
      <w:hyperlink r:id="rId51">
        <w:r>
          <w:rPr>
            <w:rStyle w:val="Hyperlink"/>
          </w:rPr>
          <w:t>https://doi.org/10.1515/9781400842636</w:t>
        </w:r>
      </w:hyperlink>
      <w:bookmarkEnd w:id="619"/>
    </w:p>
    <w:p>
      <w:pPr>
        <w:pStyle w:val="Bibliography"/>
        <w:rPr/>
      </w:pPr>
      <w:bookmarkStart w:id="620" w:name="ref-Graupner2012"/>
      <w:r>
        <w:rPr/>
        <w:t xml:space="preserve">Graupner, M., &amp; Brunel, N. (2012). Calcium-Based Plasticity Model Explains Sensitivity of Synaptic Changes to Spike Pattern, Rate, and Dendritic Location. </w:t>
      </w:r>
      <w:r>
        <w:rPr>
          <w:i/>
          <w:iCs/>
        </w:rPr>
        <w:t>Proceedings of the National Academy of Sciences</w:t>
      </w:r>
      <w:r>
        <w:rPr/>
        <w:t xml:space="preserve">, </w:t>
      </w:r>
      <w:r>
        <w:rPr>
          <w:i/>
          <w:iCs/>
        </w:rPr>
        <w:t>109</w:t>
      </w:r>
      <w:r>
        <w:rPr/>
        <w:t xml:space="preserve">(10), 3991–3996. </w:t>
      </w:r>
      <w:hyperlink r:id="rId52">
        <w:r>
          <w:rPr>
            <w:rStyle w:val="Hyperlink"/>
          </w:rPr>
          <w:t>https://doi.org/10.1073/pnas.1109359109</w:t>
        </w:r>
      </w:hyperlink>
      <w:bookmarkEnd w:id="620"/>
    </w:p>
    <w:p>
      <w:pPr>
        <w:pStyle w:val="Bibliography"/>
        <w:rPr/>
      </w:pPr>
      <w:bookmarkStart w:id="621" w:name="ref-Grieves2017"/>
      <w:r>
        <w:rPr/>
        <w:t xml:space="preserve">Grieves, M., &amp; Vickers, J. (2017). Digital Twin: Mitigating Unpredictable, Undesirable Emergent Behavior in Complex Systems. In F.-J. Kahlen, S. Flumerfelt, &amp; A. Alves (Hrsg.), </w:t>
      </w:r>
      <w:r>
        <w:rPr>
          <w:i/>
          <w:iCs/>
        </w:rPr>
        <w:t>Transdisciplinary Perspectives on Complex Systems</w:t>
      </w:r>
      <w:r>
        <w:rPr/>
        <w:t xml:space="preserve"> (S. 85–113). Springer. </w:t>
      </w:r>
      <w:hyperlink r:id="rId53">
        <w:r>
          <w:rPr>
            <w:rStyle w:val="Hyperlink"/>
          </w:rPr>
          <w:t>https://doi.org/10.1007/978-3-319-38756-7_4</w:t>
        </w:r>
      </w:hyperlink>
      <w:bookmarkEnd w:id="621"/>
    </w:p>
    <w:p>
      <w:pPr>
        <w:pStyle w:val="Bibliography"/>
        <w:rPr/>
      </w:pPr>
      <w:bookmarkStart w:id="622" w:name="ref-Ha2018"/>
      <w:r>
        <w:rPr/>
        <w:t xml:space="preserve">Ha, D., &amp; Schmidhuber, J. (2018). World Models. </w:t>
      </w:r>
      <w:r>
        <w:rPr>
          <w:i/>
          <w:iCs/>
        </w:rPr>
        <w:t>arXiv preprint arXiv:1803.10122</w:t>
      </w:r>
      <w:r>
        <w:rPr/>
        <w:t xml:space="preserve">. </w:t>
      </w:r>
      <w:hyperlink r:id="rId54">
        <w:r>
          <w:rPr>
            <w:rStyle w:val="Hyperlink"/>
          </w:rPr>
          <w:t>https://doi.org/10.48550/arXiv.1803.10122</w:t>
        </w:r>
      </w:hyperlink>
      <w:bookmarkEnd w:id="622"/>
    </w:p>
    <w:p>
      <w:pPr>
        <w:pStyle w:val="Bibliography"/>
        <w:rPr/>
      </w:pPr>
      <w:bookmarkStart w:id="623" w:name="ref-Hafner2020"/>
      <w:r>
        <w:rPr/>
        <w:t xml:space="preserve">Hafner, D., Lillicrap, T., Ba, J., &amp; Norouzi, M. (2020). Dream to Control: Learning Behaviors by Latent Imagination. </w:t>
      </w:r>
      <w:r>
        <w:rPr>
          <w:i/>
          <w:iCs/>
        </w:rPr>
        <w:t>International Conference on Learning Representations</w:t>
      </w:r>
      <w:r>
        <w:rPr/>
        <w:t>.</w:t>
      </w:r>
      <w:bookmarkEnd w:id="623"/>
    </w:p>
    <w:p>
      <w:pPr>
        <w:pStyle w:val="Bibliography"/>
        <w:rPr/>
      </w:pPr>
      <w:bookmarkStart w:id="624" w:name="ref-Hodgkin1952"/>
      <w:r>
        <w:rPr/>
        <w:t xml:space="preserve">Hodgkin, A. L., &amp; Huxley, A. F. (1952). A Quantitative Description of Membrane Current and Its Application to Conduction and Excitation in Nerve. </w:t>
      </w:r>
      <w:r>
        <w:rPr>
          <w:i/>
          <w:iCs/>
        </w:rPr>
        <w:t>The Journal of Physiology</w:t>
      </w:r>
      <w:r>
        <w:rPr/>
        <w:t xml:space="preserve">, </w:t>
      </w:r>
      <w:r>
        <w:rPr>
          <w:i/>
          <w:iCs/>
        </w:rPr>
        <w:t>117</w:t>
      </w:r>
      <w:r>
        <w:rPr/>
        <w:t xml:space="preserve">(4), 500–544. </w:t>
      </w:r>
      <w:hyperlink r:id="rId55">
        <w:r>
          <w:rPr>
            <w:rStyle w:val="Hyperlink"/>
          </w:rPr>
          <w:t>https://doi.org/10.1113/jphysiol.1952.sp004764</w:t>
        </w:r>
      </w:hyperlink>
      <w:bookmarkEnd w:id="624"/>
    </w:p>
    <w:p>
      <w:pPr>
        <w:pStyle w:val="Bibliography"/>
        <w:rPr/>
      </w:pPr>
      <w:bookmarkStart w:id="625" w:name="ref-Hoel2013"/>
      <w:r>
        <w:rPr/>
        <w:t xml:space="preserve">Hoel, E. P., Albantakis, L., &amp; Tononi, G. (2013). Quantifying Causal Emergence Shows That Macro Can Beat Micro. </w:t>
      </w:r>
      <w:r>
        <w:rPr>
          <w:i/>
          <w:iCs/>
        </w:rPr>
        <w:t>Proceedings of the National Academy of Sciences</w:t>
      </w:r>
      <w:r>
        <w:rPr/>
        <w:t xml:space="preserve">, </w:t>
      </w:r>
      <w:r>
        <w:rPr>
          <w:i/>
          <w:iCs/>
        </w:rPr>
        <w:t>110</w:t>
      </w:r>
      <w:r>
        <w:rPr/>
        <w:t xml:space="preserve">(49), 19790–19795. </w:t>
      </w:r>
      <w:hyperlink r:id="rId56">
        <w:r>
          <w:rPr>
            <w:rStyle w:val="Hyperlink"/>
          </w:rPr>
          <w:t>https://doi.org/10.1073/pnas.1314922110</w:t>
        </w:r>
      </w:hyperlink>
      <w:bookmarkEnd w:id="625"/>
    </w:p>
    <w:p>
      <w:pPr>
        <w:pStyle w:val="Bibliography"/>
        <w:rPr/>
      </w:pPr>
      <w:bookmarkStart w:id="626" w:name="ref-Holtmaat2009"/>
      <w:r>
        <w:rPr/>
        <w:t xml:space="preserve">Holtmaat, A., &amp; Svoboda, K. (2009). Experience-Dependent Structural Synaptic Plasticity in the Mammalian Brain. </w:t>
      </w:r>
      <w:r>
        <w:rPr>
          <w:i/>
          <w:iCs/>
        </w:rPr>
        <w:t>Nature Reviews Neuroscience</w:t>
      </w:r>
      <w:r>
        <w:rPr/>
        <w:t xml:space="preserve">, </w:t>
      </w:r>
      <w:r>
        <w:rPr>
          <w:i/>
          <w:iCs/>
        </w:rPr>
        <w:t>10</w:t>
      </w:r>
      <w:r>
        <w:rPr/>
        <w:t xml:space="preserve">(9), 647–658. </w:t>
      </w:r>
      <w:hyperlink r:id="rId57">
        <w:r>
          <w:rPr>
            <w:rStyle w:val="Hyperlink"/>
          </w:rPr>
          <w:t>https://doi.org/10.1038/nrn2699</w:t>
        </w:r>
      </w:hyperlink>
      <w:bookmarkEnd w:id="626"/>
    </w:p>
    <w:p>
      <w:pPr>
        <w:pStyle w:val="Bibliography"/>
        <w:rPr/>
      </w:pPr>
      <w:bookmarkStart w:id="627" w:name="ref-Hopfield1982"/>
      <w:r>
        <w:rPr/>
        <w:t xml:space="preserve">Hopfield, J. J. (1982). Neural Networks and Physical Systems with Emergent Collective Computational Abilities. </w:t>
      </w:r>
      <w:r>
        <w:rPr>
          <w:i/>
          <w:iCs/>
        </w:rPr>
        <w:t>Proceedings of the National Academy of Sciences</w:t>
      </w:r>
      <w:r>
        <w:rPr/>
        <w:t xml:space="preserve">, </w:t>
      </w:r>
      <w:r>
        <w:rPr>
          <w:i/>
          <w:iCs/>
        </w:rPr>
        <w:t>79</w:t>
      </w:r>
      <w:r>
        <w:rPr/>
        <w:t xml:space="preserve">(8), 2554–2558. </w:t>
      </w:r>
      <w:hyperlink r:id="rId58">
        <w:r>
          <w:rPr>
            <w:rStyle w:val="Hyperlink"/>
          </w:rPr>
          <w:t>https://doi.org/10.1073/pnas.79.8.2554</w:t>
        </w:r>
      </w:hyperlink>
      <w:bookmarkEnd w:id="627"/>
    </w:p>
    <w:p>
      <w:pPr>
        <w:pStyle w:val="Bibliography"/>
        <w:rPr/>
      </w:pPr>
      <w:bookmarkStart w:id="628" w:name="ref-Izhikevich2003"/>
      <w:r>
        <w:rPr/>
        <w:t xml:space="preserve">Izhikevich, E. M. (2003). Simple Model of Spiking Neurons. </w:t>
      </w:r>
      <w:r>
        <w:rPr>
          <w:i/>
          <w:iCs/>
        </w:rPr>
        <w:t>IEEE Transactions on Neural Networks</w:t>
      </w:r>
      <w:r>
        <w:rPr/>
        <w:t xml:space="preserve">, </w:t>
      </w:r>
      <w:r>
        <w:rPr>
          <w:i/>
          <w:iCs/>
        </w:rPr>
        <w:t>14</w:t>
      </w:r>
      <w:r>
        <w:rPr/>
        <w:t xml:space="preserve">(6), 1569–1572. </w:t>
      </w:r>
      <w:hyperlink r:id="rId59">
        <w:r>
          <w:rPr>
            <w:rStyle w:val="Hyperlink"/>
          </w:rPr>
          <w:t>https://doi.org/10.1109/TNN.2003.820440</w:t>
        </w:r>
      </w:hyperlink>
      <w:bookmarkEnd w:id="628"/>
    </w:p>
    <w:p>
      <w:pPr>
        <w:pStyle w:val="Bibliography"/>
        <w:rPr/>
      </w:pPr>
      <w:bookmarkStart w:id="629" w:name="ref-Izhikevich2007book"/>
      <w:r>
        <w:rPr/>
        <w:t xml:space="preserve">Izhikevich, E. M. (2007a). </w:t>
      </w:r>
      <w:r>
        <w:rPr>
          <w:i/>
          <w:iCs/>
        </w:rPr>
        <w:t>Dynamical Systems in Neuroscience: The Geometry of Excitability and Bursting</w:t>
      </w:r>
      <w:r>
        <w:rPr/>
        <w:t>. MIT Press.</w:t>
      </w:r>
      <w:bookmarkEnd w:id="629"/>
    </w:p>
    <w:p>
      <w:pPr>
        <w:pStyle w:val="Bibliography"/>
        <w:rPr/>
      </w:pPr>
      <w:bookmarkStart w:id="630" w:name="ref-Izhikevich2007reward"/>
      <w:r>
        <w:rPr/>
        <w:t xml:space="preserve">Izhikevich, E. M. (2007b). Solving the Distal Reward Problem through Linkage of STDP and Dopamine Signaling. </w:t>
      </w:r>
      <w:r>
        <w:rPr>
          <w:i/>
          <w:iCs/>
        </w:rPr>
        <w:t>Cerebral Cortex</w:t>
      </w:r>
      <w:r>
        <w:rPr/>
        <w:t xml:space="preserve">, </w:t>
      </w:r>
      <w:r>
        <w:rPr>
          <w:i/>
          <w:iCs/>
        </w:rPr>
        <w:t>17</w:t>
      </w:r>
      <w:r>
        <w:rPr/>
        <w:t xml:space="preserve">(10), 2443–2452. </w:t>
      </w:r>
      <w:hyperlink r:id="rId60">
        <w:r>
          <w:rPr>
            <w:rStyle w:val="Hyperlink"/>
          </w:rPr>
          <w:t>https://doi.org/10.1093/cercor/bhl152</w:t>
        </w:r>
      </w:hyperlink>
      <w:bookmarkEnd w:id="630"/>
    </w:p>
    <w:p>
      <w:pPr>
        <w:pStyle w:val="Bibliography"/>
        <w:rPr/>
      </w:pPr>
      <w:bookmarkStart w:id="631" w:name="ref-Jonas2017"/>
      <w:r>
        <w:rPr/>
        <w:t xml:space="preserve">Jonas, E., &amp; Kording, K. P. (2017). Could a Neuroscientist Understand a Microprocessor? </w:t>
      </w:r>
      <w:r>
        <w:rPr>
          <w:i/>
          <w:iCs/>
        </w:rPr>
        <w:t>PLOS Computational Biology</w:t>
      </w:r>
      <w:r>
        <w:rPr/>
        <w:t xml:space="preserve">, </w:t>
      </w:r>
      <w:r>
        <w:rPr>
          <w:i/>
          <w:iCs/>
        </w:rPr>
        <w:t>13</w:t>
      </w:r>
      <w:r>
        <w:rPr/>
        <w:t xml:space="preserve">(1), e1005268. </w:t>
      </w:r>
      <w:hyperlink r:id="rId61">
        <w:r>
          <w:rPr>
            <w:rStyle w:val="Hyperlink"/>
          </w:rPr>
          <w:t>https://doi.org/10.1371/journal.pcbi.1005268</w:t>
        </w:r>
      </w:hyperlink>
      <w:bookmarkEnd w:id="631"/>
    </w:p>
    <w:p>
      <w:pPr>
        <w:pStyle w:val="Bibliography"/>
        <w:rPr/>
      </w:pPr>
      <w:bookmarkStart w:id="632" w:name="ref-Jones2020"/>
      <w:r>
        <w:rPr/>
        <w:t xml:space="preserve">Jones, D., Snider, C., Nassehi, A., Yon, J., &amp; Hicks, B. (2020). Characterising the Digital Twin: A Systematic Literature Review. </w:t>
      </w:r>
      <w:r>
        <w:rPr>
          <w:i/>
          <w:iCs/>
        </w:rPr>
        <w:t>CIRP Journal of Manufacturing Science and Technology</w:t>
      </w:r>
      <w:r>
        <w:rPr/>
        <w:t xml:space="preserve">, </w:t>
      </w:r>
      <w:r>
        <w:rPr>
          <w:i/>
          <w:iCs/>
        </w:rPr>
        <w:t>29</w:t>
      </w:r>
      <w:r>
        <w:rPr/>
        <w:t xml:space="preserve">, 36–52. </w:t>
      </w:r>
      <w:hyperlink r:id="rId62">
        <w:r>
          <w:rPr>
            <w:rStyle w:val="Hyperlink"/>
          </w:rPr>
          <w:t>https://doi.org/10.1016/j.cirpj.2020.02.002</w:t>
        </w:r>
      </w:hyperlink>
      <w:bookmarkEnd w:id="632"/>
    </w:p>
    <w:p>
      <w:pPr>
        <w:pStyle w:val="Bibliography"/>
        <w:rPr/>
      </w:pPr>
      <w:bookmarkStart w:id="633" w:name="ref-Kaster2024"/>
      <w:r>
        <w:rPr/>
        <w:t xml:space="preserve">Kaster, M., Czappa, F., Butz-Ostendorf, M., &amp; Wolf, F. (2024). Building a Realistic, Scalable Memory Model with Independent Engrams Using a Homeostatic Mechanism. </w:t>
      </w:r>
      <w:r>
        <w:rPr>
          <w:i/>
          <w:iCs/>
        </w:rPr>
        <w:t>Frontiers in Neuroinformatics</w:t>
      </w:r>
      <w:r>
        <w:rPr/>
        <w:t xml:space="preserve">, </w:t>
      </w:r>
      <w:r>
        <w:rPr>
          <w:i/>
          <w:iCs/>
        </w:rPr>
        <w:t>18</w:t>
      </w:r>
      <w:r>
        <w:rPr/>
        <w:t xml:space="preserve">, 1323203. </w:t>
      </w:r>
      <w:hyperlink r:id="rId63">
        <w:r>
          <w:rPr>
            <w:rStyle w:val="Hyperlink"/>
          </w:rPr>
          <w:t>https://doi.org/10.3389/fninf.2024.1323203</w:t>
        </w:r>
      </w:hyperlink>
      <w:bookmarkEnd w:id="633"/>
    </w:p>
    <w:p>
      <w:pPr>
        <w:pStyle w:val="Bibliography"/>
        <w:rPr/>
      </w:pPr>
      <w:bookmarkStart w:id="634" w:name="ref-King2014"/>
      <w:r>
        <w:rPr/>
        <w:t xml:space="preserve">King, J.-R., &amp; Dehaene, S. (2014). Characterizing the Dynamics of Mental Representations: The Temporal Generalization Method. </w:t>
      </w:r>
      <w:r>
        <w:rPr>
          <w:i/>
          <w:iCs/>
        </w:rPr>
        <w:t>Trends in Cognitive Sciences</w:t>
      </w:r>
      <w:r>
        <w:rPr/>
        <w:t xml:space="preserve">, </w:t>
      </w:r>
      <w:r>
        <w:rPr>
          <w:i/>
          <w:iCs/>
        </w:rPr>
        <w:t>18</w:t>
      </w:r>
      <w:r>
        <w:rPr/>
        <w:t xml:space="preserve">(4), 203–210. </w:t>
      </w:r>
      <w:hyperlink r:id="rId64">
        <w:r>
          <w:rPr>
            <w:rStyle w:val="Hyperlink"/>
          </w:rPr>
          <w:t>https://doi.org/10.1016/j.tics.2014.01.002</w:t>
        </w:r>
      </w:hyperlink>
      <w:bookmarkEnd w:id="634"/>
    </w:p>
    <w:p>
      <w:pPr>
        <w:pStyle w:val="Bibliography"/>
        <w:rPr/>
      </w:pPr>
      <w:bookmarkStart w:id="635" w:name="ref-Kirkpatrick2017"/>
      <w:r>
        <w:rPr/>
        <w:t xml:space="preserve">Kirkpatrick, J., Pascanu, R., Rabinowitz, N., Veness, J., Desjardins, G., Rusu, A. A., Milan, K., Quan, J., Ramalho, T., Grabska-Barwinska, A., Hassabis, D., Clopath, C., Kumaran, D., &amp; Hadsell, R. (2017). Overcoming Catastrophic Forgetting in Neural Networks. </w:t>
      </w:r>
      <w:r>
        <w:rPr>
          <w:i/>
          <w:iCs/>
        </w:rPr>
        <w:t>Proceedings of the National Academy of Sciences</w:t>
      </w:r>
      <w:r>
        <w:rPr/>
        <w:t xml:space="preserve">, </w:t>
      </w:r>
      <w:r>
        <w:rPr>
          <w:i/>
          <w:iCs/>
        </w:rPr>
        <w:t>114</w:t>
      </w:r>
      <w:r>
        <w:rPr/>
        <w:t xml:space="preserve">(13), 3521–3526. </w:t>
      </w:r>
      <w:hyperlink r:id="rId65">
        <w:r>
          <w:rPr>
            <w:rStyle w:val="Hyperlink"/>
          </w:rPr>
          <w:t>https://doi.org/10.1073/pnas.1611835114</w:t>
        </w:r>
      </w:hyperlink>
      <w:bookmarkEnd w:id="635"/>
    </w:p>
    <w:p>
      <w:pPr>
        <w:pStyle w:val="Bibliography"/>
        <w:rPr/>
      </w:pPr>
      <w:bookmarkStart w:id="636" w:name="ref-Kriegeskorte2008"/>
      <w:r>
        <w:rPr/>
        <w:t xml:space="preserve">Kriegeskorte, N., Mur, M., &amp; Bandettini, P. A. (2008). Representational Similarity Analysis: Connecting the Branches of Systems Neuroscience. </w:t>
      </w:r>
      <w:r>
        <w:rPr>
          <w:i/>
          <w:iCs/>
        </w:rPr>
        <w:t>Frontiers in Systems Neuroscience</w:t>
      </w:r>
      <w:r>
        <w:rPr/>
        <w:t xml:space="preserve">, </w:t>
      </w:r>
      <w:r>
        <w:rPr>
          <w:i/>
          <w:iCs/>
        </w:rPr>
        <w:t>2</w:t>
      </w:r>
      <w:r>
        <w:rPr/>
        <w:t xml:space="preserve">, 4. </w:t>
      </w:r>
      <w:hyperlink r:id="rId66">
        <w:r>
          <w:rPr>
            <w:rStyle w:val="Hyperlink"/>
          </w:rPr>
          <w:t>https://doi.org/10.3389/neuro.06.004.2008</w:t>
        </w:r>
      </w:hyperlink>
      <w:bookmarkEnd w:id="636"/>
    </w:p>
    <w:p>
      <w:pPr>
        <w:pStyle w:val="Bibliography"/>
        <w:rPr/>
      </w:pPr>
      <w:bookmarkStart w:id="637" w:name="ref-Kritzinger2018"/>
      <w:r>
        <w:rPr/>
        <w:t xml:space="preserve">Kritzinger, W., Karner, M., Traar, G., Henjes, J., &amp; Sihn, W. (2018). Digital Twin in Manufacturing: A Categorical Literature Review and Classification. </w:t>
      </w:r>
      <w:r>
        <w:rPr>
          <w:i/>
          <w:iCs/>
        </w:rPr>
        <w:t>IFAC-PapersOnLine</w:t>
      </w:r>
      <w:r>
        <w:rPr/>
        <w:t xml:space="preserve">, </w:t>
      </w:r>
      <w:r>
        <w:rPr>
          <w:i/>
          <w:iCs/>
        </w:rPr>
        <w:t>51</w:t>
      </w:r>
      <w:r>
        <w:rPr/>
        <w:t xml:space="preserve">(11), 1016–1022. </w:t>
      </w:r>
      <w:hyperlink r:id="rId67">
        <w:r>
          <w:rPr>
            <w:rStyle w:val="Hyperlink"/>
          </w:rPr>
          <w:t>https://doi.org/10.1016/j.ifacol.2018.08.474</w:t>
        </w:r>
      </w:hyperlink>
      <w:bookmarkEnd w:id="637"/>
    </w:p>
    <w:p>
      <w:pPr>
        <w:pStyle w:val="Bibliography"/>
        <w:rPr/>
      </w:pPr>
      <w:bookmarkStart w:id="638" w:name="ref-Kumaran2016"/>
      <w:r>
        <w:rPr/>
        <w:t xml:space="preserve">Kumaran, D., Hassabis, D., &amp; McClelland, J. L. (2016). What Learning Systems Do Intelligent Agents Need? Complementary Learning Systems Theory Updated. </w:t>
      </w:r>
      <w:r>
        <w:rPr>
          <w:i/>
          <w:iCs/>
        </w:rPr>
        <w:t>Trends in Cognitive Sciences</w:t>
      </w:r>
      <w:r>
        <w:rPr/>
        <w:t xml:space="preserve">, </w:t>
      </w:r>
      <w:r>
        <w:rPr>
          <w:i/>
          <w:iCs/>
        </w:rPr>
        <w:t>20</w:t>
      </w:r>
      <w:r>
        <w:rPr/>
        <w:t xml:space="preserve">(7), 512–534. </w:t>
      </w:r>
      <w:hyperlink r:id="rId68">
        <w:r>
          <w:rPr>
            <w:rStyle w:val="Hyperlink"/>
          </w:rPr>
          <w:t>https://doi.org/10.1016/j.tics.2016.05.004</w:t>
        </w:r>
      </w:hyperlink>
      <w:bookmarkEnd w:id="638"/>
    </w:p>
    <w:p>
      <w:pPr>
        <w:pStyle w:val="Bibliography"/>
        <w:rPr/>
      </w:pPr>
      <w:bookmarkStart w:id="639" w:name="ref-Kuznetsov2004"/>
      <w:r>
        <w:rPr/>
        <w:t xml:space="preserve">Kuznetsov, Y. A. (2004). </w:t>
      </w:r>
      <w:r>
        <w:rPr>
          <w:i/>
          <w:iCs/>
        </w:rPr>
        <w:t>Elements of Applied Bifurcation Theory</w:t>
      </w:r>
      <w:r>
        <w:rPr/>
        <w:t xml:space="preserve"> (3. Aufl.). Springer. </w:t>
      </w:r>
      <w:hyperlink r:id="rId69">
        <w:r>
          <w:rPr>
            <w:rStyle w:val="Hyperlink"/>
          </w:rPr>
          <w:t>https://doi.org/10.1007/978-1-4757-3978-7</w:t>
        </w:r>
      </w:hyperlink>
      <w:bookmarkEnd w:id="639"/>
    </w:p>
    <w:p>
      <w:pPr>
        <w:pStyle w:val="Bibliography"/>
        <w:rPr/>
      </w:pPr>
      <w:bookmarkStart w:id="640" w:name="ref-Lamport1978"/>
      <w:r>
        <w:rPr/>
        <w:t xml:space="preserve">Lamport, L. (1978). Time, Clocks, and the Ordering of Events in a Distributed System. </w:t>
      </w:r>
      <w:r>
        <w:rPr>
          <w:i/>
          <w:iCs/>
        </w:rPr>
        <w:t>Communications of the ACM</w:t>
      </w:r>
      <w:r>
        <w:rPr/>
        <w:t xml:space="preserve">, </w:t>
      </w:r>
      <w:r>
        <w:rPr>
          <w:i/>
          <w:iCs/>
        </w:rPr>
        <w:t>21</w:t>
      </w:r>
      <w:r>
        <w:rPr/>
        <w:t xml:space="preserve">(7), 558–565. </w:t>
      </w:r>
      <w:hyperlink r:id="rId70">
        <w:r>
          <w:rPr>
            <w:rStyle w:val="Hyperlink"/>
          </w:rPr>
          <w:t>https://doi.org/10.1145/359545.359563</w:t>
        </w:r>
      </w:hyperlink>
      <w:bookmarkEnd w:id="640"/>
    </w:p>
    <w:p>
      <w:pPr>
        <w:pStyle w:val="Bibliography"/>
        <w:rPr/>
      </w:pPr>
      <w:bookmarkStart w:id="641" w:name="ref-Lewis2020"/>
      <w:r>
        <w:rPr/>
        <w:t xml:space="preserve">Lewis, P., Perez, E., Piktus, A., Petroni, F., Karpukhin, V., Goyal, N., Küttler, H., Lewis, M., Yih, W., Rocktäschel, T., Riedel, S., &amp; Kiela, D. (2020). Retrieval-Augmented Generation for Knowledge-Intensive NLP Tasks. </w:t>
      </w:r>
      <w:r>
        <w:rPr>
          <w:i/>
          <w:iCs/>
        </w:rPr>
        <w:t>Advances in Neural Information Processing Systems 33</w:t>
      </w:r>
      <w:r>
        <w:rPr/>
        <w:t>, 9459–9474.</w:t>
      </w:r>
      <w:bookmarkEnd w:id="641"/>
    </w:p>
    <w:p>
      <w:pPr>
        <w:pStyle w:val="Bibliography"/>
        <w:rPr/>
      </w:pPr>
      <w:bookmarkStart w:id="642" w:name="ref-Li2024rewiring"/>
      <w:r>
        <w:rPr/>
        <w:t xml:space="preserve">Li, J., Bauer, R., Rentzeperis, I., &amp; Leeuwen, C. van. (2024). Adaptive Rewiring: A General Principle for Neural Network Development. </w:t>
      </w:r>
      <w:r>
        <w:rPr>
          <w:i/>
          <w:iCs/>
        </w:rPr>
        <w:t>Frontiers in Network Physiology</w:t>
      </w:r>
      <w:r>
        <w:rPr/>
        <w:t xml:space="preserve">, </w:t>
      </w:r>
      <w:r>
        <w:rPr>
          <w:i/>
          <w:iCs/>
        </w:rPr>
        <w:t>4</w:t>
      </w:r>
      <w:r>
        <w:rPr/>
        <w:t xml:space="preserve">, 1410092. </w:t>
      </w:r>
      <w:hyperlink r:id="rId71">
        <w:r>
          <w:rPr>
            <w:rStyle w:val="Hyperlink"/>
          </w:rPr>
          <w:t>https://doi.org/10.3389/fnetp.2024.1410092</w:t>
        </w:r>
      </w:hyperlink>
      <w:bookmarkEnd w:id="642"/>
    </w:p>
    <w:p>
      <w:pPr>
        <w:pStyle w:val="Bibliography"/>
        <w:rPr/>
      </w:pPr>
      <w:bookmarkStart w:id="643" w:name="ref-Littman2001"/>
      <w:r>
        <w:rPr/>
        <w:t xml:space="preserve">Littman, M. L., Sutton, R. S., &amp; Singh, S. (2001). Predictive Representations of State. </w:t>
      </w:r>
      <w:r>
        <w:rPr>
          <w:i/>
          <w:iCs/>
        </w:rPr>
        <w:t>Advances in Neural Information Processing Systems 14</w:t>
      </w:r>
      <w:r>
        <w:rPr/>
        <w:t>, 1555–1561.</w:t>
      </w:r>
      <w:bookmarkEnd w:id="643"/>
    </w:p>
    <w:p>
      <w:pPr>
        <w:pStyle w:val="Bibliography"/>
        <w:rPr/>
      </w:pPr>
      <w:bookmarkStart w:id="644" w:name="ref-LitwinKumar2014"/>
      <w:r>
        <w:rPr/>
        <w:t xml:space="preserve">Litwin-Kumar, A., &amp; Doiron, B. (2014). Formation and Maintenance of Neuronal Assemblies through Synaptic Plasticity. </w:t>
      </w:r>
      <w:r>
        <w:rPr>
          <w:i/>
          <w:iCs/>
        </w:rPr>
        <w:t>Nature Communications</w:t>
      </w:r>
      <w:r>
        <w:rPr/>
        <w:t xml:space="preserve">, </w:t>
      </w:r>
      <w:r>
        <w:rPr>
          <w:i/>
          <w:iCs/>
        </w:rPr>
        <w:t>5</w:t>
      </w:r>
      <w:r>
        <w:rPr/>
        <w:t xml:space="preserve">, 5319. </w:t>
      </w:r>
      <w:hyperlink r:id="rId72">
        <w:r>
          <w:rPr>
            <w:rStyle w:val="Hyperlink"/>
          </w:rPr>
          <w:t>https://doi.org/10.1038/ncomms6319</w:t>
        </w:r>
      </w:hyperlink>
      <w:bookmarkEnd w:id="644"/>
    </w:p>
    <w:p>
      <w:pPr>
        <w:pStyle w:val="Bibliography"/>
        <w:rPr/>
      </w:pPr>
      <w:bookmarkStart w:id="645" w:name="ref-LopezPaz2017"/>
      <w:r>
        <w:rPr/>
        <w:t xml:space="preserve">Lopez-Paz, D., &amp; Ranzato, M. (2017). Gradient Episodic Memory for Continual Learning. </w:t>
      </w:r>
      <w:r>
        <w:rPr>
          <w:i/>
          <w:iCs/>
        </w:rPr>
        <w:t>Advances in Neural Information Processing Systems 30</w:t>
      </w:r>
      <w:r>
        <w:rPr/>
        <w:t>.</w:t>
      </w:r>
      <w:bookmarkEnd w:id="645"/>
    </w:p>
    <w:p>
      <w:pPr>
        <w:pStyle w:val="Bibliography"/>
        <w:rPr/>
      </w:pPr>
      <w:bookmarkStart w:id="646" w:name="ref-Lukosevicius2009"/>
      <w:r>
        <w:rPr/>
        <w:t xml:space="preserve">Lukoševičius, M., &amp; Jaeger, H. (2009). Reservoir Computing Approaches to Recurrent Neural Network Training. </w:t>
      </w:r>
      <w:r>
        <w:rPr>
          <w:i/>
          <w:iCs/>
        </w:rPr>
        <w:t>Computer Science Review</w:t>
      </w:r>
      <w:r>
        <w:rPr/>
        <w:t xml:space="preserve">, </w:t>
      </w:r>
      <w:r>
        <w:rPr>
          <w:i/>
          <w:iCs/>
        </w:rPr>
        <w:t>3</w:t>
      </w:r>
      <w:r>
        <w:rPr/>
        <w:t xml:space="preserve">(3), 127–149. </w:t>
      </w:r>
      <w:hyperlink r:id="rId73">
        <w:r>
          <w:rPr>
            <w:rStyle w:val="Hyperlink"/>
          </w:rPr>
          <w:t>https://doi.org/10.1016/j.cosrev.2009.03.005</w:t>
        </w:r>
      </w:hyperlink>
      <w:bookmarkEnd w:id="646"/>
    </w:p>
    <w:p>
      <w:pPr>
        <w:pStyle w:val="Bibliography"/>
        <w:rPr/>
      </w:pPr>
      <w:bookmarkStart w:id="647" w:name="ref-Maass1997"/>
      <w:r>
        <w:rPr/>
        <w:t xml:space="preserve">Maass, W. (1997). Networks of Spiking Neurons: The Third Generation of Neural Network Models. </w:t>
      </w:r>
      <w:r>
        <w:rPr>
          <w:i/>
          <w:iCs/>
        </w:rPr>
        <w:t>Neural Networks</w:t>
      </w:r>
      <w:r>
        <w:rPr/>
        <w:t xml:space="preserve">, </w:t>
      </w:r>
      <w:r>
        <w:rPr>
          <w:i/>
          <w:iCs/>
        </w:rPr>
        <w:t>10</w:t>
      </w:r>
      <w:r>
        <w:rPr/>
        <w:t xml:space="preserve">(9), 1659–1671. </w:t>
      </w:r>
      <w:hyperlink r:id="rId74">
        <w:r>
          <w:rPr>
            <w:rStyle w:val="Hyperlink"/>
          </w:rPr>
          <w:t>https://doi.org/10.1016/S0893-6080(97)00011-7</w:t>
        </w:r>
      </w:hyperlink>
      <w:bookmarkEnd w:id="647"/>
    </w:p>
    <w:p>
      <w:pPr>
        <w:pStyle w:val="Bibliography"/>
        <w:rPr/>
      </w:pPr>
      <w:bookmarkStart w:id="648" w:name="ref-Maass2002LSM"/>
      <w:r>
        <w:rPr/>
        <w:t xml:space="preserve">Maass, W., Natschläger, T., &amp; Markram, H. (2002). Real-Time Computing without Stable States: A New Framework for Neural Computation Based on Perturbations. </w:t>
      </w:r>
      <w:r>
        <w:rPr>
          <w:i/>
          <w:iCs/>
        </w:rPr>
        <w:t>Neural Computation</w:t>
      </w:r>
      <w:r>
        <w:rPr/>
        <w:t xml:space="preserve">, </w:t>
      </w:r>
      <w:r>
        <w:rPr>
          <w:i/>
          <w:iCs/>
        </w:rPr>
        <w:t>14</w:t>
      </w:r>
      <w:r>
        <w:rPr/>
        <w:t xml:space="preserve">(11), 2531–2560. </w:t>
      </w:r>
      <w:hyperlink r:id="rId75">
        <w:r>
          <w:rPr>
            <w:rStyle w:val="Hyperlink"/>
          </w:rPr>
          <w:t>https://doi.org/10.1162/089976602760407955</w:t>
        </w:r>
      </w:hyperlink>
      <w:bookmarkEnd w:id="648"/>
    </w:p>
    <w:p>
      <w:pPr>
        <w:pStyle w:val="Bibliography"/>
        <w:rPr/>
      </w:pPr>
      <w:bookmarkStart w:id="649" w:name="ref-Markram1997"/>
      <w:r>
        <w:rPr/>
        <w:t xml:space="preserve">Markram, H., Lübke, J., Frotscher, M., &amp; Sakmann, B. (1997). Regulation of Synaptic Efficacy by Coincidence of Postsynaptic APs and EPSPs. </w:t>
      </w:r>
      <w:r>
        <w:rPr>
          <w:i/>
          <w:iCs/>
        </w:rPr>
        <w:t>Science</w:t>
      </w:r>
      <w:r>
        <w:rPr/>
        <w:t xml:space="preserve">, </w:t>
      </w:r>
      <w:r>
        <w:rPr>
          <w:i/>
          <w:iCs/>
        </w:rPr>
        <w:t>275</w:t>
      </w:r>
      <w:r>
        <w:rPr/>
        <w:t xml:space="preserve">(5297), 213–215. </w:t>
      </w:r>
      <w:hyperlink r:id="rId76">
        <w:r>
          <w:rPr>
            <w:rStyle w:val="Hyperlink"/>
          </w:rPr>
          <w:t>https://doi.org/10.1126/science.275.5297.213</w:t>
        </w:r>
      </w:hyperlink>
      <w:bookmarkEnd w:id="649"/>
    </w:p>
    <w:p>
      <w:pPr>
        <w:pStyle w:val="Bibliography"/>
        <w:rPr/>
      </w:pPr>
      <w:bookmarkStart w:id="650" w:name="ref-Marr1971"/>
      <w:r>
        <w:rPr/>
        <w:t xml:space="preserve">Marr, D. (1971). Simple Memory: A Theory for Archicortex. </w:t>
      </w:r>
      <w:r>
        <w:rPr>
          <w:i/>
          <w:iCs/>
        </w:rPr>
        <w:t>Philosophical Transactions of the Royal Society B</w:t>
      </w:r>
      <w:r>
        <w:rPr/>
        <w:t xml:space="preserve">, </w:t>
      </w:r>
      <w:r>
        <w:rPr>
          <w:i/>
          <w:iCs/>
        </w:rPr>
        <w:t>262</w:t>
      </w:r>
      <w:r>
        <w:rPr/>
        <w:t xml:space="preserve">(841), 23–81. </w:t>
      </w:r>
      <w:hyperlink r:id="rId77">
        <w:r>
          <w:rPr>
            <w:rStyle w:val="Hyperlink"/>
          </w:rPr>
          <w:t>https://doi.org/10.1098/rstb.1971.0078</w:t>
        </w:r>
      </w:hyperlink>
      <w:bookmarkEnd w:id="650"/>
    </w:p>
    <w:p>
      <w:pPr>
        <w:pStyle w:val="Bibliography"/>
        <w:rPr/>
      </w:pPr>
      <w:bookmarkStart w:id="651" w:name="ref-Maslov2002"/>
      <w:r>
        <w:rPr/>
        <w:t xml:space="preserve">Maslov, S., &amp; Sneppen, K. (2002). Specificity and Stability in Topology of Protein Networks. </w:t>
      </w:r>
      <w:r>
        <w:rPr>
          <w:i/>
          <w:iCs/>
        </w:rPr>
        <w:t>Science</w:t>
      </w:r>
      <w:r>
        <w:rPr/>
        <w:t xml:space="preserve">, </w:t>
      </w:r>
      <w:r>
        <w:rPr>
          <w:i/>
          <w:iCs/>
        </w:rPr>
        <w:t>296</w:t>
      </w:r>
      <w:r>
        <w:rPr/>
        <w:t xml:space="preserve">(5569), 910–913. </w:t>
      </w:r>
      <w:hyperlink r:id="rId78">
        <w:r>
          <w:rPr>
            <w:rStyle w:val="Hyperlink"/>
          </w:rPr>
          <w:t>https://doi.org/10.1126/science.1065103</w:t>
        </w:r>
      </w:hyperlink>
      <w:bookmarkEnd w:id="651"/>
    </w:p>
    <w:p>
      <w:pPr>
        <w:pStyle w:val="Bibliography"/>
        <w:rPr/>
      </w:pPr>
      <w:bookmarkStart w:id="652" w:name="ref-McClelland1995"/>
      <w:r>
        <w:rPr/>
        <w:t xml:space="preserve">McClelland, J. L., McNaughton, B. L., &amp; O’Reilly, R. C. (1995). Why There Are Complementary Learning Systems in the Hippocampus and Neocortex: Insights from the Successes and Failures of Connectionist Models of Learning and Memory. </w:t>
      </w:r>
      <w:r>
        <w:rPr>
          <w:i/>
          <w:iCs/>
        </w:rPr>
        <w:t>Psychological Review</w:t>
      </w:r>
      <w:r>
        <w:rPr/>
        <w:t xml:space="preserve">, </w:t>
      </w:r>
      <w:r>
        <w:rPr>
          <w:i/>
          <w:iCs/>
        </w:rPr>
        <w:t>102</w:t>
      </w:r>
      <w:r>
        <w:rPr/>
        <w:t xml:space="preserve">(3), 419–457. </w:t>
      </w:r>
      <w:hyperlink r:id="rId79">
        <w:r>
          <w:rPr>
            <w:rStyle w:val="Hyperlink"/>
          </w:rPr>
          <w:t>https://doi.org/10.1037/0033-295X.102.3.419</w:t>
        </w:r>
      </w:hyperlink>
      <w:bookmarkEnd w:id="652"/>
    </w:p>
    <w:p>
      <w:pPr>
        <w:pStyle w:val="Bibliography"/>
        <w:rPr/>
      </w:pPr>
      <w:bookmarkStart w:id="653" w:name="ref-McCloskey1989"/>
      <w:r>
        <w:rPr/>
        <w:t xml:space="preserve">McCloskey, M., &amp; Cohen, N. J. (1989). Catastrophic Interference in Connectionist Networks: The Sequential Learning Problem. In G. H. Bower (Hrsg.), </w:t>
      </w:r>
      <w:r>
        <w:rPr>
          <w:i/>
          <w:iCs/>
        </w:rPr>
        <w:t>Psychology of Learning and Motivation</w:t>
      </w:r>
      <w:r>
        <w:rPr/>
        <w:t xml:space="preserve"> (Bd. 24, S. 109–165). Academic Press. </w:t>
      </w:r>
      <w:hyperlink r:id="rId80">
        <w:r>
          <w:rPr>
            <w:rStyle w:val="Hyperlink"/>
          </w:rPr>
          <w:t>https://doi.org/10.1016/S0079-7421(08)60536-8</w:t>
        </w:r>
      </w:hyperlink>
      <w:bookmarkEnd w:id="653"/>
    </w:p>
    <w:p>
      <w:pPr>
        <w:pStyle w:val="Bibliography"/>
        <w:rPr/>
      </w:pPr>
      <w:bookmarkStart w:id="654" w:name="ref-Mitchell2019"/>
      <w:r>
        <w:rPr/>
        <w:t xml:space="preserve">Mitchell, M., Wu, S., Zaldivar, A., Barnes, P., Vasserman, L., Hutchinson, B., Spitzer, E., Raji, I. D., &amp; Gebru, T. (2019). Model Cards for Model Reporting. </w:t>
      </w:r>
      <w:r>
        <w:rPr>
          <w:i/>
          <w:iCs/>
        </w:rPr>
        <w:t>Proceedings of the Conference on Fairness, Accountability, and Transparency</w:t>
      </w:r>
      <w:r>
        <w:rPr/>
        <w:t xml:space="preserve">, 220–229. </w:t>
      </w:r>
      <w:hyperlink r:id="rId81">
        <w:r>
          <w:rPr>
            <w:rStyle w:val="Hyperlink"/>
          </w:rPr>
          <w:t>https://doi.org/10.1145/3287560.3287596</w:t>
        </w:r>
      </w:hyperlink>
      <w:bookmarkEnd w:id="654"/>
    </w:p>
    <w:p>
      <w:pPr>
        <w:pStyle w:val="Bibliography"/>
        <w:rPr/>
      </w:pPr>
      <w:bookmarkStart w:id="655" w:name="ref-Mongillo2008"/>
      <w:r>
        <w:rPr/>
        <w:t xml:space="preserve">Mongillo, G., Barak, O., &amp; Tsodyks, M. (2008). Synaptic Theory of Working Memory. </w:t>
      </w:r>
      <w:r>
        <w:rPr>
          <w:i/>
          <w:iCs/>
        </w:rPr>
        <w:t>Science</w:t>
      </w:r>
      <w:r>
        <w:rPr/>
        <w:t xml:space="preserve">, </w:t>
      </w:r>
      <w:r>
        <w:rPr>
          <w:i/>
          <w:iCs/>
        </w:rPr>
        <w:t>319</w:t>
      </w:r>
      <w:r>
        <w:rPr/>
        <w:t xml:space="preserve">(5869), 1543–1546. </w:t>
      </w:r>
      <w:hyperlink r:id="rId82">
        <w:r>
          <w:rPr>
            <w:rStyle w:val="Hyperlink"/>
          </w:rPr>
          <w:t>https://doi.org/10.1126/science.1150769</w:t>
        </w:r>
      </w:hyperlink>
      <w:bookmarkEnd w:id="655"/>
    </w:p>
    <w:p>
      <w:pPr>
        <w:pStyle w:val="Bibliography"/>
        <w:rPr/>
      </w:pPr>
      <w:bookmarkStart w:id="656" w:name="ref-Moreau2013"/>
      <w:r>
        <w:rPr/>
        <w:t xml:space="preserve">Moreau, L., Missier, P., et al. (2013). </w:t>
      </w:r>
      <w:r>
        <w:rPr>
          <w:i/>
          <w:iCs/>
        </w:rPr>
        <w:t>PROV-DM: The PROV Data Model</w:t>
      </w:r>
      <w:r>
        <w:rPr/>
        <w:t xml:space="preserve">. </w:t>
      </w:r>
      <w:hyperlink r:id="rId83">
        <w:r>
          <w:rPr>
            <w:rStyle w:val="Hyperlink"/>
          </w:rPr>
          <w:t>https://www.w3.org/TR/prov-dm/</w:t>
        </w:r>
      </w:hyperlink>
      <w:bookmarkEnd w:id="656"/>
    </w:p>
    <w:p>
      <w:pPr>
        <w:pStyle w:val="Bibliography"/>
        <w:rPr/>
      </w:pPr>
      <w:bookmarkStart w:id="657" w:name="ref-Munafo2017"/>
      <w:r>
        <w:rPr/>
        <w:t xml:space="preserve">Munafò, M. R., Nosek, B. A., Bishop, D. V. M., et al. (2017). A Manifesto for Reproducible Science. </w:t>
      </w:r>
      <w:r>
        <w:rPr>
          <w:i/>
          <w:iCs/>
        </w:rPr>
        <w:t>Nature Human Behaviour</w:t>
      </w:r>
      <w:r>
        <w:rPr/>
        <w:t xml:space="preserve">, </w:t>
      </w:r>
      <w:r>
        <w:rPr>
          <w:i/>
          <w:iCs/>
        </w:rPr>
        <w:t>1</w:t>
      </w:r>
      <w:r>
        <w:rPr/>
        <w:t xml:space="preserve">, 0021. </w:t>
      </w:r>
      <w:hyperlink r:id="rId84">
        <w:r>
          <w:rPr>
            <w:rStyle w:val="Hyperlink"/>
          </w:rPr>
          <w:t>https://doi.org/10.1038/s41562-016-0021</w:t>
        </w:r>
      </w:hyperlink>
      <w:bookmarkEnd w:id="657"/>
    </w:p>
    <w:p>
      <w:pPr>
        <w:pStyle w:val="Bibliography"/>
        <w:rPr/>
      </w:pPr>
      <w:bookmarkStart w:id="658" w:name="ref-Newman2003"/>
      <w:r>
        <w:rPr/>
        <w:t xml:space="preserve">Newman, M. E. J. (2003). The Structure and Function of Complex Networks. </w:t>
      </w:r>
      <w:r>
        <w:rPr>
          <w:i/>
          <w:iCs/>
        </w:rPr>
        <w:t>SIAM Review</w:t>
      </w:r>
      <w:r>
        <w:rPr/>
        <w:t xml:space="preserve">, </w:t>
      </w:r>
      <w:r>
        <w:rPr>
          <w:i/>
          <w:iCs/>
        </w:rPr>
        <w:t>45</w:t>
      </w:r>
      <w:r>
        <w:rPr/>
        <w:t xml:space="preserve">(2), 167–256. </w:t>
      </w:r>
      <w:hyperlink r:id="rId85">
        <w:r>
          <w:rPr>
            <w:rStyle w:val="Hyperlink"/>
          </w:rPr>
          <w:t>https://doi.org/10.1137/S003614450342480</w:t>
        </w:r>
      </w:hyperlink>
      <w:bookmarkEnd w:id="658"/>
    </w:p>
    <w:p>
      <w:pPr>
        <w:pStyle w:val="Bibliography"/>
        <w:rPr/>
      </w:pPr>
      <w:bookmarkStart w:id="659" w:name="ref-Newman2010"/>
      <w:r>
        <w:rPr/>
        <w:t xml:space="preserve">Newman, M. E. J. (2010). </w:t>
      </w:r>
      <w:r>
        <w:rPr>
          <w:i/>
          <w:iCs/>
        </w:rPr>
        <w:t>Networks: An Introduction</w:t>
      </w:r>
      <w:r>
        <w:rPr/>
        <w:t xml:space="preserve">. Oxford University Press. </w:t>
      </w:r>
      <w:hyperlink r:id="rId86">
        <w:r>
          <w:rPr>
            <w:rStyle w:val="Hyperlink"/>
          </w:rPr>
          <w:t>https://doi.org/10.1093/acprof:oso/9780199206650.001.0001</w:t>
        </w:r>
      </w:hyperlink>
      <w:bookmarkEnd w:id="659"/>
    </w:p>
    <w:p>
      <w:pPr>
        <w:pStyle w:val="Bibliography"/>
        <w:rPr/>
      </w:pPr>
      <w:bookmarkStart w:id="660" w:name="ref-NewmanGirvan2004"/>
      <w:r>
        <w:rPr/>
        <w:t xml:space="preserve">Newman, M. E. J., &amp; Girvan, M. (2004). Finding and Evaluating Community Structure in Networks. </w:t>
      </w:r>
      <w:r>
        <w:rPr>
          <w:i/>
          <w:iCs/>
        </w:rPr>
        <w:t>Physical Review E</w:t>
      </w:r>
      <w:r>
        <w:rPr/>
        <w:t xml:space="preserve">, </w:t>
      </w:r>
      <w:r>
        <w:rPr>
          <w:i/>
          <w:iCs/>
        </w:rPr>
        <w:t>69</w:t>
      </w:r>
      <w:r>
        <w:rPr/>
        <w:t xml:space="preserve">, 026113. </w:t>
      </w:r>
      <w:hyperlink r:id="rId87">
        <w:r>
          <w:rPr>
            <w:rStyle w:val="Hyperlink"/>
          </w:rPr>
          <w:t>https://doi.org/10.1103/PhysRevE.69.026113</w:t>
        </w:r>
      </w:hyperlink>
      <w:bookmarkEnd w:id="660"/>
    </w:p>
    <w:p>
      <w:pPr>
        <w:pStyle w:val="Bibliography"/>
        <w:rPr/>
      </w:pPr>
      <w:bookmarkStart w:id="661" w:name="ref-Nosek2018"/>
      <w:r>
        <w:rPr/>
        <w:t xml:space="preserve">Nosek, B. A., Ebersole, C. R., DeHaven, A. C., &amp; Mellor, D. T. (2018). The Preregistration Revolution. </w:t>
      </w:r>
      <w:r>
        <w:rPr>
          <w:i/>
          <w:iCs/>
        </w:rPr>
        <w:t>Proceedings of the National Academy of Sciences</w:t>
      </w:r>
      <w:r>
        <w:rPr/>
        <w:t xml:space="preserve">, </w:t>
      </w:r>
      <w:r>
        <w:rPr>
          <w:i/>
          <w:iCs/>
        </w:rPr>
        <w:t>115</w:t>
      </w:r>
      <w:r>
        <w:rPr/>
        <w:t xml:space="preserve">(11), 2600–2606. </w:t>
      </w:r>
      <w:hyperlink r:id="rId88">
        <w:r>
          <w:rPr>
            <w:rStyle w:val="Hyperlink"/>
          </w:rPr>
          <w:t>https://doi.org/10.1073/pnas.1708274114</w:t>
        </w:r>
      </w:hyperlink>
      <w:bookmarkEnd w:id="661"/>
    </w:p>
    <w:p>
      <w:pPr>
        <w:pStyle w:val="Bibliography"/>
        <w:rPr/>
      </w:pPr>
      <w:bookmarkStart w:id="662" w:name="ref-ORegan2001"/>
      <w:r>
        <w:rPr/>
        <w:t xml:space="preserve">O’Regan, J. K., &amp; Noë, A. (2001). A Sensorimotor Account of Vision and Visual Consciousness. </w:t>
      </w:r>
      <w:r>
        <w:rPr>
          <w:i/>
          <w:iCs/>
        </w:rPr>
        <w:t>Behavioral and Brain Sciences</w:t>
      </w:r>
      <w:r>
        <w:rPr/>
        <w:t xml:space="preserve">, </w:t>
      </w:r>
      <w:r>
        <w:rPr>
          <w:i/>
          <w:iCs/>
        </w:rPr>
        <w:t>24</w:t>
      </w:r>
      <w:r>
        <w:rPr/>
        <w:t xml:space="preserve">(5), 939–973. </w:t>
      </w:r>
      <w:hyperlink r:id="rId89">
        <w:r>
          <w:rPr>
            <w:rStyle w:val="Hyperlink"/>
          </w:rPr>
          <w:t>https://doi.org/10.1017/S0140525X01000115</w:t>
        </w:r>
      </w:hyperlink>
      <w:bookmarkEnd w:id="662"/>
    </w:p>
    <w:p>
      <w:pPr>
        <w:pStyle w:val="Bibliography"/>
        <w:rPr/>
      </w:pPr>
      <w:bookmarkStart w:id="663" w:name="ref-Ocker2015"/>
      <w:r>
        <w:rPr/>
        <w:t xml:space="preserve">Ocker, G. K., Litwin-Kumar, A., &amp; Doiron, B. (2015). Self-Organization of Microcircuits in Networks of Spiking Neurons with Plastic Synapses. </w:t>
      </w:r>
      <w:r>
        <w:rPr>
          <w:i/>
          <w:iCs/>
        </w:rPr>
        <w:t>PLOS Computational Biology</w:t>
      </w:r>
      <w:r>
        <w:rPr/>
        <w:t xml:space="preserve">, </w:t>
      </w:r>
      <w:r>
        <w:rPr>
          <w:i/>
          <w:iCs/>
        </w:rPr>
        <w:t>11</w:t>
      </w:r>
      <w:r>
        <w:rPr/>
        <w:t xml:space="preserve">(8), e1004458. </w:t>
      </w:r>
      <w:hyperlink r:id="rId90">
        <w:r>
          <w:rPr>
            <w:rStyle w:val="Hyperlink"/>
          </w:rPr>
          <w:t>https://doi.org/10.1371/journal.pcbi.1004458</w:t>
        </w:r>
      </w:hyperlink>
      <w:bookmarkEnd w:id="663"/>
    </w:p>
    <w:p>
      <w:pPr>
        <w:pStyle w:val="Bibliography"/>
        <w:rPr/>
      </w:pPr>
      <w:bookmarkStart w:id="664" w:name="ref-Page2021"/>
      <w:r>
        <w:rPr/>
        <w:t xml:space="preserve">Page, M. J., McKenzie, J. E., Bossuyt, P. M., et al. (2021). The PRISMA 2020 Statement: An Updated Guideline for Reporting Systematic Reviews. </w:t>
      </w:r>
      <w:r>
        <w:rPr>
          <w:i/>
          <w:iCs/>
        </w:rPr>
        <w:t>BMJ</w:t>
      </w:r>
      <w:r>
        <w:rPr/>
        <w:t xml:space="preserve">, </w:t>
      </w:r>
      <w:r>
        <w:rPr>
          <w:i/>
          <w:iCs/>
        </w:rPr>
        <w:t>372</w:t>
      </w:r>
      <w:r>
        <w:rPr/>
        <w:t xml:space="preserve">, n71. </w:t>
      </w:r>
      <w:hyperlink r:id="rId91">
        <w:r>
          <w:rPr>
            <w:rStyle w:val="Hyperlink"/>
          </w:rPr>
          <w:t>https://doi.org/10.1136/bmj.n71</w:t>
        </w:r>
      </w:hyperlink>
      <w:bookmarkEnd w:id="664"/>
    </w:p>
    <w:p>
      <w:pPr>
        <w:pStyle w:val="Bibliography"/>
        <w:rPr/>
      </w:pPr>
      <w:bookmarkStart w:id="665" w:name="ref-Panzeri2007"/>
      <w:r>
        <w:rPr/>
        <w:t xml:space="preserve">Panzeri, S., Senatore, R., Montemurro, M. A., &amp; Petersen, R. S. (2007). Correcting for the Sampling Bias Problem in Spike Train Information Measures. </w:t>
      </w:r>
      <w:r>
        <w:rPr>
          <w:i/>
          <w:iCs/>
        </w:rPr>
        <w:t>Journal of Neurophysiology</w:t>
      </w:r>
      <w:r>
        <w:rPr/>
        <w:t xml:space="preserve">, </w:t>
      </w:r>
      <w:r>
        <w:rPr>
          <w:i/>
          <w:iCs/>
        </w:rPr>
        <w:t>98</w:t>
      </w:r>
      <w:r>
        <w:rPr/>
        <w:t xml:space="preserve">(3), 1064–1072. </w:t>
      </w:r>
      <w:hyperlink r:id="rId92">
        <w:r>
          <w:rPr>
            <w:rStyle w:val="Hyperlink"/>
          </w:rPr>
          <w:t>https://doi.org/10.1152/jn.00559.2007</w:t>
        </w:r>
      </w:hyperlink>
      <w:bookmarkEnd w:id="665"/>
    </w:p>
    <w:p>
      <w:pPr>
        <w:pStyle w:val="Bibliography"/>
        <w:rPr/>
      </w:pPr>
      <w:bookmarkStart w:id="666" w:name="ref-Parisi2019"/>
      <w:r>
        <w:rPr/>
        <w:t xml:space="preserve">Parisi, G. I., Kemker, R., Part, J. L., Kanan, C., &amp; Wermter, S. (2019). Continual Lifelong Learning with Neural Networks: A Review. </w:t>
      </w:r>
      <w:r>
        <w:rPr>
          <w:i/>
          <w:iCs/>
        </w:rPr>
        <w:t>Neural Networks</w:t>
      </w:r>
      <w:r>
        <w:rPr/>
        <w:t xml:space="preserve">, </w:t>
      </w:r>
      <w:r>
        <w:rPr>
          <w:i/>
          <w:iCs/>
        </w:rPr>
        <w:t>113</w:t>
      </w:r>
      <w:r>
        <w:rPr/>
        <w:t xml:space="preserve">, 54–71. </w:t>
      </w:r>
      <w:hyperlink r:id="rId93">
        <w:r>
          <w:rPr>
            <w:rStyle w:val="Hyperlink"/>
          </w:rPr>
          <w:t>https://doi.org/10.1016/j.neunet.2019.01.012</w:t>
        </w:r>
      </w:hyperlink>
      <w:bookmarkEnd w:id="666"/>
    </w:p>
    <w:p>
      <w:pPr>
        <w:pStyle w:val="Bibliography"/>
        <w:rPr/>
      </w:pPr>
      <w:bookmarkStart w:id="667" w:name="ref-Pearl2009"/>
      <w:r>
        <w:rPr/>
        <w:t xml:space="preserve">Pearl, J. (2009). </w:t>
      </w:r>
      <w:r>
        <w:rPr>
          <w:i/>
          <w:iCs/>
        </w:rPr>
        <w:t>Causality: Models, Reasoning, and Inference</w:t>
      </w:r>
      <w:r>
        <w:rPr/>
        <w:t xml:space="preserve"> (2. Aufl.). Cambridge University Press.</w:t>
      </w:r>
      <w:bookmarkEnd w:id="667"/>
    </w:p>
    <w:p>
      <w:pPr>
        <w:pStyle w:val="Bibliography"/>
        <w:rPr/>
      </w:pPr>
      <w:bookmarkStart w:id="668" w:name="ref-Penrose2003"/>
      <w:r>
        <w:rPr/>
        <w:t xml:space="preserve">Penrose, M. (2003). </w:t>
      </w:r>
      <w:r>
        <w:rPr>
          <w:i/>
          <w:iCs/>
        </w:rPr>
        <w:t>Random Geometric Graphs</w:t>
      </w:r>
      <w:r>
        <w:rPr/>
        <w:t xml:space="preserve">. Oxford University Press. </w:t>
      </w:r>
      <w:hyperlink r:id="rId94">
        <w:r>
          <w:rPr>
            <w:rStyle w:val="Hyperlink"/>
          </w:rPr>
          <w:t>https://doi.org/10.1093/acprof:oso/9780198506263.001.0001</w:t>
        </w:r>
      </w:hyperlink>
      <w:bookmarkEnd w:id="668"/>
    </w:p>
    <w:p>
      <w:pPr>
        <w:pStyle w:val="Bibliography"/>
        <w:rPr/>
      </w:pPr>
      <w:bookmarkStart w:id="669" w:name="ref-Pfeifer2006"/>
      <w:r>
        <w:rPr/>
        <w:t xml:space="preserve">Pfeifer, R., &amp; Bongard, J. (2006). </w:t>
      </w:r>
      <w:r>
        <w:rPr>
          <w:i/>
          <w:iCs/>
        </w:rPr>
        <w:t>How the Body Shapes the Way We Think: A New View of Intelligence</w:t>
      </w:r>
      <w:r>
        <w:rPr/>
        <w:t>. MIT Press.</w:t>
      </w:r>
      <w:bookmarkEnd w:id="669"/>
    </w:p>
    <w:p>
      <w:pPr>
        <w:pStyle w:val="Bibliography"/>
        <w:rPr/>
      </w:pPr>
      <w:bookmarkStart w:id="670" w:name="ref-Pfister2006"/>
      <w:r>
        <w:rPr/>
        <w:t xml:space="preserve">Pfister, J.-P., &amp; Gerstner, W. (2006). Triplets of Spikes in a Model of Spike Timing-Dependent Plasticity. </w:t>
      </w:r>
      <w:r>
        <w:rPr>
          <w:i/>
          <w:iCs/>
        </w:rPr>
        <w:t>The Journal of Neuroscience</w:t>
      </w:r>
      <w:r>
        <w:rPr/>
        <w:t xml:space="preserve">, </w:t>
      </w:r>
      <w:r>
        <w:rPr>
          <w:i/>
          <w:iCs/>
        </w:rPr>
        <w:t>26</w:t>
      </w:r>
      <w:r>
        <w:rPr/>
        <w:t xml:space="preserve">(38), 9673–9682. </w:t>
      </w:r>
      <w:hyperlink r:id="rId95">
        <w:r>
          <w:rPr>
            <w:rStyle w:val="Hyperlink"/>
          </w:rPr>
          <w:t>https://doi.org/10.1523/JNEUROSCI.1425-06.2006</w:t>
        </w:r>
      </w:hyperlink>
      <w:bookmarkEnd w:id="670"/>
    </w:p>
    <w:p>
      <w:pPr>
        <w:pStyle w:val="Bibliography"/>
        <w:rPr/>
      </w:pPr>
      <w:bookmarkStart w:id="671" w:name="ref-Poldrack2006"/>
      <w:r>
        <w:rPr/>
        <w:t xml:space="preserve">Poldrack, R. A. (2006). Can Cognitive Processes Be Inferred from Neuroimaging Data? </w:t>
      </w:r>
      <w:r>
        <w:rPr>
          <w:i/>
          <w:iCs/>
        </w:rPr>
        <w:t>Trends in Cognitive Sciences</w:t>
      </w:r>
      <w:r>
        <w:rPr/>
        <w:t xml:space="preserve">, </w:t>
      </w:r>
      <w:r>
        <w:rPr>
          <w:i/>
          <w:iCs/>
        </w:rPr>
        <w:t>10</w:t>
      </w:r>
      <w:r>
        <w:rPr/>
        <w:t xml:space="preserve">(2), 59–63. </w:t>
      </w:r>
      <w:hyperlink r:id="rId96">
        <w:r>
          <w:rPr>
            <w:rStyle w:val="Hyperlink"/>
          </w:rPr>
          <w:t>https://doi.org/10.1016/j.tics.2005.12.004</w:t>
        </w:r>
      </w:hyperlink>
      <w:bookmarkEnd w:id="671"/>
    </w:p>
    <w:p>
      <w:pPr>
        <w:pStyle w:val="Bibliography"/>
        <w:rPr/>
      </w:pPr>
      <w:bookmarkStart w:id="672" w:name="ref-Quiroga2009"/>
      <w:r>
        <w:rPr/>
        <w:t xml:space="preserve">Quiroga, R. Q., &amp; Panzeri, S. (2009). Extracting Information from Neuronal Populations: Information Theory and Decoding Approaches. </w:t>
      </w:r>
      <w:r>
        <w:rPr>
          <w:i/>
          <w:iCs/>
        </w:rPr>
        <w:t>Nature Reviews Neuroscience</w:t>
      </w:r>
      <w:r>
        <w:rPr/>
        <w:t xml:space="preserve">, </w:t>
      </w:r>
      <w:r>
        <w:rPr>
          <w:i/>
          <w:iCs/>
        </w:rPr>
        <w:t>10</w:t>
      </w:r>
      <w:r>
        <w:rPr/>
        <w:t xml:space="preserve">, 173–185. </w:t>
      </w:r>
      <w:hyperlink r:id="rId97">
        <w:r>
          <w:rPr>
            <w:rStyle w:val="Hyperlink"/>
          </w:rPr>
          <w:t>https://doi.org/10.1038/nrn2578</w:t>
        </w:r>
      </w:hyperlink>
      <w:bookmarkEnd w:id="672"/>
    </w:p>
    <w:p>
      <w:pPr>
        <w:pStyle w:val="Bibliography"/>
        <w:rPr/>
      </w:pPr>
      <w:bookmarkStart w:id="673" w:name="ref-Rabinovich2008"/>
      <w:r>
        <w:rPr/>
        <w:t xml:space="preserve">Rabinovich, M. I., Huerta, R., Varona, P., &amp; Afraimovich, V. S. (2008). Transient Cognitive Dynamics, Metastability, and Decision Making. </w:t>
      </w:r>
      <w:r>
        <w:rPr>
          <w:i/>
          <w:iCs/>
        </w:rPr>
        <w:t>Reviews of Modern Physics</w:t>
      </w:r>
      <w:r>
        <w:rPr/>
        <w:t xml:space="preserve">, </w:t>
      </w:r>
      <w:r>
        <w:rPr>
          <w:i/>
          <w:iCs/>
        </w:rPr>
        <w:t>80</w:t>
      </w:r>
      <w:r>
        <w:rPr/>
        <w:t xml:space="preserve">(4), 1213–1265. </w:t>
      </w:r>
      <w:hyperlink r:id="rId98">
        <w:r>
          <w:rPr>
            <w:rStyle w:val="Hyperlink"/>
          </w:rPr>
          <w:t>https://doi.org/10.1103/RevModPhys.80.1213</w:t>
        </w:r>
      </w:hyperlink>
      <w:bookmarkEnd w:id="673"/>
    </w:p>
    <w:p>
      <w:pPr>
        <w:pStyle w:val="Bibliography"/>
        <w:rPr/>
      </w:pPr>
      <w:bookmarkStart w:id="674" w:name="ref-Roy2019"/>
      <w:r>
        <w:rPr/>
        <w:t xml:space="preserve">Roy, K., Jaiswal, A., &amp; Panda, P. (2019). Towards Spike-Based Machine Intelligence with Neuromorphic Computing. </w:t>
      </w:r>
      <w:r>
        <w:rPr>
          <w:i/>
          <w:iCs/>
        </w:rPr>
        <w:t>Nature</w:t>
      </w:r>
      <w:r>
        <w:rPr/>
        <w:t xml:space="preserve">, </w:t>
      </w:r>
      <w:r>
        <w:rPr>
          <w:i/>
          <w:iCs/>
        </w:rPr>
        <w:t>575</w:t>
      </w:r>
      <w:r>
        <w:rPr/>
        <w:t xml:space="preserve">, 607–617. </w:t>
      </w:r>
      <w:hyperlink r:id="rId99">
        <w:r>
          <w:rPr>
            <w:rStyle w:val="Hyperlink"/>
          </w:rPr>
          <w:t>https://doi.org/10.1038/s41586-019-1677-2</w:t>
        </w:r>
      </w:hyperlink>
      <w:bookmarkEnd w:id="674"/>
    </w:p>
    <w:p>
      <w:pPr>
        <w:pStyle w:val="Bibliography"/>
        <w:rPr/>
      </w:pPr>
      <w:bookmarkStart w:id="675" w:name="ref-Rubinov2010"/>
      <w:r>
        <w:rPr/>
        <w:t xml:space="preserve">Rubinov, M., &amp; Sporns, O. (2010). Complex Network Measures of Brain Connectivity: Uses and Interpretations. </w:t>
      </w:r>
      <w:r>
        <w:rPr>
          <w:i/>
          <w:iCs/>
        </w:rPr>
        <w:t>NeuroImage</w:t>
      </w:r>
      <w:r>
        <w:rPr/>
        <w:t xml:space="preserve">, </w:t>
      </w:r>
      <w:r>
        <w:rPr>
          <w:i/>
          <w:iCs/>
        </w:rPr>
        <w:t>52</w:t>
      </w:r>
      <w:r>
        <w:rPr/>
        <w:t xml:space="preserve">(3), 1059–1069. </w:t>
      </w:r>
      <w:hyperlink r:id="rId100">
        <w:r>
          <w:rPr>
            <w:rStyle w:val="Hyperlink"/>
          </w:rPr>
          <w:t>https://doi.org/10.1016/j.neuroimage.2009.10.003</w:t>
        </w:r>
      </w:hyperlink>
      <w:bookmarkEnd w:id="675"/>
    </w:p>
    <w:p>
      <w:pPr>
        <w:pStyle w:val="Bibliography"/>
        <w:rPr/>
      </w:pPr>
      <w:bookmarkStart w:id="676" w:name="ref-Sandve2013"/>
      <w:r>
        <w:rPr/>
        <w:t xml:space="preserve">Sandve, G. K., Nekrutenko, A., Taylor, J., &amp; Hovig, E. (2013). Ten Simple Rules for Reproducible Computational Research. </w:t>
      </w:r>
      <w:r>
        <w:rPr>
          <w:i/>
          <w:iCs/>
        </w:rPr>
        <w:t>PLOS Computational Biology</w:t>
      </w:r>
      <w:r>
        <w:rPr/>
        <w:t xml:space="preserve">, </w:t>
      </w:r>
      <w:r>
        <w:rPr>
          <w:i/>
          <w:iCs/>
        </w:rPr>
        <w:t>9</w:t>
      </w:r>
      <w:r>
        <w:rPr/>
        <w:t xml:space="preserve">(10), e1003285. </w:t>
      </w:r>
      <w:hyperlink r:id="rId101">
        <w:r>
          <w:rPr>
            <w:rStyle w:val="Hyperlink"/>
          </w:rPr>
          <w:t>https://doi.org/10.1371/journal.pcbi.1003285</w:t>
        </w:r>
      </w:hyperlink>
      <w:bookmarkEnd w:id="676"/>
    </w:p>
    <w:p>
      <w:pPr>
        <w:pStyle w:val="Bibliography"/>
        <w:rPr/>
      </w:pPr>
      <w:bookmarkStart w:id="677" w:name="ref-Schreiber2000"/>
      <w:r>
        <w:rPr/>
        <w:t xml:space="preserve">Schreiber, T. (2000). Measuring Information Transfer. </w:t>
      </w:r>
      <w:r>
        <w:rPr>
          <w:i/>
          <w:iCs/>
        </w:rPr>
        <w:t>Physical Review Letters</w:t>
      </w:r>
      <w:r>
        <w:rPr/>
        <w:t xml:space="preserve">, </w:t>
      </w:r>
      <w:r>
        <w:rPr>
          <w:i/>
          <w:iCs/>
        </w:rPr>
        <w:t>85</w:t>
      </w:r>
      <w:r>
        <w:rPr/>
        <w:t xml:space="preserve">(2), 461–464. </w:t>
      </w:r>
      <w:hyperlink r:id="rId102">
        <w:r>
          <w:rPr>
            <w:rStyle w:val="Hyperlink"/>
          </w:rPr>
          <w:t>https://doi.org/10.1103/PhysRevLett.85.461</w:t>
        </w:r>
      </w:hyperlink>
      <w:bookmarkEnd w:id="677"/>
    </w:p>
    <w:p>
      <w:pPr>
        <w:pStyle w:val="Bibliography"/>
        <w:rPr/>
      </w:pPr>
      <w:bookmarkStart w:id="678" w:name="ref-Schrittwieser2020"/>
      <w:r>
        <w:rPr/>
        <w:t xml:space="preserve">Schrittwieser, J., Antonoglou, I., Hubert, T., Simonyan, K., Sifre, L., Schmitt, S., Guez, A., Lockhart, E., Hassabis, D., Graepel, T., Lillicrap, T., &amp; Silver, D. (2020). Mastering Atari, Go, Chess and Shogi by Planning with a Learned Model. </w:t>
      </w:r>
      <w:r>
        <w:rPr>
          <w:i/>
          <w:iCs/>
        </w:rPr>
        <w:t>Nature</w:t>
      </w:r>
      <w:r>
        <w:rPr/>
        <w:t xml:space="preserve">, </w:t>
      </w:r>
      <w:r>
        <w:rPr>
          <w:i/>
          <w:iCs/>
        </w:rPr>
        <w:t>588</w:t>
      </w:r>
      <w:r>
        <w:rPr/>
        <w:t xml:space="preserve">, 604–609. </w:t>
      </w:r>
      <w:hyperlink r:id="rId103">
        <w:r>
          <w:rPr>
            <w:rStyle w:val="Hyperlink"/>
          </w:rPr>
          <w:t>https://doi.org/10.1038/s41586-020-03051-4</w:t>
        </w:r>
      </w:hyperlink>
      <w:bookmarkEnd w:id="678"/>
    </w:p>
    <w:p>
      <w:pPr>
        <w:pStyle w:val="Bibliography"/>
        <w:rPr/>
      </w:pPr>
      <w:bookmarkStart w:id="679" w:name="ref-Shannon1948"/>
      <w:r>
        <w:rPr/>
        <w:t xml:space="preserve">Shannon, C. E. (1948). A Mathematical Theory of Communication. </w:t>
      </w:r>
      <w:r>
        <w:rPr>
          <w:i/>
          <w:iCs/>
        </w:rPr>
        <w:t>Bell System Technical Journal</w:t>
      </w:r>
      <w:r>
        <w:rPr/>
        <w:t xml:space="preserve">, </w:t>
      </w:r>
      <w:r>
        <w:rPr>
          <w:i/>
          <w:iCs/>
        </w:rPr>
        <w:t>27</w:t>
      </w:r>
      <w:r>
        <w:rPr/>
        <w:t xml:space="preserve">, 379–423, 623–656. </w:t>
      </w:r>
      <w:hyperlink r:id="rId104">
        <w:r>
          <w:rPr>
            <w:rStyle w:val="Hyperlink"/>
          </w:rPr>
          <w:t>https://doi.org/10.1002/j.1538-7305.1948.tb01338.x</w:t>
        </w:r>
      </w:hyperlink>
      <w:bookmarkEnd w:id="679"/>
    </w:p>
    <w:p>
      <w:pPr>
        <w:pStyle w:val="Bibliography"/>
        <w:rPr/>
      </w:pPr>
      <w:bookmarkStart w:id="680" w:name="ref-Shew2013"/>
      <w:r>
        <w:rPr/>
        <w:t xml:space="preserve">Shew, W. L., &amp; Plenz, D. (2013). The Functional Benefits of Criticality in the Cortex. </w:t>
      </w:r>
      <w:r>
        <w:rPr>
          <w:i/>
          <w:iCs/>
        </w:rPr>
        <w:t>The Neuroscientist</w:t>
      </w:r>
      <w:r>
        <w:rPr/>
        <w:t xml:space="preserve">, </w:t>
      </w:r>
      <w:r>
        <w:rPr>
          <w:i/>
          <w:iCs/>
        </w:rPr>
        <w:t>19</w:t>
      </w:r>
      <w:r>
        <w:rPr/>
        <w:t xml:space="preserve">(1), 88–100. </w:t>
      </w:r>
      <w:hyperlink r:id="rId105">
        <w:r>
          <w:rPr>
            <w:rStyle w:val="Hyperlink"/>
          </w:rPr>
          <w:t>https://doi.org/10.1177/1073858412445487</w:t>
        </w:r>
      </w:hyperlink>
      <w:bookmarkEnd w:id="680"/>
    </w:p>
    <w:p>
      <w:pPr>
        <w:pStyle w:val="Bibliography"/>
        <w:rPr/>
      </w:pPr>
      <w:bookmarkStart w:id="681" w:name="ref-Smith2016"/>
      <w:r>
        <w:rPr/>
        <w:t xml:space="preserve">Smith, A. M., Katz, D. S., Niemeyer, K. E., &amp; Group, F. S. C. W. (2016). Software Citation Principles. </w:t>
      </w:r>
      <w:r>
        <w:rPr>
          <w:i/>
          <w:iCs/>
        </w:rPr>
        <w:t>PeerJ Computer Science</w:t>
      </w:r>
      <w:r>
        <w:rPr/>
        <w:t xml:space="preserve">, </w:t>
      </w:r>
      <w:r>
        <w:rPr>
          <w:i/>
          <w:iCs/>
        </w:rPr>
        <w:t>2</w:t>
      </w:r>
      <w:r>
        <w:rPr/>
        <w:t xml:space="preserve">, e86. </w:t>
      </w:r>
      <w:hyperlink r:id="rId106">
        <w:r>
          <w:rPr>
            <w:rStyle w:val="Hyperlink"/>
          </w:rPr>
          <w:t>https://doi.org/10.7717/peerj-cs.86</w:t>
        </w:r>
      </w:hyperlink>
      <w:bookmarkEnd w:id="681"/>
    </w:p>
    <w:p>
      <w:pPr>
        <w:pStyle w:val="Bibliography"/>
        <w:rPr/>
      </w:pPr>
      <w:bookmarkStart w:id="682" w:name="ref-Song2000"/>
      <w:r>
        <w:rPr/>
        <w:t xml:space="preserve">Song, S., Miller, K. D., &amp; Abbott, L. F. (2000). Competitive Hebbian Learning Through Spike-Timing-Dependent Synaptic Plasticity. </w:t>
      </w:r>
      <w:r>
        <w:rPr>
          <w:i/>
          <w:iCs/>
        </w:rPr>
        <w:t>Nature Neuroscience</w:t>
      </w:r>
      <w:r>
        <w:rPr/>
        <w:t xml:space="preserve">, </w:t>
      </w:r>
      <w:r>
        <w:rPr>
          <w:i/>
          <w:iCs/>
        </w:rPr>
        <w:t>3</w:t>
      </w:r>
      <w:r>
        <w:rPr/>
        <w:t xml:space="preserve">, 919–926. </w:t>
      </w:r>
      <w:hyperlink r:id="rId107">
        <w:r>
          <w:rPr>
            <w:rStyle w:val="Hyperlink"/>
          </w:rPr>
          <w:t>https://doi.org/10.1038/78829</w:t>
        </w:r>
      </w:hyperlink>
      <w:bookmarkEnd w:id="682"/>
    </w:p>
    <w:p>
      <w:pPr>
        <w:pStyle w:val="Bibliography"/>
        <w:rPr/>
      </w:pPr>
      <w:bookmarkStart w:id="683" w:name="ref-Stimberg2019"/>
      <w:r>
        <w:rPr/>
        <w:t xml:space="preserve">Stimberg, M., Brette, R., &amp; Goodman, D. F. M. (2019). Brian 2, an Intuitive and Efficient Neural Simulator. </w:t>
      </w:r>
      <w:r>
        <w:rPr>
          <w:i/>
          <w:iCs/>
        </w:rPr>
        <w:t>eLife</w:t>
      </w:r>
      <w:r>
        <w:rPr/>
        <w:t xml:space="preserve">, </w:t>
      </w:r>
      <w:r>
        <w:rPr>
          <w:i/>
          <w:iCs/>
        </w:rPr>
        <w:t>8</w:t>
      </w:r>
      <w:r>
        <w:rPr/>
        <w:t xml:space="preserve">, e47314. </w:t>
      </w:r>
      <w:hyperlink r:id="rId108">
        <w:r>
          <w:rPr>
            <w:rStyle w:val="Hyperlink"/>
          </w:rPr>
          <w:t>https://doi.org/10.7554/eLife.47314</w:t>
        </w:r>
      </w:hyperlink>
      <w:bookmarkEnd w:id="683"/>
    </w:p>
    <w:p>
      <w:pPr>
        <w:pStyle w:val="Bibliography"/>
        <w:rPr/>
      </w:pPr>
      <w:bookmarkStart w:id="684" w:name="ref-Strogatz2015"/>
      <w:r>
        <w:rPr/>
        <w:t xml:space="preserve">Strogatz, S. H. (2015). </w:t>
      </w:r>
      <w:r>
        <w:rPr>
          <w:i/>
          <w:iCs/>
        </w:rPr>
        <w:t>Nonlinear Dynamics and Chaos: With Applications to Physics, Biology, Chemistry, and Engineering</w:t>
      </w:r>
      <w:r>
        <w:rPr/>
        <w:t xml:space="preserve"> (2. Aufl.). Westview Press.</w:t>
      </w:r>
      <w:bookmarkEnd w:id="684"/>
    </w:p>
    <w:p>
      <w:pPr>
        <w:pStyle w:val="Bibliography"/>
        <w:rPr/>
      </w:pPr>
      <w:bookmarkStart w:id="685" w:name="ref-Sussillo2009"/>
      <w:r>
        <w:rPr/>
        <w:t xml:space="preserve">Sussillo, D., &amp; Abbott, L. F. (2009). Generating Coherent Patterns of Activity from Chaotic Neural Networks. </w:t>
      </w:r>
      <w:r>
        <w:rPr>
          <w:i/>
          <w:iCs/>
        </w:rPr>
        <w:t>Neuron</w:t>
      </w:r>
      <w:r>
        <w:rPr/>
        <w:t xml:space="preserve">, </w:t>
      </w:r>
      <w:r>
        <w:rPr>
          <w:i/>
          <w:iCs/>
        </w:rPr>
        <w:t>63</w:t>
      </w:r>
      <w:r>
        <w:rPr/>
        <w:t xml:space="preserve">(4), 544–557. </w:t>
      </w:r>
      <w:hyperlink r:id="rId109">
        <w:r>
          <w:rPr>
            <w:rStyle w:val="Hyperlink"/>
          </w:rPr>
          <w:t>https://doi.org/10.1016/j.neuron.2009.07.018</w:t>
        </w:r>
      </w:hyperlink>
      <w:bookmarkEnd w:id="685"/>
    </w:p>
    <w:p>
      <w:pPr>
        <w:pStyle w:val="Bibliography"/>
        <w:rPr/>
      </w:pPr>
      <w:bookmarkStart w:id="686" w:name="ref-Sutton1991"/>
      <w:r>
        <w:rPr/>
        <w:t xml:space="preserve">Sutton, R. S. (1991). Dyna, an Integrated Architecture for Learning, Planning, and Reacting. </w:t>
      </w:r>
      <w:r>
        <w:rPr>
          <w:i/>
          <w:iCs/>
        </w:rPr>
        <w:t>ACM SIGART Bulletin</w:t>
      </w:r>
      <w:r>
        <w:rPr/>
        <w:t xml:space="preserve">, </w:t>
      </w:r>
      <w:r>
        <w:rPr>
          <w:i/>
          <w:iCs/>
        </w:rPr>
        <w:t>2</w:t>
      </w:r>
      <w:r>
        <w:rPr/>
        <w:t xml:space="preserve">(4), 160–163. </w:t>
      </w:r>
      <w:hyperlink r:id="rId110">
        <w:r>
          <w:rPr>
            <w:rStyle w:val="Hyperlink"/>
          </w:rPr>
          <w:t>https://doi.org/10.1145/122344.122377</w:t>
        </w:r>
      </w:hyperlink>
      <w:bookmarkEnd w:id="686"/>
    </w:p>
    <w:p>
      <w:pPr>
        <w:pStyle w:val="Bibliography"/>
        <w:rPr/>
      </w:pPr>
      <w:bookmarkStart w:id="687" w:name="ref-SuttonBarto2018"/>
      <w:r>
        <w:rPr/>
        <w:t xml:space="preserve">Sutton, R. S., &amp; Barto, A. G. (2018). </w:t>
      </w:r>
      <w:r>
        <w:rPr>
          <w:i/>
          <w:iCs/>
        </w:rPr>
        <w:t>Reinforcement Learning: An Introduction</w:t>
      </w:r>
      <w:r>
        <w:rPr/>
        <w:t xml:space="preserve"> (2. Aufl.). MIT Press.</w:t>
      </w:r>
      <w:bookmarkEnd w:id="687"/>
    </w:p>
    <w:p>
      <w:pPr>
        <w:pStyle w:val="Bibliography"/>
        <w:rPr/>
      </w:pPr>
      <w:bookmarkStart w:id="688" w:name="ref-Turrigiano1998"/>
      <w:r>
        <w:rPr/>
        <w:t xml:space="preserve">Turrigiano, G. G., Leslie, K. R., Desai, N. S., Rutherford, L. C., &amp; Nelson, S. B. (1998). Activity-Dependent Scaling of Quantal Amplitude in Neocortical Neurons. </w:t>
      </w:r>
      <w:r>
        <w:rPr>
          <w:i/>
          <w:iCs/>
        </w:rPr>
        <w:t>Nature</w:t>
      </w:r>
      <w:r>
        <w:rPr/>
        <w:t xml:space="preserve">, </w:t>
      </w:r>
      <w:r>
        <w:rPr>
          <w:i/>
          <w:iCs/>
        </w:rPr>
        <w:t>391</w:t>
      </w:r>
      <w:r>
        <w:rPr/>
        <w:t xml:space="preserve">, 892–896. </w:t>
      </w:r>
      <w:hyperlink r:id="rId111">
        <w:r>
          <w:rPr>
            <w:rStyle w:val="Hyperlink"/>
          </w:rPr>
          <w:t>https://doi.org/10.1038/36103</w:t>
        </w:r>
      </w:hyperlink>
      <w:bookmarkEnd w:id="688"/>
    </w:p>
    <w:p>
      <w:pPr>
        <w:pStyle w:val="Bibliography"/>
        <w:rPr/>
      </w:pPr>
      <w:bookmarkStart w:id="689" w:name="ref-Turrigiano2004"/>
      <w:r>
        <w:rPr/>
        <w:t xml:space="preserve">Turrigiano, G. G., &amp; Nelson, S. B. (2004). Homeostatic Plasticity in the Developing Nervous System. </w:t>
      </w:r>
      <w:r>
        <w:rPr>
          <w:i/>
          <w:iCs/>
        </w:rPr>
        <w:t>Nature Reviews Neuroscience</w:t>
      </w:r>
      <w:r>
        <w:rPr/>
        <w:t xml:space="preserve">, </w:t>
      </w:r>
      <w:r>
        <w:rPr>
          <w:i/>
          <w:iCs/>
        </w:rPr>
        <w:t>5</w:t>
      </w:r>
      <w:r>
        <w:rPr/>
        <w:t xml:space="preserve">, 97–107. </w:t>
      </w:r>
      <w:hyperlink r:id="rId112">
        <w:r>
          <w:rPr>
            <w:rStyle w:val="Hyperlink"/>
          </w:rPr>
          <w:t>https://doi.org/10.1038/nrn1327</w:t>
        </w:r>
      </w:hyperlink>
      <w:bookmarkEnd w:id="689"/>
    </w:p>
    <w:p>
      <w:pPr>
        <w:pStyle w:val="Bibliography"/>
        <w:rPr/>
      </w:pPr>
      <w:bookmarkStart w:id="690" w:name="ref-Vaswani2017"/>
      <w:r>
        <w:rPr/>
        <w:t xml:space="preserve">Vaswani, A., Shazeer, N., Parmar, N., Uszkoreit, J., Jones, L., Gomez, A. N., Kaiser, L., &amp; Polosukhin, I. (2017). Attention Is All You Need. </w:t>
      </w:r>
      <w:r>
        <w:rPr>
          <w:i/>
          <w:iCs/>
        </w:rPr>
        <w:t>Advances in Neural Information Processing Systems 30</w:t>
      </w:r>
      <w:r>
        <w:rPr/>
        <w:t>, 5998–6008.</w:t>
      </w:r>
      <w:bookmarkEnd w:id="690"/>
    </w:p>
    <w:p>
      <w:pPr>
        <w:pStyle w:val="Bibliography"/>
        <w:rPr/>
      </w:pPr>
      <w:bookmarkStart w:id="691" w:name="ref-Vogels2011"/>
      <w:r>
        <w:rPr/>
        <w:t xml:space="preserve">Vogels, T. P., Sprekeler, H., Zenke, F., Clopath, C., &amp; Gerstner, W. (2011). Inhibitory Plasticity Balances Excitation and Inhibition in Sensory Pathways and Memory Networks. </w:t>
      </w:r>
      <w:r>
        <w:rPr>
          <w:i/>
          <w:iCs/>
        </w:rPr>
        <w:t>Science</w:t>
      </w:r>
      <w:r>
        <w:rPr/>
        <w:t xml:space="preserve">, </w:t>
      </w:r>
      <w:r>
        <w:rPr>
          <w:i/>
          <w:iCs/>
        </w:rPr>
        <w:t>334</w:t>
      </w:r>
      <w:r>
        <w:rPr/>
        <w:t xml:space="preserve">(6062), 1569–1573. </w:t>
      </w:r>
      <w:hyperlink r:id="rId113">
        <w:r>
          <w:rPr>
            <w:rStyle w:val="Hyperlink"/>
          </w:rPr>
          <w:t>https://doi.org/10.1126/science.1211095</w:t>
        </w:r>
      </w:hyperlink>
      <w:bookmarkEnd w:id="691"/>
    </w:p>
    <w:p>
      <w:pPr>
        <w:pStyle w:val="Bibliography"/>
        <w:rPr/>
      </w:pPr>
      <w:bookmarkStart w:id="692" w:name="ref-VanVreeswijk1996"/>
      <w:r>
        <w:rPr/>
        <w:t xml:space="preserve">Vreeswijk, C. van, &amp; Sompolinsky, H. (1996). Chaos in Neuronal Networks with Balanced Excitatory and Inhibitory Activity. </w:t>
      </w:r>
      <w:r>
        <w:rPr>
          <w:i/>
          <w:iCs/>
        </w:rPr>
        <w:t>Science</w:t>
      </w:r>
      <w:r>
        <w:rPr/>
        <w:t xml:space="preserve">, </w:t>
      </w:r>
      <w:r>
        <w:rPr>
          <w:i/>
          <w:iCs/>
        </w:rPr>
        <w:t>274</w:t>
      </w:r>
      <w:r>
        <w:rPr/>
        <w:t xml:space="preserve">(5293), 1724–1726. </w:t>
      </w:r>
      <w:hyperlink r:id="rId114">
        <w:r>
          <w:rPr>
            <w:rStyle w:val="Hyperlink"/>
          </w:rPr>
          <w:t>https://doi.org/10.1126/science.274.5293.1724</w:t>
        </w:r>
      </w:hyperlink>
      <w:bookmarkEnd w:id="692"/>
    </w:p>
    <w:p>
      <w:pPr>
        <w:pStyle w:val="Bibliography"/>
        <w:rPr/>
      </w:pPr>
      <w:bookmarkStart w:id="693" w:name="ref-Watts1998"/>
      <w:r>
        <w:rPr/>
        <w:t xml:space="preserve">Watts, D. J., &amp; Strogatz, S. H. (1998). Collective Dynamics of ’Small-World’ Networks. </w:t>
      </w:r>
      <w:r>
        <w:rPr>
          <w:i/>
          <w:iCs/>
        </w:rPr>
        <w:t>Nature</w:t>
      </w:r>
      <w:r>
        <w:rPr/>
        <w:t xml:space="preserve">, </w:t>
      </w:r>
      <w:r>
        <w:rPr>
          <w:i/>
          <w:iCs/>
        </w:rPr>
        <w:t>393</w:t>
      </w:r>
      <w:r>
        <w:rPr/>
        <w:t xml:space="preserve">, 440–442. </w:t>
      </w:r>
      <w:hyperlink r:id="rId115">
        <w:r>
          <w:rPr>
            <w:rStyle w:val="Hyperlink"/>
          </w:rPr>
          <w:t>https://doi.org/10.1038/30918</w:t>
        </w:r>
      </w:hyperlink>
      <w:bookmarkEnd w:id="693"/>
    </w:p>
    <w:p>
      <w:pPr>
        <w:pStyle w:val="Bibliography"/>
        <w:rPr/>
      </w:pPr>
      <w:bookmarkStart w:id="694" w:name="ref-Weinberger2009"/>
      <w:r>
        <w:rPr/>
        <w:t xml:space="preserve">Weinberger, K. Q., &amp; Saul, L. K. (2009). Distance Metric Learning for Large Margin Nearest Neighbor Classification. </w:t>
      </w:r>
      <w:r>
        <w:rPr>
          <w:i/>
          <w:iCs/>
        </w:rPr>
        <w:t>Journal of Machine Learning Research</w:t>
      </w:r>
      <w:r>
        <w:rPr/>
        <w:t xml:space="preserve">, </w:t>
      </w:r>
      <w:r>
        <w:rPr>
          <w:i/>
          <w:iCs/>
        </w:rPr>
        <w:t>10</w:t>
      </w:r>
      <w:r>
        <w:rPr/>
        <w:t>, 207–244.</w:t>
      </w:r>
      <w:bookmarkEnd w:id="694"/>
    </w:p>
    <w:p>
      <w:pPr>
        <w:pStyle w:val="Bibliography"/>
        <w:rPr/>
      </w:pPr>
      <w:bookmarkStart w:id="695" w:name="ref-Wilkinson2016"/>
      <w:r>
        <w:rPr/>
        <w:t xml:space="preserve">Wilkinson, M. D., Dumontier, M., Aalbersberg, Ij. J., et al. (2016). The FAIR Guiding Principles for Scientific Data Management and Stewardship. </w:t>
      </w:r>
      <w:r>
        <w:rPr>
          <w:i/>
          <w:iCs/>
        </w:rPr>
        <w:t>Scientific Data</w:t>
      </w:r>
      <w:r>
        <w:rPr/>
        <w:t xml:space="preserve">, </w:t>
      </w:r>
      <w:r>
        <w:rPr>
          <w:i/>
          <w:iCs/>
        </w:rPr>
        <w:t>3</w:t>
      </w:r>
      <w:r>
        <w:rPr/>
        <w:t xml:space="preserve">, 160018. </w:t>
      </w:r>
      <w:hyperlink r:id="rId116">
        <w:r>
          <w:rPr>
            <w:rStyle w:val="Hyperlink"/>
          </w:rPr>
          <w:t>https://doi.org/10.1038/sdata.2016.18</w:t>
        </w:r>
      </w:hyperlink>
      <w:bookmarkEnd w:id="695"/>
    </w:p>
    <w:p>
      <w:pPr>
        <w:pStyle w:val="Bibliography"/>
        <w:rPr/>
      </w:pPr>
      <w:bookmarkStart w:id="696" w:name="ref-Wilson2017"/>
      <w:r>
        <w:rPr/>
        <w:t xml:space="preserve">Wilson, G., Bryan, J., Cranston, K., Kitzes, J., Nederbragt, L., &amp; Teal, T. K. (2017). Good Enough Practices in Scientific Computing. </w:t>
      </w:r>
      <w:r>
        <w:rPr>
          <w:i/>
          <w:iCs/>
        </w:rPr>
        <w:t>PLOS Computational Biology</w:t>
      </w:r>
      <w:r>
        <w:rPr/>
        <w:t xml:space="preserve">, </w:t>
      </w:r>
      <w:r>
        <w:rPr>
          <w:i/>
          <w:iCs/>
        </w:rPr>
        <w:t>13</w:t>
      </w:r>
      <w:r>
        <w:rPr/>
        <w:t xml:space="preserve">(6), e1005510. </w:t>
      </w:r>
      <w:hyperlink r:id="rId117">
        <w:r>
          <w:rPr>
            <w:rStyle w:val="Hyperlink"/>
          </w:rPr>
          <w:t>https://doi.org/10.1371/journal.pcbi.1005510</w:t>
        </w:r>
      </w:hyperlink>
      <w:bookmarkEnd w:id="696"/>
    </w:p>
    <w:p>
      <w:pPr>
        <w:pStyle w:val="Bibliography"/>
        <w:rPr/>
      </w:pPr>
      <w:bookmarkStart w:id="697" w:name="ref-Wilting2019"/>
      <w:r>
        <w:rPr/>
        <w:t xml:space="preserve">Wilting, J., &amp; Priesemann, V. (2019). 25 Years of Criticality in Neuroscience: Established Results, Open Controversies, Novel Concepts. </w:t>
      </w:r>
      <w:r>
        <w:rPr>
          <w:i/>
          <w:iCs/>
        </w:rPr>
        <w:t>Trends in Neurosciences</w:t>
      </w:r>
      <w:r>
        <w:rPr/>
        <w:t xml:space="preserve">, </w:t>
      </w:r>
      <w:r>
        <w:rPr>
          <w:i/>
          <w:iCs/>
        </w:rPr>
        <w:t>42</w:t>
      </w:r>
      <w:r>
        <w:rPr/>
        <w:t xml:space="preserve">(8), 518–528. </w:t>
      </w:r>
      <w:hyperlink r:id="rId118">
        <w:r>
          <w:rPr>
            <w:rStyle w:val="Hyperlink"/>
          </w:rPr>
          <w:t>https://doi.org/10.1016/j.tins.2019.04.002</w:t>
        </w:r>
      </w:hyperlink>
      <w:bookmarkEnd w:id="697"/>
    </w:p>
    <w:p>
      <w:pPr>
        <w:pStyle w:val="Bibliography"/>
        <w:rPr/>
      </w:pPr>
      <w:bookmarkStart w:id="698" w:name="ref-Woodward2003"/>
      <w:r>
        <w:rPr/>
        <w:t xml:space="preserve">Woodward, J. (2003). </w:t>
      </w:r>
      <w:r>
        <w:rPr>
          <w:i/>
          <w:iCs/>
        </w:rPr>
        <w:t>Making Things Happen: A Theory of Causal Explanation</w:t>
      </w:r>
      <w:r>
        <w:rPr/>
        <w:t>. Oxford University Press.</w:t>
      </w:r>
      <w:bookmarkEnd w:id="698"/>
    </w:p>
    <w:p>
      <w:pPr>
        <w:pStyle w:val="Bibliography"/>
        <w:rPr/>
      </w:pPr>
      <w:bookmarkStart w:id="699" w:name="ref-Zenke2015"/>
      <w:r>
        <w:rPr/>
        <w:t xml:space="preserve">Zenke, F., Agnes, E. J., &amp; Gerstner, W. (2015). Diverse Synaptic Plasticity Mechanisms Orchestrated to Form and Retrieve Memories in Spiking Neural Networks. </w:t>
      </w:r>
      <w:r>
        <w:rPr>
          <w:i/>
          <w:iCs/>
        </w:rPr>
        <w:t>Nature Communications</w:t>
      </w:r>
      <w:r>
        <w:rPr/>
        <w:t xml:space="preserve">, </w:t>
      </w:r>
      <w:r>
        <w:rPr>
          <w:i/>
          <w:iCs/>
        </w:rPr>
        <w:t>6</w:t>
      </w:r>
      <w:r>
        <w:rPr/>
        <w:t xml:space="preserve">, 6922. </w:t>
      </w:r>
      <w:hyperlink r:id="rId119">
        <w:r>
          <w:rPr>
            <w:rStyle w:val="Hyperlink"/>
          </w:rPr>
          <w:t>https://doi.org/10.1038/ncomms7922</w:t>
        </w:r>
      </w:hyperlink>
      <w:bookmarkEnd w:id="699"/>
    </w:p>
    <w:p>
      <w:pPr>
        <w:pStyle w:val="Bibliography"/>
        <w:rPr/>
      </w:pPr>
      <w:bookmarkStart w:id="700" w:name="ref-Zenke2017homeostasis"/>
      <w:r>
        <w:rPr/>
        <w:t xml:space="preserve">Zenke, F., &amp; Gerstner, W. (2017). Hebbian Plasticity Requires Compensatory Processes on Multiple Timescales. </w:t>
      </w:r>
      <w:r>
        <w:rPr>
          <w:i/>
          <w:iCs/>
        </w:rPr>
        <w:t>Philosophical Transactions of the Royal Society B</w:t>
      </w:r>
      <w:r>
        <w:rPr/>
        <w:t xml:space="preserve">, </w:t>
      </w:r>
      <w:r>
        <w:rPr>
          <w:i/>
          <w:iCs/>
        </w:rPr>
        <w:t>372</w:t>
      </w:r>
      <w:r>
        <w:rPr/>
        <w:t xml:space="preserve">(1715), 20160259. </w:t>
      </w:r>
      <w:hyperlink r:id="rId120">
        <w:r>
          <w:rPr>
            <w:rStyle w:val="Hyperlink"/>
          </w:rPr>
          <w:t>https://doi.org/10.1098/rstb.2016.0259</w:t>
        </w:r>
      </w:hyperlink>
      <w:bookmarkEnd w:id="700"/>
    </w:p>
    <w:p>
      <w:pPr>
        <w:pStyle w:val="Bibliography"/>
        <w:rPr/>
      </w:pPr>
      <w:bookmarkStart w:id="701" w:name="ref-Zenke2013"/>
      <w:r>
        <w:rPr/>
        <w:t xml:space="preserve">Zenke, F., Hennequin, G., &amp; Gerstner, W. (2013). Synaptic Plasticity in Neural Networks Needs Homeostasis with a Fast Rate Detector. </w:t>
      </w:r>
      <w:r>
        <w:rPr>
          <w:i/>
          <w:iCs/>
        </w:rPr>
        <w:t>PLOS Computational Biology</w:t>
      </w:r>
      <w:r>
        <w:rPr/>
        <w:t xml:space="preserve">, </w:t>
      </w:r>
      <w:r>
        <w:rPr>
          <w:i/>
          <w:iCs/>
        </w:rPr>
        <w:t>9</w:t>
      </w:r>
      <w:r>
        <w:rPr/>
        <w:t xml:space="preserve">(11), e1003330. </w:t>
      </w:r>
      <w:hyperlink r:id="rId121">
        <w:r>
          <w:rPr>
            <w:rStyle w:val="Hyperlink"/>
          </w:rPr>
          <w:t>https://doi.org/10.1371/journal.pcbi.1003330</w:t>
        </w:r>
      </w:hyperlink>
      <w:bookmarkEnd w:id="701"/>
    </w:p>
    <w:p>
      <w:pPr>
        <w:pStyle w:val="Bibliography"/>
        <w:spacing w:lineRule="auto" w:line="240" w:before="0" w:after="70"/>
        <w:ind w:hanging="403" w:start="403"/>
        <w:rPr/>
      </w:pPr>
      <w:bookmarkStart w:id="702" w:name="ref-Zenke2017CL"/>
      <w:r>
        <w:rPr/>
        <w:t xml:space="preserve">Zenke, F., Poole, B., &amp; Ganguli, S. (2017). Continual Learning through Synaptic Intelligence. </w:t>
      </w:r>
      <w:r>
        <w:rPr>
          <w:i/>
          <w:iCs/>
        </w:rPr>
        <w:t>Proceedings of the 34th International Conference on Machine Learning</w:t>
      </w:r>
      <w:r>
        <w:rPr/>
        <w:t xml:space="preserve">, </w:t>
      </w:r>
      <w:r>
        <w:rPr>
          <w:i/>
          <w:iCs/>
        </w:rPr>
        <w:t>70</w:t>
      </w:r>
      <w:r>
        <w:rPr/>
        <w:t>, 3987–3995.</w:t>
      </w:r>
      <w:bookmarkEnd w:id="573"/>
      <w:bookmarkEnd w:id="702"/>
    </w:p>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181" w:right="1123" w:gutter="0" w:header="403" w:top="1037" w:footer="403" w:bottom="103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DejaVu Sans Mono">
    <w:charset w:val="00" w:characterSet="iso-8859-1"/>
    <w:family w:val="roman"/>
    <w:pitch w:val="variable"/>
  </w:font>
  <w:font w:name="Liberation Sans">
    <w:altName w:val="Arial"/>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Liberation Sans" w:cs="Liberation Sans" w:ascii="Liberation Sans" w:hAnsi="Liberation Sans"/>
        <w:b w:val="false"/>
        <w:i w:val="false"/>
        <w:color w:val="666666"/>
        <w:sz w:val="17"/>
      </w:rPr>
      <w:t xml:space="preserve">Seite </w:t>
    </w:r>
    <w:r>
      <w:rPr/>
      <w:fldChar w:fldCharType="begin"/>
    </w:r>
    <w:r>
      <w:rPr/>
      <w:instrText xml:space="preserve"> PAGE </w:instrText>
    </w:r>
    <w:r>
      <w:rPr/>
      <w:fldChar w:fldCharType="separate"/>
    </w:r>
    <w:r>
      <w:rPr/>
      <w:t>76</w:t>
    </w:r>
    <w:r>
      <w:rPr/>
      <w:fldChar w:fldCharType="end"/>
    </w:r>
    <w:r>
      <w:rPr>
        <w:rFonts w:eastAsia="Liberation Sans" w:cs="Liberation Sans" w:ascii="Liberation Sans" w:hAnsi="Liberation Sans"/>
        <w:b w:val="false"/>
        <w:i w:val="false"/>
        <w:color w:val="666666"/>
        <w:sz w:val="17"/>
      </w:rPr>
      <w:t xml:space="preserve"> von </w:t>
    </w:r>
    <w:r>
      <w:rPr/>
      <w:fldChar w:fldCharType="begin"/>
    </w:r>
    <w:r>
      <w:rPr/>
      <w:instrText xml:space="preserve"> NUMPAGES </w:instrText>
    </w:r>
    <w:r>
      <w:rPr/>
      <w:fldChar w:fldCharType="separate"/>
    </w:r>
    <w:r>
      <w:rPr/>
      <w:t>76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right" w:pos="9677" w:leader="none"/>
      </w:tabs>
      <w:spacing w:before="0" w:after="0"/>
      <w:jc w:val="start"/>
      <w:rPr/>
    </w:pPr>
    <w:r>
      <w:rPr>
        <w:rFonts w:eastAsia="Liberation Sans" w:cs="Liberation Sans" w:ascii="Liberation Sans" w:hAnsi="Liberation Sans"/>
        <w:b w:val="false"/>
        <w:i w:val="false"/>
        <w:color w:val="666666"/>
        <w:sz w:val="16"/>
      </w:rPr>
      <w:t>Brain-5D Scientific Framework</w:t>
      <w:tab/>
      <w:t>Version 0.2 · Preliminary Research Architecture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1"/>
    <w:lvlOverride w:ilvl="0">
      <w:startOverride w:val="1"/>
    </w:lvlOverride>
  </w:num>
  <w:num w:numId="69">
    <w:abstractNumId w:val="1"/>
    <w:lvlOverride w:ilvl="0">
      <w:startOverride w:val="1"/>
    </w:lvlOverride>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lvlOverride w:ilvl="0">
      <w:startOverride w:val="1"/>
    </w:lvlOverride>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lvlOverride w:ilvl="0">
      <w:startOverride w:val="1"/>
    </w:lvlOverride>
  </w:num>
  <w:num w:numId="87">
    <w:abstractNumId w:val="1"/>
  </w:num>
  <w:num w:numId="88">
    <w:abstractNumId w:val="1"/>
  </w:num>
  <w:num w:numId="89">
    <w:abstractNumId w:val="1"/>
  </w:num>
  <w:num w:numId="90">
    <w:abstractNumId w:val="1"/>
    <w:lvlOverride w:ilvl="0">
      <w:startOverride w:val="1"/>
    </w:lvlOverride>
  </w:num>
  <w:num w:numId="91">
    <w:abstractNumId w:val="1"/>
  </w:num>
  <w:num w:numId="92">
    <w:abstractNumId w:val="1"/>
  </w:num>
  <w:num w:numId="93">
    <w:abstractNumId w:val="1"/>
  </w:num>
  <w:num w:numId="94">
    <w:abstractNumId w:val="1"/>
  </w:num>
  <w:num w:numId="95">
    <w:abstractNumId w:val="1"/>
    <w:lvlOverride w:ilvl="0">
      <w:startOverride w:val="1"/>
    </w:lvlOverride>
  </w:num>
  <w:num w:numId="96">
    <w:abstractNumId w:val="1"/>
  </w:num>
  <w:num w:numId="97">
    <w:abstractNumId w:val="1"/>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1"/>
    <w:lvlOverride w:ilvl="0">
      <w:startOverride w:val="1"/>
    </w:lvlOverride>
  </w:num>
  <w:num w:numId="107">
    <w:abstractNumId w:val="1"/>
  </w:num>
  <w:num w:numId="108">
    <w:abstractNumId w:val="1"/>
  </w:num>
  <w:num w:numId="109">
    <w:abstractNumId w:val="1"/>
    <w:lvlOverride w:ilvl="0">
      <w:startOverride w:val="1"/>
    </w:lvlOverride>
  </w:num>
  <w:num w:numId="110">
    <w:abstractNumId w:val="1"/>
  </w:num>
  <w:num w:numId="111">
    <w:abstractNumId w:val="1"/>
  </w:num>
  <w:num w:numId="112">
    <w:abstractNumId w:val="1"/>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1"/>
    <w:lvlOverride w:ilvl="0">
      <w:startOverride w:val="1"/>
    </w:lvlOverride>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1"/>
    <w:lvlOverride w:ilvl="0">
      <w:startOverride w:val="1"/>
    </w:lvlOverride>
  </w:num>
  <w:num w:numId="152">
    <w:abstractNumId w:val="1"/>
  </w:num>
  <w:num w:numId="153">
    <w:abstractNumId w:val="1"/>
  </w:num>
  <w:num w:numId="154">
    <w:abstractNumId w:val="1"/>
    <w:lvlOverride w:ilvl="0">
      <w:startOverride w:val="1"/>
    </w:lvlOverride>
  </w:num>
  <w:num w:numId="155">
    <w:abstractNumId w:val="1"/>
  </w:num>
  <w:num w:numId="156">
    <w:abstractNumId w:val="1"/>
  </w:num>
  <w:num w:numId="157">
    <w:abstractNumId w:val="1"/>
  </w:num>
  <w:num w:numId="158">
    <w:abstractNumId w:val="1"/>
  </w:num>
  <w:num w:numId="159">
    <w:abstractNumId w:val="3"/>
  </w:num>
  <w:num w:numId="160">
    <w:abstractNumId w:val="3"/>
  </w:num>
  <w:num w:numId="161">
    <w:abstractNumId w:val="3"/>
  </w:num>
  <w:num w:numId="162">
    <w:abstractNumId w:val="3"/>
  </w:num>
  <w:num w:numId="163">
    <w:abstractNumId w:val="1"/>
    <w:lvlOverride w:ilvl="0">
      <w:startOverride w:val="1"/>
    </w:lvlOverride>
  </w:num>
  <w:num w:numId="164">
    <w:abstractNumId w:val="1"/>
  </w:num>
  <w:num w:numId="165">
    <w:abstractNumId w:val="1"/>
  </w:num>
  <w:num w:numId="166">
    <w:abstractNumId w:val="1"/>
  </w:num>
  <w:num w:numId="167">
    <w:abstractNumId w:val="1"/>
  </w:num>
  <w:num w:numId="168">
    <w:abstractNumId w:val="1"/>
  </w:num>
  <w:num w:numId="169">
    <w:abstractNumId w:val="1"/>
    <w:lvlOverride w:ilvl="0">
      <w:startOverride w:val="1"/>
    </w:lvlOverride>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lvlOverride w:ilvl="0">
      <w:startOverride w:val="1"/>
    </w:lvlOverride>
  </w:num>
  <w:num w:numId="177">
    <w:abstractNumId w:val="1"/>
  </w:num>
  <w:num w:numId="178">
    <w:abstractNumId w:val="1"/>
  </w:num>
  <w:num w:numId="179">
    <w:abstractNumId w:val="1"/>
  </w:num>
  <w:num w:numId="180">
    <w:abstractNumId w:val="1"/>
  </w:num>
  <w:num w:numId="181">
    <w:abstractNumId w:val="1"/>
    <w:lvlOverride w:ilvl="0">
      <w:startOverride w:val="1"/>
    </w:lvlOverride>
  </w:num>
  <w:num w:numId="182">
    <w:abstractNumId w:val="1"/>
  </w:num>
  <w:num w:numId="183">
    <w:abstractNumId w:val="1"/>
  </w:num>
  <w:num w:numId="184">
    <w:abstractNumId w:val="1"/>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3"/>
  </w:num>
  <w:num w:numId="276">
    <w:abstractNumId w:val="3"/>
  </w:num>
  <w:num w:numId="277">
    <w:abstractNumId w:val="3"/>
  </w:num>
  <w:num w:numId="278">
    <w:abstractNumId w:val="1"/>
    <w:lvlOverride w:ilvl="0">
      <w:startOverride w:val="1"/>
    </w:lvlOverride>
  </w:num>
  <w:num w:numId="279">
    <w:abstractNumId w:val="1"/>
  </w:num>
  <w:num w:numId="280">
    <w:abstractNumId w:val="1"/>
  </w:num>
  <w:num w:numId="281">
    <w:abstractNumId w:val="1"/>
  </w:num>
  <w:num w:numId="282">
    <w:abstractNumId w:val="1"/>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1"/>
    <w:lvlOverride w:ilvl="0">
      <w:startOverride w:val="1"/>
    </w:lvlOverride>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1"/>
    <w:lvlOverride w:ilvl="0">
      <w:startOverride w:val="1"/>
    </w:lvlOverride>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3"/>
  </w:num>
  <w:num w:numId="349">
    <w:abstractNumId w:val="3"/>
  </w:num>
  <w:num w:numId="350">
    <w:abstractNumId w:val="3"/>
  </w:num>
  <w:num w:numId="351">
    <w:abstractNumId w:val="3"/>
  </w:num>
  <w:num w:numId="352">
    <w:abstractNumId w:val="3"/>
  </w:num>
  <w:num w:numId="353">
    <w:abstractNumId w:val="3"/>
  </w:num>
  <w:num w:numId="354">
    <w:abstractNumId w:val="3"/>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1"/>
    <w:lvlOverride w:ilvl="0">
      <w:startOverride w:val="1"/>
    </w:lvlOverride>
  </w:num>
  <w:num w:numId="402">
    <w:abstractNumId w:val="1"/>
  </w:num>
  <w:num w:numId="403">
    <w:abstractNumId w:val="1"/>
  </w:num>
  <w:num w:numId="404">
    <w:abstractNumId w:val="1"/>
  </w:num>
  <w:num w:numId="405">
    <w:abstractNumId w:val="1"/>
  </w:num>
  <w:num w:numId="406">
    <w:abstractNumId w:val="1"/>
    <w:lvlOverride w:ilvl="0">
      <w:startOverride w:val="1"/>
    </w:lvlOverride>
  </w:num>
  <w:num w:numId="407">
    <w:abstractNumId w:val="1"/>
  </w:num>
  <w:num w:numId="408">
    <w:abstractNumId w:val="1"/>
  </w:num>
  <w:num w:numId="409">
    <w:abstractNumId w:val="1"/>
  </w:num>
  <w:num w:numId="410">
    <w:abstractNumId w:val="1"/>
  </w:num>
  <w:num w:numId="411">
    <w:abstractNumId w:val="1"/>
    <w:lvlOverride w:ilvl="0">
      <w:startOverride w:val="1"/>
    </w:lvlOverride>
  </w:num>
  <w:num w:numId="412">
    <w:abstractNumId w:val="1"/>
  </w:num>
  <w:num w:numId="413">
    <w:abstractNumId w:val="1"/>
  </w:num>
  <w:num w:numId="414">
    <w:abstractNumId w:val="1"/>
  </w:num>
  <w:num w:numId="415">
    <w:abstractNumId w:val="1"/>
  </w:num>
  <w:num w:numId="416">
    <w:abstractNumId w:val="1"/>
    <w:lvlOverride w:ilvl="0">
      <w:startOverride w:val="1"/>
    </w:lvlOverride>
  </w:num>
  <w:num w:numId="417">
    <w:abstractNumId w:val="1"/>
  </w:num>
  <w:num w:numId="418">
    <w:abstractNumId w:val="1"/>
  </w:num>
  <w:num w:numId="419">
    <w:abstractNumId w:val="1"/>
  </w:num>
  <w:num w:numId="420">
    <w:abstractNumId w:val="1"/>
  </w:num>
  <w:num w:numId="421">
    <w:abstractNumId w:val="1"/>
    <w:lvlOverride w:ilvl="0">
      <w:startOverride w:val="1"/>
    </w:lvlOverride>
  </w:num>
  <w:num w:numId="422">
    <w:abstractNumId w:val="1"/>
  </w:num>
  <w:num w:numId="423">
    <w:abstractNumId w:val="1"/>
  </w:num>
  <w:num w:numId="424">
    <w:abstractNumId w:val="1"/>
  </w:num>
  <w:num w:numId="425">
    <w:abstractNumId w:val="1"/>
  </w:num>
  <w:num w:numId="426">
    <w:abstractNumId w:val="1"/>
    <w:lvlOverride w:ilvl="0">
      <w:startOverride w:val="1"/>
    </w:lvlOverride>
  </w:num>
  <w:num w:numId="427">
    <w:abstractNumId w:val="1"/>
  </w:num>
  <w:num w:numId="428">
    <w:abstractNumId w:val="1"/>
  </w:num>
  <w:num w:numId="429">
    <w:abstractNumId w:val="1"/>
  </w:num>
  <w:num w:numId="430">
    <w:abstractNumId w:val="1"/>
  </w:num>
  <w:num w:numId="431">
    <w:abstractNumId w:val="1"/>
    <w:lvlOverride w:ilvl="0">
      <w:startOverride w:val="1"/>
    </w:lvlOverride>
  </w:num>
  <w:num w:numId="432">
    <w:abstractNumId w:val="1"/>
  </w:num>
  <w:num w:numId="433">
    <w:abstractNumId w:val="1"/>
  </w:num>
  <w:num w:numId="434">
    <w:abstractNumId w:val="1"/>
  </w:num>
  <w:num w:numId="435">
    <w:abstractNumId w:val="1"/>
  </w:num>
  <w:num w:numId="436">
    <w:abstractNumId w:val="1"/>
    <w:lvlOverride w:ilvl="0">
      <w:startOverride w:val="1"/>
    </w:lvlOverride>
  </w:num>
  <w:num w:numId="437">
    <w:abstractNumId w:val="1"/>
  </w:num>
  <w:num w:numId="438">
    <w:abstractNumId w:val="1"/>
  </w:num>
  <w:num w:numId="439">
    <w:abstractNumId w:val="1"/>
  </w:num>
  <w:num w:numId="440">
    <w:abstractNumId w:val="1"/>
  </w:num>
  <w:num w:numId="441">
    <w:abstractNumId w:val="3"/>
  </w:num>
  <w:num w:numId="442">
    <w:abstractNumId w:val="3"/>
  </w:num>
  <w:num w:numId="443">
    <w:abstractNumId w:val="3"/>
  </w:num>
  <w:num w:numId="444">
    <w:abstractNumId w:val="3"/>
  </w:num>
  <w:num w:numId="445">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de-DE"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69" w:before="0" w:after="100"/>
      <w:jc w:val="start"/>
    </w:pPr>
    <w:rPr>
      <w:rFonts w:ascii="Liberation Serif" w:hAnsi="Liberation Serif" w:eastAsia="Liberation Serif" w:cs="Liberation Serif"/>
      <w:color w:val="202020"/>
      <w:kern w:val="0"/>
      <w:sz w:val="21"/>
      <w:szCs w:val="24"/>
      <w:lang w:val="de-DE"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DejaVu Sans Mono" w:hAnsi="DejaVu Sans Mono" w:eastAsia="DejaVu Sans Mono" w:cs="DejaVu Sans Mono"/>
      <w:color w:val="202020"/>
      <w:sz w:val="17"/>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Liberation Sans" w:hAnsi="Liberation Sans" w:eastAsia="Liberation Sans" w:cs="Liberation Sans"/>
      <w:color w:val="2F75B5"/>
      <w:sz w:val="19"/>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lineRule="auto" w:line="269" w:before="180" w:after="100"/>
    </w:pPr>
    <w:rPr>
      <w:rFonts w:ascii="Liberation Serif" w:hAnsi="Liberation Serif" w:eastAsia="Liberation Serif" w:cs="Liberation Serif"/>
      <w:color w:val="202020"/>
      <w:sz w:val="21"/>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spacing w:lineRule="auto" w:line="269" w:before="180" w:after="100"/>
    </w:pPr>
    <w:rPr>
      <w:rFonts w:ascii="Liberation Serif" w:hAnsi="Liberation Serif" w:eastAsia="Liberation Serif" w:cs="Liberation Serif"/>
      <w:color w:val="202020"/>
      <w:sz w:val="21"/>
    </w:rPr>
  </w:style>
  <w:style w:type="paragraph" w:styleId="Compact" w:customStyle="1">
    <w:name w:val="Compact"/>
    <w:basedOn w:val="BodyText"/>
    <w:qFormat/>
    <w:pPr>
      <w:spacing w:before="36" w:after="36"/>
    </w:pPr>
    <w:rPr>
      <w:rFonts w:ascii="Liberation Sans" w:hAnsi="Liberation Sans" w:eastAsia="Liberation Sans" w:cs="Liberation Sans"/>
      <w:color w:val="202020"/>
      <w:sz w:val="17"/>
    </w:rPr>
  </w:style>
  <w:style w:type="paragraph" w:styleId="Title">
    <w:name w:val="Title"/>
    <w:basedOn w:val="Normal"/>
    <w:next w:val="BodyText"/>
    <w:qFormat/>
    <w:pPr>
      <w:keepNext w:val="true"/>
      <w:keepLines/>
      <w:spacing w:before="1800" w:after="280"/>
      <w:jc w:val="center"/>
    </w:pPr>
    <w:rPr>
      <w:rFonts w:ascii="Calibri" w:hAnsi="Calibri" w:eastAsia="" w:cs="" w:asciiTheme="majorHAnsi" w:cstheme="majorBidi" w:eastAsiaTheme="majorEastAsia" w:hAnsiTheme="majorHAnsi"/>
      <w:b/>
      <w:bCs/>
      <w:color w:val="17365D"/>
      <w:sz w:val="56"/>
      <w:szCs w:val="36"/>
    </w:rPr>
  </w:style>
  <w:style w:type="paragraph" w:styleId="Subtitle">
    <w:name w:val="Subtitle"/>
    <w:basedOn w:val="Title"/>
    <w:next w:val="BodyText"/>
    <w:qFormat/>
    <w:pPr>
      <w:keepNext w:val="true"/>
      <w:keepLines/>
      <w:spacing w:before="240" w:after="560"/>
      <w:jc w:val="center"/>
    </w:pPr>
    <w:rPr>
      <w:rFonts w:ascii="Liberation Sans" w:hAnsi="Liberation Sans" w:eastAsia="Liberation Sans" w:cs="Liberation Sans"/>
      <w:i w:val="false"/>
      <w:color w:val="2F75B5"/>
      <w:sz w:val="30"/>
      <w:szCs w:val="30"/>
    </w:rPr>
  </w:style>
  <w:style w:type="paragraph" w:styleId="Author" w:customStyle="1">
    <w:name w:val="Author"/>
    <w:next w:val="BodyText"/>
    <w:qFormat/>
    <w:pPr>
      <w:keepNext w:val="true"/>
      <w:keepLines/>
      <w:widowControl/>
      <w:bidi w:val="0"/>
      <w:spacing w:before="0" w:after="140"/>
      <w:jc w:val="center"/>
    </w:pPr>
    <w:rPr>
      <w:rFonts w:ascii="Liberation Sans" w:hAnsi="Liberation Sans" w:eastAsia="Liberation Sans" w:cs="Liberation Sans"/>
      <w:color w:val="595959"/>
      <w:kern w:val="0"/>
      <w:sz w:val="22"/>
      <w:szCs w:val="24"/>
      <w:lang w:val="de-DE" w:eastAsia="en-US" w:bidi="ar-SA"/>
    </w:rPr>
  </w:style>
  <w:style w:type="paragraph" w:styleId="Date">
    <w:name w:val="Date"/>
    <w:next w:val="BodyText"/>
    <w:qFormat/>
    <w:pPr>
      <w:keepNext w:val="true"/>
      <w:keepLines/>
      <w:widowControl/>
      <w:bidi w:val="0"/>
      <w:spacing w:before="0" w:after="140"/>
      <w:jc w:val="center"/>
    </w:pPr>
    <w:rPr>
      <w:rFonts w:ascii="Liberation Sans" w:hAnsi="Liberation Sans" w:eastAsia="Liberation Sans" w:cs="Liberation Sans"/>
      <w:color w:val="595959"/>
      <w:kern w:val="0"/>
      <w:sz w:val="22"/>
      <w:szCs w:val="24"/>
      <w:lang w:val="de-DE"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240" w:before="0" w:after="70"/>
      <w:ind w:hanging="403" w:start="403"/>
    </w:pPr>
    <w:rPr>
      <w:rFonts w:ascii="Liberation Serif" w:hAnsi="Liberation Serif" w:eastAsia="Liberation Serif" w:cs="Liberation Serif"/>
      <w:color w:val="202020"/>
      <w:sz w:val="18"/>
    </w:rPr>
  </w:style>
  <w:style w:type="paragraph" w:styleId="BlockText">
    <w:name w:val="Block Text"/>
    <w:basedOn w:val="BodyText"/>
    <w:next w:val="BodyText"/>
    <w:uiPriority w:val="9"/>
    <w:unhideWhenUsed/>
    <w:qFormat/>
    <w:pPr>
      <w:spacing w:before="140" w:after="140"/>
      <w:ind w:hanging="0" w:start="432" w:end="288"/>
    </w:pPr>
    <w:rPr>
      <w:rFonts w:ascii="Liberation Serif" w:hAnsi="Liberation Serif" w:eastAsia="Liberation Serif" w:cs="Liberation Serif"/>
      <w:i/>
      <w:color w:val="595959"/>
      <w:sz w:val="20"/>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start="480" w:end="480"/>
      <w:jc w:val="start"/>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CoverMetadata" w:customStyle="1">
    <w:name w:val="Cover Metadata"/>
    <w:qFormat/>
    <w:pPr>
      <w:widowControl/>
      <w:bidi w:val="0"/>
      <w:spacing w:lineRule="auto" w:line="276" w:before="320" w:after="100"/>
      <w:jc w:val="center"/>
    </w:pPr>
    <w:rPr>
      <w:rFonts w:ascii="Liberation Sans" w:hAnsi="Liberation Sans" w:eastAsia="Liberation Sans" w:cs="Liberation Sans"/>
      <w:color w:val="595959"/>
      <w:kern w:val="0"/>
      <w:sz w:val="20"/>
      <w:szCs w:val="24"/>
      <w:lang w:val="de-DE" w:eastAsia="en-US" w:bidi="ar-SA"/>
    </w:rPr>
  </w:style>
  <w:style w:type="paragraph" w:styleId="StatusClaim" w:customStyle="1">
    <w:name w:val="Status Claim"/>
    <w:qFormat/>
    <w:pPr>
      <w:widowControl/>
      <w:bidi w:val="0"/>
      <w:spacing w:before="100" w:after="100"/>
      <w:ind w:start="259"/>
      <w:jc w:val="start"/>
    </w:pPr>
    <w:rPr>
      <w:rFonts w:ascii="Liberation Sans" w:hAnsi="Liberation Sans" w:eastAsia="Liberation Sans" w:cs="Liberation Sans"/>
      <w:b/>
      <w:color w:val="17365D"/>
      <w:kern w:val="0"/>
      <w:sz w:val="19"/>
      <w:szCs w:val="24"/>
      <w:lang w:val="de-DE" w:eastAsia="en-US" w:bidi="ar-S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936" w:leader="dot"/>
      </w:tabs>
      <w:ind w:hanging="0" w:start="0"/>
    </w:pPr>
    <w:rPr/>
  </w:style>
  <w:style w:type="paragraph" w:styleId="TOC2">
    <w:name w:val="toc 2"/>
    <w:basedOn w:val="Index"/>
    <w:pPr>
      <w:tabs>
        <w:tab w:val="clear" w:pos="720"/>
        <w:tab w:val="right" w:pos="9653" w:leader="dot"/>
      </w:tabs>
      <w:ind w:hanging="0" w:start="283"/>
    </w:pPr>
    <w:rPr/>
  </w:style>
  <w:style w:type="table" w:default="1" w:styleId="Table">
    <w:name w:val="Table"/>
    <w:basedOn w:val="TableNormal"/>
    <w:semiHidden/>
    <w:unhideWhenUsed/>
    <w:qFormat/>
    <w:pPr>
      <w:spacing w:after="20"/>
    </w:pPr>
    <w:rPr>
      <w:sz w:val="17"/>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homas-Heisig/Brain-5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doi.org/10.1007/3-540-57318-6_30" TargetMode="External"/><Relationship Id="rId8" Type="http://schemas.openxmlformats.org/officeDocument/2006/relationships/hyperlink" Target="https://doi.org/10.1007/978-4-431-55978-8" TargetMode="External"/><Relationship Id="rId9" Type="http://schemas.openxmlformats.org/officeDocument/2006/relationships/hyperlink" Target="https://doi.org/10.1109/TAC.2016.2638961" TargetMode="External"/><Relationship Id="rId10" Type="http://schemas.openxmlformats.org/officeDocument/2006/relationships/hyperlink" Target="https://doi.org/10.48550/arXiv.1606.06565" TargetMode="External"/><Relationship Id="rId11" Type="http://schemas.openxmlformats.org/officeDocument/2006/relationships/hyperlink" Target="https://doi.org/10.1126/science.286.5439.509" TargetMode="External"/><Relationship Id="rId12" Type="http://schemas.openxmlformats.org/officeDocument/2006/relationships/hyperlink" Target="https://doi.org/10.1038/nn.4502" TargetMode="External"/><Relationship Id="rId13" Type="http://schemas.openxmlformats.org/officeDocument/2006/relationships/hyperlink" Target="https://doi.org/10.1111/0029-4624.31.s11.17" TargetMode="External"/><Relationship Id="rId14" Type="http://schemas.openxmlformats.org/officeDocument/2006/relationships/hyperlink" Target="https://doi.org/10.1016/0004-3702(94)00005-L" TargetMode="External"/><Relationship Id="rId15" Type="http://schemas.openxmlformats.org/officeDocument/2006/relationships/hyperlink" Target="https://doi.org/10.1523/JNEUROSCI.23-35-11167.2003" TargetMode="External"/><Relationship Id="rId16" Type="http://schemas.openxmlformats.org/officeDocument/2006/relationships/hyperlink" Target="https://doi.org/10.1162/089976603321780317" TargetMode="External"/><Relationship Id="rId17" Type="http://schemas.openxmlformats.org/officeDocument/2006/relationships/hyperlink" Target="https://doi.org/10.1145/3442188.3445922" TargetMode="External"/><Relationship Id="rId18" Type="http://schemas.openxmlformats.org/officeDocument/2006/relationships/hyperlink" Target="https://doi.org/10.1038/nn.4401" TargetMode="External"/><Relationship Id="rId19" Type="http://schemas.openxmlformats.org/officeDocument/2006/relationships/hyperlink" Target="https://doi.org/10.1523/JNEUROSCI.18-24-10464.1998" TargetMode="External"/><Relationship Id="rId20" Type="http://schemas.openxmlformats.org/officeDocument/2006/relationships/hyperlink" Target="https://doi.org/10.1523/JNEUROSCI.02-01-00032.1982" TargetMode="External"/><Relationship Id="rId21" Type="http://schemas.openxmlformats.org/officeDocument/2006/relationships/hyperlink" Target="https://doi.org/10.1038/nn.4497" TargetMode="External"/><Relationship Id="rId22" Type="http://schemas.openxmlformats.org/officeDocument/2006/relationships/hyperlink" Target="https://doi.org/10.1152/jn.00686.2005" TargetMode="External"/><Relationship Id="rId23" Type="http://schemas.openxmlformats.org/officeDocument/2006/relationships/hyperlink" Target="https://doi.org/10.1109/MSP.2017.2693418" TargetMode="External"/><Relationship Id="rId24" Type="http://schemas.openxmlformats.org/officeDocument/2006/relationships/hyperlink" Target="https://doi.org/10.1016/0004-3702(91)90053-M" TargetMode="External"/><Relationship Id="rId25" Type="http://schemas.openxmlformats.org/officeDocument/2006/relationships/hyperlink" Target="https://doi.org/10.1023/A:1008925309027" TargetMode="External"/><Relationship Id="rId26" Type="http://schemas.openxmlformats.org/officeDocument/2006/relationships/hyperlink" Target="https://doi.org/10.1038/nrn2575" TargetMode="External"/><Relationship Id="rId27" Type="http://schemas.openxmlformats.org/officeDocument/2006/relationships/hyperlink" Target="https://doi.org/10.1007/3-540-44503-X_20" TargetMode="External"/><Relationship Id="rId28" Type="http://schemas.openxmlformats.org/officeDocument/2006/relationships/hyperlink" Target="https://doi.org/10.1016/j.brainresrev.2008.12.023" TargetMode="External"/><Relationship Id="rId29" Type="http://schemas.openxmlformats.org/officeDocument/2006/relationships/hyperlink" Target="https://doi.org/10.1017/CBO9780511541612" TargetMode="External"/><Relationship Id="rId30" Type="http://schemas.openxmlformats.org/officeDocument/2006/relationships/hyperlink" Target="https://doi.org/10.1145/214451.214456" TargetMode="External"/><Relationship Id="rId31" Type="http://schemas.openxmlformats.org/officeDocument/2006/relationships/hyperlink" Target="https://doi.org/10.1038/nn.2479" TargetMode="External"/><Relationship Id="rId32" Type="http://schemas.openxmlformats.org/officeDocument/2006/relationships/hyperlink" Target="https://doi.org/10.1016/j.acha.2006.04.006" TargetMode="External"/><Relationship Id="rId33" Type="http://schemas.openxmlformats.org/officeDocument/2006/relationships/hyperlink" Target="https://doi.org/10.1002/047174882X" TargetMode="External"/><Relationship Id="rId34" Type="http://schemas.openxmlformats.org/officeDocument/2006/relationships/hyperlink" Target="https://doi.org/10.1109/MM.2018.112130359" TargetMode="External"/><Relationship Id="rId35" Type="http://schemas.openxmlformats.org/officeDocument/2006/relationships/hyperlink" Target="https://doi.org/10.1038/nrn2961" TargetMode="External"/><Relationship Id="rId36" Type="http://schemas.openxmlformats.org/officeDocument/2006/relationships/hyperlink" Target="https://doi.org/10.1007/978-0-387-87708-2" TargetMode="External"/><Relationship Id="rId37" Type="http://schemas.openxmlformats.org/officeDocument/2006/relationships/hyperlink" Target="https://doi.org/10.1109/JPROC.2023.3308088" TargetMode="External"/><Relationship Id="rId38" Type="http://schemas.openxmlformats.org/officeDocument/2006/relationships/hyperlink" Target="https://doi.org/10.1145/1966895.1966900" TargetMode="External"/><Relationship Id="rId39" Type="http://schemas.openxmlformats.org/officeDocument/2006/relationships/hyperlink" Target="https://doi.org/10.1016/j.physrep.2009.11.002" TargetMode="External"/><Relationship Id="rId40" Type="http://schemas.openxmlformats.org/officeDocument/2006/relationships/hyperlink" Target="https://doi.org/10.3389/fncir.2015.00085" TargetMode="External"/><Relationship Id="rId41" Type="http://schemas.openxmlformats.org/officeDocument/2006/relationships/hyperlink" Target="https://doi.org/10.1016/S1364-6613(99)01294-2" TargetMode="External"/><Relationship Id="rId42" Type="http://schemas.openxmlformats.org/officeDocument/2006/relationships/hyperlink" Target="https://doi.org/10.1038/nrn2787" TargetMode="External"/><Relationship Id="rId43" Type="http://schemas.openxmlformats.org/officeDocument/2006/relationships/hyperlink" Target="https://doi.org/10.1109/ACCESS.2020.2998358" TargetMode="External"/><Relationship Id="rId44" Type="http://schemas.openxmlformats.org/officeDocument/2006/relationships/hyperlink" Target="https://doi.org/10.1088/1741-2560/13/5/051001" TargetMode="External"/><Relationship Id="rId45" Type="http://schemas.openxmlformats.org/officeDocument/2006/relationships/hyperlink" Target="https://doi.org/10.1016/j.neuron.2005.02.001" TargetMode="External"/><Relationship Id="rId46" Type="http://schemas.openxmlformats.org/officeDocument/2006/relationships/hyperlink" Target="https://doi.org/10.1007/978-3-540-73246-4" TargetMode="External"/><Relationship Id="rId47" Type="http://schemas.openxmlformats.org/officeDocument/2006/relationships/hyperlink" Target="https://doi.org/10.1145/3458723" TargetMode="External"/><Relationship Id="rId48" Type="http://schemas.openxmlformats.org/officeDocument/2006/relationships/hyperlink" Target="https://doi.org/10.1017/CBO9781107447615" TargetMode="External"/><Relationship Id="rId49" Type="http://schemas.openxmlformats.org/officeDocument/2006/relationships/hyperlink" Target="https://doi.org/10.1016/j.neuron.2018.10.020" TargetMode="External"/><Relationship Id="rId50" Type="http://schemas.openxmlformats.org/officeDocument/2006/relationships/hyperlink" Target="https://doi.org/10.4249/scholarpedia.1430" TargetMode="External"/><Relationship Id="rId51" Type="http://schemas.openxmlformats.org/officeDocument/2006/relationships/hyperlink" Target="https://doi.org/10.1515/9781400842636" TargetMode="External"/><Relationship Id="rId52" Type="http://schemas.openxmlformats.org/officeDocument/2006/relationships/hyperlink" Target="https://doi.org/10.1073/pnas.1109359109" TargetMode="External"/><Relationship Id="rId53" Type="http://schemas.openxmlformats.org/officeDocument/2006/relationships/hyperlink" Target="https://doi.org/10.1007/978-3-319-38756-7_4" TargetMode="External"/><Relationship Id="rId54" Type="http://schemas.openxmlformats.org/officeDocument/2006/relationships/hyperlink" Target="https://doi.org/10.48550/arXiv.1803.10122" TargetMode="External"/><Relationship Id="rId55" Type="http://schemas.openxmlformats.org/officeDocument/2006/relationships/hyperlink" Target="https://doi.org/10.1113/jphysiol.1952.sp004764" TargetMode="External"/><Relationship Id="rId56" Type="http://schemas.openxmlformats.org/officeDocument/2006/relationships/hyperlink" Target="https://doi.org/10.1073/pnas.1314922110" TargetMode="External"/><Relationship Id="rId57" Type="http://schemas.openxmlformats.org/officeDocument/2006/relationships/hyperlink" Target="https://doi.org/10.1038/nrn2699" TargetMode="External"/><Relationship Id="rId58" Type="http://schemas.openxmlformats.org/officeDocument/2006/relationships/hyperlink" Target="https://doi.org/10.1073/pnas.79.8.2554" TargetMode="External"/><Relationship Id="rId59" Type="http://schemas.openxmlformats.org/officeDocument/2006/relationships/hyperlink" Target="https://doi.org/10.1109/TNN.2003.820440" TargetMode="External"/><Relationship Id="rId60" Type="http://schemas.openxmlformats.org/officeDocument/2006/relationships/hyperlink" Target="https://doi.org/10.1093/cercor/bhl152" TargetMode="External"/><Relationship Id="rId61" Type="http://schemas.openxmlformats.org/officeDocument/2006/relationships/hyperlink" Target="https://doi.org/10.1371/journal.pcbi.1005268" TargetMode="External"/><Relationship Id="rId62" Type="http://schemas.openxmlformats.org/officeDocument/2006/relationships/hyperlink" Target="https://doi.org/10.1016/j.cirpj.2020.02.002" TargetMode="External"/><Relationship Id="rId63" Type="http://schemas.openxmlformats.org/officeDocument/2006/relationships/hyperlink" Target="https://doi.org/10.3389/fninf.2024.1323203" TargetMode="External"/><Relationship Id="rId64" Type="http://schemas.openxmlformats.org/officeDocument/2006/relationships/hyperlink" Target="https://doi.org/10.1016/j.tics.2014.01.002" TargetMode="External"/><Relationship Id="rId65" Type="http://schemas.openxmlformats.org/officeDocument/2006/relationships/hyperlink" Target="https://doi.org/10.1073/pnas.1611835114" TargetMode="External"/><Relationship Id="rId66" Type="http://schemas.openxmlformats.org/officeDocument/2006/relationships/hyperlink" Target="https://doi.org/10.3389/neuro.06.004.2008" TargetMode="External"/><Relationship Id="rId67" Type="http://schemas.openxmlformats.org/officeDocument/2006/relationships/hyperlink" Target="https://doi.org/10.1016/j.ifacol.2018.08.474" TargetMode="External"/><Relationship Id="rId68" Type="http://schemas.openxmlformats.org/officeDocument/2006/relationships/hyperlink" Target="https://doi.org/10.1016/j.tics.2016.05.004" TargetMode="External"/><Relationship Id="rId69" Type="http://schemas.openxmlformats.org/officeDocument/2006/relationships/hyperlink" Target="https://doi.org/10.1007/978-1-4757-3978-7" TargetMode="External"/><Relationship Id="rId70" Type="http://schemas.openxmlformats.org/officeDocument/2006/relationships/hyperlink" Target="https://doi.org/10.1145/359545.359563" TargetMode="External"/><Relationship Id="rId71" Type="http://schemas.openxmlformats.org/officeDocument/2006/relationships/hyperlink" Target="https://doi.org/10.3389/fnetp.2024.1410092" TargetMode="External"/><Relationship Id="rId72" Type="http://schemas.openxmlformats.org/officeDocument/2006/relationships/hyperlink" Target="https://doi.org/10.1038/ncomms6319" TargetMode="External"/><Relationship Id="rId73" Type="http://schemas.openxmlformats.org/officeDocument/2006/relationships/hyperlink" Target="https://doi.org/10.1016/j.cosrev.2009.03.005" TargetMode="External"/><Relationship Id="rId74" Type="http://schemas.openxmlformats.org/officeDocument/2006/relationships/hyperlink" Target="https://doi.org/10.1016/S0893-6080(97)00011-7" TargetMode="External"/><Relationship Id="rId75" Type="http://schemas.openxmlformats.org/officeDocument/2006/relationships/hyperlink" Target="https://doi.org/10.1162/089976602760407955" TargetMode="External"/><Relationship Id="rId76" Type="http://schemas.openxmlformats.org/officeDocument/2006/relationships/hyperlink" Target="https://doi.org/10.1126/science.275.5297.213" TargetMode="External"/><Relationship Id="rId77" Type="http://schemas.openxmlformats.org/officeDocument/2006/relationships/hyperlink" Target="https://doi.org/10.1098/rstb.1971.0078" TargetMode="External"/><Relationship Id="rId78" Type="http://schemas.openxmlformats.org/officeDocument/2006/relationships/hyperlink" Target="https://doi.org/10.1126/science.1065103" TargetMode="External"/><Relationship Id="rId79" Type="http://schemas.openxmlformats.org/officeDocument/2006/relationships/hyperlink" Target="https://doi.org/10.1037/0033-295X.102.3.419" TargetMode="External"/><Relationship Id="rId80" Type="http://schemas.openxmlformats.org/officeDocument/2006/relationships/hyperlink" Target="https://doi.org/10.1016/S0079-7421(08)60536-8" TargetMode="External"/><Relationship Id="rId81" Type="http://schemas.openxmlformats.org/officeDocument/2006/relationships/hyperlink" Target="https://doi.org/10.1145/3287560.3287596" TargetMode="External"/><Relationship Id="rId82" Type="http://schemas.openxmlformats.org/officeDocument/2006/relationships/hyperlink" Target="https://doi.org/10.1126/science.1150769" TargetMode="External"/><Relationship Id="rId83" Type="http://schemas.openxmlformats.org/officeDocument/2006/relationships/hyperlink" Target="https://www.w3.org/TR/prov-dm/" TargetMode="External"/><Relationship Id="rId84" Type="http://schemas.openxmlformats.org/officeDocument/2006/relationships/hyperlink" Target="https://doi.org/10.1038/s41562-016-0021" TargetMode="External"/><Relationship Id="rId85" Type="http://schemas.openxmlformats.org/officeDocument/2006/relationships/hyperlink" Target="https://doi.org/10.1137/S003614450342480" TargetMode="External"/><Relationship Id="rId86" Type="http://schemas.openxmlformats.org/officeDocument/2006/relationships/hyperlink" Target="https://doi.org/10.1093/acprof:oso/9780199206650.001.0001" TargetMode="External"/><Relationship Id="rId87" Type="http://schemas.openxmlformats.org/officeDocument/2006/relationships/hyperlink" Target="https://doi.org/10.1103/PhysRevE.69.026113" TargetMode="External"/><Relationship Id="rId88" Type="http://schemas.openxmlformats.org/officeDocument/2006/relationships/hyperlink" Target="https://doi.org/10.1073/pnas.1708274114" TargetMode="External"/><Relationship Id="rId89" Type="http://schemas.openxmlformats.org/officeDocument/2006/relationships/hyperlink" Target="https://doi.org/10.1017/S0140525X01000115" TargetMode="External"/><Relationship Id="rId90" Type="http://schemas.openxmlformats.org/officeDocument/2006/relationships/hyperlink" Target="https://doi.org/10.1371/journal.pcbi.1004458" TargetMode="External"/><Relationship Id="rId91" Type="http://schemas.openxmlformats.org/officeDocument/2006/relationships/hyperlink" Target="https://doi.org/10.1136/bmj.n71" TargetMode="External"/><Relationship Id="rId92" Type="http://schemas.openxmlformats.org/officeDocument/2006/relationships/hyperlink" Target="https://doi.org/10.1152/jn.00559.2007" TargetMode="External"/><Relationship Id="rId93" Type="http://schemas.openxmlformats.org/officeDocument/2006/relationships/hyperlink" Target="https://doi.org/10.1016/j.neunet.2019.01.012" TargetMode="External"/><Relationship Id="rId94" Type="http://schemas.openxmlformats.org/officeDocument/2006/relationships/hyperlink" Target="https://doi.org/10.1093/acprof:oso/9780198506263.001.0001" TargetMode="External"/><Relationship Id="rId95" Type="http://schemas.openxmlformats.org/officeDocument/2006/relationships/hyperlink" Target="https://doi.org/10.1523/JNEUROSCI.1425-06.2006" TargetMode="External"/><Relationship Id="rId96" Type="http://schemas.openxmlformats.org/officeDocument/2006/relationships/hyperlink" Target="https://doi.org/10.1016/j.tics.2005.12.004" TargetMode="External"/><Relationship Id="rId97" Type="http://schemas.openxmlformats.org/officeDocument/2006/relationships/hyperlink" Target="https://doi.org/10.1038/nrn2578" TargetMode="External"/><Relationship Id="rId98" Type="http://schemas.openxmlformats.org/officeDocument/2006/relationships/hyperlink" Target="https://doi.org/10.1103/RevModPhys.80.1213" TargetMode="External"/><Relationship Id="rId99" Type="http://schemas.openxmlformats.org/officeDocument/2006/relationships/hyperlink" Target="https://doi.org/10.1038/s41586-019-1677-2" TargetMode="External"/><Relationship Id="rId100" Type="http://schemas.openxmlformats.org/officeDocument/2006/relationships/hyperlink" Target="https://doi.org/10.1016/j.neuroimage.2009.10.003" TargetMode="External"/><Relationship Id="rId101" Type="http://schemas.openxmlformats.org/officeDocument/2006/relationships/hyperlink" Target="https://doi.org/10.1371/journal.pcbi.1003285" TargetMode="External"/><Relationship Id="rId102" Type="http://schemas.openxmlformats.org/officeDocument/2006/relationships/hyperlink" Target="https://doi.org/10.1103/PhysRevLett.85.461" TargetMode="External"/><Relationship Id="rId103" Type="http://schemas.openxmlformats.org/officeDocument/2006/relationships/hyperlink" Target="https://doi.org/10.1038/s41586-020-03051-4" TargetMode="External"/><Relationship Id="rId104" Type="http://schemas.openxmlformats.org/officeDocument/2006/relationships/hyperlink" Target="https://doi.org/10.1002/j.1538-7305.1948.tb01338.x" TargetMode="External"/><Relationship Id="rId105" Type="http://schemas.openxmlformats.org/officeDocument/2006/relationships/hyperlink" Target="https://doi.org/10.1177/1073858412445487" TargetMode="External"/><Relationship Id="rId106" Type="http://schemas.openxmlformats.org/officeDocument/2006/relationships/hyperlink" Target="https://doi.org/10.7717/peerj-cs.86" TargetMode="External"/><Relationship Id="rId107" Type="http://schemas.openxmlformats.org/officeDocument/2006/relationships/hyperlink" Target="https://doi.org/10.1038/78829" TargetMode="External"/><Relationship Id="rId108" Type="http://schemas.openxmlformats.org/officeDocument/2006/relationships/hyperlink" Target="https://doi.org/10.7554/eLife.47314" TargetMode="External"/><Relationship Id="rId109" Type="http://schemas.openxmlformats.org/officeDocument/2006/relationships/hyperlink" Target="https://doi.org/10.1016/j.neuron.2009.07.018" TargetMode="External"/><Relationship Id="rId110" Type="http://schemas.openxmlformats.org/officeDocument/2006/relationships/hyperlink" Target="https://doi.org/10.1145/122344.122377" TargetMode="External"/><Relationship Id="rId111" Type="http://schemas.openxmlformats.org/officeDocument/2006/relationships/hyperlink" Target="https://doi.org/10.1038/36103" TargetMode="External"/><Relationship Id="rId112" Type="http://schemas.openxmlformats.org/officeDocument/2006/relationships/hyperlink" Target="https://doi.org/10.1038/nrn1327" TargetMode="External"/><Relationship Id="rId113" Type="http://schemas.openxmlformats.org/officeDocument/2006/relationships/hyperlink" Target="https://doi.org/10.1126/science.1211095" TargetMode="External"/><Relationship Id="rId114" Type="http://schemas.openxmlformats.org/officeDocument/2006/relationships/hyperlink" Target="https://doi.org/10.1126/science.274.5293.1724" TargetMode="External"/><Relationship Id="rId115" Type="http://schemas.openxmlformats.org/officeDocument/2006/relationships/hyperlink" Target="https://doi.org/10.1038/30918" TargetMode="External"/><Relationship Id="rId116" Type="http://schemas.openxmlformats.org/officeDocument/2006/relationships/hyperlink" Target="https://doi.org/10.1038/sdata.2016.18" TargetMode="External"/><Relationship Id="rId117" Type="http://schemas.openxmlformats.org/officeDocument/2006/relationships/hyperlink" Target="https://doi.org/10.1371/journal.pcbi.1005510" TargetMode="External"/><Relationship Id="rId118" Type="http://schemas.openxmlformats.org/officeDocument/2006/relationships/hyperlink" Target="https://doi.org/10.1016/j.tins.2019.04.002" TargetMode="External"/><Relationship Id="rId119" Type="http://schemas.openxmlformats.org/officeDocument/2006/relationships/hyperlink" Target="https://doi.org/10.1038/ncomms7922" TargetMode="External"/><Relationship Id="rId120" Type="http://schemas.openxmlformats.org/officeDocument/2006/relationships/hyperlink" Target="https://doi.org/10.1098/rstb.2016.0259" TargetMode="External"/><Relationship Id="rId121" Type="http://schemas.openxmlformats.org/officeDocument/2006/relationships/hyperlink" Target="https://doi.org/10.1371/journal.pcbi.1003330" TargetMode="External"/><Relationship Id="rId122" Type="http://schemas.openxmlformats.org/officeDocument/2006/relationships/header" Target="header1.xml"/><Relationship Id="rId123" Type="http://schemas.openxmlformats.org/officeDocument/2006/relationships/header" Target="header2.xml"/><Relationship Id="rId124" Type="http://schemas.openxmlformats.org/officeDocument/2006/relationships/header" Target="header3.xml"/><Relationship Id="rId125" Type="http://schemas.openxmlformats.org/officeDocument/2006/relationships/footer" Target="footer1.xml"/><Relationship Id="rId126" Type="http://schemas.openxmlformats.org/officeDocument/2006/relationships/footer" Target="footer2.xml"/><Relationship Id="rId127" Type="http://schemas.openxmlformats.org/officeDocument/2006/relationships/footer" Target="footer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76</Pages>
  <Words>19188</Words>
  <Characters>148321</Characters>
  <CharactersWithSpaces>165869</CharactersWithSpaces>
  <Paragraphs>1925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2026-08-16T21:25:27Z</dcterms:created>
  <dc:creator>Thomas Heisig</dc:creator>
  <dc:description>Scientific framework with explicit evidence levels, falsifiable hypotheses and reproducibility requirements.</dc:description>
  <cp:keywords>Brain-5D Spiking Neural Networks 5D geometry plasticity embodied intelligence digital state twin research framework</cp:keywords>
  <dc:language>de-DE</dc:language>
  <cp:lastModifiedBy/>
  <dcterms:modified xsi:type="dcterms:W3CDTF">2026-08-16T21:25:34Z</dcterms:modified>
  <cp:revision>1</cp:revision>
  <dc:subject>Preliminary Research Architecture for a Hybrid Spatial Spiking System — Version 0.2</dc:subject>
  <dc:title>Brain-5D Scientific Framework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Brain-5D_References_v0.2.bib</vt:lpwstr>
  </property>
  <property fmtid="{D5CDD505-2E9C-101B-9397-08002B2CF9AE}" pid="3" name="csl">
    <vt:lpwstr>/usr/share/texlive/texmf-dist/tex/latex/citation-style-language/styles/apa.csl</vt:lpwstr>
  </property>
  <property fmtid="{D5CDD505-2E9C-101B-9397-08002B2CF9AE}" pid="4" name="date">
    <vt:lpwstr>16. August 2026</vt:lpwstr>
  </property>
  <property fmtid="{D5CDD505-2E9C-101B-9397-08002B2CF9AE}" pid="5" name="link-citations">
    <vt:lpwstr>True</vt:lpwstr>
  </property>
  <property fmtid="{D5CDD505-2E9C-101B-9397-08002B2CF9AE}" pid="6" name="reference-section-title">
    <vt:lpwstr>Literaturverzeichnis</vt:lpwstr>
  </property>
  <property fmtid="{D5CDD505-2E9C-101B-9397-08002B2CF9AE}" pid="7" name="subtitle">
    <vt:lpwstr>Preliminary Research Architecture for a Hybrid Spatial Spiking System — Version 0.2</vt:lpwstr>
  </property>
  <property fmtid="{D5CDD505-2E9C-101B-9397-08002B2CF9AE}" pid="8" name="toc-title">
    <vt:lpwstr>Inhaltsverzeichnis</vt:lpwstr>
  </property>
</Properties>
</file>