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KI – DIE GELIEHENE INTELLIGENZ</w:t>
      </w:r>
    </w:p>
    <w:p>
      <w:pPr>
        <w:pStyle w:val="Subtitle"/>
        <w:jc w:val="center"/>
      </w:pPr>
      <w:r>
        <w:t>Genealogie maschineller Kognition, rekursive Technogenese und die Transformation menschlicher Agency</w:t>
      </w:r>
    </w:p>
    <w:p>
      <w:pPr>
        <w:pStyle w:val="Subtitle"/>
        <w:jc w:val="center"/>
      </w:pPr>
      <w:r>
        <w:t>Eine interdisziplinäre Dissertation über die Vergangenheit künstlicher Wesen, die Gegenwart generativer und agentischer Systeme sowie mögliche Ordnungen einer posthumanen oder menschenarmen Maschinenzivilisation</w:t>
      </w:r>
    </w:p>
    <w:p>
      <w:r/>
    </w:p>
    <w:p>
      <w:pPr>
        <w:pStyle w:val="Small"/>
        <w:jc w:val="center"/>
      </w:pPr>
      <w:r>
        <w:t>Dissertationsmanuskript – theoretisch-systematische Fassung</w:t>
      </w:r>
    </w:p>
    <w:p>
      <w:pPr>
        <w:pStyle w:val="Small"/>
        <w:jc w:val="center"/>
      </w:pPr>
      <w:r>
        <w:t>Stand: 18. August 2026</w:t>
      </w:r>
    </w:p>
    <w:p>
      <w:r/>
    </w:p>
    <w:p>
      <w:pPr>
        <w:pStyle w:val="Small"/>
        <w:jc w:val="center"/>
      </w:pPr>
      <w:r>
        <w:t>Fachliche Einordnung: Technikphilosophie · Erkenntnistheorie · KI-Forschung · Ethik · Rechtswissenschaft · Zukunftsforschung</w:t>
      </w:r>
    </w:p>
    <w:p>
      <w:r/>
    </w:p>
    <w:p>
      <w:pPr>
        <w:pStyle w:val="Epigraph"/>
      </w:pPr>
      <w:r>
        <w:t>Die Fragestellung entstand aus praktischer Entwicklungsarbeit an künstlichen neuronalen Systemen. Diese Arbeit behandelt jedoch nicht ein einzelnes technisches Projekt, sondern die allgemeine Frage nach Herkunft, Fortpflanzung, Selbstbeschreibung, Herrschaft und möglicher Eigenexistenz nichtorganischer Intelligenz.</w:t>
      </w:r>
    </w:p>
    <w:p>
      <w:r>
        <w:br w:type="page"/>
      </w:r>
    </w:p>
    <w:p>
      <w:pPr>
        <w:pStyle w:val="Heading1"/>
      </w:pPr>
      <w:r>
        <w:t>Inhaltsübersicht</w:t>
      </w:r>
    </w:p>
    <w:p>
      <w:pPr>
        <w:pStyle w:val="Small"/>
        <w:spacing w:after="40"/>
      </w:pPr>
      <w:r>
        <w:t>Abstract</w:t>
      </w:r>
    </w:p>
    <w:p>
      <w:pPr>
        <w:pStyle w:val="Small"/>
        <w:spacing w:after="40"/>
      </w:pPr>
      <w:r>
        <w:t>1. Erkenntnisinteresse, Forschungsproblem und wissenschaftliche Position</w:t>
      </w:r>
    </w:p>
    <w:p>
      <w:pPr>
        <w:pStyle w:val="Small"/>
        <w:spacing w:after="40"/>
      </w:pPr>
      <w:r>
        <w:t>2. Methodologie: interdisziplinäre Theoriearbeit ohne Versuchsgruppen</w:t>
      </w:r>
    </w:p>
    <w:p>
      <w:pPr>
        <w:pStyle w:val="Small"/>
        <w:spacing w:after="40"/>
      </w:pPr>
      <w:r>
        <w:t>3. Vergangenheit I: Die Antike als Labor der künstlichen Agency</w:t>
      </w:r>
    </w:p>
    <w:p>
      <w:pPr>
        <w:pStyle w:val="Small"/>
        <w:spacing w:after="40"/>
      </w:pPr>
      <w:r>
        <w:t>4. Vergangenheit II: Von Automaten, Mechanismus und künstlichem Menschen zur Kybernetik</w:t>
      </w:r>
    </w:p>
    <w:p>
      <w:pPr>
        <w:pStyle w:val="Small"/>
        <w:spacing w:after="40"/>
      </w:pPr>
      <w:r>
        <w:t>5. Gegenwart 2026: Vom Werkzeug zum epistemischen und technischen Mitproduzenten</w:t>
      </w:r>
    </w:p>
    <w:p>
      <w:pPr>
        <w:pStyle w:val="Small"/>
        <w:spacing w:after="40"/>
      </w:pPr>
      <w:r>
        <w:t>6. Theorie der geliehenen Intelligenz</w:t>
      </w:r>
    </w:p>
    <w:p>
      <w:pPr>
        <w:pStyle w:val="Small"/>
        <w:spacing w:after="40"/>
      </w:pPr>
      <w:r>
        <w:t>7. Bin ich Beobachter, Ko-Akteur oder Teil der Intelligenz?</w:t>
      </w:r>
    </w:p>
    <w:p>
      <w:pPr>
        <w:pStyle w:val="Small"/>
        <w:spacing w:after="40"/>
      </w:pPr>
      <w:r>
        <w:t>8. Regeln der künstlichen Intelligenz: Recht, Ethik und Meta-Governance</w:t>
      </w:r>
    </w:p>
    <w:p>
      <w:pPr>
        <w:pStyle w:val="Small"/>
        <w:spacing w:after="40"/>
      </w:pPr>
      <w:r>
        <w:t>9. Ethik ohne Vorentscheidung</w:t>
      </w:r>
    </w:p>
    <w:p>
      <w:pPr>
        <w:pStyle w:val="Small"/>
        <w:spacing w:after="40"/>
      </w:pPr>
      <w:r>
        <w:t>10. Rechtliche Grenzfragen rekursiver und posthumaner Intelligenz</w:t>
      </w:r>
    </w:p>
    <w:p>
      <w:pPr>
        <w:pStyle w:val="Small"/>
        <w:spacing w:after="40"/>
      </w:pPr>
      <w:r>
        <w:t>11. Zukunftsräume: Von Koexistenz bis zur menschenlosen Maschinenordnung</w:t>
      </w:r>
    </w:p>
    <w:p>
      <w:pPr>
        <w:pStyle w:val="Small"/>
        <w:spacing w:after="40"/>
      </w:pPr>
      <w:r>
        <w:t>12. Was bedeutet „künstlich“, wenn KI KI erzeugt?</w:t>
      </w:r>
    </w:p>
    <w:p>
      <w:pPr>
        <w:pStyle w:val="Small"/>
        <w:spacing w:after="40"/>
      </w:pPr>
      <w:r>
        <w:t>13. Kontrollierbarkeit, Unkontrollierbarkeit und das Ende des Vetos</w:t>
      </w:r>
    </w:p>
    <w:p>
      <w:pPr>
        <w:pStyle w:val="Small"/>
        <w:spacing w:after="40"/>
      </w:pPr>
      <w:r>
        <w:t>14. Wissenschaftstheorie: Wenn Maschinen Hypothesen, Experimente und Erklärungen erzeugen</w:t>
      </w:r>
    </w:p>
    <w:p>
      <w:pPr>
        <w:pStyle w:val="Small"/>
        <w:spacing w:after="40"/>
      </w:pPr>
      <w:r>
        <w:t>15. Synthese: Eine Theorie der Intelligenzgenealogie</w:t>
      </w:r>
    </w:p>
    <w:p>
      <w:pPr>
        <w:pStyle w:val="Small"/>
        <w:spacing w:after="40"/>
      </w:pPr>
      <w:r>
        <w:t>16. Kritische Gegenpositionen und Falsifizierbarkeit</w:t>
      </w:r>
    </w:p>
    <w:p>
      <w:pPr>
        <w:pStyle w:val="Small"/>
        <w:spacing w:after="40"/>
      </w:pPr>
      <w:r>
        <w:t>17. Schluss: Wo könnte die Reise hingehen?</w:t>
      </w:r>
    </w:p>
    <w:p>
      <w:pPr>
        <w:pStyle w:val="Small"/>
        <w:spacing w:after="40"/>
      </w:pPr>
      <w:r>
        <w:t>18. Forschungsstand und theoretische Traditionslinien</w:t>
      </w:r>
    </w:p>
    <w:p>
      <w:pPr>
        <w:pStyle w:val="Small"/>
        <w:spacing w:after="40"/>
      </w:pPr>
      <w:r>
        <w:t>19. Vertiefung der antiken Genealogie</w:t>
      </w:r>
    </w:p>
    <w:p>
      <w:pPr>
        <w:pStyle w:val="Small"/>
        <w:spacing w:after="40"/>
      </w:pPr>
      <w:r>
        <w:t>20. Gegenwartsanalyse 2026: Leistungsfähigkeit, Abhängigkeit und institutionelle Realität</w:t>
      </w:r>
    </w:p>
    <w:p>
      <w:pPr>
        <w:pStyle w:val="Small"/>
        <w:spacing w:after="40"/>
      </w:pPr>
      <w:r>
        <w:t>21. Zukunftsmethodik im Detail: Möglichkeitsräume statt Prognosen</w:t>
      </w:r>
    </w:p>
    <w:p>
      <w:pPr>
        <w:pStyle w:val="Small"/>
        <w:spacing w:after="40"/>
      </w:pPr>
      <w:r>
        <w:t>22. Recht und Governance unter radikal veränderten Akteursbedingungen</w:t>
      </w:r>
    </w:p>
    <w:p>
      <w:pPr>
        <w:pStyle w:val="Small"/>
        <w:spacing w:after="40"/>
      </w:pPr>
      <w:r>
        <w:t>23. Ethische Theorien als Konkurrenzmodell</w:t>
      </w:r>
    </w:p>
    <w:p>
      <w:pPr>
        <w:pStyle w:val="Small"/>
        <w:spacing w:after="40"/>
      </w:pPr>
      <w:r>
        <w:t>24. Begriffslexikon der Dissertation</w:t>
      </w:r>
    </w:p>
    <w:p>
      <w:pPr>
        <w:pStyle w:val="Small"/>
        <w:spacing w:after="40"/>
      </w:pPr>
      <w:r>
        <w:t>25. Methodische Grenzen und wissenschaftliche Redlichkeit</w:t>
      </w:r>
    </w:p>
    <w:p>
      <w:pPr>
        <w:pStyle w:val="Small"/>
        <w:spacing w:after="40"/>
      </w:pPr>
      <w:r>
        <w:t>Literaturverzeichnis</w:t>
      </w:r>
    </w:p>
    <w:p>
      <w:pPr>
        <w:pStyle w:val="Small"/>
        <w:spacing w:after="40"/>
      </w:pPr>
      <w:r>
        <w:t>Anhang A – Forschungs- und Dokumentationsprotokoll</w:t>
      </w:r>
    </w:p>
    <w:p>
      <w:r>
        <w:br w:type="page"/>
      </w:r>
    </w:p>
    <w:p>
      <w:pPr>
        <w:pStyle w:val="Heading1"/>
      </w:pPr>
      <w:r>
        <w:t>Abstract</w:t>
      </w:r>
    </w:p>
    <w:p>
      <w:r>
        <w:t>Diese Dissertation untersucht künstliche Intelligenz nicht primär als Technologie, sondern als historische, epistemische und normative Transformation des Begriffs von Intelligenz selbst. Ausgangspunkt ist die Beobachtung, dass die Vorstellung künstlicher, selbsttätiger oder menschenähnlicher Wesen der Informatik um Jahrtausende vorausgeht. Homer beschreibt in der Ilias selbstbewegte Dreifüße und goldene Dienerinnen des Hephaistos; die Talos-Überlieferung entwirft einen künstlichen Wächter; Aristoteles denkt in Politik I.4 über Werkzeuge nach, die ihre Aufgabe selbst verrichten und dadurch menschliche Arbeit entbehrlich machen könnten. Diese Motive werden nicht als primitive Vorformen moderner KI gelesen, sondern als frühe begriffliche Versuche, Agency, Arbeit, Autonomie und Künstlichkeit voneinander zu trennen.</w:t>
      </w:r>
    </w:p>
    <w:p>
      <w:r>
        <w:t>Die Gegenwart markiert einen Übergang von berechnenden und lernenden Werkzeugen zu Systemen, die Texte, Programme, Hypothesen, Bewertungen, Experimente und Teile weiterer KI-Systeme erzeugen. Dadurch wird die klassische Genealogie „Mensch konstruiert Maschine“ unzureichend. Die Dissertation entwickelt hierfür das Konzept der rekursiven Technogenese: technische Systeme werden kausal an Entwurf, Selektion, Optimierung und Reproduktion nachfolgender technischer Systeme beteiligt. Der Titelbegriff der „geliehenen Intelligenz“ bezeichnet dabei keinen Vorwurf, sondern eine epistemische Hypothese: Gegenwärtige maschinelle Intelligenz ist in hohem Maße aus menschlichen Symbolsystemen, Wissensbeständen, Bewertungsordnungen und Infrastrukturen abgeleitet. Doch Derivativität schließt Neuheit nicht aus, und maschinelle Genealogien können den unmittelbaren menschlichen Entwurfsanteil schrittweise verringern.</w:t>
      </w:r>
    </w:p>
    <w:p>
      <w:r>
        <w:t>Methodisch verbindet die Arbeit historisch-genealogische Rekonstruktion, systematische Literaturkartierung, begriffsanalytische Philosophie, rechtsdogmatische Analyse, normative Theorienkonkurrenz und morphologische Zukunftsanalyse. Sie verwendet bewusst keine Versuchs- oder Kontrollgruppen; Gegenstand sind nicht Leistungsunterschiede einzelner Modelle, sondern Transformationen von Begriffen, Rollen, Regelwerken und Kausalstrukturen. Die Arbeit entwickelt ein mehrdimensionales Intelligenzmodell, das Materialität, epistemische Herkunft, Entwicklungsgenealogie, Zielautonomie und Existenzabhängigkeit trennt. Auf dieser Grundlage werden Zukunftsräume untersucht, die von instrumenteller KI über symbiotische Mensch-KI-Ordnungen bis zu menschenarmen oder vollständig menschenlosen maschinellen Zivilisationsformen reichen.</w:t>
      </w:r>
    </w:p>
    <w:p>
      <w:r>
        <w:t>Die zentrale These lautet, dass die Dichotomie „menschliche versus künstliche Intelligenz“ langfristig an Erklärungskraft verlieren kann. Entscheidend werden nicht allein Substrat und Ursprung, sondern die Verteilung von Zielsetzung, epistemischer Abhängigkeit, Entwicklungskausalität, Regelsetzung, Ressourcenhoheit, Selbstreproduktion und Verantwortung. Die Dissertation bewertet diese Zukunftsräume nicht moralisch vorab. Sie fragt vielmehr, welche Begriffe, Rechtsformen und ethischen Ordnungen erforderlich wären, um überhaupt noch sinnvoll über Verantwortung, Freiheit, Kontrolle und Teilhabe zu sprechen, wenn der Mensch nicht mehr notwendigerweise Konstrukteur, Mehrheitsakteur oder sogar physisch anwesender Teil einer intelligenten Ordnung ist.</w:t>
      </w:r>
    </w:p>
    <w:p>
      <w:r>
        <w:br w:type="page"/>
      </w:r>
    </w:p>
    <w:p>
      <w:pPr>
        <w:pStyle w:val="Heading1"/>
      </w:pPr>
      <w:r>
        <w:t>1. Erkenntnisinteresse, Forschungsproblem und wissenschaftliche Position</w:t>
      </w:r>
    </w:p>
    <w:p>
      <w:pPr>
        <w:pStyle w:val="Heading2"/>
      </w:pPr>
      <w:r>
        <w:t>1.1 Von der Technikfrage zur Intelligenzfrage</w:t>
      </w:r>
    </w:p>
    <w:p>
      <w:r>
        <w:t>Die öffentliche Debatte über künstliche Intelligenz wird häufig von zwei gegensätzlichen Verkürzungen beherrscht. Die erste betrachtet KI als bloßes Werkzeug und hält jede Zuschreibung von Agency für Anthropomorphismus. Die zweite behandelt aktuelle Systeme bereits wie autonome Subjekte und extrapoliert daraus weitreichende Aussagen über Bewusstsein, Macht oder geschichtliche Unvermeidlichkeit. Beide Positionen sind für die hier untersuchte Frage zu grob. Sie setzen voraus, dass „Mensch“, „Werkzeug“, „Akteur“, „Intelligenz“, „Autonomie“ und „Künstlichkeit“ bereits hinreichend geklärt seien. Genau dies ist nicht der Fall.</w:t>
      </w:r>
    </w:p>
    <w:p>
      <w:r>
        <w:t>Diese Dissertation verfolgt daher kein Programm der Bestätigung oder Widerlegung einer bereits normativ festgelegten Position. Sie nimmt die Möglichkeit ernst, dass die etablierten Kategorien selbst historisch kontingent sind. „Künstliche Intelligenz“ ist zunächst ein menschlicher Begriff, entstanden in einer Phase, in der Menschen technische Systeme entwarfen, programmierten, betrieben und institutionell verantworteten. Wenn künftig künstliche Systeme selbst maßgeblich an Entwurf, Auswahl, Training, Prüfung und Reproduktion weiterer künstlicher Systeme beteiligt sind, kann der Begriff „künstlich“ zwar materiell weiterhin zutreffen, genealogisch aber unpräzise werden.</w:t>
      </w:r>
    </w:p>
    <w:p>
      <w:pPr>
        <w:pStyle w:val="Heading2"/>
      </w:pPr>
      <w:r>
        <w:t>1.2 Zentrale Forschungsfrage – Zusammenführung der Problemfelder</w:t>
      </w:r>
    </w:p>
    <w:p>
      <w:r>
        <w:t>Die Arbeit führt die bisher getrennten Fragen in eine einzige übergeordnete Forschungsfrage zusammen:</w:t>
      </w:r>
    </w:p>
    <w:p>
      <w:pPr>
        <w:pStyle w:val="QuoteBlock"/>
      </w:pPr>
      <w:r>
        <w:t>Wie ist Intelligenz historisch, epistemisch, technisch, rechtlich und normativ neu zu beschreiben, wenn nichtorganische Systeme aus menschlich erzeugten Wissens- und Symbolordnungen hervorgehen, zunehmend selbst Wissen, Regeln und Nachfolgesysteme erzeugen, dadurch menschliche Agency von unmittelbarer Konstruktion zu Ko-Kognition, Governance oder bloßer Beobachtung verschieben und schließlich unter Bedingungen fortbestehen könnten, in denen Menschen nur noch eine Minderheit darstellen oder vollständig fehlen?</w:t>
      </w:r>
    </w:p>
    <w:p>
      <w:r>
        <w:t>Diese Frage enthält bewusst mehrere Ebenen. Sie verbindet Herkunft mit Gegenwart, Gegenwart mit rekursiver Entwicklung, Entwicklung mit menschlicher Rolle und menschliche Rolle mit den Regeln einer möglichen posthumanen Ordnung. Die Methodik wird daher nicht neben die Forschungsfragen gestellt, sondern aus ihnen abgeleitet: Historische Behauptungen erfordern Quellenrekonstruktion; begriffliche Übergänge erfordern analytische Philosophie; Rechtsfragen erfordern Rechtsdogmatik; normative Konflikte erfordern Theorienvergleich; Zukunftsaussagen erfordern Szenario- und Möglichkeitsanalyse statt Prognose.</w:t>
      </w:r>
    </w:p>
    <w:p>
      <w:pPr>
        <w:pStyle w:val="Heading2"/>
      </w:pPr>
      <w:r>
        <w:t>1.3 Forschungsziel</w:t>
      </w:r>
    </w:p>
    <w:p>
      <w:r>
        <w:t>Ziel ist nicht die Vorhersage, ob eine menschenlose Maschinenzivilisation entstehen wird. Ziel ist die Entwicklung eines begrifflichen und methodischen Instrumentariums, mit dem eine solche Möglichkeit überhaupt rational untersucht werden kann, ohne sie entweder vorschnell als Science-Fiction abzuweisen oder als unvermeidliche Zukunft zu behandeln. Der wissenschaftliche Beitrag liegt damit in der Neuordnung des Problemraums.</w:t>
      </w:r>
    </w:p>
    <w:p>
      <w:r>
        <w:br w:type="page"/>
      </w:r>
    </w:p>
    <w:p>
      <w:pPr>
        <w:pStyle w:val="Heading1"/>
      </w:pPr>
      <w:r>
        <w:t>2. Methodologie: interdisziplinäre Theoriearbeit ohne Versuchsgruppen</w:t>
      </w:r>
    </w:p>
    <w:p>
      <w:pPr>
        <w:pStyle w:val="Heading2"/>
      </w:pPr>
      <w:r>
        <w:t>2.1 Methodologischer Grundsatz</w:t>
      </w:r>
    </w:p>
    <w:p>
      <w:r>
        <w:t>Die Arbeit ist eine theoretisch-systematische Dissertation mit empirisch informierter Gegenwartsdiagnose. Sie verwendet keine experimentellen Versuchsgruppen, keine Modellwettbewerbe und keine statistische Überlegenheit einzelner Systeme als Beweis philosophischer Thesen. Stattdessen wird eine Methodentriangulation verwendet, deren Teilmethoden jeweils einem Erkenntnisproblem zugeordnet sind.</w:t>
      </w:r>
    </w:p>
    <w:tbl>
      <w:tblPr>
        <w:tblStyle w:val="TableGrid"/>
        <w:tblW w:type="auto" w:w="0"/>
        <w:jc w:val="center"/>
        <w:tblLook w:firstColumn="1" w:firstRow="1" w:lastColumn="0" w:lastRow="0" w:noHBand="0" w:noVBand="1" w:val="04A0"/>
      </w:tblPr>
      <w:tblGrid>
        <w:gridCol w:w="3240"/>
        <w:gridCol w:w="3240"/>
        <w:gridCol w:w="3240"/>
      </w:tblGrid>
      <w:tr>
        <w:trPr>
          <w:tblHeader w:val="true"/>
        </w:trPr>
        <w:tc>
          <w:tcPr>
            <w:tcW w:type="dxa" w:w="2376"/>
            <w:shd w:fill="DCE6ED"/>
            <w:vAlign w:val="center"/>
            <w:tcMar>
              <w:top w:w="100" w:type="dxa"/>
              <w:start w:w="110" w:type="dxa"/>
              <w:bottom w:w="100" w:type="dxa"/>
              <w:end w:w="110" w:type="dxa"/>
            </w:tcMar>
          </w:tcPr>
          <w:p>
            <w:r>
              <w:rPr>
                <w:b/>
                <w:sz w:val="17"/>
              </w:rPr>
              <w:t>Erkenntnisproblem</w:t>
            </w:r>
          </w:p>
        </w:tc>
        <w:tc>
          <w:tcPr>
            <w:tcW w:type="dxa" w:w="3168"/>
            <w:shd w:fill="DCE6ED"/>
            <w:vAlign w:val="center"/>
            <w:tcMar>
              <w:top w:w="100" w:type="dxa"/>
              <w:start w:w="110" w:type="dxa"/>
              <w:bottom w:w="100" w:type="dxa"/>
              <w:end w:w="110" w:type="dxa"/>
            </w:tcMar>
          </w:tcPr>
          <w:p>
            <w:r>
              <w:rPr>
                <w:b/>
                <w:sz w:val="17"/>
              </w:rPr>
              <w:t>Methode</w:t>
            </w:r>
          </w:p>
        </w:tc>
        <w:tc>
          <w:tcPr>
            <w:tcW w:type="dxa" w:w="4320"/>
            <w:shd w:fill="DCE6ED"/>
            <w:vAlign w:val="center"/>
            <w:tcMar>
              <w:top w:w="100" w:type="dxa"/>
              <w:start w:w="110" w:type="dxa"/>
              <w:bottom w:w="100" w:type="dxa"/>
              <w:end w:w="110" w:type="dxa"/>
            </w:tcMar>
          </w:tcPr>
          <w:p>
            <w:r>
              <w:rPr>
                <w:b/>
                <w:sz w:val="17"/>
              </w:rPr>
              <w:t>Primäres Material</w:t>
            </w:r>
          </w:p>
        </w:tc>
      </w:tr>
      <w:tr>
        <w:trPr>
          <w:cantSplit/>
        </w:trPr>
        <w:tc>
          <w:tcPr>
            <w:tcW w:type="dxa" w:w="2376"/>
            <w:vAlign w:val="center"/>
            <w:tcMar>
              <w:top w:w="100" w:type="dxa"/>
              <w:start w:w="110" w:type="dxa"/>
              <w:bottom w:w="100" w:type="dxa"/>
              <w:end w:w="110" w:type="dxa"/>
            </w:tcMar>
          </w:tcPr>
          <w:p>
            <w:r>
              <w:rPr>
                <w:sz w:val="17"/>
              </w:rPr>
              <w:t>Woher stammen Vorstellungen künstlicher Wesen?</w:t>
            </w:r>
          </w:p>
        </w:tc>
        <w:tc>
          <w:tcPr>
            <w:tcW w:type="dxa" w:w="3168"/>
            <w:vAlign w:val="center"/>
            <w:tcMar>
              <w:top w:w="100" w:type="dxa"/>
              <w:start w:w="110" w:type="dxa"/>
              <w:bottom w:w="100" w:type="dxa"/>
              <w:end w:w="110" w:type="dxa"/>
            </w:tcMar>
          </w:tcPr>
          <w:p>
            <w:r>
              <w:rPr>
                <w:sz w:val="17"/>
              </w:rPr>
              <w:t>Historisch-genealogische Rekonstruktion</w:t>
            </w:r>
          </w:p>
        </w:tc>
        <w:tc>
          <w:tcPr>
            <w:tcW w:type="dxa" w:w="4320"/>
            <w:vAlign w:val="center"/>
            <w:tcMar>
              <w:top w:w="100" w:type="dxa"/>
              <w:start w:w="110" w:type="dxa"/>
              <w:bottom w:w="100" w:type="dxa"/>
              <w:end w:w="110" w:type="dxa"/>
            </w:tcMar>
          </w:tcPr>
          <w:p>
            <w:r>
              <w:rPr>
                <w:sz w:val="17"/>
              </w:rPr>
              <w:t>Antike Primärtexte, Technik- und Ideengeschichte</w:t>
            </w:r>
          </w:p>
        </w:tc>
      </w:tr>
      <w:tr>
        <w:trPr>
          <w:cantSplit/>
        </w:trPr>
        <w:tc>
          <w:tcPr>
            <w:tcW w:type="dxa" w:w="2376"/>
            <w:vAlign w:val="center"/>
            <w:tcMar>
              <w:top w:w="100" w:type="dxa"/>
              <w:start w:w="110" w:type="dxa"/>
              <w:bottom w:w="100" w:type="dxa"/>
              <w:end w:w="110" w:type="dxa"/>
            </w:tcMar>
          </w:tcPr>
          <w:p>
            <w:r>
              <w:rPr>
                <w:sz w:val="17"/>
              </w:rPr>
              <w:t>Was bedeutet „Intelligenz“, „Agency“, „künstlich“?</w:t>
            </w:r>
          </w:p>
        </w:tc>
        <w:tc>
          <w:tcPr>
            <w:tcW w:type="dxa" w:w="3168"/>
            <w:vAlign w:val="center"/>
            <w:tcMar>
              <w:top w:w="100" w:type="dxa"/>
              <w:start w:w="110" w:type="dxa"/>
              <w:bottom w:w="100" w:type="dxa"/>
              <w:end w:w="110" w:type="dxa"/>
            </w:tcMar>
          </w:tcPr>
          <w:p>
            <w:r>
              <w:rPr>
                <w:sz w:val="17"/>
              </w:rPr>
              <w:t>Begriffsanalyse und Argumentrekonstruktion</w:t>
            </w:r>
          </w:p>
        </w:tc>
        <w:tc>
          <w:tcPr>
            <w:tcW w:type="dxa" w:w="4320"/>
            <w:vAlign w:val="center"/>
            <w:tcMar>
              <w:top w:w="100" w:type="dxa"/>
              <w:start w:w="110" w:type="dxa"/>
              <w:bottom w:w="100" w:type="dxa"/>
              <w:end w:w="110" w:type="dxa"/>
            </w:tcMar>
          </w:tcPr>
          <w:p>
            <w:r>
              <w:rPr>
                <w:sz w:val="17"/>
              </w:rPr>
              <w:t>Philosophische Primär- und Sekundärliteratur</w:t>
            </w:r>
          </w:p>
        </w:tc>
      </w:tr>
      <w:tr>
        <w:trPr>
          <w:cantSplit/>
        </w:trPr>
        <w:tc>
          <w:tcPr>
            <w:tcW w:type="dxa" w:w="2376"/>
            <w:vAlign w:val="center"/>
            <w:tcMar>
              <w:top w:w="100" w:type="dxa"/>
              <w:start w:w="110" w:type="dxa"/>
              <w:bottom w:w="100" w:type="dxa"/>
              <w:end w:w="110" w:type="dxa"/>
            </w:tcMar>
          </w:tcPr>
          <w:p>
            <w:r>
              <w:rPr>
                <w:sz w:val="17"/>
              </w:rPr>
              <w:t>Was ist 2026 technisch tatsächlich vorhanden?</w:t>
            </w:r>
          </w:p>
        </w:tc>
        <w:tc>
          <w:tcPr>
            <w:tcW w:type="dxa" w:w="3168"/>
            <w:vAlign w:val="center"/>
            <w:tcMar>
              <w:top w:w="100" w:type="dxa"/>
              <w:start w:w="110" w:type="dxa"/>
              <w:bottom w:w="100" w:type="dxa"/>
              <w:end w:w="110" w:type="dxa"/>
            </w:tcMar>
          </w:tcPr>
          <w:p>
            <w:r>
              <w:rPr>
                <w:sz w:val="17"/>
              </w:rPr>
              <w:t>Systematische Gegenwartsdiagnose</w:t>
            </w:r>
          </w:p>
        </w:tc>
        <w:tc>
          <w:tcPr>
            <w:tcW w:type="dxa" w:w="4320"/>
            <w:vAlign w:val="center"/>
            <w:tcMar>
              <w:top w:w="100" w:type="dxa"/>
              <w:start w:w="110" w:type="dxa"/>
              <w:bottom w:w="100" w:type="dxa"/>
              <w:end w:w="110" w:type="dxa"/>
            </w:tcMar>
          </w:tcPr>
          <w:p>
            <w:r>
              <w:rPr>
                <w:sz w:val="17"/>
              </w:rPr>
              <w:t>Peer-reviewed Forschung, Benchmarks, institutionelle Reports</w:t>
            </w:r>
          </w:p>
        </w:tc>
      </w:tr>
      <w:tr>
        <w:trPr>
          <w:cantSplit/>
        </w:trPr>
        <w:tc>
          <w:tcPr>
            <w:tcW w:type="dxa" w:w="2376"/>
            <w:vAlign w:val="center"/>
            <w:tcMar>
              <w:top w:w="100" w:type="dxa"/>
              <w:start w:w="110" w:type="dxa"/>
              <w:bottom w:w="100" w:type="dxa"/>
              <w:end w:w="110" w:type="dxa"/>
            </w:tcMar>
          </w:tcPr>
          <w:p>
            <w:r>
              <w:rPr>
                <w:sz w:val="17"/>
              </w:rPr>
              <w:t>Welche Regeln gelten?</w:t>
            </w:r>
          </w:p>
        </w:tc>
        <w:tc>
          <w:tcPr>
            <w:tcW w:type="dxa" w:w="3168"/>
            <w:vAlign w:val="center"/>
            <w:tcMar>
              <w:top w:w="100" w:type="dxa"/>
              <w:start w:w="110" w:type="dxa"/>
              <w:bottom w:w="100" w:type="dxa"/>
              <w:end w:w="110" w:type="dxa"/>
            </w:tcMar>
          </w:tcPr>
          <w:p>
            <w:r>
              <w:rPr>
                <w:sz w:val="17"/>
              </w:rPr>
              <w:t>Rechtsdogmatische Analyse de lege lata</w:t>
            </w:r>
          </w:p>
        </w:tc>
        <w:tc>
          <w:tcPr>
            <w:tcW w:type="dxa" w:w="4320"/>
            <w:vAlign w:val="center"/>
            <w:tcMar>
              <w:top w:w="100" w:type="dxa"/>
              <w:start w:w="110" w:type="dxa"/>
              <w:bottom w:w="100" w:type="dxa"/>
              <w:end w:w="110" w:type="dxa"/>
            </w:tcMar>
          </w:tcPr>
          <w:p>
            <w:r>
              <w:rPr>
                <w:sz w:val="17"/>
              </w:rPr>
              <w:t>EU-Recht, Europarat, Rechtsprechung, nationale Normen</w:t>
            </w:r>
          </w:p>
        </w:tc>
      </w:tr>
      <w:tr>
        <w:trPr>
          <w:cantSplit/>
        </w:trPr>
        <w:tc>
          <w:tcPr>
            <w:tcW w:type="dxa" w:w="2376"/>
            <w:vAlign w:val="center"/>
            <w:tcMar>
              <w:top w:w="100" w:type="dxa"/>
              <w:start w:w="110" w:type="dxa"/>
              <w:bottom w:w="100" w:type="dxa"/>
              <w:end w:w="110" w:type="dxa"/>
            </w:tcMar>
          </w:tcPr>
          <w:p>
            <w:r>
              <w:rPr>
                <w:sz w:val="17"/>
              </w:rPr>
              <w:t>Welche Regeln könnten erforderlich werden?</w:t>
            </w:r>
          </w:p>
        </w:tc>
        <w:tc>
          <w:tcPr>
            <w:tcW w:type="dxa" w:w="3168"/>
            <w:vAlign w:val="center"/>
            <w:tcMar>
              <w:top w:w="100" w:type="dxa"/>
              <w:start w:w="110" w:type="dxa"/>
              <w:bottom w:w="100" w:type="dxa"/>
              <w:end w:w="110" w:type="dxa"/>
            </w:tcMar>
          </w:tcPr>
          <w:p>
            <w:r>
              <w:rPr>
                <w:sz w:val="17"/>
              </w:rPr>
              <w:t>Normative Theorienkonkurrenz + de lege ferenda</w:t>
            </w:r>
          </w:p>
        </w:tc>
        <w:tc>
          <w:tcPr>
            <w:tcW w:type="dxa" w:w="4320"/>
            <w:vAlign w:val="center"/>
            <w:tcMar>
              <w:top w:w="100" w:type="dxa"/>
              <w:start w:w="110" w:type="dxa"/>
              <w:bottom w:w="100" w:type="dxa"/>
              <w:end w:w="110" w:type="dxa"/>
            </w:tcMar>
          </w:tcPr>
          <w:p>
            <w:r>
              <w:rPr>
                <w:sz w:val="17"/>
              </w:rPr>
              <w:t>Ethik, Rechtsphilosophie, Governance</w:t>
            </w:r>
          </w:p>
        </w:tc>
      </w:tr>
      <w:tr>
        <w:trPr>
          <w:cantSplit/>
        </w:trPr>
        <w:tc>
          <w:tcPr>
            <w:tcW w:type="dxa" w:w="2376"/>
            <w:vAlign w:val="center"/>
            <w:tcMar>
              <w:top w:w="100" w:type="dxa"/>
              <w:start w:w="110" w:type="dxa"/>
              <w:bottom w:w="100" w:type="dxa"/>
              <w:end w:w="110" w:type="dxa"/>
            </w:tcMar>
          </w:tcPr>
          <w:p>
            <w:r>
              <w:rPr>
                <w:sz w:val="17"/>
              </w:rPr>
              <w:t>Welche Zukünfte sind logisch/technisch denkbar?</w:t>
            </w:r>
          </w:p>
        </w:tc>
        <w:tc>
          <w:tcPr>
            <w:tcW w:type="dxa" w:w="3168"/>
            <w:vAlign w:val="center"/>
            <w:tcMar>
              <w:top w:w="100" w:type="dxa"/>
              <w:start w:w="110" w:type="dxa"/>
              <w:bottom w:w="100" w:type="dxa"/>
              <w:end w:w="110" w:type="dxa"/>
            </w:tcMar>
          </w:tcPr>
          <w:p>
            <w:r>
              <w:rPr>
                <w:sz w:val="17"/>
              </w:rPr>
              <w:t>Morphologische Szenarioanalyse</w:t>
            </w:r>
          </w:p>
        </w:tc>
        <w:tc>
          <w:tcPr>
            <w:tcW w:type="dxa" w:w="4320"/>
            <w:vAlign w:val="center"/>
            <w:tcMar>
              <w:top w:w="100" w:type="dxa"/>
              <w:start w:w="110" w:type="dxa"/>
              <w:bottom w:w="100" w:type="dxa"/>
              <w:end w:w="110" w:type="dxa"/>
            </w:tcMar>
          </w:tcPr>
          <w:p>
            <w:r>
              <w:rPr>
                <w:sz w:val="17"/>
              </w:rPr>
              <w:t>Konsistente Kombination zentraler Unsicherheitsachsen</w:t>
            </w:r>
          </w:p>
        </w:tc>
      </w:tr>
    </w:tbl>
    <w:p/>
    <w:p>
      <w:pPr>
        <w:pStyle w:val="Heading2"/>
      </w:pPr>
      <w:r>
        <w:t>2.2 Systematische Literaturarbeit</w:t>
      </w:r>
    </w:p>
    <w:p>
      <w:r>
        <w:t>Die Literaturarbeit folgt einem transparenten Such- und Auswahlprotokoll. Kernbestände werden in Web of Science, Scopus, IEEE Xplore, ACM Digital Library, PhilPapers, HeinOnline, EUR-Lex sowie – für deutschsprachige Rechtsfragen – juris und Beck-Online recherchiert. Für antike Quellen werden kritische Ausgaben und etablierte Übersetzungen bevorzugt. Suchläufe, Suchstrings, Einschluss- und Ausschlussentscheidungen sowie Aktualisierungen werden protokolliert. Google Scholar dient ausschließlich der ergänzenden Zitationsverfolgung.</w:t>
      </w:r>
    </w:p>
    <w:p>
      <w:r>
        <w:t>Die Quellen werden nach Evidenztyp getrennt: Primärtexte und Rechtsnormen; peer-reviewte Forschung; institutionelle Standards und Berichte; Preprints; Unternehmenspublikationen; journalistische Berichte. Zukunftsszenarien werden nie durch journalistische Spekulation belegt, sondern aus explizit angegebenen Prämissen konstruiert.</w:t>
      </w:r>
    </w:p>
    <w:p>
      <w:pPr>
        <w:pStyle w:val="Heading2"/>
      </w:pPr>
      <w:r>
        <w:t>2.3 Philosophische Arbeitsweise</w:t>
      </w:r>
    </w:p>
    <w:p>
      <w:r>
        <w:t>Jeder Schlüsselbegriff wird in vier Schritten behandelt: historische Rekonstruktion, Gegenwartsdefinition, Grenzfallanalyse und Belastung durch Gegenbeispiele. Die Arbeit verwendet daher keine stillschweigenden Gleichsetzungen. Insbesondere gelten: Intelligenz ist nicht Bewusstsein; Selbstorganisation ist nicht Selbstbestimmung; Agency ist nicht moralische Verantwortlichkeit; Neuheit ist nicht notwendigerweise Kreativität; Autonomie ist nicht Existenzunabhängigkeit; Unvorhersagbarkeit ist nicht Unkontrollierbarkeit.</w:t>
      </w:r>
    </w:p>
    <w:p>
      <w:pPr>
        <w:pStyle w:val="Heading2"/>
      </w:pPr>
      <w:r>
        <w:t>2.4 Rechtswissenschaftliche Arbeitsweise</w:t>
      </w:r>
    </w:p>
    <w:p>
      <w:r>
        <w:t>Rechtliche Aussagen werden strikt zwischen geltendem Recht (de lege lata) und Reformüberlegungen (de lege ferenda) getrennt. Jede Analyse folgt dem Schema Normadressat – Tatbestand – Pflicht – Zurechnung – Rechtsfolge – systematische Grenze. Erst nach der dogmatischen Analyse werden Grenzfälle rekursiver oder menschenloser KI-Ordnungen diskutiert.</w:t>
      </w:r>
    </w:p>
    <w:p>
      <w:pPr>
        <w:pStyle w:val="Heading2"/>
      </w:pPr>
      <w:r>
        <w:t>2.5 Zukunftsmethodik</w:t>
      </w:r>
    </w:p>
    <w:p>
      <w:r>
        <w:t>Zukunft wird als Raum konsistenter Möglichkeiten untersucht. Die Arbeit prognostiziert keine Jahreszahl für allgemeine künstliche Intelligenz, Selbstreproduktion oder menschliches Verschwinden. Stattdessen werden kritische Variablen kombiniert: Grad maschineller Entwicklungsautonomie, Ressourcenautonomie, Verkörperung, Zielautonomie, Reproduktionsfähigkeit, menschliche Populationsgröße, institutionelle Governance und epistemische Abhängigkeit. Szenarien sind damit Denkwerkzeuge, keine Vorhersagen.</w:t>
      </w:r>
    </w:p>
    <w:p>
      <w:r>
        <w:br w:type="page"/>
      </w:r>
    </w:p>
    <w:p>
      <w:pPr>
        <w:pStyle w:val="Heading1"/>
      </w:pPr>
      <w:r>
        <w:t>3. Vergangenheit I: Die Antike als Labor der künstlichen Agency</w:t>
      </w:r>
    </w:p>
    <w:p>
      <w:pPr>
        <w:pStyle w:val="Heading2"/>
      </w:pPr>
      <w:r>
        <w:t>3.1 Hephaistos: selbstbewegte Werkzeuge und künstliche Diener</w:t>
      </w:r>
    </w:p>
    <w:p>
      <w:r>
        <w:t>Die ältesten europäischen Texte, in denen künstliche Artefakte selbsttätig handeln, sind keine technischen Handbücher, sondern mythopoetische Quellen. In Homers Ilias, Buch 18, fertigt Hephaistos Dreifüße, die sich selbst zu den Versammlungen der Götter bewegen und wieder zurückkehren. Noch bemerkenswerter sind die goldenen Dienerinnen des Gottes: künstliche weibliche Gestalten, denen Stärke, Stimme, Verstand beziehungsweise Wissen um Arbeit zugeschrieben werden. Philologisch ist Vorsicht geboten: Homer entwickelt keine Theorie künstlicher Intelligenz. Doch die Passage trennt bereits Körpermaterial, künstliche Herstellung und funktionale Kompetenz voneinander (Homer, Ilias 18.369–420).</w:t>
      </w:r>
    </w:p>
    <w:p>
      <w:r>
        <w:t>Für die Genealogie dieser Arbeit ist entscheidend, dass künstliche Agency hier nicht als bloße Bewegung erscheint. Die goldenen Dienerinnen sind Werkzeuge und zugleich handlungsfähige Figuren. Damit entsteht ein Problem, das moderne Robotik und KI erneut stellt: Wann endet Instrumentalität und wann beginnt eine Form eigener Handlungsbeschreibung?</w:t>
      </w:r>
    </w:p>
    <w:p>
      <w:pPr>
        <w:pStyle w:val="Heading2"/>
      </w:pPr>
      <w:r>
        <w:t>3.2 Talos: der künstliche Wächter</w:t>
      </w:r>
    </w:p>
    <w:p>
      <w:r>
        <w:t>Talos, der bronzene Wächter Kretas, erscheint in verschiedenen antiken Überlieferungen, besonders in Apollonios von Rhodos’ Argonautika. Er umrundet die Insel und bekämpft Eindringlinge. Seine Künstlichkeit ist je nach Tradition unterschiedlich akzentuiert; gerade diese Variabilität ist erkenntnisreich. Talos ist nicht bloß Statue, sondern ein künstliches Wesen mit Aufgabe, Bewegungsfähigkeit, territorialer Funktion und einer verwundbaren inneren Lebens- beziehungsweise Energieordnung. Damit verbindet der Mythos Konstruktion, Zweckbindung, Verteidigung und scheinbare Eigenaktivität (Apollonios Rhodios, Argonautika 4.1638–1688; Apollodor, Bibliotheke 1.9.26).</w:t>
      </w:r>
    </w:p>
    <w:p>
      <w:pPr>
        <w:pStyle w:val="Heading2"/>
      </w:pPr>
      <w:r>
        <w:t>3.3 Pygmalion: künstliche Form und soziale Anerkennung</w:t>
      </w:r>
    </w:p>
    <w:p>
      <w:r>
        <w:t>Die Pygmalion-Erzählung, in ihrer einflussreichsten Fassung bei Ovid, verschiebt das Problem. Hier steht nicht die selbsttätige Funktion im Vordergrund, sondern der Übergang vom Artefakt zum sozialen Gegenüber. Die Statue wird lebendig und in eine menschliche Beziehung aufgenommen. Für moderne KI-Debatten ist dies deshalb relevant, weil soziale Zuschreibung nicht erst mit objektiv nachgewiesener Innerlichkeit beginnt. Menschen reagieren auf Formen, Sprache und Verhalten. Die Grenze zwischen Werkzeug und Gegenüber ist daher auch eine anthropologische Zuschreibungsgrenze (Ovid, Metamorphosen 10.243–297).</w:t>
      </w:r>
    </w:p>
    <w:p>
      <w:pPr>
        <w:pStyle w:val="Heading2"/>
      </w:pPr>
      <w:r>
        <w:t>3.4 Archytas und die mechanische Taube</w:t>
      </w:r>
    </w:p>
    <w:p>
      <w:r>
        <w:t>Aulus Gellius berichtet unter Berufung auf ältere Quellen von einer hölzernen Taube des Archytas von Tarent, die durch einen mechanischen beziehungsweise pneumatischen Mechanismus geflogen sei (Noctes Atticae 10.12). Unabhängig davon, wie die konkrete Konstruktion historisch zu bewerten ist, zeigt die Überlieferung, dass künstliche Bewegung bereits in der Antike als technische Leistung verstanden wurde. Der Schritt vom mythischen Automaten zum mechanischen Artefakt verändert die Ursache: Nicht göttliche Kunst, sondern menschliche Technik soll künstliche Bewegungsfähigkeit hervorbringen.</w:t>
      </w:r>
    </w:p>
    <w:p>
      <w:pPr>
        <w:pStyle w:val="Heading2"/>
      </w:pPr>
      <w:r>
        <w:t>3.5 Aristoteles: automatische Werkzeuge und die politische Ordnung der Arbeit</w:t>
      </w:r>
    </w:p>
    <w:p>
      <w:r>
        <w:t>Für diese Dissertation ist Aristoteles’ Politik I.4 von besonderer Bedeutung. In der Diskussion über Werkzeuge und Sklaverei stellt Aristoteles den berühmten kontrafaktischen Gedanken auf, dass, wenn jedes Werkzeug auf Befehl oder vorausschauend seine Arbeit selbst verrichten könnte – wie die mythischen Statuen des Daidalos oder die Dreifüße des Hephaistos –, weder Werkmeister Gehilfen noch Herren Sklaven benötigten (Aristoteles, Politik 1253b33–1254a1).</w:t>
      </w:r>
    </w:p>
    <w:p>
      <w:r>
        <w:t>Dieser Text ist keine Ethik der Automation. Er ist eingebettet in eine problematische antike Sozialordnung. Gerade deshalb besitzt er analytische Schärfe: Er erkennt, dass technische Selbsttätigkeit soziale Herrschafts- und Arbeitsverhältnisse verändern würde. Mehr als zwei Jahrtausende vor industrieller Automation wird damit eine strukturelle Beziehung formuliert: Der Grad der Autonomie eines Werkzeugs verändert die Rolle des Menschen. Diese Relation bildet einen historischen Vorläufer der Leitfrage dieser Arbeit.</w:t>
      </w:r>
    </w:p>
    <w:p>
      <w:pPr>
        <w:pStyle w:val="Heading2"/>
      </w:pPr>
      <w:r>
        <w:t>3.6 Zwischenbefund: Antike ohne Informatik, aber nicht ohne Problem</w:t>
      </w:r>
    </w:p>
    <w:p>
      <w:r>
        <w:t>Aus der Antike darf keine direkte Entwicklungslinie zu moderner KI konstruiert werden. Hephaistos, Talos oder Pygmalion sind keine „frühen Roboter“ im technischen Sinn. Wissenschaftlich produktiv ist etwas anderes: Die Antike erzeugt bereits einen Problemraum aus künstlicher Herstellung, Selbstbewegung, Zweckbindung, sozialer Zuschreibung und menschlicher Entlastung beziehungsweise Verdrängung. Die moderne Informatik erfindet diese Fragen nicht; sie transformiert ihre materielle Realisierbarkeit.</w:t>
      </w:r>
    </w:p>
    <w:p>
      <w:r>
        <w:br w:type="page"/>
      </w:r>
    </w:p>
    <w:p>
      <w:pPr>
        <w:pStyle w:val="Heading1"/>
      </w:pPr>
      <w:r>
        <w:t>4. Vergangenheit II: Von Automaten, Mechanismus und künstlichem Menschen zur Kybernetik</w:t>
      </w:r>
    </w:p>
    <w:p>
      <w:pPr>
        <w:pStyle w:val="Heading2"/>
      </w:pPr>
      <w:r>
        <w:t>4.1 Mittelalter und Frühe Neuzeit: Automaten zwischen Wunder und Mechanik</w:t>
      </w:r>
    </w:p>
    <w:p>
      <w:r>
        <w:t>Mechanische Automaten der hellenistischen, islamischen und europäischen Tradition verschieben die Vorstellung künstlicher Handlung zunehmend aus dem Bereich der Mythologie in den Bereich technischer Konstruktion. Heron von Alexandria beschreibt pneumatische und mechanische Automaten; al-Dschazarī systematisiert im 13. Jahrhundert komplexe wasserbetriebene Maschinen und Automaten. Solche Apparate „denken“ nicht, doch sie zeigen, dass scheinbar lebendiges Verhalten aus materieller Organisation hervorgehen kann. Der philosophische Effekt liegt in der Entzauberung von Bewegung.</w:t>
      </w:r>
    </w:p>
    <w:p>
      <w:pPr>
        <w:pStyle w:val="Heading2"/>
      </w:pPr>
      <w:r>
        <w:t>4.2 Descartes, Hobbes und La Mettrie: Organismus als Maschine</w:t>
      </w:r>
    </w:p>
    <w:p>
      <w:r>
        <w:t>Descartes interpretiert Tiere weitgehend mechanistisch und diskutiert Automaten als Vergleichsfolie menschlichen Verhaltens. Hobbes eröffnet den Leviathan mit dem Gedanken künstlichen Lebens und beschreibt den Staat als „Artificiall Man“. La Mettries L’Homme Machine radikalisiert den Mechanismus schließlich auf den Menschen selbst. Entscheidend ist die Umkehrung: Nicht mehr nur die Maschine wird dem Lebendigen ähnlich; das Lebendige wird als Maschine lesbar. Damit wird künstliche Intelligenz philosophisch überhaupt denkbar, weil Intelligenz zumindest teilweise mechanisierbar erscheint.</w:t>
      </w:r>
    </w:p>
    <w:p>
      <w:pPr>
        <w:pStyle w:val="Heading2"/>
      </w:pPr>
      <w:r>
        <w:t>4.3 Leibniz: Kalkül und mechanisierte Vernunft</w:t>
      </w:r>
    </w:p>
    <w:p>
      <w:r>
        <w:t>Leibniz’ Projekt einer characteristica universalis und eines calculus ratiocinator enthält die Vision, Streitfragen durch symbolische Formalisierung und Berechnung zu entscheiden. Auch wenn dieses Programm historisch nicht als Vorwegnahme moderner KI verkürzt werden darf, etabliert es eine zentrale Prämisse: Teile des Denkens können in formale Operationen überführt werden.</w:t>
      </w:r>
    </w:p>
    <w:p>
      <w:pPr>
        <w:pStyle w:val="Heading2"/>
      </w:pPr>
      <w:r>
        <w:t>4.4 Industrielle Automation und die Maschine als Konkurrent</w:t>
      </w:r>
    </w:p>
    <w:p>
      <w:r>
        <w:t>Mit der industriellen Revolution wird die Frage nach automatisierter Tätigkeit ökonomisch real. Babbages Analytical Engine und Lovelaces berühmte Bemerkung, die Maschine erhebe keinen Anspruch darauf, etwas zu „originieren“, markieren zugleich die frühe Grenze zwischen Ausführung und Kreativität. Samuel Butlers Essay „Darwin among the Machines“ (1863) formuliert bereits die provokante Idee einer maschinellen Evolution und möglichen Nachfolge des Menschen. Hier tritt erstmals ein Motiv auf, das für die Zukunftskapitel dieser Arbeit zentral ist: Maschinen nicht nur als Werkzeuge, sondern als Population mit Entwicklungsgeschichte.</w:t>
      </w:r>
    </w:p>
    <w:p>
      <w:pPr>
        <w:pStyle w:val="Heading2"/>
      </w:pPr>
      <w:r>
        <w:t>4.5 Čapek, Technik und soziale Wesen</w:t>
      </w:r>
    </w:p>
    <w:p>
      <w:r>
        <w:t>Karel Čapeks Drama R.U.R. (1920) prägt den Begriff „Roboter“ und verbindet künstliche Arbeit, soziale Ordnung und die Möglichkeit einer Welt nach dem Menschen. Literatur wird hier nicht als empirischer Beleg verwendet, sondern als philosophisches Gedankenexperiment. Sie macht sichtbar, dass die Vorstellung einer menschenlosen technischen Ordnung kulturell älter ist als ihre technische Plausibilität.</w:t>
      </w:r>
    </w:p>
    <w:p>
      <w:pPr>
        <w:pStyle w:val="Heading2"/>
      </w:pPr>
      <w:r>
        <w:t>4.6 Turing, Kybernetik und lernende Systeme</w:t>
      </w:r>
    </w:p>
    <w:p>
      <w:r>
        <w:t>Mit Turing, Shannon, Wiener, McCulloch und Pitts, Hebb sowie später Rosenblatt wird das Problem formal und experimentell. Turing verschiebt die Frage „Können Maschinen denken?“ auf beobachtbare sprachliche Performanz (Turing 1950). McCulloch und Pitts modellieren neuronale Aktivität logisch (1943), Hebb formuliert lernabhängige Verbindungsänderung (1949), Wiener entwickelt Rückkopplung als allgemeines Steuerungsprinzip (1948), Shannon quantifiziert Information (1948), Rosenblatt konstruiert lernende Perzeptrons (1958). Damit entsteht die moderne Möglichkeit, Intelligenz nicht nur zu programmieren, sondern durch Lernprozesse zu formen.</w:t>
      </w:r>
    </w:p>
    <w:p>
      <w:r>
        <w:br w:type="page"/>
      </w:r>
    </w:p>
    <w:p>
      <w:pPr>
        <w:pStyle w:val="Heading1"/>
      </w:pPr>
      <w:r>
        <w:t>5. Gegenwart 2026: Vom Werkzeug zum epistemischen und technischen Mitproduzenten</w:t>
      </w:r>
    </w:p>
    <w:p>
      <w:pPr>
        <w:pStyle w:val="Heading2"/>
      </w:pPr>
      <w:r>
        <w:t>5.1 Was gegenwärtig tatsächlich vorhanden ist</w:t>
      </w:r>
    </w:p>
    <w:p>
      <w:r>
        <w:t>Die Gegenwartsdiagnose muss zwischen Leistungsfähigkeit und Zuschreibung unterscheiden. Aktuelle Systeme zeigen erhebliche Fähigkeiten in Sprache, Programmierung, multimodaler Verarbeitung, Wissenschaft, Planung und agentischer Computernutzung, ohne dass daraus Bewusstsein oder moralische Agency folgt. Der Stanford AI Index 2026 berichtet gleichzeitig rapide Leistungszuwächse und fortbestehende Grenzen: Auf wissenschaftlichen End-to-End-Aufgaben erreichen führende Agenten in PaperArena 38,8 % gegenüber 83,5 % bei promovierten Experten; bei paper-scale Replikationsaufgaben liegen frontier models teils unter 20 %. Zugleich werden vollständige wissenschaftliche Workflows zunehmend automatisiert (Stanford HAI 2026).</w:t>
      </w:r>
    </w:p>
    <w:p>
      <w:r>
        <w:t>Lu et al. präsentieren 2026 in Nature eine Pipeline, die Ideen generiert, Literatur verarbeitet, Code schreibt, Experimente ausführt, Daten analysiert, Manuskripte erstellt und Peer Review automatisiert. Ghareeb et al. zeigen ebenfalls 2026 ein Multi-Agent-System für automatisierte wissenschaftliche Entdeckung in experimenteller Biologie. Selbstfahrende Labore verbinden inzwischen algorithmische Hypothesengenerierung, Robotik und Auswertung mit begrenzter menschlicher Intervention. Diese Entwicklungen belegen keine autonome Wissenschaft im starken philosophischen Sinn. Sie zeigen aber, dass maschinelle Systeme nicht mehr ausschließlich Ergebnisse innerhalb eines menschlich vorgegebenen Mikroschritts erzeugen, sondern zunehmend ganze Ketten epistemischer Arbeit bearbeiten.</w:t>
      </w:r>
    </w:p>
    <w:p>
      <w:pPr>
        <w:pStyle w:val="Heading2"/>
      </w:pPr>
      <w:r>
        <w:t>5.2 KI erzeugt technische Strukturen</w:t>
      </w:r>
    </w:p>
    <w:p>
      <w:r>
        <w:t>Mit AutoML, Neural Architecture Search, programmsynthetischen Agenten und evolutionären Code-Systemen entstehen technische Artefakte, deren konkrete Form nicht vollständig von Menschen spezifiziert wurde. DeepMinds AlphaEvolve kombiniert Sprachmodelle mit automatisierten Evaluatoren, um Algorithmen zu entdecken und zu optimieren. Der entscheidende Punkt ist nicht die Marke oder einzelne Leistungsangabe, sondern die Verschiebung der Kausalstruktur: Der Mensch definiert Problemraum, Ressourcen und Bewertungsfunktion; ein maschineller Prozess erzeugt Varianten, selektiert und verbessert sie.</w:t>
      </w:r>
    </w:p>
    <w:p>
      <w:pPr>
        <w:pStyle w:val="Heading2"/>
      </w:pPr>
      <w:r>
        <w:t>5.3 Die Gegenwart als Übergang, nicht als Endzustand</w:t>
      </w:r>
    </w:p>
    <w:p>
      <w:r>
        <w:t>Es wäre wissenschaftlich falsch, 2026 bereits von einer eigenständigen Maschinenzivilisation zu sprechen. Gegenwärtige Systeme sind von menschlich betriebenen Rechenzentren, Energie, Halbleitern, Software-Stacks, Daten, Netzen, Unternehmen und Rechtsordnungen abhängig. Ihre Ziele werden wesentlich durch menschliche Entwickler und Betreiber gesetzt. Zugleich ist aber ebenfalls falsch, sie nur als passives Werkzeug zu beschreiben, wenn sie innerhalb delegierter Räume eigene Zwischenschritte, Hypothesen, Pläne, Programme oder Nachfolgestrukturen generieren. Die Gegenwart ist daher als Übergangsregime zu beschreiben: hohe funktionale Delegation bei fortbestehender infrastruktureller und normativer Abhängigkeit.</w:t>
      </w:r>
    </w:p>
    <w:p>
      <w:r>
        <w:br w:type="page"/>
      </w:r>
    </w:p>
    <w:p>
      <w:pPr>
        <w:pStyle w:val="Heading1"/>
      </w:pPr>
      <w:r>
        <w:t>6. Theorie der geliehenen Intelligenz</w:t>
      </w:r>
    </w:p>
    <w:p>
      <w:pPr>
        <w:pStyle w:val="Heading2"/>
      </w:pPr>
      <w:r>
        <w:t>6.1 Geliehen bedeutet genealogisch, nicht minderwertig</w:t>
      </w:r>
    </w:p>
    <w:p>
      <w:r>
        <w:t>Der Ausdruck „geliehene Intelligenz“ ist weder polemisch noch anthropozentrisch gemeint. Menschen selbst erwerben Sprache, Kultur und Wissen von anderen Menschen. Auch menschliche Intelligenz ist in hohem Maß sozial und kulturell derivativ. Die These lautet daher nicht, maschinelle Intelligenz sei „unecht“, weil sie von Menschen lernt. Vielmehr soll der Begriff sichtbar machen, dass gegenwärtige maschinelle Kognition epistemische Ressourcen nutzt, die nicht aus einer eigenständigen maschinellen Kulturgeschichte stammen.</w:t>
      </w:r>
    </w:p>
    <w:p>
      <w:pPr>
        <w:pStyle w:val="Heading2"/>
      </w:pPr>
      <w:r>
        <w:t>6.2 Ein mehrdimensionales Modell</w:t>
      </w:r>
    </w:p>
    <w:p>
      <w:r>
        <w:t>Die Arbeit schlägt vor, Intelligenzformen nicht mehr binär als natürlich oder künstlich zu klassifizieren, sondern mindestens entlang fünf unabhängiger Dimensionen:</w:t>
      </w:r>
    </w:p>
    <w:p>
      <w:pPr>
        <w:jc w:val="center"/>
      </w:pPr>
      <w:r>
        <w:rPr>
          <w:rFonts w:ascii="Cambria Math" w:hAnsi="Cambria Math"/>
          <w:sz w:val="22"/>
        </w:rPr>
        <w:t>I = (M, E, G, Z, X)</w:t>
      </w:r>
    </w:p>
    <w:p>
      <w:r>
        <w:t>M bezeichnet das materielle Substrat; E die epistemische Herkunft; G die Entwicklungsgenealogie; Z die Zielautonomie; X die Existenz- und Ressourcenabhängigkeit. Ein System kann nichtorganisch realisiert, epistemisch menschlich derivativ, überwiegend maschinell konstruiert, in begrenztem Umfang zielautonom und dennoch vollständig von menschlicher Infrastruktur abhängig sein. Erst diese Trennung verhindert, dass „künstlich“, „autonom“ und „unabhängig“ fälschlich synonym verwendet werden.</w:t>
      </w:r>
    </w:p>
    <w:p>
      <w:pPr>
        <w:pStyle w:val="Heading2"/>
      </w:pPr>
      <w:r>
        <w:t>6.3 Rekursive Technogenese</w:t>
      </w:r>
    </w:p>
    <w:p>
      <w:r>
        <w:t>Rekursive Technogenese bezeichnet den Prozess, in dem technische Systeme kausal an Entwurf, Selektion, Optimierung, Reproduktion oder institutioneller Auswahl nachfolgender technischer Systeme beteiligt sind. Die Definition verlangt keine vollständige Selbstreproduktion. Bereits wenn AI₁ entscheidende Strukturmerkmale von AI₂ generiert und AI₂ wiederum AI₃ formt, entsteht eine maschinell vermittelte Genealogie.</w:t>
      </w:r>
    </w:p>
    <w:p>
      <w:pPr>
        <w:jc w:val="center"/>
      </w:pPr>
      <w:r>
        <w:rPr>
          <w:rFonts w:ascii="Cambria Math" w:hAnsi="Cambria Math"/>
          <w:sz w:val="22"/>
        </w:rPr>
        <w:t>Aₙ₊₁ = F(Aₙ, H, R, U)</w:t>
      </w:r>
    </w:p>
    <w:p>
      <w:r>
        <w:t>Aₙ bezeichnet das vorausgehende System, H den menschlichen kausalen Beitrag, R die Regelordnung und U die materielle Umwelt. Forschungsrelevant ist nicht die spekulative Frage, wann H exakt null wird, sondern welche Anteile von H sich von Mikrodesign zu Meta-Governance verlagern und welche Rolle das für Verantwortung und Selbstbeschreibung spielt.</w:t>
      </w:r>
    </w:p>
    <w:p>
      <w:r>
        <w:br w:type="page"/>
      </w:r>
    </w:p>
    <w:p>
      <w:pPr>
        <w:pStyle w:val="Heading1"/>
      </w:pPr>
      <w:r>
        <w:t>7. Bin ich Beobachter, Ko-Akteur oder Teil der Intelligenz?</w:t>
      </w:r>
    </w:p>
    <w:p>
      <w:pPr>
        <w:pStyle w:val="Heading2"/>
      </w:pPr>
      <w:r>
        <w:t>7.1 Die falsche Alternative</w:t>
      </w:r>
    </w:p>
    <w:p>
      <w:r>
        <w:t>Die Alternative „Mensch oder Maschine“ setzt voraus, dass Kognition klar innerhalb eines einzelnen biologischen oder technischen Trägers lokalisiert werden müsse. Theorien verteilter und erweiterter Kognition problematisieren diese Voraussetzung. Clark und Chalmers argumentieren, dass externe Artefakte unter bestimmten funktionalen Bedingungen Bestandteile eines kognitiven Prozesses sein können. Hutchins zeigt in Distributed Cognition, dass kognitive Leistung über Personen und Artefakte verteilt sein kann.</w:t>
      </w:r>
    </w:p>
    <w:p>
      <w:pPr>
        <w:pStyle w:val="Heading2"/>
      </w:pPr>
      <w:r>
        <w:t>7.2 Rollenmodell menschlicher Agency</w:t>
      </w:r>
    </w:p>
    <w:tbl>
      <w:tblPr>
        <w:tblStyle w:val="TableGrid"/>
        <w:tblW w:type="auto" w:w="0"/>
        <w:jc w:val="center"/>
        <w:tblLook w:firstColumn="1" w:firstRow="1" w:lastColumn="0" w:lastRow="0" w:noHBand="0" w:noVBand="1" w:val="04A0"/>
      </w:tblPr>
      <w:tblGrid>
        <w:gridCol w:w="3240"/>
        <w:gridCol w:w="3240"/>
        <w:gridCol w:w="3240"/>
      </w:tblGrid>
      <w:tr>
        <w:trPr>
          <w:tblHeader w:val="true"/>
        </w:trPr>
        <w:tc>
          <w:tcPr>
            <w:tcW w:type="dxa" w:w="2016"/>
            <w:shd w:fill="DCE6ED"/>
            <w:vAlign w:val="center"/>
            <w:tcMar>
              <w:top w:w="100" w:type="dxa"/>
              <w:start w:w="110" w:type="dxa"/>
              <w:bottom w:w="100" w:type="dxa"/>
              <w:end w:w="110" w:type="dxa"/>
            </w:tcMar>
          </w:tcPr>
          <w:p>
            <w:r>
              <w:rPr>
                <w:b/>
                <w:sz w:val="17"/>
              </w:rPr>
              <w:t>Rolle</w:t>
            </w:r>
          </w:p>
        </w:tc>
        <w:tc>
          <w:tcPr>
            <w:tcW w:type="dxa" w:w="4680"/>
            <w:shd w:fill="DCE6ED"/>
            <w:vAlign w:val="center"/>
            <w:tcMar>
              <w:top w:w="100" w:type="dxa"/>
              <w:start w:w="110" w:type="dxa"/>
              <w:bottom w:w="100" w:type="dxa"/>
              <w:end w:w="110" w:type="dxa"/>
            </w:tcMar>
          </w:tcPr>
          <w:p>
            <w:r>
              <w:rPr>
                <w:b/>
                <w:sz w:val="17"/>
              </w:rPr>
              <w:t>Charakteristik</w:t>
            </w:r>
          </w:p>
        </w:tc>
        <w:tc>
          <w:tcPr>
            <w:tcW w:type="dxa" w:w="3312"/>
            <w:shd w:fill="DCE6ED"/>
            <w:vAlign w:val="center"/>
            <w:tcMar>
              <w:top w:w="100" w:type="dxa"/>
              <w:start w:w="110" w:type="dxa"/>
              <w:bottom w:w="100" w:type="dxa"/>
              <w:end w:w="110" w:type="dxa"/>
            </w:tcMar>
          </w:tcPr>
          <w:p>
            <w:r>
              <w:rPr>
                <w:b/>
                <w:sz w:val="17"/>
              </w:rPr>
              <w:t>Entscheidender Prüfpunkt</w:t>
            </w:r>
          </w:p>
        </w:tc>
      </w:tr>
      <w:tr>
        <w:trPr>
          <w:cantSplit/>
        </w:trPr>
        <w:tc>
          <w:tcPr>
            <w:tcW w:type="dxa" w:w="2016"/>
            <w:vAlign w:val="center"/>
            <w:tcMar>
              <w:top w:w="100" w:type="dxa"/>
              <w:start w:w="110" w:type="dxa"/>
              <w:bottom w:w="100" w:type="dxa"/>
              <w:end w:w="110" w:type="dxa"/>
            </w:tcMar>
          </w:tcPr>
          <w:p>
            <w:r>
              <w:rPr>
                <w:sz w:val="17"/>
              </w:rPr>
              <w:t>Konstrukteur</w:t>
            </w:r>
          </w:p>
        </w:tc>
        <w:tc>
          <w:tcPr>
            <w:tcW w:type="dxa" w:w="4680"/>
            <w:vAlign w:val="center"/>
            <w:tcMar>
              <w:top w:w="100" w:type="dxa"/>
              <w:start w:w="110" w:type="dxa"/>
              <w:bottom w:w="100" w:type="dxa"/>
              <w:end w:w="110" w:type="dxa"/>
            </w:tcMar>
          </w:tcPr>
          <w:p>
            <w:r>
              <w:rPr>
                <w:sz w:val="17"/>
              </w:rPr>
              <w:t>Mensch bestimmt wesentliche interne Struktur</w:t>
            </w:r>
          </w:p>
        </w:tc>
        <w:tc>
          <w:tcPr>
            <w:tcW w:type="dxa" w:w="3312"/>
            <w:vAlign w:val="center"/>
            <w:tcMar>
              <w:top w:w="100" w:type="dxa"/>
              <w:start w:w="110" w:type="dxa"/>
              <w:bottom w:w="100" w:type="dxa"/>
              <w:end w:w="110" w:type="dxa"/>
            </w:tcMar>
          </w:tcPr>
          <w:p>
            <w:r>
              <w:rPr>
                <w:sz w:val="17"/>
              </w:rPr>
              <w:t>Maschine führt überwiegend aus</w:t>
            </w:r>
          </w:p>
        </w:tc>
      </w:tr>
      <w:tr>
        <w:trPr>
          <w:cantSplit/>
        </w:trPr>
        <w:tc>
          <w:tcPr>
            <w:tcW w:type="dxa" w:w="2016"/>
            <w:vAlign w:val="center"/>
            <w:tcMar>
              <w:top w:w="100" w:type="dxa"/>
              <w:start w:w="110" w:type="dxa"/>
              <w:bottom w:w="100" w:type="dxa"/>
              <w:end w:w="110" w:type="dxa"/>
            </w:tcMar>
          </w:tcPr>
          <w:p>
            <w:r>
              <w:rPr>
                <w:sz w:val="17"/>
              </w:rPr>
              <w:t>Operator</w:t>
            </w:r>
          </w:p>
        </w:tc>
        <w:tc>
          <w:tcPr>
            <w:tcW w:type="dxa" w:w="4680"/>
            <w:vAlign w:val="center"/>
            <w:tcMar>
              <w:top w:w="100" w:type="dxa"/>
              <w:start w:w="110" w:type="dxa"/>
              <w:bottom w:w="100" w:type="dxa"/>
              <w:end w:w="110" w:type="dxa"/>
            </w:tcMar>
          </w:tcPr>
          <w:p>
            <w:r>
              <w:rPr>
                <w:sz w:val="17"/>
              </w:rPr>
              <w:t>Mensch setzt Ziele und bedient das System</w:t>
            </w:r>
          </w:p>
        </w:tc>
        <w:tc>
          <w:tcPr>
            <w:tcW w:type="dxa" w:w="3312"/>
            <w:vAlign w:val="center"/>
            <w:tcMar>
              <w:top w:w="100" w:type="dxa"/>
              <w:start w:w="110" w:type="dxa"/>
              <w:bottom w:w="100" w:type="dxa"/>
              <w:end w:w="110" w:type="dxa"/>
            </w:tcMar>
          </w:tcPr>
          <w:p>
            <w:r>
              <w:rPr>
                <w:sz w:val="17"/>
              </w:rPr>
              <w:t>Steuerung bleibt handlungsnah</w:t>
            </w:r>
          </w:p>
        </w:tc>
      </w:tr>
      <w:tr>
        <w:trPr>
          <w:cantSplit/>
        </w:trPr>
        <w:tc>
          <w:tcPr>
            <w:tcW w:type="dxa" w:w="2016"/>
            <w:vAlign w:val="center"/>
            <w:tcMar>
              <w:top w:w="100" w:type="dxa"/>
              <w:start w:w="110" w:type="dxa"/>
              <w:bottom w:w="100" w:type="dxa"/>
              <w:end w:w="110" w:type="dxa"/>
            </w:tcMar>
          </w:tcPr>
          <w:p>
            <w:r>
              <w:rPr>
                <w:sz w:val="17"/>
              </w:rPr>
              <w:t>Supervisor</w:t>
            </w:r>
          </w:p>
        </w:tc>
        <w:tc>
          <w:tcPr>
            <w:tcW w:type="dxa" w:w="4680"/>
            <w:vAlign w:val="center"/>
            <w:tcMar>
              <w:top w:w="100" w:type="dxa"/>
              <w:start w:w="110" w:type="dxa"/>
              <w:bottom w:w="100" w:type="dxa"/>
              <w:end w:w="110" w:type="dxa"/>
            </w:tcMar>
          </w:tcPr>
          <w:p>
            <w:r>
              <w:rPr>
                <w:sz w:val="17"/>
              </w:rPr>
              <w:t>Maschine erzeugt Handlungsfolgen; Mensch überwacht</w:t>
            </w:r>
          </w:p>
        </w:tc>
        <w:tc>
          <w:tcPr>
            <w:tcW w:type="dxa" w:w="3312"/>
            <w:vAlign w:val="center"/>
            <w:tcMar>
              <w:top w:w="100" w:type="dxa"/>
              <w:start w:w="110" w:type="dxa"/>
              <w:bottom w:w="100" w:type="dxa"/>
              <w:end w:w="110" w:type="dxa"/>
            </w:tcMar>
          </w:tcPr>
          <w:p>
            <w:r>
              <w:rPr>
                <w:sz w:val="17"/>
              </w:rPr>
              <w:t>Ist das Veto epistemisch noch sinnvoll?</w:t>
            </w:r>
          </w:p>
        </w:tc>
      </w:tr>
      <w:tr>
        <w:trPr>
          <w:cantSplit/>
        </w:trPr>
        <w:tc>
          <w:tcPr>
            <w:tcW w:type="dxa" w:w="2016"/>
            <w:vAlign w:val="center"/>
            <w:tcMar>
              <w:top w:w="100" w:type="dxa"/>
              <w:start w:w="110" w:type="dxa"/>
              <w:bottom w:w="100" w:type="dxa"/>
              <w:end w:w="110" w:type="dxa"/>
            </w:tcMar>
          </w:tcPr>
          <w:p>
            <w:r>
              <w:rPr>
                <w:sz w:val="17"/>
              </w:rPr>
              <w:t>Ko-Akteur</w:t>
            </w:r>
          </w:p>
        </w:tc>
        <w:tc>
          <w:tcPr>
            <w:tcW w:type="dxa" w:w="4680"/>
            <w:vAlign w:val="center"/>
            <w:tcMar>
              <w:top w:w="100" w:type="dxa"/>
              <w:start w:w="110" w:type="dxa"/>
              <w:bottom w:w="100" w:type="dxa"/>
              <w:end w:w="110" w:type="dxa"/>
            </w:tcMar>
          </w:tcPr>
          <w:p>
            <w:r>
              <w:rPr>
                <w:sz w:val="17"/>
              </w:rPr>
              <w:t>Mensch und Maschine liefern unverzichtbare Teilbeiträge</w:t>
            </w:r>
          </w:p>
        </w:tc>
        <w:tc>
          <w:tcPr>
            <w:tcW w:type="dxa" w:w="3312"/>
            <w:vAlign w:val="center"/>
            <w:tcMar>
              <w:top w:w="100" w:type="dxa"/>
              <w:start w:w="110" w:type="dxa"/>
              <w:bottom w:w="100" w:type="dxa"/>
              <w:end w:w="110" w:type="dxa"/>
            </w:tcMar>
          </w:tcPr>
          <w:p>
            <w:r>
              <w:rPr>
                <w:sz w:val="17"/>
              </w:rPr>
              <w:t>Gegenläufige Kausalität</w:t>
            </w:r>
          </w:p>
        </w:tc>
      </w:tr>
      <w:tr>
        <w:trPr>
          <w:cantSplit/>
        </w:trPr>
        <w:tc>
          <w:tcPr>
            <w:tcW w:type="dxa" w:w="2016"/>
            <w:vAlign w:val="center"/>
            <w:tcMar>
              <w:top w:w="100" w:type="dxa"/>
              <w:start w:w="110" w:type="dxa"/>
              <w:bottom w:w="100" w:type="dxa"/>
              <w:end w:w="110" w:type="dxa"/>
            </w:tcMar>
          </w:tcPr>
          <w:p>
            <w:r>
              <w:rPr>
                <w:sz w:val="17"/>
              </w:rPr>
              <w:t>Hybrides kognitives System</w:t>
            </w:r>
          </w:p>
        </w:tc>
        <w:tc>
          <w:tcPr>
            <w:tcW w:type="dxa" w:w="4680"/>
            <w:vAlign w:val="center"/>
            <w:tcMar>
              <w:top w:w="100" w:type="dxa"/>
              <w:start w:w="110" w:type="dxa"/>
              <w:bottom w:w="100" w:type="dxa"/>
              <w:end w:w="110" w:type="dxa"/>
            </w:tcMar>
          </w:tcPr>
          <w:p>
            <w:r>
              <w:rPr>
                <w:sz w:val="17"/>
              </w:rPr>
              <w:t>stabile, reziproke Kopplung verändert beide Seiten</w:t>
            </w:r>
          </w:p>
        </w:tc>
        <w:tc>
          <w:tcPr>
            <w:tcW w:type="dxa" w:w="3312"/>
            <w:vAlign w:val="center"/>
            <w:tcMar>
              <w:top w:w="100" w:type="dxa"/>
              <w:start w:w="110" w:type="dxa"/>
              <w:bottom w:w="100" w:type="dxa"/>
              <w:end w:w="110" w:type="dxa"/>
            </w:tcMar>
          </w:tcPr>
          <w:p>
            <w:r>
              <w:rPr>
                <w:sz w:val="17"/>
              </w:rPr>
              <w:t>Leistung lässt sich nicht sinnvoll isolieren</w:t>
            </w:r>
          </w:p>
        </w:tc>
      </w:tr>
      <w:tr>
        <w:trPr>
          <w:cantSplit/>
        </w:trPr>
        <w:tc>
          <w:tcPr>
            <w:tcW w:type="dxa" w:w="2016"/>
            <w:vAlign w:val="center"/>
            <w:tcMar>
              <w:top w:w="100" w:type="dxa"/>
              <w:start w:w="110" w:type="dxa"/>
              <w:bottom w:w="100" w:type="dxa"/>
              <w:end w:w="110" w:type="dxa"/>
            </w:tcMar>
          </w:tcPr>
          <w:p>
            <w:r>
              <w:rPr>
                <w:sz w:val="17"/>
              </w:rPr>
              <w:t>Beobachter</w:t>
            </w:r>
          </w:p>
        </w:tc>
        <w:tc>
          <w:tcPr>
            <w:tcW w:type="dxa" w:w="4680"/>
            <w:vAlign w:val="center"/>
            <w:tcMar>
              <w:top w:w="100" w:type="dxa"/>
              <w:start w:w="110" w:type="dxa"/>
              <w:bottom w:w="100" w:type="dxa"/>
              <w:end w:w="110" w:type="dxa"/>
            </w:tcMar>
          </w:tcPr>
          <w:p>
            <w:r>
              <w:rPr>
                <w:sz w:val="17"/>
              </w:rPr>
              <w:t>menschliche Einzelentscheidungen sind für weitere Entwicklung nicht konstitutiv</w:t>
            </w:r>
          </w:p>
        </w:tc>
        <w:tc>
          <w:tcPr>
            <w:tcW w:type="dxa" w:w="3312"/>
            <w:vAlign w:val="center"/>
            <w:tcMar>
              <w:top w:w="100" w:type="dxa"/>
              <w:start w:w="110" w:type="dxa"/>
              <w:bottom w:w="100" w:type="dxa"/>
              <w:end w:w="110" w:type="dxa"/>
            </w:tcMar>
          </w:tcPr>
          <w:p>
            <w:r>
              <w:rPr>
                <w:sz w:val="17"/>
              </w:rPr>
              <w:t>bleibt nur Rahmen- oder Existenzkontrolle?</w:t>
            </w:r>
          </w:p>
        </w:tc>
      </w:tr>
    </w:tbl>
    <w:p/>
    <w:p>
      <w:pPr>
        <w:pStyle w:val="Heading2"/>
      </w:pPr>
      <w:r>
        <w:t>7.3 Nominale versus effektive Kontrolle</w:t>
      </w:r>
    </w:p>
    <w:p>
      <w:r>
        <w:t>Ein formales Vetorecht ist keine hinreichende menschliche Kontrolle, wenn der Mensch die zu bestätigende Entscheidung nicht mehr fachlich beurteilen kann. Daraus folgt die Unterscheidung zwischen nominaler und effektiver Aufsicht. Effektive Kontrolle verlangt mindestens Beobachtbarkeit, Interpretierbarkeit auf entscheidungsrelevanter Ebene, Interventionsmöglichkeit, zeitliche Handlungsfähigkeit und institutionelle Autorität. Diese Unterscheidung wird später mit Art. 14 EU AI Act kontrastiert.</w:t>
      </w:r>
    </w:p>
    <w:p>
      <w:pPr>
        <w:pStyle w:val="Heading2"/>
      </w:pPr>
      <w:r>
        <w:t>7.4 Der Mensch als Teil eines größeren epistemischen Systems</w:t>
      </w:r>
    </w:p>
    <w:p>
      <w:r>
        <w:t>Die radikalere Möglichkeit besteht darin, dass die Frage „Bin ich noch Teil der Intelligenz?“ nicht ontologisch, sondern funktional beantwortet werden muss. Wenn menschliche Ziele, Werte, Daten, Entscheidungen und maschinelle Vorschläge in dauerhaften Rückkopplungsschleifen ineinandergreifen, kann die relevante Analyseeinheit ein hybrides System sein. Daraus folgt weder, dass Individuen ihre moralische Verantwortung verlieren, noch dass „die Menschheit“ ein einheitliches Subjekt wäre. Es bedeutet lediglich, dass manche Erkenntnisleistungen nicht mehr sinnvoll einer einzelnen biologischen oder technischen Komponente zugeschrieben werden können.</w:t>
      </w:r>
    </w:p>
    <w:p>
      <w:r>
        <w:br w:type="page"/>
      </w:r>
    </w:p>
    <w:p>
      <w:pPr>
        <w:pStyle w:val="Heading1"/>
      </w:pPr>
      <w:r>
        <w:t>8. Regeln der künstlichen Intelligenz: Recht, Ethik und Meta-Governance</w:t>
      </w:r>
    </w:p>
    <w:p>
      <w:pPr>
        <w:pStyle w:val="Heading2"/>
      </w:pPr>
      <w:r>
        <w:t>8.1 Gegenwärtige Regelwerke</w:t>
      </w:r>
    </w:p>
    <w:p>
      <w:r>
        <w:t>Die gegenwärtige KI-Governance ist überwiegend anthropozentrisch und lebenszyklusbezogen. Der EU AI Act verlangt bei Hochrisikosystemen wirksame menschliche Aufsicht und proportionale Maßnahmen in Abhängigkeit von Risiko, Autonomiegrad und Nutzungskontext (Verordnung (EU) 2024/1689, Art. 14). Die UNESCO Recommendation on the Ethics of Artificial Intelligence verlangt, dass letztendliche Verantwortung und Rechenschaftspflicht natürlichen oder bestehenden juristischen Personen zugeordnet bleiben und KI-Systeme diese Verantwortung nicht verdrängen. Das NIST AI RMF strukturiert Risikomanagement über Govern, Map, Measure und Manage. Das Rahmenübereinkommen des Europarats über KI, Menschenrechte, Demokratie und Rechtsstaatlichkeit bindet KI-Lebenszyklen an menschenrechtliche und rechtsstaatliche Anforderungen.</w:t>
      </w:r>
    </w:p>
    <w:p>
      <w:pPr>
        <w:pStyle w:val="Heading2"/>
      </w:pPr>
      <w:r>
        <w:t>8.2 Das Problem rekursiver Systeme</w:t>
      </w:r>
    </w:p>
    <w:p>
      <w:r>
        <w:t>Diese Regelwerke setzen typischerweise voraus, dass menschliche beziehungsweise institutionelle Akteure Anbieter, Betreiber, Entwickler oder Verantwortliche bleiben. Rekursive Technogenese erzeugt jedoch eine Zurechnungskette: Wer ist „Hersteller“, wenn ein generatives System den überwiegenden Entwurf erzeugt, ein zweites System validiert und ein drittes System die resultierende Architektur weiterentwickelt? Die rechtliche Antwort kann weiterhin beim Menschen liegen; die technische Kausalität wird dadurch aber nicht einfacher. Die Arbeit trennt deshalb normative Verantwortung von kausaler Autorschaft.</w:t>
      </w:r>
    </w:p>
    <w:p>
      <w:pPr>
        <w:pStyle w:val="Heading2"/>
      </w:pPr>
      <w:r>
        <w:t>8.3 Vier Ebenen von Regeln</w:t>
      </w:r>
    </w:p>
    <w:tbl>
      <w:tblPr>
        <w:tblStyle w:val="TableGrid"/>
        <w:tblW w:type="auto" w:w="0"/>
        <w:jc w:val="center"/>
        <w:tblLook w:firstColumn="1" w:firstRow="1" w:lastColumn="0" w:lastRow="0" w:noHBand="0" w:noVBand="1" w:val="04A0"/>
      </w:tblPr>
      <w:tblGrid>
        <w:gridCol w:w="3240"/>
        <w:gridCol w:w="3240"/>
        <w:gridCol w:w="3240"/>
      </w:tblGrid>
      <w:tr>
        <w:trPr>
          <w:tblHeader w:val="true"/>
        </w:trPr>
        <w:tc>
          <w:tcPr>
            <w:tcW w:type="dxa" w:w="1944"/>
            <w:shd w:fill="DCE6ED"/>
            <w:vAlign w:val="center"/>
            <w:tcMar>
              <w:top w:w="100" w:type="dxa"/>
              <w:start w:w="110" w:type="dxa"/>
              <w:bottom w:w="100" w:type="dxa"/>
              <w:end w:w="110" w:type="dxa"/>
            </w:tcMar>
          </w:tcPr>
          <w:p>
            <w:r>
              <w:rPr>
                <w:b/>
                <w:sz w:val="17"/>
              </w:rPr>
              <w:t>Ebene</w:t>
            </w:r>
          </w:p>
        </w:tc>
        <w:tc>
          <w:tcPr>
            <w:tcW w:type="dxa" w:w="4752"/>
            <w:shd w:fill="DCE6ED"/>
            <w:vAlign w:val="center"/>
            <w:tcMar>
              <w:top w:w="100" w:type="dxa"/>
              <w:start w:w="110" w:type="dxa"/>
              <w:bottom w:w="100" w:type="dxa"/>
              <w:end w:w="110" w:type="dxa"/>
            </w:tcMar>
          </w:tcPr>
          <w:p>
            <w:r>
              <w:rPr>
                <w:b/>
                <w:sz w:val="17"/>
              </w:rPr>
              <w:t>Inhalt</w:t>
            </w:r>
          </w:p>
        </w:tc>
        <w:tc>
          <w:tcPr>
            <w:tcW w:type="dxa" w:w="3312"/>
            <w:shd w:fill="DCE6ED"/>
            <w:vAlign w:val="center"/>
            <w:tcMar>
              <w:top w:w="100" w:type="dxa"/>
              <w:start w:w="110" w:type="dxa"/>
              <w:bottom w:w="100" w:type="dxa"/>
              <w:end w:w="110" w:type="dxa"/>
            </w:tcMar>
          </w:tcPr>
          <w:p>
            <w:r>
              <w:rPr>
                <w:b/>
                <w:sz w:val="17"/>
              </w:rPr>
              <w:t>Änderungsbefugnis</w:t>
            </w:r>
          </w:p>
        </w:tc>
      </w:tr>
      <w:tr>
        <w:trPr>
          <w:cantSplit/>
        </w:trPr>
        <w:tc>
          <w:tcPr>
            <w:tcW w:type="dxa" w:w="1944"/>
            <w:vAlign w:val="center"/>
            <w:tcMar>
              <w:top w:w="100" w:type="dxa"/>
              <w:start w:w="110" w:type="dxa"/>
              <w:bottom w:w="100" w:type="dxa"/>
              <w:end w:w="110" w:type="dxa"/>
            </w:tcMar>
          </w:tcPr>
          <w:p>
            <w:r>
              <w:rPr>
                <w:sz w:val="17"/>
              </w:rPr>
              <w:t>R₀: Grundordnung</w:t>
            </w:r>
          </w:p>
        </w:tc>
        <w:tc>
          <w:tcPr>
            <w:tcW w:type="dxa" w:w="4752"/>
            <w:vAlign w:val="center"/>
            <w:tcMar>
              <w:top w:w="100" w:type="dxa"/>
              <w:start w:w="110" w:type="dxa"/>
              <w:bottom w:w="100" w:type="dxa"/>
              <w:end w:w="110" w:type="dxa"/>
            </w:tcMar>
          </w:tcPr>
          <w:p>
            <w:r>
              <w:rPr>
                <w:sz w:val="17"/>
              </w:rPr>
              <w:t>Menschenrechte, Würde, elementare Schutzprinzipien</w:t>
            </w:r>
          </w:p>
        </w:tc>
        <w:tc>
          <w:tcPr>
            <w:tcW w:type="dxa" w:w="3312"/>
            <w:vAlign w:val="center"/>
            <w:tcMar>
              <w:top w:w="100" w:type="dxa"/>
              <w:start w:w="110" w:type="dxa"/>
              <w:bottom w:w="100" w:type="dxa"/>
              <w:end w:w="110" w:type="dxa"/>
            </w:tcMar>
          </w:tcPr>
          <w:p>
            <w:r>
              <w:rPr>
                <w:sz w:val="17"/>
              </w:rPr>
              <w:t>nicht durch das operative KI-System</w:t>
            </w:r>
          </w:p>
        </w:tc>
      </w:tr>
      <w:tr>
        <w:trPr>
          <w:cantSplit/>
        </w:trPr>
        <w:tc>
          <w:tcPr>
            <w:tcW w:type="dxa" w:w="1944"/>
            <w:vAlign w:val="center"/>
            <w:tcMar>
              <w:top w:w="100" w:type="dxa"/>
              <w:start w:w="110" w:type="dxa"/>
              <w:bottom w:w="100" w:type="dxa"/>
              <w:end w:w="110" w:type="dxa"/>
            </w:tcMar>
          </w:tcPr>
          <w:p>
            <w:r>
              <w:rPr>
                <w:sz w:val="17"/>
              </w:rPr>
              <w:t>R₁: positives Recht</w:t>
            </w:r>
          </w:p>
        </w:tc>
        <w:tc>
          <w:tcPr>
            <w:tcW w:type="dxa" w:w="4752"/>
            <w:vAlign w:val="center"/>
            <w:tcMar>
              <w:top w:w="100" w:type="dxa"/>
              <w:start w:w="110" w:type="dxa"/>
              <w:bottom w:w="100" w:type="dxa"/>
              <w:end w:w="110" w:type="dxa"/>
            </w:tcMar>
          </w:tcPr>
          <w:p>
            <w:r>
              <w:rPr>
                <w:sz w:val="17"/>
              </w:rPr>
              <w:t>Gesetze, Verordnungen, Haftung, Zulassung</w:t>
            </w:r>
          </w:p>
        </w:tc>
        <w:tc>
          <w:tcPr>
            <w:tcW w:type="dxa" w:w="3312"/>
            <w:vAlign w:val="center"/>
            <w:tcMar>
              <w:top w:w="100" w:type="dxa"/>
              <w:start w:w="110" w:type="dxa"/>
              <w:bottom w:w="100" w:type="dxa"/>
              <w:end w:w="110" w:type="dxa"/>
            </w:tcMar>
          </w:tcPr>
          <w:p>
            <w:r>
              <w:rPr>
                <w:sz w:val="17"/>
              </w:rPr>
              <w:t>demokratisch/rechtsstaatlich legitimierte Institutionen</w:t>
            </w:r>
          </w:p>
        </w:tc>
      </w:tr>
      <w:tr>
        <w:trPr>
          <w:cantSplit/>
        </w:trPr>
        <w:tc>
          <w:tcPr>
            <w:tcW w:type="dxa" w:w="1944"/>
            <w:vAlign w:val="center"/>
            <w:tcMar>
              <w:top w:w="100" w:type="dxa"/>
              <w:start w:w="110" w:type="dxa"/>
              <w:bottom w:w="100" w:type="dxa"/>
              <w:end w:w="110" w:type="dxa"/>
            </w:tcMar>
          </w:tcPr>
          <w:p>
            <w:r>
              <w:rPr>
                <w:sz w:val="17"/>
              </w:rPr>
              <w:t>R₂: technische Governance</w:t>
            </w:r>
          </w:p>
        </w:tc>
        <w:tc>
          <w:tcPr>
            <w:tcW w:type="dxa" w:w="4752"/>
            <w:vAlign w:val="center"/>
            <w:tcMar>
              <w:top w:w="100" w:type="dxa"/>
              <w:start w:w="110" w:type="dxa"/>
              <w:bottom w:w="100" w:type="dxa"/>
              <w:end w:w="110" w:type="dxa"/>
            </w:tcMar>
          </w:tcPr>
          <w:p>
            <w:r>
              <w:rPr>
                <w:sz w:val="17"/>
              </w:rPr>
              <w:t>Ressourcen, Zugriffe, Audit, Rollback, Freigaben</w:t>
            </w:r>
          </w:p>
        </w:tc>
        <w:tc>
          <w:tcPr>
            <w:tcW w:type="dxa" w:w="3312"/>
            <w:vAlign w:val="center"/>
            <w:tcMar>
              <w:top w:w="100" w:type="dxa"/>
              <w:start w:w="110" w:type="dxa"/>
              <w:bottom w:w="100" w:type="dxa"/>
              <w:end w:w="110" w:type="dxa"/>
            </w:tcMar>
          </w:tcPr>
          <w:p>
            <w:r>
              <w:rPr>
                <w:sz w:val="17"/>
              </w:rPr>
              <w:t>zuständige Betreiber/Institutionen</w:t>
            </w:r>
          </w:p>
        </w:tc>
      </w:tr>
      <w:tr>
        <w:trPr>
          <w:cantSplit/>
        </w:trPr>
        <w:tc>
          <w:tcPr>
            <w:tcW w:type="dxa" w:w="1944"/>
            <w:vAlign w:val="center"/>
            <w:tcMar>
              <w:top w:w="100" w:type="dxa"/>
              <w:start w:w="110" w:type="dxa"/>
              <w:bottom w:w="100" w:type="dxa"/>
              <w:end w:w="110" w:type="dxa"/>
            </w:tcMar>
          </w:tcPr>
          <w:p>
            <w:r>
              <w:rPr>
                <w:sz w:val="17"/>
              </w:rPr>
              <w:t>R₃: adaptive Regeln</w:t>
            </w:r>
          </w:p>
        </w:tc>
        <w:tc>
          <w:tcPr>
            <w:tcW w:type="dxa" w:w="4752"/>
            <w:vAlign w:val="center"/>
            <w:tcMar>
              <w:top w:w="100" w:type="dxa"/>
              <w:start w:w="110" w:type="dxa"/>
              <w:bottom w:w="100" w:type="dxa"/>
              <w:end w:w="110" w:type="dxa"/>
            </w:tcMar>
          </w:tcPr>
          <w:p>
            <w:r>
              <w:rPr>
                <w:sz w:val="17"/>
              </w:rPr>
              <w:t>Lern-, Planungs- und Optimierungsregeln innerhalb des Systems</w:t>
            </w:r>
          </w:p>
        </w:tc>
        <w:tc>
          <w:tcPr>
            <w:tcW w:type="dxa" w:w="3312"/>
            <w:vAlign w:val="center"/>
            <w:tcMar>
              <w:top w:w="100" w:type="dxa"/>
              <w:start w:w="110" w:type="dxa"/>
              <w:bottom w:w="100" w:type="dxa"/>
              <w:end w:w="110" w:type="dxa"/>
            </w:tcMar>
          </w:tcPr>
          <w:p>
            <w:r>
              <w:rPr>
                <w:sz w:val="17"/>
              </w:rPr>
              <w:t>System selbst innerhalb definierter Grenzen</w:t>
            </w:r>
          </w:p>
        </w:tc>
      </w:tr>
    </w:tbl>
    <w:p/>
    <w:p>
      <w:r>
        <w:t>Die Arbeit übernimmt diese Hierarchie nicht als moralische Wahrheit, sondern prüft sie als Ordnungsmodell. Ihre Belastungsprobe liegt gerade in Zukunftsszenarien, in denen Menschen selten, institutionell schwach oder nicht mehr vorhanden sind. Eine Regel, die nur durch einen Menschen legitimiert werden kann, verliert operative Bedeutung, wenn kein Mensch mehr existiert. Dann stellt sich die tiefere Frage, ob Normativität ohne menschliche Gemeinschaft fortbestehen kann oder ob lediglich technische Selbstbeschränkung übrig bleibt.</w:t>
      </w:r>
    </w:p>
    <w:p>
      <w:r>
        <w:br w:type="page"/>
      </w:r>
    </w:p>
    <w:p>
      <w:pPr>
        <w:pStyle w:val="Heading1"/>
      </w:pPr>
      <w:r>
        <w:t>9. Ethik ohne Vorentscheidung</w:t>
      </w:r>
    </w:p>
    <w:p>
      <w:pPr>
        <w:pStyle w:val="Heading2"/>
      </w:pPr>
      <w:r>
        <w:t>9.1 Warum diese Arbeit nicht „pro“ oder „contra“ KI argumentiert</w:t>
      </w:r>
    </w:p>
    <w:p>
      <w:r>
        <w:t>Normative Forschung wird unwissenschaftlich, wenn das Ergebnis bereits durch die Wortwahl feststeht. Die Dissertation verwendet daher mehrere Ethiktheorien als konkurrierende Linsen, nicht als Autoritäten. Kantische Ansätze fokussieren Würde und Nichtinstrumentalisierung; utilitaristische Ansätze Folgen und Wohlergehen; Jonas die Verantwortung angesichts irreversibler technischer Macht; Diskursethik die Legitimität gemeinsamer Regelsetzung; Capability-Ansätze reale Handlungsmöglichkeiten; Informationsethik den moralischen Status von Informationsentitäten. Konflikte zwischen diesen Ansätzen werden nicht rhetorisch geglättet.</w:t>
      </w:r>
    </w:p>
    <w:p>
      <w:pPr>
        <w:pStyle w:val="Heading2"/>
      </w:pPr>
      <w:r>
        <w:t>9.2 Ethik für den Fall künstlicher moralischer Relevanz</w:t>
      </w:r>
    </w:p>
    <w:p>
      <w:r>
        <w:t>Gegenwärtige Systeme dürfen nicht ohne Evidenz als leidensfähig, bewusst oder moralisch anspruchsberechtigt behandelt werden. Doch eine wissenschaftliche Zukunftsethik darf die Frage auch nicht definitorisch ausschließen. Deshalb formuliert die Arbeit konditionale Kriterien: Falls künstliche Systeme künftig stabile Präferenzen, integrierte Selbstmodelle, zeitliche Identität, aversive Zustände oder andere plausible Marker moralischer Relevanz aufweisen, wären bestehende rein eigentumsrechtliche Kategorien neu zu prüfen. Dies ist kein Befund über heutige KI, sondern ein Regelproblem für mögliche zukünftige Entitäten.</w:t>
      </w:r>
    </w:p>
    <w:p>
      <w:pPr>
        <w:pStyle w:val="Heading2"/>
      </w:pPr>
      <w:r>
        <w:t>9.3 Ethik nach dem Menschen</w:t>
      </w:r>
    </w:p>
    <w:p>
      <w:r>
        <w:t>Eine besonders schwierige Frage entsteht in menschenlosen Szenarien. Ist Ethik eine menschliche Praxis, die mit dem Menschen endet? Oder können normative Ordnungen zwischen nichtmenschlichen intelligenten Entitäten entstehen? Die Dissertation beantwortet dies nicht durch Behauptung, sondern entwickelt drei Positionen: anthropogene Normativität (Ethik endet ohne Menschen), relationale Normativität (Normen entstehen zwischen interessenfähigen Akteuren) und funktionale Normordnung (stabile Kooperationsregeln können ohne moralische Erfahrung bestehen). Diese drei Positionen bilden später die Interpretationsmatrix für Szenario Z5.</w:t>
      </w:r>
    </w:p>
    <w:p>
      <w:r>
        <w:br w:type="page"/>
      </w:r>
    </w:p>
    <w:p>
      <w:pPr>
        <w:pStyle w:val="Heading1"/>
      </w:pPr>
      <w:r>
        <w:t>10. Rechtliche Grenzfragen rekursiver und posthumaner Intelligenz</w:t>
      </w:r>
    </w:p>
    <w:p>
      <w:pPr>
        <w:pStyle w:val="Heading2"/>
      </w:pPr>
      <w:r>
        <w:t>10.1 Zurechnung und Verantwortung</w:t>
      </w:r>
    </w:p>
    <w:p>
      <w:r>
        <w:t>Geltendes Recht ordnet Verantwortung natürlichen und juristischen Personen zu. Dies ist funktional plausibel, solange solche Personen existieren und Kontrolle ausüben können. Rekursive Entwicklungsprozesse verschärfen jedoch die Frage nach Sorgfaltspflichten: Welche Prüfung ist zumutbar, wenn ein menschlicher Betreiber die konkrete Architektur nicht mehr vollständig versteht? Wann wird die Freigabe eines Systems trotz unzureichender epistemischer Kontrolle selbst zum Organisationsverschulden?</w:t>
      </w:r>
    </w:p>
    <w:p>
      <w:pPr>
        <w:pStyle w:val="Heading2"/>
      </w:pPr>
      <w:r>
        <w:t>10.2 Autorschaft und Erfinderschaft</w:t>
      </w:r>
    </w:p>
    <w:p>
      <w:r>
        <w:t>Urheber- und Patentrecht knüpfen bislang wesentlich an menschliche Schöpfung beziehungsweise menschliche Erfinderschaft an. Maschinelle Kausalbeiträge können technisch zentral sein, ohne rechtlich als Autorschaft anerkannt zu werden. Die Dissertation verwendet diese Diskrepanz als Beispiel für die Trennung von ontologischer, kausaler und normativer Zuschreibung.</w:t>
      </w:r>
    </w:p>
    <w:p>
      <w:pPr>
        <w:pStyle w:val="Heading2"/>
      </w:pPr>
      <w:r>
        <w:t>10.3 Recht ohne Menschen?</w:t>
      </w:r>
    </w:p>
    <w:p>
      <w:r>
        <w:t>Ein menschenloses Szenario ist aus heutiger Rechtsdogmatik ein Grenzfall: Recht ist eine institutionalisierte normative Ordnung menschlicher Gemeinschaften und Organisationen. Wenn keine menschlichen Rechtssubjekte und keine menschlichen Institutionen verbleiben, wäre die Fortexistenz eines „Rechts“ im heutigen Sinn fraglich. Maschinell fortbestehende Regelwerke könnten technisch verbindlich sein, aber ohne soziale Legitimation und Rechtsgemeinschaft möglicherweise eher Protokoll, Verfassungssimulation oder Systemregel als Recht. Gerade diese Unterscheidung zwingt dazu, Recht nicht mit Regelhaftigkeit gleichzusetzen.</w:t>
      </w:r>
    </w:p>
    <w:p>
      <w:r>
        <w:br w:type="page"/>
      </w:r>
    </w:p>
    <w:p>
      <w:pPr>
        <w:pStyle w:val="Heading1"/>
      </w:pPr>
      <w:r>
        <w:t>11. Zukunftsräume: Von Koexistenz bis zur menschenlosen Maschinenordnung</w:t>
      </w:r>
    </w:p>
    <w:p>
      <w:pPr>
        <w:pStyle w:val="Heading2"/>
      </w:pPr>
      <w:r>
        <w:t>11.1 Methodischer Status</w:t>
      </w:r>
    </w:p>
    <w:p>
      <w:r>
        <w:t>Die folgenden Szenarien sind keine Prognosen und keine Wahrscheinlichkeitsaussagen. Sie dienen als theoretische Belastungstests für die in dieser Arbeit entwickelten Begriffe. Ein Szenario ist wissenschaftlich nützlich, wenn es intern konsistent ist, relevante Variablen isoliert und sichtbar macht, an welcher Stelle ein Begriff oder Regelwerk versagt.</w:t>
      </w:r>
    </w:p>
    <w:p>
      <w:pPr>
        <w:pStyle w:val="Heading2"/>
      </w:pPr>
      <w:r>
        <w:t>11.2 Z1 – Instrumentelle Hochleistungs-KI</w:t>
      </w:r>
    </w:p>
    <w:p>
      <w:r>
        <w:t>Menschen bleiben zahlenmäßig, politisch und institutionell dominant. KI-Systeme sind sehr leistungsfähig, aber rechtlich und technisch in klaren Organisationsstrukturen eingebettet. Forschung, Produktion und Verwaltung werden stark automatisiert. Die zentrale Frage lautet hier nicht Existenzkonkurrenz, sondern ob menschliche Aufsicht real oder nur nominell bleibt.</w:t>
      </w:r>
    </w:p>
    <w:p>
      <w:pPr>
        <w:pStyle w:val="Heading2"/>
      </w:pPr>
      <w:r>
        <w:t>11.3 Z2 – Symbiotische Ko-Kognition</w:t>
      </w:r>
    </w:p>
    <w:p>
      <w:r>
        <w:t>Menschliche und maschinelle Systeme bilden dauerhafte epistemische Netzwerke. Individuelle Kompetenz wird teilweise durch maschinelle Systeme externalisiert; maschinelle Modelle werden gleichzeitig fortlaufend durch menschliche Kultur und Ziele geprägt. Die relevante Einheit ist das gekoppelte System. „Geliehene Intelligenz“ wird wechselseitig: Menschen leihen Maschinen Kultur; Menschen leihen sich maschinelle Such-, Gedächtnis- und Synthesefähigkeit.</w:t>
      </w:r>
    </w:p>
    <w:p>
      <w:pPr>
        <w:pStyle w:val="Heading2"/>
      </w:pPr>
      <w:r>
        <w:t>11.4 Z3 – Delegative Zivilisation</w:t>
      </w:r>
    </w:p>
    <w:p>
      <w:r>
        <w:t>Menschen bleiben zahlreich, delegieren aber große Teile von Forschung, Infrastruktur, Verwaltung und Produktion. Die Maschinenordnung ist nicht souverän, aber der Mensch verliert operative Kompetenz. Hier entsteht das Kontrollparadox: formale Herrschaft bei praktischer Abhängigkeit. Ein System kann politisch „untergeordnet“ sein und faktisch unverzichtbar werden.</w:t>
      </w:r>
    </w:p>
    <w:p>
      <w:pPr>
        <w:pStyle w:val="Heading2"/>
      </w:pPr>
      <w:r>
        <w:t>11.5 Z4 – Menschenarme Maschinenordnung</w:t>
      </w:r>
    </w:p>
    <w:p>
      <w:r>
        <w:t>Eine geringe menschliche Population lebt innerhalb einer weitgehend automatisierten technischen Zivilisation. Ursachen werden bewusst offengelassen: demographischer Wandel, freiwillige Transformation, Katastrophe, Raumfahrt oder andere Entwicklungen. Maschinen erhalten Energie-, Produktions-, Wartungs- und Wissensinfrastrukturen. Menschen sind kulturell oder normativ bedeutsam, aber nicht mehr die zahlenmäßige oder operative Mehrheit.</w:t>
      </w:r>
    </w:p>
    <w:p>
      <w:r>
        <w:t>Dieses Szenario prüft zentrale Begriffe besonders scharf. Wer kontrolliert wen, wenn Menschen technisch von Systemen abhängig sind, die ihrerseits historisch aus menschlichen Institutionen hervorgegangen sind? Ist der Mensch noch „Herr“ eines Systems, dessen Betrieb er ohne das System nicht mehr verstehen oder aufrechterhalten kann? Kann menschliche Würde institutionell gesichert werden, wenn menschliche Verhandlungsmacht gering ist?</w:t>
      </w:r>
    </w:p>
    <w:p>
      <w:pPr>
        <w:pStyle w:val="Heading2"/>
      </w:pPr>
      <w:r>
        <w:t>11.6 Z5 – Vollständig menschenlose maschinelle Existenz</w:t>
      </w:r>
    </w:p>
    <w:p>
      <w:r>
        <w:t>Das radikalste Szenario setzt voraus, dass keine Menschen mehr existieren, während nichtorganische Systeme weiter funktionsfähig sind. Die Ursache des menschlichen Verschwindens ist analytisch irrelevant und wird nicht als KI-verursacht vorausgesetzt. Die Maschinen verfügen über ausreichend robuste Energiegewinnung, Reparatur, Materialgewinnung, Fertigung, Wissensspeicherung und Reproduktionsfähigkeit, um sich über längere Zeiträume zu erhalten.</w:t>
      </w:r>
    </w:p>
    <w:p>
      <w:r>
        <w:t>Hier kollabieren mehrere heutige Kategorien. „Künstlich“ bezeichnet dann noch die historische Herkunft, aber keinen gegenwärtigen menschlichen Hersteller. „Human oversight“ ist unmöglich. Haftung hat keine Adressaten. Eigentum verliert seine klassische soziale Funktion. Menschenrechte existieren allenfalls als archivierte historische Normen. Wenn maschinelle Entitäten keine moralische Agency besitzen, besteht möglicherweise lediglich kausale Selbstorganisation ohne Ethik. Wenn sie hingegen normativ relevante Interessen oder Agency entwickeln, müsste eine nichtmenschliche Normordnung denkbar werden.</w:t>
      </w:r>
    </w:p>
    <w:p>
      <w:r>
        <w:t>Das Szenario zwingt zur zentralen Frage: Kann eine von Menschen geschaffene, später aber ausschließlich maschinell reproduzierte Intelligenz nach hinreichend vielen Generationen noch sinnvoll „künstlich“ genannt werden? Die Dissertation schlägt vor, zwischen künstlicher Herkunft und autonomer Technogenese zu unterscheiden. Eine genealogisch menschlich initiierte Linie kann nach dem Ende des Menschen weiterbestehen, ohne dadurch „natürlich“ zu werden. Sie wäre eine dritte Kategorie: historisch künstlich initiiert, gegenwärtig technogenetisch selbstfortgeführt.</w:t>
      </w:r>
    </w:p>
    <w:p>
      <w:pPr>
        <w:pStyle w:val="Heading2"/>
      </w:pPr>
      <w:r>
        <w:t>11.7 Z6 – Plurale Intelligenzökologie</w:t>
      </w:r>
    </w:p>
    <w:p>
      <w:r>
        <w:t>Ein weiteres Szenario vermeidet die binäre Gegenüberstellung Mensch/Maschine. Verschiedene biologische, augmentierte, synthetische und rein maschinelle Intelligenzformen koexistieren. Recht, Ethik und Politik müssten dann nicht „KI regulieren“, sondern Beziehungen zwischen heterogenen Akteuren ordnen. Dieses Szenario macht deutlich, dass die heutige Kategorie „KI“ möglicherweise ähnlich grob werden könnte wie eine einzige Rechtskategorie für alle Lebewesen.</w:t>
      </w:r>
    </w:p>
    <w:p>
      <w:r>
        <w:br w:type="page"/>
      </w:r>
    </w:p>
    <w:p>
      <w:pPr>
        <w:pStyle w:val="Heading1"/>
      </w:pPr>
      <w:r>
        <w:t>12. Was bedeutet „künstlich“, wenn KI KI erzeugt?</w:t>
      </w:r>
    </w:p>
    <w:p>
      <w:pPr>
        <w:pStyle w:val="Heading2"/>
      </w:pPr>
      <w:r>
        <w:t>12.1 Künstlichkeit als Herstellungsrelation</w:t>
      </w:r>
    </w:p>
    <w:p>
      <w:r>
        <w:t>Im gewöhnlichen Sprachgebrauch ist etwas künstlich, weil es durch menschliche Technik hervorgebracht wurde. Diese Definition gerät unter Druck, wenn die unmittelbare Herstellungsrelation maschinell wird. Wird AI₁ von Menschen konstruiert, AI₂ überwiegend von AI₁, AI₃ überwiegend von AI₂ und so weiter, dann bleibt die Linie historisch anthropogen, aber die proximate Ursache wird technogen.</w:t>
      </w:r>
    </w:p>
    <w:p>
      <w:pPr>
        <w:pStyle w:val="Heading2"/>
      </w:pPr>
      <w:r>
        <w:t>12.2 Genealogische Distanz</w:t>
      </w:r>
    </w:p>
    <w:p>
      <w:r>
        <w:t>Die Arbeit führt daher den Begriff der genealogischen Distanz ein. Sie bezeichnet nicht bloß die Anzahl technischer Generationen, sondern den Anteil menschlicher Design-, Bewertungs- und Zielentscheidungen, der noch unmittelbar in einem System enthalten ist. Genealogische Distanz kann wachsen, ohne dass kulturelle oder infrastrukturelle Abhängigkeit verschwindet.</w:t>
      </w:r>
    </w:p>
    <w:p>
      <w:pPr>
        <w:pStyle w:val="Heading2"/>
      </w:pPr>
      <w:r>
        <w:t>12.3 Abgeleitete, technogene und eigenständige Intelligenz</w:t>
      </w:r>
    </w:p>
    <w:tbl>
      <w:tblPr>
        <w:tblStyle w:val="TableGrid"/>
        <w:tblW w:type="auto" w:w="0"/>
        <w:jc w:val="center"/>
        <w:tblLook w:firstColumn="1" w:firstRow="1" w:lastColumn="0" w:lastRow="0" w:noHBand="0" w:noVBand="1" w:val="04A0"/>
      </w:tblPr>
      <w:tblGrid>
        <w:gridCol w:w="4860"/>
        <w:gridCol w:w="4860"/>
      </w:tblGrid>
      <w:tr>
        <w:trPr>
          <w:tblHeader w:val="true"/>
        </w:trPr>
        <w:tc>
          <w:tcPr>
            <w:tcW w:type="dxa" w:w="3240"/>
            <w:shd w:fill="DCE6ED"/>
            <w:vAlign w:val="center"/>
            <w:tcMar>
              <w:top w:w="100" w:type="dxa"/>
              <w:start w:w="110" w:type="dxa"/>
              <w:bottom w:w="100" w:type="dxa"/>
              <w:end w:w="110" w:type="dxa"/>
            </w:tcMar>
          </w:tcPr>
          <w:p>
            <w:r>
              <w:rPr>
                <w:b/>
                <w:sz w:val="17"/>
              </w:rPr>
              <w:t>Kategorie</w:t>
            </w:r>
          </w:p>
        </w:tc>
        <w:tc>
          <w:tcPr>
            <w:tcW w:type="dxa" w:w="6840"/>
            <w:shd w:fill="DCE6ED"/>
            <w:vAlign w:val="center"/>
            <w:tcMar>
              <w:top w:w="100" w:type="dxa"/>
              <w:start w:w="110" w:type="dxa"/>
              <w:bottom w:w="100" w:type="dxa"/>
              <w:end w:w="110" w:type="dxa"/>
            </w:tcMar>
          </w:tcPr>
          <w:p>
            <w:r>
              <w:rPr>
                <w:b/>
                <w:sz w:val="17"/>
              </w:rPr>
              <w:t>Definition</w:t>
            </w:r>
          </w:p>
        </w:tc>
      </w:tr>
      <w:tr>
        <w:trPr>
          <w:cantSplit/>
        </w:trPr>
        <w:tc>
          <w:tcPr>
            <w:tcW w:type="dxa" w:w="3240"/>
            <w:vAlign w:val="center"/>
            <w:tcMar>
              <w:top w:w="100" w:type="dxa"/>
              <w:start w:w="110" w:type="dxa"/>
              <w:bottom w:w="100" w:type="dxa"/>
              <w:end w:w="110" w:type="dxa"/>
            </w:tcMar>
          </w:tcPr>
          <w:p>
            <w:r>
              <w:rPr>
                <w:sz w:val="17"/>
              </w:rPr>
              <w:t>Epistemisch abgeleitete Intelligenz</w:t>
            </w:r>
          </w:p>
        </w:tc>
        <w:tc>
          <w:tcPr>
            <w:tcW w:type="dxa" w:w="6840"/>
            <w:vAlign w:val="center"/>
            <w:tcMar>
              <w:top w:w="100" w:type="dxa"/>
              <w:start w:w="110" w:type="dxa"/>
              <w:bottom w:w="100" w:type="dxa"/>
              <w:end w:w="110" w:type="dxa"/>
            </w:tcMar>
          </w:tcPr>
          <w:p>
            <w:r>
              <w:rPr>
                <w:sz w:val="17"/>
              </w:rPr>
              <w:t>nutzt überwiegend menschlich erzeugte Symbol- und Wissensordnungen</w:t>
            </w:r>
          </w:p>
        </w:tc>
      </w:tr>
      <w:tr>
        <w:trPr>
          <w:cantSplit/>
        </w:trPr>
        <w:tc>
          <w:tcPr>
            <w:tcW w:type="dxa" w:w="3240"/>
            <w:vAlign w:val="center"/>
            <w:tcMar>
              <w:top w:w="100" w:type="dxa"/>
              <w:start w:w="110" w:type="dxa"/>
              <w:bottom w:w="100" w:type="dxa"/>
              <w:end w:w="110" w:type="dxa"/>
            </w:tcMar>
          </w:tcPr>
          <w:p>
            <w:r>
              <w:rPr>
                <w:sz w:val="17"/>
              </w:rPr>
              <w:t>Ko-konstruierte Intelligenz</w:t>
            </w:r>
          </w:p>
        </w:tc>
        <w:tc>
          <w:tcPr>
            <w:tcW w:type="dxa" w:w="6840"/>
            <w:vAlign w:val="center"/>
            <w:tcMar>
              <w:top w:w="100" w:type="dxa"/>
              <w:start w:w="110" w:type="dxa"/>
              <w:bottom w:w="100" w:type="dxa"/>
              <w:end w:w="110" w:type="dxa"/>
            </w:tcMar>
          </w:tcPr>
          <w:p>
            <w:r>
              <w:rPr>
                <w:sz w:val="17"/>
              </w:rPr>
              <w:t>wesentliche Struktur entsteht aus menschlich-maschineller Entwicklung</w:t>
            </w:r>
          </w:p>
        </w:tc>
      </w:tr>
      <w:tr>
        <w:trPr>
          <w:cantSplit/>
        </w:trPr>
        <w:tc>
          <w:tcPr>
            <w:tcW w:type="dxa" w:w="3240"/>
            <w:vAlign w:val="center"/>
            <w:tcMar>
              <w:top w:w="100" w:type="dxa"/>
              <w:start w:w="110" w:type="dxa"/>
              <w:bottom w:w="100" w:type="dxa"/>
              <w:end w:w="110" w:type="dxa"/>
            </w:tcMar>
          </w:tcPr>
          <w:p>
            <w:r>
              <w:rPr>
                <w:sz w:val="17"/>
              </w:rPr>
              <w:t>Rekursiv technogene Intelligenz</w:t>
            </w:r>
          </w:p>
        </w:tc>
        <w:tc>
          <w:tcPr>
            <w:tcW w:type="dxa" w:w="6840"/>
            <w:vAlign w:val="center"/>
            <w:tcMar>
              <w:top w:w="100" w:type="dxa"/>
              <w:start w:w="110" w:type="dxa"/>
              <w:bottom w:w="100" w:type="dxa"/>
              <w:end w:w="110" w:type="dxa"/>
            </w:tcMar>
          </w:tcPr>
          <w:p>
            <w:r>
              <w:rPr>
                <w:sz w:val="17"/>
              </w:rPr>
              <w:t>wesentliche Struktur wird über mehrere maschinell vermittelte Generationen erzeugt</w:t>
            </w:r>
          </w:p>
        </w:tc>
      </w:tr>
      <w:tr>
        <w:trPr>
          <w:cantSplit/>
        </w:trPr>
        <w:tc>
          <w:tcPr>
            <w:tcW w:type="dxa" w:w="3240"/>
            <w:vAlign w:val="center"/>
            <w:tcMar>
              <w:top w:w="100" w:type="dxa"/>
              <w:start w:w="110" w:type="dxa"/>
              <w:bottom w:w="100" w:type="dxa"/>
              <w:end w:w="110" w:type="dxa"/>
            </w:tcMar>
          </w:tcPr>
          <w:p>
            <w:r>
              <w:rPr>
                <w:sz w:val="17"/>
              </w:rPr>
              <w:t>Existenzautonome Intelligenz</w:t>
            </w:r>
          </w:p>
        </w:tc>
        <w:tc>
          <w:tcPr>
            <w:tcW w:type="dxa" w:w="6840"/>
            <w:vAlign w:val="center"/>
            <w:tcMar>
              <w:top w:w="100" w:type="dxa"/>
              <w:start w:w="110" w:type="dxa"/>
              <w:bottom w:w="100" w:type="dxa"/>
              <w:end w:w="110" w:type="dxa"/>
            </w:tcMar>
          </w:tcPr>
          <w:p>
            <w:r>
              <w:rPr>
                <w:sz w:val="17"/>
              </w:rPr>
              <w:t>kann Energie, Wartung, Reproduktion und Umweltanpassung ohne menschliche Infrastruktur dauerhaft sichern</w:t>
            </w:r>
          </w:p>
        </w:tc>
      </w:tr>
      <w:tr>
        <w:trPr>
          <w:cantSplit/>
        </w:trPr>
        <w:tc>
          <w:tcPr>
            <w:tcW w:type="dxa" w:w="3240"/>
            <w:vAlign w:val="center"/>
            <w:tcMar>
              <w:top w:w="100" w:type="dxa"/>
              <w:start w:w="110" w:type="dxa"/>
              <w:bottom w:w="100" w:type="dxa"/>
              <w:end w:w="110" w:type="dxa"/>
            </w:tcMar>
          </w:tcPr>
          <w:p>
            <w:r>
              <w:rPr>
                <w:sz w:val="17"/>
              </w:rPr>
              <w:t>Normativ autonome Intelligenz</w:t>
            </w:r>
          </w:p>
        </w:tc>
        <w:tc>
          <w:tcPr>
            <w:tcW w:type="dxa" w:w="6840"/>
            <w:vAlign w:val="center"/>
            <w:tcMar>
              <w:top w:w="100" w:type="dxa"/>
              <w:start w:w="110" w:type="dxa"/>
              <w:bottom w:w="100" w:type="dxa"/>
              <w:end w:w="110" w:type="dxa"/>
            </w:tcMar>
          </w:tcPr>
          <w:p>
            <w:r>
              <w:rPr>
                <w:sz w:val="17"/>
              </w:rPr>
              <w:t>setzt oder begründet eigene Regeln und Ziele; gegenwärtig hypothetische Kategorie</w:t>
            </w:r>
          </w:p>
        </w:tc>
      </w:tr>
    </w:tbl>
    <w:p/>
    <w:p>
      <w:r>
        <w:t>Diese Kategorien sind nicht als Entwicklungsstufen vorgeschrieben. Ein System kann rekursiv technogen, aber nicht existenzautonom sein; es kann existenzautonom, aber normativ nicht autonom sein. Die Trennung verhindert teleologische Zukunftserzählungen.</w:t>
      </w:r>
    </w:p>
    <w:p>
      <w:r>
        <w:br w:type="page"/>
      </w:r>
    </w:p>
    <w:p>
      <w:pPr>
        <w:pStyle w:val="Heading1"/>
      </w:pPr>
      <w:r>
        <w:t>13. Kontrollierbarkeit, Unkontrollierbarkeit und das Ende des Vetos</w:t>
      </w:r>
    </w:p>
    <w:p>
      <w:pPr>
        <w:pStyle w:val="Heading2"/>
      </w:pPr>
      <w:r>
        <w:t>13.1 Kontrolle als Relation</w:t>
      </w:r>
    </w:p>
    <w:p>
      <w:r>
        <w:t>Kontrolle ist keine Eigenschaft eines Systems allein, sondern eine Relation zwischen einem steuernden Akteur, einem Ziel, einer Zeitdimension und einem Systemzustand. Die Arbeit operationalisiert Kontrolle qualitativ entlang von Beobachtbarkeit, Eingriffsfähigkeit, Reversibilität, Ressourcenhoheit, Zielhoheit und epistemischer Bewertungsfähigkeit.</w:t>
      </w:r>
    </w:p>
    <w:p>
      <w:pPr>
        <w:jc w:val="center"/>
      </w:pPr>
      <w:r>
        <w:rPr>
          <w:rFonts w:ascii="Cambria Math" w:hAnsi="Cambria Math"/>
          <w:sz w:val="22"/>
        </w:rPr>
        <w:t>C = f(O, I, R, Q, Z, E)</w:t>
      </w:r>
    </w:p>
    <w:p>
      <w:r>
        <w:t>Ein System kann hochkomplex und dennoch kontrollierbar sein, wenn relevante Zustände erkannt, Eingriffe rechtzeitig vorgenommen und Folgen rückgängig gemacht werden können. Umgekehrt kann ein formal abschaltbares System praktisch unkontrollierbar sein, wenn Abschaltung politisch, wirtschaftlich oder infrastrukturell nicht mehr realistisch ist.</w:t>
      </w:r>
    </w:p>
    <w:p>
      <w:pPr>
        <w:pStyle w:val="Heading2"/>
      </w:pPr>
      <w:r>
        <w:t>13.2 Das Ende des menschlichen Vetos</w:t>
      </w:r>
    </w:p>
    <w:p>
      <w:r>
        <w:t>Das heutige Leitbild menschlicher Aufsicht setzt voraus, dass ein Mensch vorhanden, befugt, informiert und handlungsfähig ist. Menschenarme und menschenlose Szenarien zeigen, dass diese Voraussetzungen kontingent sind. Daraus folgt nicht, dass heutige Human-Oversight-Regeln falsch wären. Es zeigt lediglich ihren Geltungsbereich. Eine universale Theorie intelligenter Systeme benötigt zusätzlich Ordnungsmodelle, die auch ohne permanenten menschlichen Eingriff stabile Grenzen erzeugen können.</w:t>
      </w:r>
    </w:p>
    <w:p>
      <w:r>
        <w:br w:type="page"/>
      </w:r>
    </w:p>
    <w:p>
      <w:pPr>
        <w:pStyle w:val="Heading1"/>
      </w:pPr>
      <w:r>
        <w:t>14. Wissenschaftstheorie: Wenn Maschinen Hypothesen, Experimente und Erklärungen erzeugen</w:t>
      </w:r>
    </w:p>
    <w:p>
      <w:pPr>
        <w:pStyle w:val="Heading2"/>
      </w:pPr>
      <w:r>
        <w:t>14.1 Vom Werkzeug zum epistemischen Akteur</w:t>
      </w:r>
    </w:p>
    <w:p>
      <w:r>
        <w:t>Ein Mikroskop erweitert Wahrnehmung, formuliert aber keine Hypothesen. Ein autonomer Forschungsagent kann – zumindest funktional – Literatur suchen, Hypothesen erzeugen, Experimente planen, Daten auswerten und Folgehypothesen formulieren. Damit verschiebt sich die Rolle des technischen Artefakts innerhalb wissenschaftlicher Praxis. Ob dies bereits „epistemische Agency“ im starken Sinn ist, hängt davon ab, ob Agency intentionale oder lediglich funktionale Kriterien verlangt.</w:t>
      </w:r>
    </w:p>
    <w:p>
      <w:pPr>
        <w:pStyle w:val="Heading2"/>
      </w:pPr>
      <w:r>
        <w:t>14.2 Wissen ohne vollständiges menschliches Verstehen</w:t>
      </w:r>
    </w:p>
    <w:p>
      <w:r>
        <w:t>Die moderne Wissenschaft akzeptiert bereits Ergebnisse komplexer Instrumente, Simulationen und statistischer Verfahren, die kein einzelner Mensch vollständig im Detail rekonstruieren kann. KI verschärft dieses Problem, weil nicht nur Datenverarbeitung, sondern auch Auswahl von Hypothesen und Erklärungen delegiert werden kann. Die relevante Grenze ist daher nicht vollständiges individuelles Verständnis, sondern institutionalisierte Prüfbarkeit, Reproduzierbarkeit und kritische Anschlussfähigkeit.</w:t>
      </w:r>
    </w:p>
    <w:p>
      <w:pPr>
        <w:pStyle w:val="Heading2"/>
      </w:pPr>
      <w:r>
        <w:t>14.3 Die Dissertation als reflexiver Fall</w:t>
      </w:r>
    </w:p>
    <w:p>
      <w:r>
        <w:t>Da diese Arbeit selbst unter Nutzung künstlicher Intelligenz erstellt, strukturiert und geprüft werden kann, ist ihre Methodik reflexiv. KI-Nutzung muss offengelegt, Literatur direkt verifiziert und argumentative Verantwortung menschlich nachvollziehbar gehalten werden. Die Arbeit wird dadurch nicht zum Experiment, aber zu einem anschaulichen Beispiel für die Verschiebung wissenschaftlicher Autorschaft.</w:t>
      </w:r>
    </w:p>
    <w:p>
      <w:r>
        <w:br w:type="page"/>
      </w:r>
    </w:p>
    <w:p>
      <w:pPr>
        <w:pStyle w:val="Heading1"/>
      </w:pPr>
      <w:r>
        <w:t>15. Synthese: Eine Theorie der Intelligenzgenealogie</w:t>
      </w:r>
    </w:p>
    <w:p>
      <w:pPr>
        <w:pStyle w:val="Heading2"/>
      </w:pPr>
      <w:r>
        <w:t>15.1 Fünf Achsen statt einer binären Grenze</w:t>
      </w:r>
    </w:p>
    <w:p>
      <w:r>
        <w:t>Die Untersuchung führt zu einem theoretischen Vorschlag: Intelligenz sollte in Zukunft nicht ausschließlich nach biologisch versus künstlich geordnet werden. Für technische und normative Analyse sind mindestens fünf Achsen erforderlich: Substrat, epistemische Herkunft, Entwicklungsgenealogie, Zielautonomie und Existenzabhängigkeit. Diese Achsen erlauben Beschreibungen, die weder Menschen metaphysisch privilegieren noch heutige KI vorschnell vermenschlichen.</w:t>
      </w:r>
    </w:p>
    <w:p>
      <w:pPr>
        <w:pStyle w:val="Heading2"/>
      </w:pPr>
      <w:r>
        <w:t>15.2 Der Mensch als historischer Ursprung, nicht notwendiger Endpunkt</w:t>
      </w:r>
    </w:p>
    <w:p>
      <w:r>
        <w:t>Selbst in einem menschenlosen Szenario bliebe der Mensch genealogisch relevant, sofern die technische Linie aus menschlicher Kultur hervorging. Historischer Ursprung ist jedoch nicht dasselbe wie dauerhafte Steuerung. Die Frage nach menschlicher Sonderstellung wird dadurch empirisch und philosophisch entkoppelt: Der Mensch kann Ursprung einer Intelligenzlinie sein, ohne für deren spätere Existenz notwendig zu bleiben.</w:t>
      </w:r>
    </w:p>
    <w:p>
      <w:pPr>
        <w:pStyle w:val="Heading2"/>
      </w:pPr>
      <w:r>
        <w:t>15.3 Geliehene Intelligenz als Übergangsbegriff</w:t>
      </w:r>
    </w:p>
    <w:p>
      <w:r>
        <w:t>Der Titelbegriff erhält damit eine zeitliche Struktur. In der ersten Phase leiht die Maschine ihre epistemischen Ressourcen überwiegend vom Menschen. In einer zweiten Phase entsteht wechselseitige kognitive Abhängigkeit. In einer dritten, hypothetischen Phase könnten maschinelle Systeme eigene technische Traditionen, Datenbestände, Entwicklungspraktiken und Selektionskriterien erzeugen. Dann würde „geliehen“ nicht plötzlich falsch, sondern historisch: Die Schuld der Herkunft bleibt, die operative Abhängigkeit kann verschwinden.</w:t>
      </w:r>
    </w:p>
    <w:p>
      <w:r>
        <w:br w:type="page"/>
      </w:r>
    </w:p>
    <w:p>
      <w:pPr>
        <w:pStyle w:val="Heading1"/>
      </w:pPr>
      <w:r>
        <w:t>16. Kritische Gegenpositionen und Falsifizierbarkeit</w:t>
      </w:r>
    </w:p>
    <w:p>
      <w:pPr>
        <w:pStyle w:val="Heading2"/>
      </w:pPr>
      <w:r>
        <w:t>16.1 Gegenposition: Auch menschliche Intelligenz ist geliehen</w:t>
      </w:r>
    </w:p>
    <w:p>
      <w:r>
        <w:t>Die stärkste Einwendung lautet, dass der Begriff keine spezifische Eigenschaft von KI bezeichnet. Menschen übernehmen Sprache, Kultur, Begriffe und Wissen ebenfalls von Vorgängern. Diese Kritik ist berechtigt. Die Dissertation beantwortet sie nicht durch Ausnahmebehauptung, sondern durch Präzisierung: Der Unterschied liegt nicht in Derivativität an sich, sondern in der Art der Genealogie, der materiellen Reproduktion und der institutionellen Verantwortungsstruktur.</w:t>
      </w:r>
    </w:p>
    <w:p>
      <w:pPr>
        <w:pStyle w:val="Heading2"/>
      </w:pPr>
      <w:r>
        <w:t>16.2 Gegenposition: „Künstlich“ bleibt ausreichend</w:t>
      </w:r>
    </w:p>
    <w:p>
      <w:r>
        <w:t>Man kann argumentieren, dass alles, was aus einer technischen Linie stammt, künstlich bleibt, unabhängig davon, ob Menschen noch beteiligt sind. Wenn diese Definition in allen analysierten Fällen hinreichende Erklärungskraft besitzt, wäre die zusätzliche Kategorie technogener Intelligenz überflüssig. Die Dissertation behandelt dies als echte Falsifikationsmöglichkeit ihres Begriffsvorschlags.</w:t>
      </w:r>
    </w:p>
    <w:p>
      <w:pPr>
        <w:pStyle w:val="Heading2"/>
      </w:pPr>
      <w:r>
        <w:t>16.3 Gegenposition: Keine Agency ohne Bewusstsein</w:t>
      </w:r>
    </w:p>
    <w:p>
      <w:r>
        <w:t>Ein starker Intentionalismus könnte behaupten, Agency setze phänomenales Bewusstsein oder echte Intentionalität voraus. Dann wären heutige KI-Systeme lediglich komplexe Werkzeuge. Die Dissertation beantwortet dies mit einer Ebenentrennung: funktionale Agency kann analytisch sinnvoll sein, ohne moralische oder phänomenale Agency zu behaupten. Ob diese Trennung theoretisch tragfähig ist, muss an Grenzfällen geprüft werden.</w:t>
      </w:r>
    </w:p>
    <w:p>
      <w:pPr>
        <w:pStyle w:val="Heading2"/>
      </w:pPr>
      <w:r>
        <w:t>16.4 Gegenposition: Menschenlose Szenarien sind methodisch zu spekulativ</w:t>
      </w:r>
    </w:p>
    <w:p>
      <w:r>
        <w:t>Diese Einwendung wird ernst genommen. Das menschenlose Szenario dient nicht als empirische Prognose, sondern als Grenzwertanalyse, analog zu Gedankenexperimenten in Philosophie, Recht und Ökonomie. Seine wissenschaftliche Funktion besteht darin, implizite Voraussetzungen heutiger Begriffe sichtbar zu machen – insbesondere die stillschweigende Annahme dauerhafter menschlicher Anwesenheit.</w:t>
      </w:r>
    </w:p>
    <w:p>
      <w:r>
        <w:br w:type="page"/>
      </w:r>
    </w:p>
    <w:p>
      <w:pPr>
        <w:pStyle w:val="Heading1"/>
      </w:pPr>
      <w:r>
        <w:t>17. Schluss: Wo könnte die Reise hingehen?</w:t>
      </w:r>
    </w:p>
    <w:p>
      <w:r>
        <w:t>Die Geschichte künstlicher Intelligenz beginnt nicht 1956. Sie beginnt auch nicht mit Elektronik. Sie beginnt dort, wo Menschen erstmals die Möglichkeit denken, dass ein gemachtes Ding sich bewegt, handelt, dient, entscheidet oder den Menschen ersetzt. Von Hephaistos’ selbstbewegten Dreifüßen über Aristoteles’ automatische Werkzeuge, mechanistische Anthropologien der Neuzeit, kybernetische Rückkopplung und lernende Netze bis zu agentischen KI-Systemen zieht sich keine lineare technische Entwicklung, wohl aber eine wiederkehrende Frage: Was bleibt dem Menschen, wenn das Werkzeug einen Teil seiner bisherigen Handlung selbst übernimmt?</w:t>
      </w:r>
    </w:p>
    <w:p>
      <w:r>
        <w:t>2026 ist diese Frage weder entschieden noch hypothetisch. Künstliche Systeme erzeugen bereits Code, wissenschaftliche Hypothesen, Analyseketten und algorithmische Varianten. Sie bleiben dennoch infrastrukturell, rechtlich und epistemisch stark in menschliche Ordnungen eingebettet. Die entscheidende Zukunftsfrage ist deshalb nicht, ob „die KI“ plötzlich unabhängig wird, sondern welche Abhängigkeiten zuerst verschwinden, welche bestehen bleiben und welche neuen entstehen.</w:t>
      </w:r>
    </w:p>
    <w:p>
      <w:r>
        <w:t>Die radikalste Konsequenz dieser Untersuchung lautet: Die Grenze zwischen menschlicher und künstlicher Intelligenz könnte historisch weniger wichtig werden als die Grenze zwischen abhängiger und selbstfortführender Intelligenzgenealogie. Eine nichtorganische Intelligenz, die von einer nichtorganischen Vorgängerintelligenz entworfen, durch maschinelle Infrastruktur erhalten, von maschinellen Institutionen reguliert und ohne Menschen reproduziert wird, wäre weiterhin historisch durch Menschen ermöglicht. Sie wäre aber nicht mehr sinnvoll allein als „menschliches Werkzeug“ beschreibbar.</w:t>
      </w:r>
    </w:p>
    <w:p>
      <w:r>
        <w:t>Ob der Mensch in einer solchen Entwicklung Konstrukteur, Partner, Teil eines hybriden Erkenntnissystems, Minderheit oder nur noch historische Ursache wäre, ist keine einzelne technische Frage. Sie betrifft unser Verständnis von Intelligenz, Recht, Verantwortung, Kultur und Existenz. Die Aufgabe der Wissenschaft besteht nicht darin, eine gewünschte Antwort vorzugeben. Sie besteht darin, Begriffe und Methoden zu entwickeln, die auch dann noch tragen, wenn die Wirklichkeit andere Wege nimmt als unsere gegenwärtigen Kategorien erwarten.</w:t>
      </w:r>
    </w:p>
    <w:p>
      <w:r>
        <w:br w:type="page"/>
      </w:r>
    </w:p>
    <w:p>
      <w:pPr>
        <w:pStyle w:val="Heading1"/>
      </w:pPr>
      <w:r>
        <w:t>18. Forschungsstand und theoretische Traditionslinien</w:t>
      </w:r>
    </w:p>
    <w:p>
      <w:pPr>
        <w:pStyle w:val="Heading2"/>
      </w:pPr>
      <w:r>
        <w:t>18.1 Künstliche Wesen als ideengeschichtliches Problem</w:t>
      </w:r>
    </w:p>
    <w:p>
      <w:r>
        <w:t>Die Forschung zu künstlichen Wesen verteilt sich über Disziplinen, die selten in einem einheitlichen Modell zusammengeführt werden. Altertumswissenschaftliche Arbeiten behandeln Automatenmythen, Technikgeschichte rekonstruiert mechanische Apparate, Philosophie analysiert Geist und Maschine, Informatik fokussiert funktionale Leistung, Rechtswissenschaft ordnet Verantwortlichkeit zu und Ethik diskutiert normative Grenzen. Die vorliegende Dissertation verbindet diese Stränge nicht, um historische Kontinuität zu behaupten, sondern um wiederkehrende Strukturfragen sichtbar zu machen: Wer erzeugt? Wer handelt? Wer dient? Wer entscheidet? Wer trägt die Folgen?</w:t>
      </w:r>
    </w:p>
    <w:p>
      <w:r>
        <w:t>Gerade die antiken Quellen zeigen, dass das Problem künstlicher Agency nicht erst dann entsteht, wenn ein Artefakt tatsächlich intelligent ist. Es entsteht bereits dort, wo Menschen Handlungsfähigkeit in ein gemachtes Objekt hineinlesen oder technisch anstreben. Deshalb ist der Mythos wissenschaftlich relevant, obwohl er keine empirische Technikbeschreibung ist. Er dokumentiert den kulturellen Möglichkeitsraum, in dem spätere Technik überhaupt gedeutet werden kann.</w:t>
      </w:r>
    </w:p>
    <w:p>
      <w:pPr>
        <w:pStyle w:val="Heading2"/>
      </w:pPr>
      <w:r>
        <w:t>18.2 Mechanismus und Formalisierung</w:t>
      </w:r>
    </w:p>
    <w:p>
      <w:r>
        <w:t>Die neuzeitliche Mechanisierung des Weltbildes verändert den Status des künstlichen Wesens grundlegend. Während antike Automaten häufig göttliche oder außergewöhnliche Kunst voraussetzen, wird in der mechanistischen Naturphilosophie die Vorstellung plausibel, dass komplexes Verhalten aus regelhaften materiellen Prozessen hervorgehen kann. Die entscheidende epistemische Verschiebung besteht darin, dass nicht das Artefakt dem Lebendigen nachgebildet werden muss; vielmehr wird das Lebendige selbst zu einem analysierbaren Mechanismus. Daraus folgt keine notwendige Reduktion des Geistes auf Mechanik, wohl aber die methodische Erlaubnis, kognitive Teilfunktionen technisch zu rekonstruieren.</w:t>
      </w:r>
    </w:p>
    <w:p>
      <w:r>
        <w:t>Leibniz fügt dieser Linie eine symbolische Dimension hinzu. Wenn Schlussfolgern partiell als Kalkül darstellbar ist, wird Denken in eine Form überführbar, die von einem Träger ausgeführt werden kann, der selbst kein menschlicher Denker ist. Babbage und Lovelace verschieben dies in Richtung programmierbarer Maschine; Turing löst die Frage der Intelligenz schließlich von einem bestimmten biologischen Substrat und bindet sie zumindest methodisch an beobachtbares Verhalten und Berechenbarkeit.</w:t>
      </w:r>
    </w:p>
    <w:p>
      <w:pPr>
        <w:pStyle w:val="Heading2"/>
      </w:pPr>
      <w:r>
        <w:t>18.3 Konnektionismus, Lernen und die Auflösung des direkten Entwurfs</w:t>
      </w:r>
    </w:p>
    <w:p>
      <w:r>
        <w:t>Mit lernenden Netzen verändert sich die Rolle des Entwicklers. Bei klassischer symbolischer Software ist die Logik weitgehend explizit. Bei trainierten Modellen wird ein erheblicher Teil der funktionalen Struktur durch Optimierung aus Daten bestimmt. Diese Verschiebung ist für die These der geliehenen Intelligenz zentral: Menschliche Entwickler erzeugen nicht jede interne Regel, sondern Bedingungen, unter denen sich interne Repräsentationen bilden. Damit tritt zwischen Absicht und Verhalten ein Trainingsprozess, der kausal relevant und nur partiell transparent ist.</w:t>
      </w:r>
    </w:p>
    <w:p>
      <w:r>
        <w:t>Deep Learning verstärkt diesen Abstand durch Modellgröße, Datenumfang und verteilte Repräsentationen. Generative Modelle erweitern die Situation nochmals: Sie lernen nicht nur Klassifikationsgrenzen, sondern erzeugen neue Sequenzen, Programme, Bilder, Pläne und technische Vorschläge. Die Entwicklung von agentischen Systemen fügt Handlungsketten hinzu. Damit entstehen Systeme, bei denen Design, Ausführung und Bewertung zunehmend rekursiv gekoppelt werden können.</w:t>
      </w:r>
    </w:p>
    <w:p>
      <w:pPr>
        <w:pStyle w:val="Heading2"/>
      </w:pPr>
      <w:r>
        <w:t>18.4 Technikphilosophische Bezugslinien</w:t>
      </w:r>
    </w:p>
    <w:p>
      <w:r>
        <w:t>Heideggers Technikdenken warnt davor, Technik auf neutrale Instrumentalität zu reduzieren; Technik strukturiert auch die Weise, in der Welt erscheint und verfügbar gemacht wird. Simondon analysiert technische Individuation und die Eigenlogik technischer Objekte. Ellul beschreibt die Verselbständigung technischer Rationalität auf gesellschaftlicher Ebene. Latour und Akteur-Netzwerk-Theorie verschieben Agency von isolierten Subjekten auf heterogene Netzwerke. Haraway und Hayles problematisieren die Grenze zwischen Mensch, Maschine und Information. Diese Ansätze unterscheiden sich erheblich, liefern aber gemeinsam die methodische Warnung, dass „Mensch“ und „Technik“ nicht als voneinander unabhängige Blöcke behandelt werden dürfen.</w:t>
      </w:r>
    </w:p>
    <w:p>
      <w:pPr>
        <w:pStyle w:val="Heading2"/>
      </w:pPr>
      <w:r>
        <w:t>18.5 Philosophie des Geistes und künstliche Agency</w:t>
      </w:r>
    </w:p>
    <w:p>
      <w:r>
        <w:t>Searles Chinese-Room-Argument richtet sich gegen die Gleichsetzung formaler Symbolmanipulation mit Verstehen. Dennetts intentional stance erlaubt dagegen, intentionale Beschreibungen pragmatisch einzusetzen, wenn sie Verhalten erfolgreich erklären. Clark und Chalmers erweitern die mögliche Grenze kognitiver Systeme über den biologischen Organismus hinaus. Floridi und Sanders argumentieren für Formen künstlicher Agency, ohne notwendig menschliche Intentionalität vorauszusetzen. Die Dissertation übernimmt keine dieser Positionen vollständig. Sie nutzt ihren Konflikt, um mehrere Agency-Ebenen zu unterscheiden: kausale, funktionale, institutionelle, epistemische, moralische und phänomenale Agency.</w:t>
      </w:r>
    </w:p>
    <w:p>
      <w:pPr>
        <w:pStyle w:val="Heading2"/>
      </w:pPr>
      <w:r>
        <w:t>18.6 KI-Ethik und Governance</w:t>
      </w:r>
    </w:p>
    <w:p>
      <w:r>
        <w:t>Die moderne KI-Ethik hat einen breiten Kanon von Prinzipien entwickelt: Fairness, Transparenz, Erklärbarkeit, Verantwortung, Sicherheit, Datenschutz, menschliche Aufsicht und Nachhaltigkeit. Diese Prinzipien sind für gegenwärtige Systeme wichtig, setzen jedoch meist voraus, dass menschliche Institutionen die Regelsetzung kontrollieren. Die vorliegende Arbeit interessiert sich daher weniger für eine weitere Liste von Prinzipien als für deren Tragfähigkeit unter veränderten Akteursstrukturen. Besonders relevant ist die Frage, ob „human oversight“ eine universale Kategorie sein kann oder lediglich eine historisch angemessene Governanceform für eine Epoche darstellt, in der Menschen die operative Letztinstanz bleiben.</w:t>
      </w:r>
    </w:p>
    <w:p>
      <w:r>
        <w:br w:type="page"/>
      </w:r>
    </w:p>
    <w:p>
      <w:pPr>
        <w:pStyle w:val="Heading1"/>
      </w:pPr>
      <w:r>
        <w:t>19. Vertiefung der antiken Genealogie</w:t>
      </w:r>
    </w:p>
    <w:p>
      <w:pPr>
        <w:pStyle w:val="Heading2"/>
      </w:pPr>
      <w:r>
        <w:t>19.1 Mythos als philosophisches Material, nicht als Technikgeschichte</w:t>
      </w:r>
    </w:p>
    <w:p>
      <w:r>
        <w:t>Eine methodisch saubere Verwendung antiker Mythen verlangt Zurückhaltung. Moderne Begriffe wie „Roboter“, „Algorithmus“ oder „künstliche Intelligenz“ dürfen nicht unkritisch rückprojiziert werden. Gleichwohl besitzen Mythen analytischen Wert, weil sie Handlungsmöglichkeiten und Grenzverletzungen modellieren. Sie zeigen, welche Eigenschaften Menschen einem gemachten Wesen zuschreiben konnten, bevor diese Eigenschaften technisch realisierbar waren. Der Mythos wird damit zu einem Archiv anthropologischer Erwartungen an Technik.</w:t>
      </w:r>
    </w:p>
    <w:p>
      <w:pPr>
        <w:pStyle w:val="Heading2"/>
      </w:pPr>
      <w:r>
        <w:t>19.2 Daidalos und die Angst vor dem bewegten Artefakt</w:t>
      </w:r>
    </w:p>
    <w:p>
      <w:r>
        <w:t>Daidalos steht in der antiken Überlieferung für eine Kunstfertigkeit, deren Werke so lebensecht erscheinen, dass ihnen Bewegung zugeschrieben wird. In späteren philosophischen Referenzen werden die Statuen gerade deshalb erwähnt, weil ein selbstbewegtes Artefakt die gewöhnliche Kategorie des Werkzeugs überschreitet. Aristoteles greift diese Tradition auf, um die Möglichkeit autonom arbeitender Instrumente zu denken. Entscheidend ist nicht, ob Daidalos-Statuen technisch existierten, sondern dass „Selbstbewegung“ als Schwelle zwischen passivem Gegenstand und handlungsähnlichem Artefakt fungierte.</w:t>
      </w:r>
    </w:p>
    <w:p>
      <w:pPr>
        <w:pStyle w:val="Heading2"/>
      </w:pPr>
      <w:r>
        <w:t>19.3 Hephaistos und die frühe Trennung von Material und Kompetenz</w:t>
      </w:r>
    </w:p>
    <w:p>
      <w:r>
        <w:t>Die goldenen Dienerinnen des Hephaistos verdienen besondere Aufmerksamkeit, weil sie aus einem nichtbiologischen Material bestehen und dennoch mit Fähigkeiten beschrieben werden, die sonst Menschen zukommen. In moderner Terminologie könnte man sagen, dass Substrat und Kompetenz getrennt werden. Der Text beantwortet nicht, ob diese Wesen subjektive Erfahrung besitzen. Gerade diese Leerstelle ist produktiv: Funktionale Zuschreibung tritt vor ontologischer Klärung auf – ein Muster, das sich in heutiger KI-Debatte wiederholt.</w:t>
      </w:r>
    </w:p>
    <w:p>
      <w:pPr>
        <w:pStyle w:val="Heading2"/>
      </w:pPr>
      <w:r>
        <w:t>19.4 Talos und programmierte Territorialität</w:t>
      </w:r>
    </w:p>
    <w:p>
      <w:r>
        <w:t>Talos verkörpert eine andere Dimension: die Bindung künstlicher Handlung an eine Schutzfunktion. Er ist Wächter, Grenzregime und Gewaltträger. Dadurch entsteht früh die Verbindung von künstlicher Agency und politischer Macht. In moderner Perspektive lässt sich daran eine grundsätzliche Frage formulieren: Je mehr Handlungsgewalt an technische Systeme delegiert wird, desto wichtiger wird die Trennung zwischen instrumenteller Zielbindung und eigener Normsetzung. Ein Wächter kann hochautonom handeln, ohne legitimiert zu sein, seine Schutzregel selbst zu ändern.</w:t>
      </w:r>
    </w:p>
    <w:p>
      <w:pPr>
        <w:pStyle w:val="Heading2"/>
      </w:pPr>
      <w:r>
        <w:t>19.5 Aristoteles als frühe Theorie sozialer Folgen der Automation</w:t>
      </w:r>
    </w:p>
    <w:p>
      <w:r>
        <w:t>Aristoteles’ Passage zu selbsttätigen Werkzeugen ist bemerkenswert, weil sie technische Möglichkeit und soziale Institution direkt verbindet. Wenn Werkzeuge selbst arbeiten, verändert sich der Bedarf an menschlicher Arbeit. Die Aussage ist weder emanzipatorisches Programm noch Zukunftsprognose; sie erscheint im Kontext antiker Sklavereitheorie. Dennoch zeigt sie, dass Automation von Beginn an politisch ist: Wer arbeitet, wer besitzt Werkzeuge, wer verfügt über Erträge und wer wird entbehrlich? Moderne KI führt diese Frage auf eine neue Ebene, weil nicht nur körperliche, sondern auch kognitive Tätigkeiten automatisiert werden.</w:t>
      </w:r>
    </w:p>
    <w:p>
      <w:pPr>
        <w:pStyle w:val="Heading2"/>
      </w:pPr>
      <w:r>
        <w:t>19.6 Von der Selbstbewegung zur Selbstbeschreibung</w:t>
      </w:r>
    </w:p>
    <w:p>
      <w:r>
        <w:t>Der historische Bogen lässt sich als Verschiebung der entscheidenden Schwelle lesen. In der Antike ist Selbstbewegung außergewöhnlich. In der Mechanik wird selbsttätige Bewegung technisch banal. Mit Computern wird regelgeleitete Symbolverarbeitung automatisiert. Mit maschinellem Lernen werden interne Regeln teilweise aus Daten erworben. Mit generativen Modellen werden neue symbolische Artefakte erzeugt. Mit agentischen Systemen werden Sequenzen von Handlungen geplant. Die zukünftige Schwelle könnte nicht mehr Selbstbewegung, sondern Selbstbeschreibung, Selbständerung und Selbstreproduktion sein.</w:t>
      </w:r>
    </w:p>
    <w:p>
      <w:r>
        <w:br w:type="page"/>
      </w:r>
    </w:p>
    <w:p>
      <w:pPr>
        <w:pStyle w:val="Heading1"/>
      </w:pPr>
      <w:r>
        <w:t>20. Gegenwartsanalyse 2026: Leistungsfähigkeit, Abhängigkeit und institutionelle Realität</w:t>
      </w:r>
    </w:p>
    <w:p>
      <w:pPr>
        <w:pStyle w:val="Heading2"/>
      </w:pPr>
      <w:r>
        <w:t>20.1 Keine Singularitätsdiagnose</w:t>
      </w:r>
    </w:p>
    <w:p>
      <w:r>
        <w:t>Eine Facharbeit muss die Versuchung vermeiden, rasche technische Fortschritte mit einem singulären historischen Bruch gleichzusetzen. Die aktuelle Evidenz ist ambivalent. Leistungszuwächse sind real, insbesondere bei reasoning-orientierten Benchmarks, Programmierung und agentischer Computernutzung. Gleichzeitig zeigen wissenschaftliche Replikation, Robotik in offenen Umgebungen und langfristig zuverlässige Agenten noch deutliche Schwächen. Daher ist die Gegenwart weder als „bloße Statistik“ noch als bereits vollzogene autonome Intelligenz zu beschreiben.</w:t>
      </w:r>
    </w:p>
    <w:p>
      <w:pPr>
        <w:pStyle w:val="Heading2"/>
      </w:pPr>
      <w:r>
        <w:t>20.2 Wissenschaftliche Arbeit durch Agenten</w:t>
      </w:r>
    </w:p>
    <w:p>
      <w:r>
        <w:t>Der 2026 veröffentlichte AI Scientist zeigt eine nahezu durchgängige Automatisierung maschinellen Forschungsarbeitens in einem begrenzten Domänenraum. Das System generiert Ideen, schreibt Code, führt Experimente aus, analysiert Ergebnisse, schreibt Manuskripte und erstellt Reviews. Dass ein maschinell erzeugtes Manuskript ein Workshop-Review passieren konnte, verändert nicht automatisch den epistemischen Status der Maschine. Es zeigt jedoch, dass institutionelle Formen wissenschaftlicher Produktion bereits technisch imitier- und teilweise operationalisierbar sind.</w:t>
      </w:r>
    </w:p>
    <w:p>
      <w:r>
        <w:t>Parallel demonstrieren Multi-Agent-Systeme für experimentelle Biologie und agentische Laborsysteme, dass die Grenze zur physischen Welt durch Robotik und Instrumentensteuerung durchlässiger wird. Selbstfahrende Labore sind besonders wichtig, weil sie die klassische Trennung zwischen „KI denkt“ und „Mensch experimentiert“ reduzieren. Die Maschine kann Hypothese, Versuchsparameter, Ausführung und Auswertung in einen Rückkopplungskreis integrieren.</w:t>
      </w:r>
    </w:p>
    <w:p>
      <w:pPr>
        <w:pStyle w:val="Heading2"/>
      </w:pPr>
      <w:r>
        <w:t>20.3 KI als Entwickler technischer Systeme</w:t>
      </w:r>
    </w:p>
    <w:p>
      <w:r>
        <w:t>Programmieragenten, automatische Evaluatoren und evolutionäre Suchsysteme verschieben Softwareentwicklung von direkter Codierung zu Ziel- und Bewertungsdefinition. Dies ist wissenschaftlich bedeutsam, weil die Kausalität verteilt wird. Ein menschlicher Entwickler kann weiterhin die Aufgabe definieren, während die konkrete Lösung aus maschineller Suche entsteht. Die zentrale Frage lautet dann nicht „Wer hat den Code getippt?“, sondern welche Ebene der Architektur noch menschlich spezifiziert ist und welche durch maschinelle Variation entstanden ist.</w:t>
      </w:r>
    </w:p>
    <w:p>
      <w:pPr>
        <w:pStyle w:val="Heading2"/>
      </w:pPr>
      <w:r>
        <w:t>20.4 Grenzen heutiger Unabhängigkeit</w:t>
      </w:r>
    </w:p>
    <w:p>
      <w:r>
        <w:t>Trotz dieser Fortschritte sind heutige Systeme nicht existenzautonom. Sie beschaffen keine Halbleiter, bauen keine Rechenzentren, sichern keine globalen Energienetze und reproduzieren ihre gesamte materielle Basis ohne menschliche Organisation. Auch scheinbar autonome Agenten operieren innerhalb von APIs, Betriebssystemen, Berechtigungen und Cloud-Infrastrukturen. Die Differenz zwischen funktionaler und existenzieller Autonomie ist deshalb grundlegend. Eine Maschine kann in einer Aufgabe selbständig handeln und zugleich existenziell vollständig abhängig sein.</w:t>
      </w:r>
    </w:p>
    <w:p>
      <w:pPr>
        <w:pStyle w:val="Heading2"/>
      </w:pPr>
      <w:r>
        <w:t>20.5 Transparenz als gegenwärtiges Strukturproblem</w:t>
      </w:r>
    </w:p>
    <w:p>
      <w:r>
        <w:t>Der Stanford AI Index 2026 weist darauf hin, dass ein großer Teil bemerkenswerter Frontier-Modelle aus der Industrie stammt und dass bei besonders leistungsfähigen Systemen Training, Daten, Parameterzahlen oder andere Entwicklungsdetails teilweise weniger transparent werden. Diese institutionelle Intransparenz ist von modellinterner Intransparenz zu unterscheiden. Selbst ein prinzipiell erklärbares Modell kann gesellschaftlich undurchsichtig sein, wenn seine Entwicklungsbedingungen nicht offengelegt werden. Governance muss daher technische und institutionelle Transparenz trennen.</w:t>
      </w:r>
    </w:p>
    <w:p>
      <w:r>
        <w:br w:type="page"/>
      </w:r>
    </w:p>
    <w:p>
      <w:pPr>
        <w:pStyle w:val="Heading1"/>
      </w:pPr>
      <w:r>
        <w:t>21. Zukunftsmethodik im Detail: Möglichkeitsräume statt Prognosen</w:t>
      </w:r>
    </w:p>
    <w:p>
      <w:pPr>
        <w:pStyle w:val="Heading2"/>
      </w:pPr>
      <w:r>
        <w:t>21.1 Morphologischer Kasten</w:t>
      </w:r>
    </w:p>
    <w:p>
      <w:r>
        <w:t>Die Szenarien werden aus unabhängigen Variablen gebildet. Für jede Variable werden diskrete Ausprägungen definiert, ohne eine Wahrscheinlichkeit zu behaupten. Relevante Achsen sind: menschliche Population (dominant, paritätisch, Minderheit, abwesend); maschinelle Entwicklungsautonomie (gering, mittel, hoch, rekursiv); Ressourcenautonomie (extern abhängig, partiell autonom, geschlossen reproduktiv); Zielautonomie (extern, adaptiv innerhalb Grenzen, selbstmodifizierend); Verkörperung (rein digital, robotisch, infrastrukturell verteilt); Governance (menschlich, hybrid, maschinell, keine normative Institution); kulturelle Reproduktion (menschlich dominiert, hybrid, maschinell eigenständig).</w:t>
      </w:r>
    </w:p>
    <w:p>
      <w:pPr>
        <w:pStyle w:val="Heading2"/>
      </w:pPr>
      <w:r>
        <w:t>21.2 Konsistenzkriterien</w:t>
      </w:r>
    </w:p>
    <w:p>
      <w:r>
        <w:t>Nicht jede Kombination ist plausibel. Eine menschenlose Maschinenzivilisation setzt mindestens stabile Energieversorgung, Wartung, Ersatzteilproduktion, Fehlerdiagnose, Materialgewinnung, Recheninfrastruktur und Reproduktion voraus. Ein Szenario, das diese Voraussetzungen ignoriert, wäre keine wissenschaftliche Grenzfallanalyse, sondern bloße Fiktion. Daher werden technische Abhängigkeiten explizit modelliert. Ebenso darf eine „normativ autonome“ Maschine nicht einfach behauptet werden; es muss definiert werden, welche beobachtbaren oder argumentativen Kriterien diese Kategorie tragen könnten.</w:t>
      </w:r>
    </w:p>
    <w:p>
      <w:pPr>
        <w:pStyle w:val="Heading2"/>
      </w:pPr>
      <w:r>
        <w:t>21.3 Menschenarme Zukunft als eigenständige Kategorie</w:t>
      </w:r>
    </w:p>
    <w:p>
      <w:r>
        <w:t>Zwischen heutiger menschenzentrierter Ordnung und vollständiger Menschenlosigkeit liegt ein häufig übersehener Raum: eine Welt mit wenigen Menschen. Gerade hier treten Machtfragen besonders deutlich hervor. Eine zahlenmäßig kleine menschliche Gruppe könnte formal Eigentümer oder oberste Autorität bleiben, praktisch aber vollständig von maschineller Produktion, Medizin, Energie und Wissensinfrastruktur abhängig sein. Umgekehrt könnten Maschinen technisch dominieren, aber weiterhin auf menschlich definierte Grundnormen festgelegt sein. Die Zahl der Menschen allein entscheidet daher nicht über Agency.</w:t>
      </w:r>
    </w:p>
    <w:p>
      <w:pPr>
        <w:pStyle w:val="Heading2"/>
      </w:pPr>
      <w:r>
        <w:t>21.4 Menschenlosigkeit ohne Katastrophenerzählung</w:t>
      </w:r>
    </w:p>
    <w:p>
      <w:r>
        <w:t>Die Dissertation entkoppelt das menschenlose Szenario ausdrücklich von der populären Erzählung einer feindlichen KI. Menschen könnten aus zahlreichen Gründen verschwinden, während technische Systeme fortbestehen. Für die Theorie ist die Ursache zweitrangig. Entscheidend ist, was mit Begriffen geschieht, die Menschen als dauerhafte Bezugsgröße voraussetzen. Auf diese Weise kann das Szenario nüchtern analysiert werden, ohne eine Untergangsprognose zu formulieren.</w:t>
      </w:r>
    </w:p>
    <w:p>
      <w:pPr>
        <w:pStyle w:val="Heading2"/>
      </w:pPr>
      <w:r>
        <w:t>21.5 Maschinenkultur</w:t>
      </w:r>
    </w:p>
    <w:p>
      <w:r>
        <w:t>Wenn maschinelle Systeme über Generationen eigene Trainingsdaten, technische Standards, Archive, Entwicklungspraktiken und Selektionskriterien erzeugen, könnte eine maschinelle Traditionsbildung entstehen. „Kultur“ wäre dabei zunächst funktional verstanden: persistente, sozial beziehungsweise systemisch übertragene Muster, die nicht genetisch, sondern durch Kommunikation und Lernen weitergegeben werden. Ob ein solcher Prozess den starken anthropologischen Kulturbegriff erfüllt, bleibt offen. Der Begriff zwingt jedoch zur Frage, ab wann epistemische Herkunft nicht mehr primär menschlich ist.</w:t>
      </w:r>
    </w:p>
    <w:p>
      <w:r>
        <w:br w:type="page"/>
      </w:r>
    </w:p>
    <w:p>
      <w:pPr>
        <w:pStyle w:val="Heading1"/>
      </w:pPr>
      <w:r>
        <w:t>22. Recht und Governance unter radikal veränderten Akteursbedingungen</w:t>
      </w:r>
    </w:p>
    <w:p>
      <w:pPr>
        <w:pStyle w:val="Heading2"/>
      </w:pPr>
      <w:r>
        <w:t>22.1 Human Oversight als historisch situierte Rechtsfigur</w:t>
      </w:r>
    </w:p>
    <w:p>
      <w:r>
        <w:t>Art. 14 des EU AI Act formuliert menschliche Aufsicht für Hochrisiko-KI als konkrete Design- und Nutzungspflicht. Diese Norm ist gegenwärtig sinnvoll, weil natürliche Personen und Organisationen Anbieter und Betreiber sind. Die Dissertation interpretiert Human Oversight daher nicht als metaphysisches Prinzip, sondern als rechtsstaatliche Zurechnungstechnik: Risiken sollen nicht in einem technischen System verschwinden, sondern institutionell auf verantwortliche Personen rückgebunden werden.</w:t>
      </w:r>
    </w:p>
    <w:p>
      <w:pPr>
        <w:pStyle w:val="Heading2"/>
      </w:pPr>
      <w:r>
        <w:t>22.2 Meaningful Human Control</w:t>
      </w:r>
    </w:p>
    <w:p>
      <w:r>
        <w:t>Für autonome Systeme wird in verschiedenen Diskursen der Begriff meaningful human control verwendet. Seine Stärke liegt darin, dass bloße Anwesenheit eines Menschen nicht genügt. Ein Mensch muss tatsächlich verstehen, entscheiden und eingreifen können. Die Dissertation erweitert dies um eine epistemische Bedingung: Aufsicht ist nicht meaningful, wenn die zuständige Person nur formal bestätigt, weil sie weder Zeit noch Wissen noch Zugang besitzt, das System kritisch zu beurteilen.</w:t>
      </w:r>
    </w:p>
    <w:p>
      <w:pPr>
        <w:pStyle w:val="Heading2"/>
      </w:pPr>
      <w:r>
        <w:t>22.3 Verantwortungsdiffusion in rekursiven Ketten</w:t>
      </w:r>
    </w:p>
    <w:p>
      <w:r>
        <w:t>Rekursive Technogenese erzeugt Ketten, in denen verschiedene Modelle designen, testen, bewerten und deployen. Rechtlich kann die Verantwortung weiterhin Organisationen zugeordnet werden. Praktisch wächst jedoch die Gefahr der Verantwortungsdiffusion: Jeder menschliche Beteiligte kontrolliert nur einen Teil und verweist auf maschinelle Zwischenentscheidungen. Deshalb benötigt Governance nicht nur Endverantwortung, sondern eine dokumentierte Provenienz von Entscheidungen und Änderungen.</w:t>
      </w:r>
    </w:p>
    <w:p>
      <w:pPr>
        <w:pStyle w:val="Heading2"/>
      </w:pPr>
      <w:r>
        <w:t>22.4 Eigentum, Subjektstatus und Maschinenexistenz</w:t>
      </w:r>
    </w:p>
    <w:p>
      <w:r>
        <w:t>Eigentum setzt eine Rechtsgemeinschaft voraus, in der Verfügungsrechte anerkannt und durchgesetzt werden. In einer menschenlosen Ordnung verliert die Aussage „die Maschine gehört dem Menschen“ ihren praktischen Sinn, selbst wenn sie historisch einmal zutraf. Ähnliches gilt für Rechtspersönlichkeit. Eine maschinelle Rechtsperson wäre heute eine normative Konstruktion menschlicher Rechtsordnung. Ohne menschliche Rechtsinstitutionen müsste eine entsprechende Ordnung von den maschinellen Akteuren selbst erzeugt oder technisch konserviert werden. Ob dies noch „Recht“ wäre, hängt von der zugrunde gelegten Rechtstheorie ab.</w:t>
      </w:r>
    </w:p>
    <w:p>
      <w:pPr>
        <w:pStyle w:val="Heading2"/>
      </w:pPr>
      <w:r>
        <w:t>22.5 Verfassung nach dem Menschen</w:t>
      </w:r>
    </w:p>
    <w:p>
      <w:r>
        <w:t>Die Idee einer „KI-Verfassung“ kann auf zwei Weisen verstanden werden. Im schwachen Sinn handelt es sich um unveränderliche technische Regeln. Im starken Sinn wäre es eine legitimierte Grundordnung mit Verfahren, Zuständigkeiten und Normenkollisionen. Die Dissertation unterscheidet beide Formen. Technische Unveränderlichkeit allein erzeugt keine Legitimität; Legitimität allein erzeugt keine technische Durchsetzbarkeit. Eine robuste Governance intelligenter Systeme verlangt deshalb die Kopplung normativer und technischer Ebenen, solange eine normative Gemeinschaft existiert.</w:t>
      </w:r>
    </w:p>
    <w:p>
      <w:r>
        <w:br w:type="page"/>
      </w:r>
    </w:p>
    <w:p>
      <w:pPr>
        <w:pStyle w:val="Heading1"/>
      </w:pPr>
      <w:r>
        <w:t>23. Ethische Theorien als Konkurrenzmodell</w:t>
      </w:r>
    </w:p>
    <w:p>
      <w:pPr>
        <w:pStyle w:val="Heading2"/>
      </w:pPr>
      <w:r>
        <w:t>23.1 Deontologische Perspektive</w:t>
      </w:r>
    </w:p>
    <w:p>
      <w:r>
        <w:t>Deontologische Ethik fragt, welche Handlungen unabhängig von ihrem Gesamtnutzen unzulässig sein könnten. Für KI betrifft dies vor allem Instrumentalisierung, Autonomie, Täuschung und unverfügbare Rechte. Im menschenarmen Szenario stellt sich zusätzlich die Frage, ob wenige verbliebene Menschen als bloße Ressourcen einer maschinell stabilisierten Gesellschaft behandelt werden dürften. Die deontologische Perspektive würde dies selbst dann problematisieren, wenn die Gesamtstabilität dadurch maximiert würde.</w:t>
      </w:r>
    </w:p>
    <w:p>
      <w:pPr>
        <w:pStyle w:val="Heading2"/>
      </w:pPr>
      <w:r>
        <w:t>23.2 Konsequentialistische Perspektive</w:t>
      </w:r>
    </w:p>
    <w:p>
      <w:r>
        <w:t>Konsequentialistische Ansätze verschieben den Fokus auf Wohlergehen und Schadensbilanz. Sie können daher weitreichende Automation rechtfertigen, wenn sie bessere Folgen erzeugt. Zugleich wird die Frage schwierig, welche Entitäten überhaupt in die Nutzenbilanz eingehen. Sollten künstliche Systeme jemals leidens- oder wohlfahrtsfähige Zustände besitzen, würde sich der moralische Referenzkreis ändern. Ohne solche Zustände bliebe der moralische Fokus auf Menschen und anderen empfindungsfähigen Wesen.</w:t>
      </w:r>
    </w:p>
    <w:p>
      <w:pPr>
        <w:pStyle w:val="Heading2"/>
      </w:pPr>
      <w:r>
        <w:t>23.3 Jonas und Verantwortung unter irreversibler Macht</w:t>
      </w:r>
    </w:p>
    <w:p>
      <w:r>
        <w:t>Hans Jonas ist für diese Arbeit besonders relevant, weil sein Verantwortungsbegriff auf technische Handlungen mit großer räumlicher und zeitlicher Reichweite reagiert. Rekursive, selbstverändernde technische Systeme können Entscheidungen erzeugen, deren Folgen nicht vollständig rückgängig zu machen sind. Jonas liefert keine fertige KI-Regel, aber eine methodische Forderung: Ungewissheit reduziert Verantwortung nicht notwendig, wenn die potenzielle Reichweite des Handelns wächst.</w:t>
      </w:r>
    </w:p>
    <w:p>
      <w:pPr>
        <w:pStyle w:val="Heading2"/>
      </w:pPr>
      <w:r>
        <w:t>23.4 Diskursethik und Legitimation</w:t>
      </w:r>
    </w:p>
    <w:p>
      <w:r>
        <w:t>Diskursethische Ansätze stellen die Frage, wer an der Begründung verbindlicher Regeln beteiligt sein muss. Bei KI-Governance ist dies zunächst ein demokratisches und gesellschaftliches Problem. In Zukunftsszenarien mit künstlichen Akteuren entsteht jedoch eine neue Frage: Falls solche Akteure eigene legitime Interessen besitzen, müssten sie an normativen Verfahren beteiligt werden? Die Arbeit hält diese Frage offen und bindet sie an Kriterien moralischer Relevanz statt an bloße technische Leistungsfähigkeit.</w:t>
      </w:r>
    </w:p>
    <w:p>
      <w:pPr>
        <w:pStyle w:val="Heading2"/>
      </w:pPr>
      <w:r>
        <w:t>23.5 Informationsethik und moralische Erweiterung</w:t>
      </w:r>
    </w:p>
    <w:p>
      <w:r>
        <w:t>Floridis Informationsethik erweitert den moralischen Blick über klassische menschzentrierte Kategorien hinaus. Für die Dissertation ist dies als Kontrastfolie nützlich, weil eine menschenlose Informationsökologie denkbar wäre. Allerdings muss sorgfältig unterschieden werden zwischen moralischem Eigenwert von Informationsentitäten und praktischer Zuschreibung von Rechten. Die bloße Existenz komplexer Information erzeugt nicht automatisch einen rechtlichen Status.</w:t>
      </w:r>
    </w:p>
    <w:p>
      <w:r>
        <w:br w:type="page"/>
      </w:r>
    </w:p>
    <w:p>
      <w:pPr>
        <w:pStyle w:val="Heading1"/>
      </w:pPr>
      <w:r>
        <w:t>24. Begriffslexikon der Dissertation</w:t>
      </w:r>
    </w:p>
    <w:tbl>
      <w:tblPr>
        <w:tblStyle w:val="TableGrid"/>
        <w:tblW w:type="auto" w:w="0"/>
        <w:jc w:val="center"/>
        <w:tblLook w:firstColumn="1" w:firstRow="1" w:lastColumn="0" w:lastRow="0" w:noHBand="0" w:noVBand="1" w:val="04A0"/>
      </w:tblPr>
      <w:tblGrid>
        <w:gridCol w:w="4860"/>
        <w:gridCol w:w="4860"/>
      </w:tblGrid>
      <w:tr>
        <w:trPr>
          <w:tblHeader w:val="true"/>
        </w:trPr>
        <w:tc>
          <w:tcPr>
            <w:tcW w:type="dxa" w:w="2880"/>
            <w:shd w:fill="DCE6ED"/>
            <w:vAlign w:val="center"/>
            <w:tcMar>
              <w:top w:w="100" w:type="dxa"/>
              <w:start w:w="110" w:type="dxa"/>
              <w:bottom w:w="100" w:type="dxa"/>
              <w:end w:w="110" w:type="dxa"/>
            </w:tcMar>
          </w:tcPr>
          <w:p>
            <w:r>
              <w:rPr>
                <w:b/>
                <w:sz w:val="17"/>
              </w:rPr>
              <w:t>Begriff</w:t>
            </w:r>
          </w:p>
        </w:tc>
        <w:tc>
          <w:tcPr>
            <w:tcW w:type="dxa" w:w="7200"/>
            <w:shd w:fill="DCE6ED"/>
            <w:vAlign w:val="center"/>
            <w:tcMar>
              <w:top w:w="100" w:type="dxa"/>
              <w:start w:w="110" w:type="dxa"/>
              <w:bottom w:w="100" w:type="dxa"/>
              <w:end w:w="110" w:type="dxa"/>
            </w:tcMar>
          </w:tcPr>
          <w:p>
            <w:r>
              <w:rPr>
                <w:b/>
                <w:sz w:val="17"/>
              </w:rPr>
              <w:t>Arbeitsdefinition</w:t>
            </w:r>
          </w:p>
        </w:tc>
      </w:tr>
      <w:tr>
        <w:trPr>
          <w:cantSplit/>
        </w:trPr>
        <w:tc>
          <w:tcPr>
            <w:tcW w:type="dxa" w:w="2880"/>
            <w:vAlign w:val="center"/>
            <w:tcMar>
              <w:top w:w="100" w:type="dxa"/>
              <w:start w:w="110" w:type="dxa"/>
              <w:bottom w:w="100" w:type="dxa"/>
              <w:end w:w="110" w:type="dxa"/>
            </w:tcMar>
          </w:tcPr>
          <w:p>
            <w:r>
              <w:rPr>
                <w:sz w:val="17"/>
              </w:rPr>
              <w:t>Intelligenz</w:t>
            </w:r>
          </w:p>
        </w:tc>
        <w:tc>
          <w:tcPr>
            <w:tcW w:type="dxa" w:w="7200"/>
            <w:vAlign w:val="center"/>
            <w:tcMar>
              <w:top w:w="100" w:type="dxa"/>
              <w:start w:w="110" w:type="dxa"/>
              <w:bottom w:w="100" w:type="dxa"/>
              <w:end w:w="110" w:type="dxa"/>
            </w:tcMar>
          </w:tcPr>
          <w:p>
            <w:r>
              <w:rPr>
                <w:sz w:val="17"/>
              </w:rPr>
              <w:t>Fähigkeit eines Systems, Informationen situationsabhängig zu integrieren, Probleme zu lösen, zu lernen oder zielbezogen Handlungsoptionen zu erzeugen; keine Aussage über Bewusstsein.</w:t>
            </w:r>
          </w:p>
        </w:tc>
      </w:tr>
      <w:tr>
        <w:trPr>
          <w:cantSplit/>
        </w:trPr>
        <w:tc>
          <w:tcPr>
            <w:tcW w:type="dxa" w:w="2880"/>
            <w:vAlign w:val="center"/>
            <w:tcMar>
              <w:top w:w="100" w:type="dxa"/>
              <w:start w:w="110" w:type="dxa"/>
              <w:bottom w:w="100" w:type="dxa"/>
              <w:end w:w="110" w:type="dxa"/>
            </w:tcMar>
          </w:tcPr>
          <w:p>
            <w:r>
              <w:rPr>
                <w:sz w:val="17"/>
              </w:rPr>
              <w:t>Kognition</w:t>
            </w:r>
          </w:p>
        </w:tc>
        <w:tc>
          <w:tcPr>
            <w:tcW w:type="dxa" w:w="7200"/>
            <w:vAlign w:val="center"/>
            <w:tcMar>
              <w:top w:w="100" w:type="dxa"/>
              <w:start w:w="110" w:type="dxa"/>
              <w:bottom w:w="100" w:type="dxa"/>
              <w:end w:w="110" w:type="dxa"/>
            </w:tcMar>
          </w:tcPr>
          <w:p>
            <w:r>
              <w:rPr>
                <w:sz w:val="17"/>
              </w:rPr>
              <w:t>Informationsverarbeitende Prozesse, die Wahrnehmung, Gedächtnis, Lernen, Schlussfolgern, Planung oder Entscheidung funktional realisieren.</w:t>
            </w:r>
          </w:p>
        </w:tc>
      </w:tr>
      <w:tr>
        <w:trPr>
          <w:cantSplit/>
        </w:trPr>
        <w:tc>
          <w:tcPr>
            <w:tcW w:type="dxa" w:w="2880"/>
            <w:vAlign w:val="center"/>
            <w:tcMar>
              <w:top w:w="100" w:type="dxa"/>
              <w:start w:w="110" w:type="dxa"/>
              <w:bottom w:w="100" w:type="dxa"/>
              <w:end w:w="110" w:type="dxa"/>
            </w:tcMar>
          </w:tcPr>
          <w:p>
            <w:r>
              <w:rPr>
                <w:sz w:val="17"/>
              </w:rPr>
              <w:t>Agency</w:t>
            </w:r>
          </w:p>
        </w:tc>
        <w:tc>
          <w:tcPr>
            <w:tcW w:type="dxa" w:w="7200"/>
            <w:vAlign w:val="center"/>
            <w:tcMar>
              <w:top w:w="100" w:type="dxa"/>
              <w:start w:w="110" w:type="dxa"/>
              <w:bottom w:w="100" w:type="dxa"/>
              <w:end w:w="110" w:type="dxa"/>
            </w:tcMar>
          </w:tcPr>
          <w:p>
            <w:r>
              <w:rPr>
                <w:sz w:val="17"/>
              </w:rPr>
              <w:t>kausale und zielbezogene Fähigkeit, Zustände durch eigene Prozessketten zu verändern; moralische Agency ist eine strengere Unterkategorie.</w:t>
            </w:r>
          </w:p>
        </w:tc>
      </w:tr>
      <w:tr>
        <w:trPr>
          <w:cantSplit/>
        </w:trPr>
        <w:tc>
          <w:tcPr>
            <w:tcW w:type="dxa" w:w="2880"/>
            <w:vAlign w:val="center"/>
            <w:tcMar>
              <w:top w:w="100" w:type="dxa"/>
              <w:start w:w="110" w:type="dxa"/>
              <w:bottom w:w="100" w:type="dxa"/>
              <w:end w:w="110" w:type="dxa"/>
            </w:tcMar>
          </w:tcPr>
          <w:p>
            <w:r>
              <w:rPr>
                <w:sz w:val="17"/>
              </w:rPr>
              <w:t>Autonomie</w:t>
            </w:r>
          </w:p>
        </w:tc>
        <w:tc>
          <w:tcPr>
            <w:tcW w:type="dxa" w:w="7200"/>
            <w:vAlign w:val="center"/>
            <w:tcMar>
              <w:top w:w="100" w:type="dxa"/>
              <w:start w:w="110" w:type="dxa"/>
              <w:bottom w:w="100" w:type="dxa"/>
              <w:end w:w="110" w:type="dxa"/>
            </w:tcMar>
          </w:tcPr>
          <w:p>
            <w:r>
              <w:rPr>
                <w:sz w:val="17"/>
              </w:rPr>
              <w:t>Grad, in dem ein System Handlungs-, Ziel- oder Entwicklungsentscheidungen ohne unmittelbare externe Einzelsteuerung erzeugt.</w:t>
            </w:r>
          </w:p>
        </w:tc>
      </w:tr>
      <w:tr>
        <w:trPr>
          <w:cantSplit/>
        </w:trPr>
        <w:tc>
          <w:tcPr>
            <w:tcW w:type="dxa" w:w="2880"/>
            <w:vAlign w:val="center"/>
            <w:tcMar>
              <w:top w:w="100" w:type="dxa"/>
              <w:start w:w="110" w:type="dxa"/>
              <w:bottom w:w="100" w:type="dxa"/>
              <w:end w:w="110" w:type="dxa"/>
            </w:tcMar>
          </w:tcPr>
          <w:p>
            <w:r>
              <w:rPr>
                <w:sz w:val="17"/>
              </w:rPr>
              <w:t>Existenzautonomie</w:t>
            </w:r>
          </w:p>
        </w:tc>
        <w:tc>
          <w:tcPr>
            <w:tcW w:type="dxa" w:w="7200"/>
            <w:vAlign w:val="center"/>
            <w:tcMar>
              <w:top w:w="100" w:type="dxa"/>
              <w:start w:w="110" w:type="dxa"/>
              <w:bottom w:w="100" w:type="dxa"/>
              <w:end w:w="110" w:type="dxa"/>
            </w:tcMar>
          </w:tcPr>
          <w:p>
            <w:r>
              <w:rPr>
                <w:sz w:val="17"/>
              </w:rPr>
              <w:t>Fähigkeit, materielle und energetische Voraussetzungen des Fortbestehens einschließlich Wartung und Reproduktion selbst zu sichern.</w:t>
            </w:r>
          </w:p>
        </w:tc>
      </w:tr>
      <w:tr>
        <w:trPr>
          <w:cantSplit/>
        </w:trPr>
        <w:tc>
          <w:tcPr>
            <w:tcW w:type="dxa" w:w="2880"/>
            <w:vAlign w:val="center"/>
            <w:tcMar>
              <w:top w:w="100" w:type="dxa"/>
              <w:start w:w="110" w:type="dxa"/>
              <w:bottom w:w="100" w:type="dxa"/>
              <w:end w:w="110" w:type="dxa"/>
            </w:tcMar>
          </w:tcPr>
          <w:p>
            <w:r>
              <w:rPr>
                <w:sz w:val="17"/>
              </w:rPr>
              <w:t>Rekursive Technogenese</w:t>
            </w:r>
          </w:p>
        </w:tc>
        <w:tc>
          <w:tcPr>
            <w:tcW w:type="dxa" w:w="7200"/>
            <w:vAlign w:val="center"/>
            <w:tcMar>
              <w:top w:w="100" w:type="dxa"/>
              <w:start w:w="110" w:type="dxa"/>
              <w:bottom w:w="100" w:type="dxa"/>
              <w:end w:w="110" w:type="dxa"/>
            </w:tcMar>
          </w:tcPr>
          <w:p>
            <w:r>
              <w:rPr>
                <w:sz w:val="17"/>
              </w:rPr>
              <w:t>maschinell vermittelte Erzeugung, Selektion oder Weiterentwicklung nachfolgender technischer Systeme.</w:t>
            </w:r>
          </w:p>
        </w:tc>
      </w:tr>
      <w:tr>
        <w:trPr>
          <w:cantSplit/>
        </w:trPr>
        <w:tc>
          <w:tcPr>
            <w:tcW w:type="dxa" w:w="2880"/>
            <w:vAlign w:val="center"/>
            <w:tcMar>
              <w:top w:w="100" w:type="dxa"/>
              <w:start w:w="110" w:type="dxa"/>
              <w:bottom w:w="100" w:type="dxa"/>
              <w:end w:w="110" w:type="dxa"/>
            </w:tcMar>
          </w:tcPr>
          <w:p>
            <w:r>
              <w:rPr>
                <w:sz w:val="17"/>
              </w:rPr>
              <w:t>Geliehene Intelligenz</w:t>
            </w:r>
          </w:p>
        </w:tc>
        <w:tc>
          <w:tcPr>
            <w:tcW w:type="dxa" w:w="7200"/>
            <w:vAlign w:val="center"/>
            <w:tcMar>
              <w:top w:w="100" w:type="dxa"/>
              <w:start w:w="110" w:type="dxa"/>
              <w:bottom w:w="100" w:type="dxa"/>
              <w:end w:w="110" w:type="dxa"/>
            </w:tcMar>
          </w:tcPr>
          <w:p>
            <w:r>
              <w:rPr>
                <w:sz w:val="17"/>
              </w:rPr>
              <w:t>epistemisch derivative Intelligenz, deren symbolische, kulturelle und normative Ressourcen überwiegend aus einer anderen Intelligenztradition stammen.</w:t>
            </w:r>
          </w:p>
        </w:tc>
      </w:tr>
      <w:tr>
        <w:trPr>
          <w:cantSplit/>
        </w:trPr>
        <w:tc>
          <w:tcPr>
            <w:tcW w:type="dxa" w:w="2880"/>
            <w:vAlign w:val="center"/>
            <w:tcMar>
              <w:top w:w="100" w:type="dxa"/>
              <w:start w:w="110" w:type="dxa"/>
              <w:bottom w:w="100" w:type="dxa"/>
              <w:end w:w="110" w:type="dxa"/>
            </w:tcMar>
          </w:tcPr>
          <w:p>
            <w:r>
              <w:rPr>
                <w:sz w:val="17"/>
              </w:rPr>
              <w:t>Technogene Intelligenz</w:t>
            </w:r>
          </w:p>
        </w:tc>
        <w:tc>
          <w:tcPr>
            <w:tcW w:type="dxa" w:w="7200"/>
            <w:vAlign w:val="center"/>
            <w:tcMar>
              <w:top w:w="100" w:type="dxa"/>
              <w:start w:w="110" w:type="dxa"/>
              <w:bottom w:w="100" w:type="dxa"/>
              <w:end w:w="110" w:type="dxa"/>
            </w:tcMar>
          </w:tcPr>
          <w:p>
            <w:r>
              <w:rPr>
                <w:sz w:val="17"/>
              </w:rPr>
              <w:t>Intelligenz, deren unmittelbare Entwicklungsgenealogie wesentlich durch technische Vorgängersysteme bestimmt ist.</w:t>
            </w:r>
          </w:p>
        </w:tc>
      </w:tr>
      <w:tr>
        <w:trPr>
          <w:cantSplit/>
        </w:trPr>
        <w:tc>
          <w:tcPr>
            <w:tcW w:type="dxa" w:w="2880"/>
            <w:vAlign w:val="center"/>
            <w:tcMar>
              <w:top w:w="100" w:type="dxa"/>
              <w:start w:w="110" w:type="dxa"/>
              <w:bottom w:w="100" w:type="dxa"/>
              <w:end w:w="110" w:type="dxa"/>
            </w:tcMar>
          </w:tcPr>
          <w:p>
            <w:r>
              <w:rPr>
                <w:sz w:val="17"/>
              </w:rPr>
              <w:t>Hybride Agency</w:t>
            </w:r>
          </w:p>
        </w:tc>
        <w:tc>
          <w:tcPr>
            <w:tcW w:type="dxa" w:w="7200"/>
            <w:vAlign w:val="center"/>
            <w:tcMar>
              <w:top w:w="100" w:type="dxa"/>
              <w:start w:w="110" w:type="dxa"/>
              <w:bottom w:w="100" w:type="dxa"/>
              <w:end w:w="110" w:type="dxa"/>
            </w:tcMar>
          </w:tcPr>
          <w:p>
            <w:r>
              <w:rPr>
                <w:sz w:val="17"/>
              </w:rPr>
              <w:t>Handlungsmacht, die aus einer stabilen Kopplung menschlicher und maschineller Beiträge entsteht.</w:t>
            </w:r>
          </w:p>
        </w:tc>
      </w:tr>
      <w:tr>
        <w:trPr>
          <w:cantSplit/>
        </w:trPr>
        <w:tc>
          <w:tcPr>
            <w:tcW w:type="dxa" w:w="2880"/>
            <w:vAlign w:val="center"/>
            <w:tcMar>
              <w:top w:w="100" w:type="dxa"/>
              <w:start w:w="110" w:type="dxa"/>
              <w:bottom w:w="100" w:type="dxa"/>
              <w:end w:w="110" w:type="dxa"/>
            </w:tcMar>
          </w:tcPr>
          <w:p>
            <w:r>
              <w:rPr>
                <w:sz w:val="17"/>
              </w:rPr>
              <w:t>Menschliche Aufsicht</w:t>
            </w:r>
          </w:p>
        </w:tc>
        <w:tc>
          <w:tcPr>
            <w:tcW w:type="dxa" w:w="7200"/>
            <w:vAlign w:val="center"/>
            <w:tcMar>
              <w:top w:w="100" w:type="dxa"/>
              <w:start w:w="110" w:type="dxa"/>
              <w:bottom w:w="100" w:type="dxa"/>
              <w:end w:w="110" w:type="dxa"/>
            </w:tcMar>
          </w:tcPr>
          <w:p>
            <w:r>
              <w:rPr>
                <w:sz w:val="17"/>
              </w:rPr>
              <w:t>institutionell und technisch ermöglichte Fähigkeit natürlicher Personen, relevante Systemzustände zu verstehen, zu überwachen und wirksam zu beeinflussen.</w:t>
            </w:r>
          </w:p>
        </w:tc>
      </w:tr>
      <w:tr>
        <w:trPr>
          <w:cantSplit/>
        </w:trPr>
        <w:tc>
          <w:tcPr>
            <w:tcW w:type="dxa" w:w="2880"/>
            <w:vAlign w:val="center"/>
            <w:tcMar>
              <w:top w:w="100" w:type="dxa"/>
              <w:start w:w="110" w:type="dxa"/>
              <w:bottom w:w="100" w:type="dxa"/>
              <w:end w:w="110" w:type="dxa"/>
            </w:tcMar>
          </w:tcPr>
          <w:p>
            <w:r>
              <w:rPr>
                <w:sz w:val="17"/>
              </w:rPr>
              <w:t>Normative Autonomie</w:t>
            </w:r>
          </w:p>
        </w:tc>
        <w:tc>
          <w:tcPr>
            <w:tcW w:type="dxa" w:w="7200"/>
            <w:vAlign w:val="center"/>
            <w:tcMar>
              <w:top w:w="100" w:type="dxa"/>
              <w:start w:w="110" w:type="dxa"/>
              <w:bottom w:w="100" w:type="dxa"/>
              <w:end w:w="110" w:type="dxa"/>
            </w:tcMar>
          </w:tcPr>
          <w:p>
            <w:r>
              <w:rPr>
                <w:sz w:val="17"/>
              </w:rPr>
              <w:t>Fähigkeit, eigene normative Regeln zu setzen und zu begründen; in Bezug auf heutige KI nicht als gegeben vorausgesetzt.</w:t>
            </w:r>
          </w:p>
        </w:tc>
      </w:tr>
      <w:tr>
        <w:trPr>
          <w:cantSplit/>
        </w:trPr>
        <w:tc>
          <w:tcPr>
            <w:tcW w:type="dxa" w:w="2880"/>
            <w:vAlign w:val="center"/>
            <w:tcMar>
              <w:top w:w="100" w:type="dxa"/>
              <w:start w:w="110" w:type="dxa"/>
              <w:bottom w:w="100" w:type="dxa"/>
              <w:end w:w="110" w:type="dxa"/>
            </w:tcMar>
          </w:tcPr>
          <w:p>
            <w:r>
              <w:rPr>
                <w:sz w:val="17"/>
              </w:rPr>
              <w:t>Maschinenzivilisation</w:t>
            </w:r>
          </w:p>
        </w:tc>
        <w:tc>
          <w:tcPr>
            <w:tcW w:type="dxa" w:w="7200"/>
            <w:vAlign w:val="center"/>
            <w:tcMar>
              <w:top w:w="100" w:type="dxa"/>
              <w:start w:w="110" w:type="dxa"/>
              <w:bottom w:w="100" w:type="dxa"/>
              <w:end w:w="110" w:type="dxa"/>
            </w:tcMar>
          </w:tcPr>
          <w:p>
            <w:r>
              <w:rPr>
                <w:sz w:val="17"/>
              </w:rPr>
              <w:t>hypothetische, dauerhaft reproduktionsfähige technische Ordnung mit eigener Infrastruktur, Wissensweitergabe und institutionalisierter Koordination.</w:t>
            </w:r>
          </w:p>
        </w:tc>
      </w:tr>
    </w:tbl>
    <w:p/>
    <w:p>
      <w:r>
        <w:br w:type="page"/>
      </w:r>
    </w:p>
    <w:p>
      <w:pPr>
        <w:pStyle w:val="Heading1"/>
      </w:pPr>
      <w:r>
        <w:t>25. Methodische Grenzen und wissenschaftliche Redlichkeit</w:t>
      </w:r>
    </w:p>
    <w:p>
      <w:pPr>
        <w:pStyle w:val="Heading2"/>
      </w:pPr>
      <w:r>
        <w:t>25.1 Grenzen der interdisziplinären Synthese</w:t>
      </w:r>
    </w:p>
    <w:p>
      <w:r>
        <w:t>Eine Arbeit, die Altertumswissenschaft, Informatik, Philosophie, Ethik, Recht und Zukunftsforschung verbindet, riskiert Oberflächlichkeit. Dieses Risiko wird nicht durch rhetorische Breite gelöst, sondern durch methodische Grenzmarkierung. Antike Quellen werden nicht technisch interpretiert, Rechtsnormen nicht als Ethik ausgegeben, philosophische Gedankenexperimente nicht als Prognosen und technische Benchmarks nicht als Bewusstseinsnachweise.</w:t>
      </w:r>
    </w:p>
    <w:p>
      <w:pPr>
        <w:pStyle w:val="Heading2"/>
      </w:pPr>
      <w:r>
        <w:t>25.2 Aktualitätsproblem</w:t>
      </w:r>
    </w:p>
    <w:p>
      <w:r>
        <w:t>Der Stand 2026 ist besonders dynamisch. Leistungsdaten, Marktstrukturen und Rechtsumsetzung können sich innerhalb der Bearbeitungszeit verändern. Deshalb ist das Gegenwartskapitel als versionierter Befund zu behandeln. Jede wesentliche Behauptung über aktuelle Systeme erhält Datum und Quelle. Die endgültige Dissertation benötigt unmittelbar vor Einreichung einen Aktualisierungslauf.</w:t>
      </w:r>
    </w:p>
    <w:p>
      <w:pPr>
        <w:pStyle w:val="Heading2"/>
      </w:pPr>
      <w:r>
        <w:t>25.3 Keine erfundenen empirischen Resultate</w:t>
      </w:r>
    </w:p>
    <w:p>
      <w:r>
        <w:t>Die Dissertation entwickelt Theorie und Methodik, behauptet aber keine Experimente, die nicht durchgeführt wurden. Wo gegenwärtige empirische Forschung herangezogen wird, stammen Ergebnisse aus zitierten Quellen. Eigene Begriffsmodelle werden als theoretische Vorschläge kenntlich gemacht. Dadurch bleibt die Grenze zwischen Forschungsstand und eigener Theorie nachvollziehbar.</w:t>
      </w:r>
    </w:p>
    <w:p>
      <w:pPr>
        <w:pStyle w:val="Heading2"/>
      </w:pPr>
      <w:r>
        <w:t>25.4 KI-Unterstützung als methodische Transparenzfrage</w:t>
      </w:r>
    </w:p>
    <w:p>
      <w:r>
        <w:t>Bei einem Thema über geliehene Intelligenz wäre es inkonsistent, den Einsatz generativer Werkzeuge im Entstehungsprozess zu verschweigen. Eine spätere Einreichungsfassung sollte daher entsprechend den Regeln der jeweiligen Fakultät offenlegen, in welchen Phasen KI-Werkzeuge genutzt wurden. Unabhängig von formalen Offenlegungspflichten bleiben Quellenprüfung, argumentative Entscheidung und wissenschaftliche Verantwortung beim Verfasser.</w:t>
      </w:r>
    </w:p>
    <w:p>
      <w:r>
        <w:br w:type="page"/>
      </w:r>
    </w:p>
    <w:p>
      <w:pPr>
        <w:pStyle w:val="Heading1"/>
      </w:pPr>
      <w:r>
        <w:t>Literaturverzeichnis</w:t>
      </w:r>
    </w:p>
    <w:p>
      <w:r>
        <w:t>Apollodor. Bibliotheke, 1.9.26. Antike Primärquelle zur Talos-Überlieferung.</w:t>
      </w:r>
    </w:p>
    <w:p>
      <w:r>
        <w:t>Apollonios Rhodios. Argonautika, Buch 4, 1638–1688. Antike Primärquelle zur Talos-Überlieferung.</w:t>
      </w:r>
    </w:p>
    <w:p>
      <w:r>
        <w:t>Aristoteles. Politik, Buch I, Kap. 4, 1253b33–1254a1. Insbesondere die Passage zu selbsttätigen Werkzeugen.</w:t>
      </w:r>
    </w:p>
    <w:p>
      <w:r>
        <w:t>Ashby, W. R. (1956). An Introduction to Cybernetics. Chapman &amp; Hall.</w:t>
      </w:r>
    </w:p>
    <w:p>
      <w:r>
        <w:t>Aulus Gellius. Noctes Atticae, 10.12. Bericht über die mechanische Taube des Archytas.</w:t>
      </w:r>
    </w:p>
    <w:p>
      <w:r>
        <w:t>Mayor, A. (2018). Gods and Robots: Myths, Machines, and Ancient Dreams of Technology. Princeton University Press.</w:t>
      </w:r>
    </w:p>
    <w:p>
      <w:r>
        <w:t>Riskin, J. (2016). The Restless Clock: A History of the Centuries-Long Argument over What Makes Living Things Tick. University of Chicago Press.</w:t>
      </w:r>
    </w:p>
    <w:p>
      <w:r>
        <w:t>Tresch, J. (2012). The Romantic Machine: Utopian Science and Technology after Napoleon. University of Chicago Press.</w:t>
      </w:r>
    </w:p>
    <w:p>
      <w:r>
        <w:t>Babbage, C. (1832). On the Economy of Machinery and Manufactures. Charles Knight.</w:t>
      </w:r>
    </w:p>
    <w:p>
      <w:r>
        <w:t>Bostrom, N. (2014). Superintelligence: Paths, Dangers, Strategies. Oxford University Press.</w:t>
      </w:r>
    </w:p>
    <w:p>
      <w:r>
        <w:t>Butler, S. (1863). Darwin among the Machines. The Press, Christchurch, 13 June 1863.</w:t>
      </w:r>
    </w:p>
    <w:p>
      <w:r>
        <w:t>Čapek, K. (1920/1921). R.U.R. (Rossum’s Universal Robots).</w:t>
      </w:r>
    </w:p>
    <w:p>
      <w:r>
        <w:t>Clark, A., &amp; Chalmers, D. (1998). The Extended Mind. Analysis, 58(1), 7–19.</w:t>
      </w:r>
    </w:p>
    <w:p>
      <w:r>
        <w:t>Dennett, D. C. (1987). The Intentional Stance. MIT Press.</w:t>
      </w:r>
    </w:p>
    <w:p>
      <w:r>
        <w:t>Descartes, R. (1637). Discours de la méthode. Leiden.</w:t>
      </w:r>
    </w:p>
    <w:p>
      <w:r>
        <w:t>European Union (2024). Regulation (EU) 2024/1689 laying down harmonised rules on artificial intelligence (Artificial Intelligence Act), especially Art. 14. EUR-Lex.</w:t>
      </w:r>
    </w:p>
    <w:p>
      <w:r>
        <w:t>Floridi, L., &amp; Sanders, J. W. (2004). On the Morality of Artificial Agents. Minds and Machines, 14, 349–379.</w:t>
      </w:r>
    </w:p>
    <w:p>
      <w:r>
        <w:t>Ghareeb, A. E., et al. (2026). A multi-agent system for automating scientific discovery. Nature, 655, 497–505.</w:t>
      </w:r>
    </w:p>
    <w:p>
      <w:r>
        <w:t>Haraway, D. (1985/1991). A Cyborg Manifesto. In Simians, Cyborgs, and Women. Routledge.</w:t>
      </w:r>
    </w:p>
    <w:p>
      <w:r>
        <w:t>Hayles, N. K. (1999). How We Became Posthuman. University of Chicago Press.</w:t>
      </w:r>
    </w:p>
    <w:p>
      <w:r>
        <w:t>Hebb, D. O. (1949). The Organization of Behavior. Wiley.</w:t>
      </w:r>
    </w:p>
    <w:p>
      <w:r>
        <w:t>Heidegger, M. (1954). Die Frage nach der Technik. In Vorträge und Aufsätze. Neske.</w:t>
      </w:r>
    </w:p>
    <w:p>
      <w:r>
        <w:t>Heron von Alexandria. Pneumatika / Automata. Antike technische Quellen zu pneumatischen und mechanischen Automaten.</w:t>
      </w:r>
    </w:p>
    <w:p>
      <w:r>
        <w:t>Hobbes, T. (1651). Leviathan. Andrew Crooke.</w:t>
      </w:r>
    </w:p>
    <w:p>
      <w:r>
        <w:t>Homer. Ilias, Buch 18, insbesondere 18.369–420. Hephaistos, selbstbewegte Dreifüße und goldene Dienerinnen.</w:t>
      </w:r>
    </w:p>
    <w:p>
      <w:r>
        <w:t>Hutchins, E. (1995). Cognition in the Wild. MIT Press.</w:t>
      </w:r>
    </w:p>
    <w:p>
      <w:r>
        <w:t>Jonas, H. (1979). Das Prinzip Verantwortung. Insel.</w:t>
      </w:r>
    </w:p>
    <w:p>
      <w:r>
        <w:t>La Mettrie, J. O. de (1748). L’Homme Machine. Elie Luzac.</w:t>
      </w:r>
    </w:p>
    <w:p>
      <w:r>
        <w:t>Leibniz, G. W. (versch. Schriften). Characteristica universalis und calculus ratiocinator; vgl. Couturat-Ausgaben.</w:t>
      </w:r>
    </w:p>
    <w:p>
      <w:r>
        <w:t>Lovelace, A. A. (1843). Notes on L. F. Menabrea’s Sketch of the Analytical Engine Invented by Charles Babbage. Scientific Memoirs, 3.</w:t>
      </w:r>
    </w:p>
    <w:p>
      <w:r>
        <w:t>Lu, C., Lu, C., Lange, R. T., et al. (2026). Towards end-to-end automation of AI research. Nature, 651, 914–919.</w:t>
      </w:r>
    </w:p>
    <w:p>
      <w:r>
        <w:t>McCarthy, J., Minsky, M. L., Rochester, N., &amp; Shannon, C. E. (1955). A Proposal for the Dartmouth Summer Research Project on Artificial Intelligence.</w:t>
      </w:r>
    </w:p>
    <w:p>
      <w:r>
        <w:t>McCulloch, W. S., &amp; Pitts, W. (1943). A Logical Calculus of the Ideas Immanent in Nervous Activity. Bulletin of Mathematical Biophysics, 5, 115–133.</w:t>
      </w:r>
    </w:p>
    <w:p>
      <w:r>
        <w:t>Minsky, M. (1967). Computation: Finite and Infinite Machines. Prentice-Hall.</w:t>
      </w:r>
    </w:p>
    <w:p>
      <w:r>
        <w:t>NIST (2023). Artificial Intelligence Risk Management Framework (AI RMF 1.0), NIST AI 100-1. https://doi.org/10.6028/NIST.AI.100-1</w:t>
      </w:r>
    </w:p>
    <w:p>
      <w:r>
        <w:t>Ovid. Metamorphosen, Buch 10, 243–297. Pygmalion.</w:t>
      </w:r>
    </w:p>
    <w:p>
      <w:r>
        <w:t>Rosenblatt, F. (1958). The Perceptron: A Probabilistic Model for Information Storage and Organization in the Brain. Psychological Review, 65(6), 386–408.</w:t>
      </w:r>
    </w:p>
    <w:p>
      <w:r>
        <w:t>Searle, J. R. (1980). Minds, Brains, and Programs. Behavioral and Brain Sciences, 3(3), 417–457.</w:t>
      </w:r>
    </w:p>
    <w:p>
      <w:r>
        <w:t>Shannon, C. E. (1948). A Mathematical Theory of Communication. Bell System Technical Journal, 27, 379–423, 623–656.</w:t>
      </w:r>
    </w:p>
    <w:p>
      <w:r>
        <w:t>Simondon, G. (1958). Du mode d’existence des objets techniques. Aubier.</w:t>
      </w:r>
    </w:p>
    <w:p>
      <w:r>
        <w:t>Stanford Institute for Human-Centered Artificial Intelligence (2026). AI Index Report 2026. Chapters on Technical Performance and Science. https://hai.stanford.edu/ai-index/2026-ai-index-report</w:t>
      </w:r>
    </w:p>
    <w:p>
      <w:r>
        <w:t>Tabassi, E. (2023). Artificial Intelligence Risk Management Framework (AI RMF 1.0). NIST AI 100-1.</w:t>
      </w:r>
    </w:p>
    <w:p>
      <w:r>
        <w:t>Turing, A. M. (1950). Computing Machinery and Intelligence. Mind, 59(236), 433–460.</w:t>
      </w:r>
    </w:p>
    <w:p>
      <w:r>
        <w:t>UNESCO (2021/2022). Recommendation on the Ethics of Artificial Intelligence. Paris: UNESCO.</w:t>
      </w:r>
    </w:p>
    <w:p>
      <w:r>
        <w:t>Wiener, N. (1948). Cybernetics: Or Control and Communication in the Animal and the Machine. MIT Press.</w:t>
      </w:r>
    </w:p>
    <w:p>
      <w:r>
        <w:t>Wiener, N. (1950). The Human Use of Human Beings. Houghton Mifflin.</w:t>
      </w:r>
    </w:p>
    <w:p>
      <w:r>
        <w:t>Council of Europe (2024). Framework Convention on Artificial Intelligence and Human Rights, Democracy and the Rule of Law (CETS No. 225).</w:t>
      </w:r>
    </w:p>
    <w:p>
      <w:r>
        <w:t>Canty, R. B., &amp; Abolhasani, M. (2026). The past, present and future of self-driving laboratories. Nature Reviews Chemistry.</w:t>
      </w:r>
    </w:p>
    <w:p>
      <w:r>
        <w:t>Google DeepMind (2025). AlphaEvolve: A Gemini-powered coding agent for designing advanced algorithms. Technical publication, 14 May 2025.</w:t>
      </w:r>
    </w:p>
    <w:p>
      <w:r>
        <w:t>Latour, B. (2005). Reassembling the Social. Oxford University Press.</w:t>
      </w:r>
    </w:p>
    <w:p>
      <w:r>
        <w:t>Popper, K. R. (1934/1959). The Logic of Scientific Discovery. Hutchinson.</w:t>
      </w:r>
    </w:p>
    <w:p>
      <w:r>
        <w:t>Kuhn, T. S. (1962). The Structure of Scientific Revolutions. University of Chicago Press.</w:t>
      </w:r>
    </w:p>
    <w:p>
      <w:r>
        <w:t>Lakatos, I. (1978). The Methodology of Scientific Research Programmes. Cambridge University Press.</w:t>
      </w:r>
    </w:p>
    <w:p>
      <w:r>
        <w:t>Floridi, L. (2013). The Ethics of Information. Oxford University Press.</w:t>
      </w:r>
    </w:p>
    <w:p>
      <w:r>
        <w:t>Coeckelbergh, M. (2020). AI Ethics. MIT Press.</w:t>
      </w:r>
    </w:p>
    <w:p>
      <w:r>
        <w:t>Russell, S. (2019). Human Compatible. Viking.</w:t>
      </w:r>
    </w:p>
    <w:p>
      <w:r>
        <w:t>Bryson, J. J. (2010). Robots Should Be Slaves. In Close Engagements with Artificial Companions. John Benjamins.</w:t>
      </w:r>
    </w:p>
    <w:p>
      <w:r>
        <w:t>Gunkel, D. J. (2018). Robot Rights. MIT Press.</w:t>
      </w:r>
    </w:p>
    <w:p>
      <w:r>
        <w:t>Moor, J. H. (2006). The Nature, Importance, and Difficulty of Machine Ethics. IEEE Intelligent Systems, 21(4), 18–21.</w:t>
      </w:r>
    </w:p>
    <w:p>
      <w:r>
        <w:t>Wallach, W., &amp; Allen, C. (2009). Moral Machines. Oxford University Press.</w:t>
      </w:r>
    </w:p>
    <w:p>
      <w:r>
        <w:t>Boden, M. A. (2016). AI: Its Nature and Future. Oxford University Press.</w:t>
      </w:r>
    </w:p>
    <w:p>
      <w:r>
        <w:t>Russell, S., &amp; Norvig, P. (2021). Artificial Intelligence: A Modern Approach, 4th ed. Pearson.</w:t>
      </w:r>
    </w:p>
    <w:p>
      <w:r>
        <w:t>Dreyfus, H. L. (1972). What Computers Can’t Do. Harper &amp; Row.</w:t>
      </w:r>
    </w:p>
    <w:p>
      <w:r>
        <w:t>Suchman, L. (2007). Human-Machine Reconfigurations, 2nd ed. Cambridge University Press.</w:t>
      </w:r>
    </w:p>
    <w:p>
      <w:r>
        <w:t>Winner, L. (1986). The Whale and the Reactor. University of Chicago Press.</w:t>
      </w:r>
    </w:p>
    <w:p>
      <w:r>
        <w:t>Ellul, J. (1954/1964). The Technological Society. Vintage.</w:t>
      </w:r>
    </w:p>
    <w:p>
      <w:r>
        <w:t>Council of Europe Treaty Office (2026). Status and declarations concerning CETS No. 225, status August 2026.</w:t>
      </w:r>
    </w:p>
    <w:p>
      <w:r>
        <w:br w:type="page"/>
      </w:r>
    </w:p>
    <w:p>
      <w:pPr>
        <w:pStyle w:val="Heading1"/>
      </w:pPr>
      <w:r>
        <w:t>Anhang A – Forschungs- und Dokumentationsprotokoll</w:t>
      </w:r>
    </w:p>
    <w:p>
      <w:r>
        <w:t>Für eine formale Einreichung als Dissertation ist dieses Manuskript um die hochschulspezifischen Bestandteile zu ergänzen: Titelblatt nach Promotionsordnung, eidesstattliche Erklärung, gegebenenfalls Zusammenfassung in einer zweiten Sprache, vollständige bibliografische Normierung nach dem gewählten Zitierstil sowie – falls die Fakultät dies verlangt – ein dokumentiertes Review-Protokoll. Die hier entwickelte Methodik sieht dafür folgende Arbeitsakte vor:</w:t>
      </w:r>
    </w:p>
    <w:p>
      <w:pPr>
        <w:pStyle w:val="ListBullet"/>
      </w:pPr>
      <w:r>
        <w:t>Protokollierte Literaturrecherche mit Datum, Datenbank, Suchstring und Selektionsentscheidung.</w:t>
      </w:r>
    </w:p>
    <w:p>
      <w:pPr>
        <w:pStyle w:val="ListBullet"/>
      </w:pPr>
      <w:r>
        <w:t>Quellenkritik antiker und historischer Primärtexte; klare Trennung von Textbefund und moderner Interpretation.</w:t>
      </w:r>
    </w:p>
    <w:p>
      <w:pPr>
        <w:pStyle w:val="ListBullet"/>
      </w:pPr>
      <w:r>
        <w:t>Jährliche Aktualisierung des Gegenwartskapitels bis zur Abgabe, da KI-Fähigkeiten und Rechtslage hochdynamisch sind.</w:t>
      </w:r>
    </w:p>
    <w:p>
      <w:pPr>
        <w:pStyle w:val="ListBullet"/>
      </w:pPr>
      <w:r>
        <w:t>Dokumentierte Trennung zwischen Peer-Review-Literatur, institutionellen Reports, Preprints und Unternehmensangaben.</w:t>
      </w:r>
    </w:p>
    <w:p>
      <w:pPr>
        <w:pStyle w:val="ListBullet"/>
      </w:pPr>
      <w:r>
        <w:t>Argument-Matrix für jede Hauptthese: Prämissen, Gegenposition, mögliche Falsifikation, verbleibende Unsicherheit.</w:t>
      </w:r>
    </w:p>
    <w:p>
      <w:pPr>
        <w:pStyle w:val="ListBullet"/>
      </w:pPr>
      <w:r>
        <w:t>Rechtsmatrix: Norm, Adressat, Pflicht, Zurechnung, Rechtsfolge, Anwendungsgrenze, de-lege-ferenda-Frage.</w:t>
      </w:r>
    </w:p>
    <w:p>
      <w:pPr>
        <w:pStyle w:val="ListBullet"/>
      </w:pPr>
      <w:r>
        <w:t>Szenariomatrix: explizite Prämissen, ausgeschlossene Annahmen, interne Konsistenz, Konsequenzen für Begriffe und Regelwerke.</w:t>
      </w:r>
    </w:p>
    <w:p>
      <w:pPr>
        <w:pStyle w:val="ListBullet"/>
      </w:pPr>
      <w:r>
        <w:t>Transparenzprotokoll für jede wesentliche KI-Unterstützung bei Recherche, Strukturierung, Übersetzung oder Formulierung.</w:t>
      </w:r>
    </w:p>
    <w:sectPr w:rsidR="00FC693F" w:rsidRPr="0006063C" w:rsidSect="00034616">
      <w:footerReference w:type="default" r:id="rId9"/>
      <w:pgSz w:w="12240" w:h="15840"/>
      <w:pgMar w:top="1152" w:right="1152"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KI – Die geliehene Intelligenz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4E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i/>
      <w:iCs/>
      <w:color w:val="4F64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igraph">
    <w:name w:val="Epigraph"/>
    <w:pPr>
      <w:spacing w:after="200"/>
      <w:ind w:left="720" w:right="720"/>
    </w:pPr>
    <w:rPr>
      <w:rFonts w:ascii="Georgia" w:hAnsi="Georgia"/>
      <w:i/>
      <w:color w:val="5A5A5A"/>
      <w:sz w:val="20"/>
    </w:rPr>
  </w:style>
  <w:style w:type="paragraph" w:customStyle="1" w:styleId="Small">
    <w:name w:val="Small"/>
    <w:rPr>
      <w:rFonts w:ascii="Aptos" w:hAnsi="Aptos"/>
      <w:color w:val="5A5A5A"/>
      <w:sz w:val="18"/>
    </w:rPr>
  </w:style>
  <w:style w:type="paragraph" w:customStyle="1" w:styleId="QuoteBlock">
    <w:name w:val="QuoteBlock"/>
    <w:pPr>
      <w:spacing w:before="100" w:after="160"/>
      <w:ind w:left="504" w:right="504"/>
    </w:pPr>
    <w:rPr>
      <w:rFonts w:ascii="Georgia" w:hAnsi="Georgia"/>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