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 person must hit the save button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GCP is not like other Googl cloud aps.  For changes to take effect the save button must be hit.  Sometimes the save button is hidden down at the bottom so the user needs to scroll down to see it.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Some changes can only be made when the machine is stopped.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Changes will be erased when a person leaves the page.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 user can not only make changes after hitting the edit icon at the top.  Otherwise the information remains read only.   Navigating to other pages, such as the network details will continue to be in read only and will not have an edit mode icon at the top, so editing will not even be an option.</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Instance details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instance name does not look like a link, but a gray underline appears when it is hovered over.  Click on the instance name to bring up menus for getting ’instance details’  and changing machine settings.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change a setting one must hit the edit button at the top.  Then the screen will repaint and setting locations and settings available will change - so if you are looking to change something, it is best to just hit ‘edit’ to begin with.</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making changes be sure to scroll all the way to the bottom of a page where one will find a ‘save’ button.  Otherwise changes do not take.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Making the external IP ephemeral or generating a new static IP</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You can not attach to an existing static IP for the project here.  For that see the next section.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Go to the instance details.  Hit ‘edit’ on the top bar.  Scroll down to the ‘Network Interfaces’.</w:t>
      </w:r>
    </w:p>
    <w:p w:rsidR="00000000" w:rsidDel="00000000" w:rsidP="00000000" w:rsidRDefault="00000000" w:rsidRPr="00000000" w14:paraId="00000018">
      <w:pPr>
        <w:ind w:left="0" w:firstLine="0"/>
        <w:rPr/>
      </w:pPr>
      <w:r w:rsidDel="00000000" w:rsidR="00000000" w:rsidRPr="00000000">
        <w:rPr>
          <w:rtl w:val="0"/>
        </w:rPr>
        <w:t xml:space="preserve">It will show ‘nic0’.   Click on that and it gives a menu for setting IPs.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Ephemeral IPs only show in the listing after the machine is started.  Before that, it will just</w:t>
      </w:r>
    </w:p>
    <w:p w:rsidR="00000000" w:rsidDel="00000000" w:rsidP="00000000" w:rsidRDefault="00000000" w:rsidRPr="00000000" w14:paraId="0000001B">
      <w:pPr>
        <w:rPr/>
      </w:pPr>
      <w:r w:rsidDel="00000000" w:rsidR="00000000" w:rsidRPr="00000000">
        <w:rPr>
          <w:rtl w:val="0"/>
        </w:rPr>
        <w:t xml:space="preserve">Say ‘none’.  Later it will say ‘ephemeral’.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Attaching to existing static IP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the google console go to the search box and type ‘VPC Network’.  This is the only way I’ve ever been able to reach that page.  Alternatively use the gcloud CLI.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Though it does not appear in the Dashboard tree, it can be gotten by going through the three horizontal bars button at the top left and scrolling way down.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sure, but the machine might have to be stopped.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