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pPr>
        <w:pStyle w:val="Verzeichnis1"/>
        <w:tabs>
          <w:tab w:val="right" w:leader="dot" w:pos="9070"/>
        </w:tabs>
        <w:spacing w:after="70" w:line="240" w:lineRule="auto"/>
        <w:ind w:left="0"/>
      </w:pPr>
      <w:hyperlink w:anchor="Table_2_1">
        <w:r>
          <w:rPr>
            <w:sz w:val="22"/>
          </w:rPr>
          <w:t xml:space="preserve">Tabelle 2-1: Kennzahlen der binären Anomalieerkennung</w:t>
        </w:r>
      </w:hyperlink>
      <w:r>
        <w:tab/>
      </w:r>
      <w:r>
        <w:fldChar w:fldCharType="begin"/>
      </w:r>
      <w:r>
        <w:instrText xml:space="preserve"> PAGEREF Table_2_1 \h </w:instrText>
      </w:r>
      <w:r>
        <w:fldChar w:fldCharType="separate"/>
      </w:r>
      <w:r>
        <w:t>7</w:t>
      </w:r>
      <w:r>
        <w:fldChar w:fldCharType="end"/>
      </w:r>
    </w:p>
    <w:p>
      <w:pPr>
        <w:pStyle w:val="Verzeichnis1"/>
        <w:tabs>
          <w:tab w:val="right" w:leader="dot" w:pos="9070"/>
        </w:tabs>
        <w:spacing w:after="70" w:line="240" w:lineRule="auto"/>
        <w:ind w:left="0"/>
      </w:pPr>
      <w:hyperlink w:anchor="Table_3_1">
        <w:r>
          <w:rPr>
            <w:sz w:val="22"/>
          </w:rPr>
          <w:t xml:space="preserve">Tabelle 3-1: Ausgewählte Vorarbeiten und ihre Bedeutung für die Untersuchung</w:t>
        </w:r>
      </w:hyperlink>
      <w:r>
        <w:tab/>
      </w:r>
      <w:r>
        <w:fldChar w:fldCharType="begin"/>
      </w:r>
      <w:r>
        <w:instrText xml:space="preserve"> PAGEREF Table_3_1 \h </w:instrText>
      </w:r>
      <w:r>
        <w:fldChar w:fldCharType="separate"/>
      </w:r>
      <w:r>
        <w:t>10</w:t>
      </w:r>
      <w:r>
        <w:fldChar w:fldCharType="end"/>
      </w:r>
    </w:p>
    <w:p>
      <w:pPr>
        <w:pStyle w:val="Verzeichnis1"/>
        <w:tabs>
          <w:tab w:val="right" w:leader="dot" w:pos="9070"/>
        </w:tabs>
        <w:spacing w:after="70" w:line="240" w:lineRule="auto"/>
        <w:ind w:left="0"/>
      </w:pPr>
      <w:hyperlink w:anchor="Table_4_1">
        <w:r>
          <w:rPr>
            <w:sz w:val="22"/>
          </w:rPr>
          <w:t xml:space="preserve">Tabelle 4-1: Anforderungen, Prioritäten und Nachweise</w:t>
        </w:r>
      </w:hyperlink>
      <w:r>
        <w:tab/>
      </w:r>
      <w:r>
        <w:fldChar w:fldCharType="begin"/>
      </w:r>
      <w:r>
        <w:instrText xml:space="preserve"> PAGEREF Table_4_1 \h </w:instrText>
      </w:r>
      <w:r>
        <w:fldChar w:fldCharType="separate"/>
      </w:r>
      <w:r>
        <w:t>14</w:t>
      </w:r>
      <w:r>
        <w:fldChar w:fldCharType="end"/>
      </w:r>
    </w:p>
    <w:p>
      <w:pPr>
        <w:pStyle w:val="Verzeichnis1"/>
        <w:tabs>
          <w:tab w:val="right" w:leader="dot" w:pos="9070"/>
        </w:tabs>
        <w:spacing w:after="70" w:line="240" w:lineRule="auto"/>
        <w:ind w:left="0"/>
      </w:pPr>
      <w:hyperlink w:anchor="Table_5_1">
        <w:r>
          <w:rPr>
            <w:sz w:val="22"/>
          </w:rPr>
          <w:t xml:space="preserve">Tabelle 5-1: Bewertung der Prüfstandsalternativen</w:t>
        </w:r>
      </w:hyperlink>
      <w:r>
        <w:tab/>
      </w:r>
      <w:r>
        <w:fldChar w:fldCharType="begin"/>
      </w:r>
      <w:r>
        <w:instrText xml:space="preserve"> PAGEREF Table_5_1 \h </w:instrText>
      </w:r>
      <w:r>
        <w:fldChar w:fldCharType="separate"/>
      </w:r>
      <w:r>
        <w:t>18</w:t>
      </w:r>
      <w:r>
        <w:fldChar w:fldCharType="end"/>
      </w:r>
    </w:p>
    <w:p>
      <w:pPr>
        <w:pStyle w:val="Verzeichnis1"/>
        <w:tabs>
          <w:tab w:val="right" w:leader="dot" w:pos="9070"/>
        </w:tabs>
        <w:spacing w:after="70" w:line="240" w:lineRule="auto"/>
        <w:ind w:left="0"/>
      </w:pPr>
      <w:hyperlink w:anchor="Table_5_2">
        <w:r>
          <w:rPr>
            <w:sz w:val="22"/>
          </w:rPr>
          <w:t xml:space="preserve">Tabelle 5-2: Kriterien und Gewichte für den Prüfstand</w:t>
        </w:r>
      </w:hyperlink>
      <w:r>
        <w:tab/>
      </w:r>
      <w:r>
        <w:fldChar w:fldCharType="begin"/>
      </w:r>
      <w:r>
        <w:instrText xml:space="preserve"> PAGEREF Table_5_2 \h </w:instrText>
      </w:r>
      <w:r>
        <w:fldChar w:fldCharType="separate"/>
      </w:r>
      <w:r>
        <w:t>18</w:t>
      </w:r>
      <w:r>
        <w:fldChar w:fldCharType="end"/>
      </w:r>
    </w:p>
    <w:p>
      <w:pPr>
        <w:pStyle w:val="Verzeichnis1"/>
        <w:tabs>
          <w:tab w:val="right" w:leader="dot" w:pos="9070"/>
        </w:tabs>
        <w:spacing w:after="70" w:line="240" w:lineRule="auto"/>
        <w:ind w:left="0"/>
      </w:pPr>
      <w:hyperlink w:anchor="Table_5_3">
        <w:r>
          <w:rPr>
            <w:sz w:val="22"/>
          </w:rPr>
          <w:t xml:space="preserve">Tabelle 5-3: Gewichtete Bewertung der Prüfstandsalternativen</w:t>
        </w:r>
      </w:hyperlink>
      <w:r>
        <w:tab/>
      </w:r>
      <w:r>
        <w:fldChar w:fldCharType="begin"/>
      </w:r>
      <w:r>
        <w:instrText xml:space="preserve"> PAGEREF Table_5_3 \h </w:instrText>
      </w:r>
      <w:r>
        <w:fldChar w:fldCharType="separate"/>
      </w:r>
      <w:r>
        <w:t>19</w:t>
      </w:r>
      <w:r>
        <w:fldChar w:fldCharType="end"/>
      </w:r>
    </w:p>
    <w:p>
      <w:pPr>
        <w:pStyle w:val="Verzeichnis1"/>
        <w:tabs>
          <w:tab w:val="right" w:leader="dot" w:pos="9070"/>
        </w:tabs>
        <w:spacing w:after="70" w:line="240" w:lineRule="auto"/>
        <w:ind w:left="0"/>
      </w:pPr>
      <w:hyperlink w:anchor="Table_5_4">
        <w:r>
          <w:rPr>
            <w:sz w:val="22"/>
          </w:rPr>
          <w:t xml:space="preserve">Tabelle 5-4: Vergleich der Sensorik und Messketten</w:t>
        </w:r>
      </w:hyperlink>
      <w:r>
        <w:tab/>
      </w:r>
      <w:r>
        <w:fldChar w:fldCharType="begin"/>
      </w:r>
      <w:r>
        <w:instrText xml:space="preserve"> PAGEREF Table_5_4 \h </w:instrText>
      </w:r>
      <w:r>
        <w:fldChar w:fldCharType="separate"/>
      </w:r>
      <w:r>
        <w:t>20</w:t>
      </w:r>
      <w:r>
        <w:fldChar w:fldCharType="end"/>
      </w:r>
    </w:p>
    <w:p>
      <w:pPr>
        <w:pStyle w:val="Verzeichnis1"/>
        <w:tabs>
          <w:tab w:val="right" w:leader="dot" w:pos="9070"/>
        </w:tabs>
        <w:spacing w:after="70" w:line="240" w:lineRule="auto"/>
        <w:ind w:left="0"/>
      </w:pPr>
      <w:hyperlink w:anchor="Table_5_5">
        <w:r>
          <w:rPr>
            <w:sz w:val="22"/>
          </w:rPr>
          <w:t xml:space="preserve">Tabelle 5-5: Bewertung der Edge-Plattformen</w:t>
        </w:r>
      </w:hyperlink>
      <w:r>
        <w:tab/>
      </w:r>
      <w:r>
        <w:fldChar w:fldCharType="begin"/>
      </w:r>
      <w:r>
        <w:instrText xml:space="preserve"> PAGEREF Table_5_5 \h </w:instrText>
      </w:r>
      <w:r>
        <w:fldChar w:fldCharType="separate"/>
      </w:r>
      <w:r>
        <w:t>21</w:t>
      </w:r>
      <w:r>
        <w:fldChar w:fldCharType="end"/>
      </w:r>
    </w:p>
    <w:p>
      <w:pPr>
        <w:pStyle w:val="Verzeichnis1"/>
        <w:tabs>
          <w:tab w:val="right" w:leader="dot" w:pos="9070"/>
        </w:tabs>
        <w:spacing w:after="70" w:line="240" w:lineRule="auto"/>
        <w:ind w:left="0"/>
      </w:pPr>
      <w:hyperlink w:anchor="Table_5_6">
        <w:r>
          <w:rPr>
            <w:sz w:val="22"/>
          </w:rPr>
          <w:t xml:space="preserve">Tabelle 5-6: Kriterien und Gewichte für die Edge-Plattform</w:t>
        </w:r>
      </w:hyperlink>
      <w:r>
        <w:tab/>
      </w:r>
      <w:r>
        <w:fldChar w:fldCharType="begin"/>
      </w:r>
      <w:r>
        <w:instrText xml:space="preserve"> PAGEREF Table_5_6 \h </w:instrText>
      </w:r>
      <w:r>
        <w:fldChar w:fldCharType="separate"/>
      </w:r>
      <w:r>
        <w:t>21</w:t>
      </w:r>
      <w:r>
        <w:fldChar w:fldCharType="end"/>
      </w:r>
    </w:p>
    <w:p>
      <w:pPr>
        <w:pStyle w:val="Verzeichnis1"/>
        <w:tabs>
          <w:tab w:val="right" w:leader="dot" w:pos="9070"/>
        </w:tabs>
        <w:spacing w:after="70" w:line="240" w:lineRule="auto"/>
        <w:ind w:left="0"/>
      </w:pPr>
      <w:hyperlink w:anchor="Table_5_7">
        <w:r>
          <w:rPr>
            <w:sz w:val="22"/>
          </w:rPr>
          <w:t xml:space="preserve">Tabelle 5-7: Gewichtete Bewertung der Edge-Plattformen</w:t>
        </w:r>
      </w:hyperlink>
      <w:r>
        <w:tab/>
      </w:r>
      <w:r>
        <w:fldChar w:fldCharType="begin"/>
      </w:r>
      <w:r>
        <w:instrText xml:space="preserve"> PAGEREF Table_5_7 \h </w:instrText>
      </w:r>
      <w:r>
        <w:fldChar w:fldCharType="separate"/>
      </w:r>
      <w:r>
        <w:t>22</w:t>
      </w:r>
      <w:r>
        <w:fldChar w:fldCharType="end"/>
      </w:r>
    </w:p>
    <w:p>
      <w:pPr>
        <w:pStyle w:val="Verzeichnis1"/>
        <w:tabs>
          <w:tab w:val="right" w:leader="dot" w:pos="9070"/>
        </w:tabs>
        <w:spacing w:after="70" w:line="240" w:lineRule="auto"/>
        <w:ind w:left="0"/>
      </w:pPr>
      <w:hyperlink w:anchor="Table_5_8">
        <w:r>
          <w:rPr>
            <w:sz w:val="22"/>
          </w:rPr>
          <w:t xml:space="preserve">Tabelle 5-8: Bewertung der Signalrepräsentationen</w:t>
        </w:r>
      </w:hyperlink>
      <w:r>
        <w:tab/>
      </w:r>
      <w:r>
        <w:fldChar w:fldCharType="begin"/>
      </w:r>
      <w:r>
        <w:instrText xml:space="preserve"> PAGEREF Table_5_8 \h </w:instrText>
      </w:r>
      <w:r>
        <w:fldChar w:fldCharType="separate"/>
      </w:r>
      <w:r>
        <w:t>23</w:t>
      </w:r>
      <w:r>
        <w:fldChar w:fldCharType="end"/>
      </w:r>
    </w:p>
    <w:p>
      <w:pPr>
        <w:pStyle w:val="Verzeichnis1"/>
        <w:tabs>
          <w:tab w:val="right" w:leader="dot" w:pos="9070"/>
        </w:tabs>
        <w:spacing w:after="70" w:line="240" w:lineRule="auto"/>
        <w:ind w:left="0"/>
      </w:pPr>
      <w:hyperlink w:anchor="Table_5_9">
        <w:r>
          <w:rPr>
            <w:sz w:val="22"/>
          </w:rPr>
          <w:t xml:space="preserve">Tabelle 5-9: Auswahl der Anomalieverfahren</w:t>
        </w:r>
      </w:hyperlink>
      <w:r>
        <w:tab/>
      </w:r>
      <w:r>
        <w:fldChar w:fldCharType="begin"/>
      </w:r>
      <w:r>
        <w:instrText xml:space="preserve"> PAGEREF Table_5_9 \h </w:instrText>
      </w:r>
      <w:r>
        <w:fldChar w:fldCharType="separate"/>
      </w:r>
      <w:r>
        <w:t>24</w:t>
      </w:r>
      <w:r>
        <w:fldChar w:fldCharType="end"/>
      </w:r>
    </w:p>
    <w:p>
      <w:pPr>
        <w:pStyle w:val="Verzeichnis1"/>
        <w:tabs>
          <w:tab w:val="right" w:leader="dot" w:pos="9070"/>
        </w:tabs>
        <w:spacing w:after="70" w:line="240" w:lineRule="auto"/>
        <w:ind w:left="0"/>
      </w:pPr>
      <w:hyperlink w:anchor="Table_5_10">
        <w:r>
          <w:rPr>
            <w:sz w:val="22"/>
          </w:rPr>
          <w:t xml:space="preserve">Tabelle 5-10: Kriterienbasierter Vergleich der Softwarealternativen</w:t>
        </w:r>
      </w:hyperlink>
      <w:r>
        <w:tab/>
      </w:r>
      <w:r>
        <w:fldChar w:fldCharType="begin"/>
      </w:r>
      <w:r>
        <w:instrText xml:space="preserve"> PAGEREF Table_5_10 \h </w:instrText>
      </w:r>
      <w:r>
        <w:fldChar w:fldCharType="separate"/>
      </w:r>
      <w:r>
        <w:t>25</w:t>
      </w:r>
      <w:r>
        <w:fldChar w:fldCharType="end"/>
      </w:r>
    </w:p>
    <w:p>
      <w:pPr>
        <w:pStyle w:val="Verzeichnis1"/>
        <w:tabs>
          <w:tab w:val="right" w:leader="dot" w:pos="9070"/>
        </w:tabs>
        <w:spacing w:after="70" w:line="240" w:lineRule="auto"/>
        <w:ind w:left="0"/>
      </w:pPr>
      <w:hyperlink w:anchor="Table_5_11">
        <w:r>
          <w:rPr>
            <w:sz w:val="22"/>
          </w:rPr>
          <w:t xml:space="preserve">Tabelle 5-11: Kriterien und Gewichte für die Softwareauswahl</w:t>
        </w:r>
      </w:hyperlink>
      <w:r>
        <w:tab/>
      </w:r>
      <w:r>
        <w:fldChar w:fldCharType="begin"/>
      </w:r>
      <w:r>
        <w:instrText xml:space="preserve"> PAGEREF Table_5_11 \h </w:instrText>
      </w:r>
      <w:r>
        <w:fldChar w:fldCharType="separate"/>
      </w:r>
      <w:r>
        <w:t>26</w:t>
      </w:r>
      <w:r>
        <w:fldChar w:fldCharType="end"/>
      </w:r>
    </w:p>
    <w:p>
      <w:pPr>
        <w:pStyle w:val="Verzeichnis1"/>
        <w:tabs>
          <w:tab w:val="right" w:leader="dot" w:pos="9070"/>
        </w:tabs>
        <w:spacing w:after="70" w:line="240" w:lineRule="auto"/>
        <w:ind w:left="0"/>
      </w:pPr>
      <w:hyperlink w:anchor="Table_5_12">
        <w:r>
          <w:rPr>
            <w:sz w:val="22"/>
          </w:rPr>
          <w:t xml:space="preserve">Tabelle 5-12: Gewichtete Bewertung der Softwarealternativen</w:t>
        </w:r>
      </w:hyperlink>
      <w:r>
        <w:tab/>
      </w:r>
      <w:r>
        <w:fldChar w:fldCharType="begin"/>
      </w:r>
      <w:r>
        <w:instrText xml:space="preserve"> PAGEREF Table_5_12 \h </w:instrText>
      </w:r>
      <w:r>
        <w:fldChar w:fldCharType="separate"/>
      </w:r>
      <w:r>
        <w:t>26</w:t>
      </w:r>
      <w:r>
        <w:fldChar w:fldCharType="end"/>
      </w:r>
    </w:p>
    <w:p>
      <w:pPr>
        <w:pStyle w:val="Verzeichnis1"/>
        <w:tabs>
          <w:tab w:val="right" w:leader="dot" w:pos="9070"/>
        </w:tabs>
        <w:spacing w:after="70" w:line="240" w:lineRule="auto"/>
        <w:ind w:left="0"/>
      </w:pPr>
      <w:hyperlink w:anchor="Table_5_13">
        <w:r>
          <w:rPr>
            <w:sz w:val="22"/>
          </w:rPr>
          <w:t xml:space="preserve">Tabelle 5-13: Systementscheidungen und ausstehende Nachweise</w:t>
        </w:r>
      </w:hyperlink>
      <w:r>
        <w:tab/>
      </w:r>
      <w:r>
        <w:fldChar w:fldCharType="begin"/>
      </w:r>
      <w:r>
        <w:instrText xml:space="preserve"> PAGEREF Table_5_13 \h </w:instrText>
      </w:r>
      <w:r>
        <w:fldChar w:fldCharType="separate"/>
      </w:r>
      <w:r>
        <w:t>28</w:t>
      </w:r>
      <w:r>
        <w:fldChar w:fldCharType="end"/>
      </w:r>
    </w:p>
    <w:p>
      <w:pPr>
        <w:pStyle w:val="Verzeichnis1"/>
        <w:tabs>
          <w:tab w:val="right" w:leader="dot" w:pos="9070"/>
        </w:tabs>
        <w:spacing w:after="70" w:line="240" w:lineRule="auto"/>
        <w:ind w:left="0"/>
      </w:pPr>
      <w:hyperlink w:anchor="Table_6_1">
        <w:r>
          <w:rPr>
            <w:sz w:val="22"/>
          </w:rPr>
          <w:t xml:space="preserve">Tabelle 6-1: Bestätigte Prüfstandangaben und Grenzen der Nachweise</w:t>
        </w:r>
      </w:hyperlink>
      <w:r>
        <w:tab/>
      </w:r>
      <w:r>
        <w:fldChar w:fldCharType="begin"/>
      </w:r>
      <w:r>
        <w:instrText xml:space="preserve"> PAGEREF Table_6_1 \h </w:instrText>
      </w:r>
      <w:r>
        <w:fldChar w:fldCharType="separate"/>
      </w:r>
      <w:r>
        <w:t>31</w:t>
      </w:r>
      <w:r>
        <w:fldChar w:fldCharType="end"/>
      </w:r>
    </w:p>
    <w:p>
      <w:pPr>
        <w:pStyle w:val="Verzeichnis1"/>
        <w:tabs>
          <w:tab w:val="right" w:leader="dot" w:pos="9070"/>
        </w:tabs>
        <w:spacing w:after="70" w:line="240" w:lineRule="auto"/>
        <w:ind w:left="0"/>
      </w:pPr>
      <w:hyperlink w:anchor="Table_6_2">
        <w:r>
          <w:rPr>
            <w:sz w:val="22"/>
          </w:rPr>
          <w:t xml:space="preserve">Tabelle 6-2: Implementierte Komponenten der Verarbeitung</w:t>
        </w:r>
      </w:hyperlink>
      <w:r>
        <w:tab/>
      </w:r>
      <w:r>
        <w:fldChar w:fldCharType="begin"/>
      </w:r>
      <w:r>
        <w:instrText xml:space="preserve"> PAGEREF Table_6_2 \h </w:instrText>
      </w:r>
      <w:r>
        <w:fldChar w:fldCharType="separate"/>
      </w:r>
      <w:r>
        <w:t>32</w:t>
      </w:r>
      <w:r>
        <w:fldChar w:fldCharType="end"/>
      </w:r>
    </w:p>
    <w:p>
      <w:pPr>
        <w:pStyle w:val="Verzeichnis1"/>
        <w:tabs>
          <w:tab w:val="right" w:leader="dot" w:pos="9070"/>
        </w:tabs>
        <w:spacing w:after="70" w:line="240" w:lineRule="auto"/>
        <w:ind w:left="0"/>
      </w:pPr>
      <w:hyperlink w:anchor="Table_6_3">
        <w:r>
          <w:rPr>
            <w:sz w:val="22"/>
          </w:rPr>
          <w:t xml:space="preserve">Tabelle 6-3: Aktuelle Pilotparameter und ihre Aussagegrenzen</w:t>
        </w:r>
      </w:hyperlink>
      <w:r>
        <w:tab/>
      </w:r>
      <w:r>
        <w:fldChar w:fldCharType="begin"/>
      </w:r>
      <w:r>
        <w:instrText xml:space="preserve"> PAGEREF Table_6_3 \h </w:instrText>
      </w:r>
      <w:r>
        <w:fldChar w:fldCharType="separate"/>
      </w:r>
      <w:r>
        <w:t>34</w:t>
      </w:r>
      <w:r>
        <w:fldChar w:fldCharType="end"/>
      </w:r>
    </w:p>
    <w:p>
      <w:pPr>
        <w:pStyle w:val="Verzeichnis1"/>
        <w:tabs>
          <w:tab w:val="right" w:leader="dot" w:pos="9070"/>
        </w:tabs>
        <w:spacing w:after="70" w:line="240" w:lineRule="auto"/>
        <w:ind w:left="0"/>
      </w:pPr>
      <w:hyperlink w:anchor="Table_6_4">
        <w:r>
          <w:rPr>
            <w:sz w:val="22"/>
          </w:rPr>
          <w:t xml:space="preserve">Tabelle 6-4: Gemeinsame Eingabebasis und implementierte Verfahren</w:t>
        </w:r>
      </w:hyperlink>
      <w:r>
        <w:tab/>
      </w:r>
      <w:r>
        <w:fldChar w:fldCharType="begin"/>
      </w:r>
      <w:r>
        <w:instrText xml:space="preserve"> PAGEREF Table_6_4 \h </w:instrText>
      </w:r>
      <w:r>
        <w:fldChar w:fldCharType="separate"/>
      </w:r>
      <w:r>
        <w:t>36</w:t>
      </w:r>
      <w:r>
        <w:fldChar w:fldCharType="end"/>
      </w:r>
    </w:p>
    <w:p>
      <w:pPr>
        <w:pStyle w:val="Verzeichnis1"/>
        <w:tabs>
          <w:tab w:val="right" w:leader="dot" w:pos="9070"/>
        </w:tabs>
        <w:spacing w:after="70" w:line="240" w:lineRule="auto"/>
        <w:ind w:left="0"/>
      </w:pPr>
      <w:hyperlink w:anchor="Table_6_5">
        <w:r>
          <w:rPr>
            <w:sz w:val="22"/>
          </w:rPr>
          <w:t xml:space="preserve">Tabelle 6-5: Vorhandene Entwicklungsbelege und offene Nachweise</w:t>
        </w:r>
      </w:hyperlink>
      <w:r>
        <w:tab/>
      </w:r>
      <w:r>
        <w:fldChar w:fldCharType="begin"/>
      </w:r>
      <w:r>
        <w:instrText xml:space="preserve"> PAGEREF Table_6_5 \h </w:instrText>
      </w:r>
      <w:r>
        <w:fldChar w:fldCharType="separate"/>
      </w:r>
      <w:r>
        <w:t>39</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bookmarkStart w:id="109" w:name="ChapterRef_109"/>
          <w:r w:rsidRPr="00090EA6">
            <w:t>Inhalt</w:t>
          </w:r>
          <w:bookmarkEnd w:id="14"/>
          <w:bookmarkEnd w:id="13"/>
          <w:bookmarkEnd w:id="109"/>
        </w:p>
        <w:p>
          <w:pPr>
            <w:pStyle w:val="Verzeichnis1"/>
            <w:tabs>
              <w:tab w:val="right" w:leader="dot" w:pos="9070"/>
            </w:tabs>
            <w:spacing w:after="70" w:line="240" w:lineRule="auto"/>
            <w:ind w:left="0"/>
          </w:pPr>
          <w:r>
            <w:fldChar w:fldCharType="begin"/>
          </w:r>
          <w:r>
            <w:instrText> TOC \o "1-3" \h \z \u </w:instrText>
          </w:r>
          <w:r>
            <w:fldChar w:fldCharType="separate"/>
          </w:r>
          <w:hyperlink w:anchor="_MA_TOC_001">
            <w:r>
              <w:rPr>
                <w:sz w:val="22"/>
              </w:rPr>
              <w:t xml:space="preserve">Erklärung</w:t>
            </w:r>
          </w:hyperlink>
          <w:r>
            <w:tab/>
          </w:r>
          <w:r>
            <w:fldChar w:fldCharType="begin"/>
          </w:r>
          <w:r>
            <w:instrText xml:space="preserve"> PAGEREF _MA_TOC_001 \h </w:instrText>
          </w:r>
          <w:r>
            <w:fldChar w:fldCharType="separate"/>
          </w:r>
          <w:r>
            <w:t>i</w:t>
          </w:r>
          <w:r>
            <w:fldChar w:fldCharType="end"/>
          </w:r>
        </w:p>
        <w:p>
          <w:pPr>
            <w:pStyle w:val="Verzeichnis1"/>
            <w:tabs>
              <w:tab w:val="right" w:leader="dot" w:pos="9070"/>
            </w:tabs>
            <w:spacing w:after="70" w:line="240" w:lineRule="auto"/>
            <w:ind w:left="0"/>
          </w:pPr>
          <w:hyperlink w:anchor="_MA_TOC_002">
            <w:r>
              <w:rPr>
                <w:sz w:val="22"/>
              </w:rPr>
              <w:t xml:space="preserve">Abbildungsverzeichnis</w:t>
            </w:r>
          </w:hyperlink>
          <w:r>
            <w:tab/>
          </w:r>
          <w:r>
            <w:fldChar w:fldCharType="begin"/>
          </w:r>
          <w:r>
            <w:instrText xml:space="preserve"> PAGEREF _MA_TOC_002 \h </w:instrText>
          </w:r>
          <w:r>
            <w:fldChar w:fldCharType="separate"/>
          </w:r>
          <w:r>
            <w:t>ii</w:t>
          </w:r>
          <w:r>
            <w:fldChar w:fldCharType="end"/>
          </w:r>
        </w:p>
        <w:p>
          <w:pPr>
            <w:pStyle w:val="Verzeichnis1"/>
            <w:tabs>
              <w:tab w:val="right" w:leader="dot" w:pos="9070"/>
            </w:tabs>
            <w:spacing w:after="70" w:line="240" w:lineRule="auto"/>
            <w:ind w:left="0"/>
          </w:pPr>
          <w:hyperlink w:anchor="_MA_TOC_003">
            <w:r>
              <w:rPr>
                <w:sz w:val="22"/>
              </w:rPr>
              <w:t xml:space="preserve">Tabellenverzeichnis</w:t>
            </w:r>
          </w:hyperlink>
          <w:r>
            <w:tab/>
          </w:r>
          <w:r>
            <w:fldChar w:fldCharType="begin"/>
          </w:r>
          <w:r>
            <w:instrText xml:space="preserve"> PAGEREF _MA_TOC_003 \h </w:instrText>
          </w:r>
          <w:r>
            <w:fldChar w:fldCharType="separate"/>
          </w:r>
          <w:r>
            <w:t>iii</w:t>
          </w:r>
          <w:r>
            <w:fldChar w:fldCharType="end"/>
          </w:r>
        </w:p>
        <w:p>
          <w:pPr>
            <w:pStyle w:val="Verzeichnis1"/>
            <w:tabs>
              <w:tab w:val="right" w:leader="dot" w:pos="9070"/>
            </w:tabs>
            <w:spacing w:after="70" w:line="240" w:lineRule="auto"/>
            <w:ind w:left="0"/>
          </w:pPr>
          <w:hyperlink w:anchor="ChapterRef_109">
            <w:r>
              <w:rPr>
                <w:sz w:val="22"/>
              </w:rPr>
              <w:t xml:space="preserve">Inhalt</w:t>
            </w:r>
          </w:hyperlink>
          <w:r>
            <w:tab/>
          </w:r>
          <w:r>
            <w:fldChar w:fldCharType="begin"/>
          </w:r>
          <w:r>
            <w:instrText xml:space="preserve"> PAGEREF ChapterRef_109 \h </w:instrText>
          </w:r>
          <w:r>
            <w:fldChar w:fldCharType="separate"/>
          </w:r>
          <w:r>
            <w:t>iv</w:t>
          </w:r>
          <w:r>
            <w:fldChar w:fldCharType="end"/>
          </w:r>
        </w:p>
        <w:p>
          <w:pPr>
            <w:pStyle w:val="Verzeichnis1"/>
            <w:tabs>
              <w:tab w:val="right" w:leader="dot" w:pos="9070"/>
            </w:tabs>
            <w:spacing w:after="70" w:line="240" w:lineRule="auto"/>
            <w:ind w:left="0"/>
          </w:pPr>
          <w:hyperlink w:anchor="_MA_TOC_005">
            <w:r>
              <w:rPr>
                <w:sz w:val="22"/>
              </w:rPr>
              <w:t xml:space="preserve">Abkürzungsverzeichnis</w:t>
            </w:r>
          </w:hyperlink>
          <w:r>
            <w:tab/>
          </w:r>
          <w:r>
            <w:fldChar w:fldCharType="begin"/>
          </w:r>
          <w:r>
            <w:instrText xml:space="preserve"> PAGEREF _MA_TOC_005 \h </w:instrText>
          </w:r>
          <w:r>
            <w:fldChar w:fldCharType="separate"/>
          </w:r>
          <w:r>
            <w:t>vi</w:t>
          </w:r>
          <w:r>
            <w:fldChar w:fldCharType="end"/>
          </w:r>
        </w:p>
        <w:p>
          <w:pPr>
            <w:pStyle w:val="Verzeichnis1"/>
            <w:tabs>
              <w:tab w:val="right" w:leader="dot" w:pos="9070"/>
            </w:tabs>
            <w:spacing w:after="70" w:line="240" w:lineRule="auto"/>
            <w:ind w:left="0"/>
          </w:pPr>
          <w:hyperlink w:anchor="_MA_TOC_006">
            <w:r>
              <w:rPr>
                <w:sz w:val="22"/>
              </w:rPr>
              <w:t xml:space="preserve">1 Einleitung, Problemstellung und Zielsetzung</w:t>
            </w:r>
          </w:hyperlink>
          <w:r>
            <w:tab/>
          </w:r>
          <w:r>
            <w:fldChar w:fldCharType="begin"/>
          </w:r>
          <w:r>
            <w:instrText xml:space="preserve"> PAGEREF _MA_TOC_006 \h </w:instrText>
          </w:r>
          <w:r>
            <w:fldChar w:fldCharType="separate"/>
          </w:r>
          <w:r>
            <w:t>1</w:t>
          </w:r>
          <w:r>
            <w:fldChar w:fldCharType="end"/>
          </w:r>
        </w:p>
        <w:p>
          <w:pPr>
            <w:pStyle w:val="Verzeichnis2"/>
            <w:tabs>
              <w:tab w:val="right" w:leader="dot" w:pos="9070"/>
            </w:tabs>
            <w:spacing w:after="70" w:line="240" w:lineRule="auto"/>
            <w:ind w:left="220"/>
          </w:pPr>
          <w:hyperlink w:anchor="_MA_TOC_007">
            <w:r>
              <w:rPr>
                <w:sz w:val="22"/>
              </w:rPr>
              <w:t xml:space="preserve">1.1 Ausgangssituation und Motivation</w:t>
            </w:r>
          </w:hyperlink>
          <w:r>
            <w:tab/>
          </w:r>
          <w:r>
            <w:fldChar w:fldCharType="begin"/>
          </w:r>
          <w:r>
            <w:instrText xml:space="preserve"> PAGEREF _MA_TOC_007 \h </w:instrText>
          </w:r>
          <w:r>
            <w:fldChar w:fldCharType="separate"/>
          </w:r>
          <w:r>
            <w:t>1</w:t>
          </w:r>
          <w:r>
            <w:fldChar w:fldCharType="end"/>
          </w:r>
        </w:p>
        <w:p>
          <w:pPr>
            <w:pStyle w:val="Verzeichnis2"/>
            <w:tabs>
              <w:tab w:val="right" w:leader="dot" w:pos="9070"/>
            </w:tabs>
            <w:spacing w:after="70" w:line="240" w:lineRule="auto"/>
            <w:ind w:left="220"/>
          </w:pPr>
          <w:hyperlink w:anchor="_MA_TOC_008">
            <w:r>
              <w:rPr>
                <w:sz w:val="22"/>
              </w:rPr>
              <w:t xml:space="preserve">1.2 Wissenschaftliche Problemstellung</w:t>
            </w:r>
          </w:hyperlink>
          <w:r>
            <w:tab/>
          </w:r>
          <w:r>
            <w:fldChar w:fldCharType="begin"/>
          </w:r>
          <w:r>
            <w:instrText xml:space="preserve"> PAGEREF _MA_TOC_008 \h </w:instrText>
          </w:r>
          <w:r>
            <w:fldChar w:fldCharType="separate"/>
          </w:r>
          <w:r>
            <w:t>1</w:t>
          </w:r>
          <w:r>
            <w:fldChar w:fldCharType="end"/>
          </w:r>
        </w:p>
        <w:p>
          <w:pPr>
            <w:pStyle w:val="Verzeichnis2"/>
            <w:tabs>
              <w:tab w:val="right" w:leader="dot" w:pos="9070"/>
            </w:tabs>
            <w:spacing w:after="70" w:line="240" w:lineRule="auto"/>
            <w:ind w:left="220"/>
          </w:pPr>
          <w:hyperlink w:anchor="_MA_TOC_009">
            <w:r>
              <w:rPr>
                <w:sz w:val="22"/>
              </w:rPr>
              <w:t xml:space="preserve">1.3 Zielsetzung der Arbeit</w:t>
            </w:r>
          </w:hyperlink>
          <w:r>
            <w:tab/>
          </w:r>
          <w:r>
            <w:fldChar w:fldCharType="begin"/>
          </w:r>
          <w:r>
            <w:instrText xml:space="preserve"> PAGEREF _MA_TOC_009 \h </w:instrText>
          </w:r>
          <w:r>
            <w:fldChar w:fldCharType="separate"/>
          </w:r>
          <w:r>
            <w:t>2</w:t>
          </w:r>
          <w:r>
            <w:fldChar w:fldCharType="end"/>
          </w:r>
        </w:p>
        <w:p>
          <w:pPr>
            <w:pStyle w:val="Verzeichnis2"/>
            <w:tabs>
              <w:tab w:val="right" w:leader="dot" w:pos="9070"/>
            </w:tabs>
            <w:spacing w:after="70" w:line="240" w:lineRule="auto"/>
            <w:ind w:left="220"/>
          </w:pPr>
          <w:hyperlink w:anchor="_MA_TOC_010">
            <w:r>
              <w:rPr>
                <w:sz w:val="22"/>
              </w:rPr>
              <w:t xml:space="preserve">1.4 Forschungsfragen und Hypothesen</w:t>
            </w:r>
          </w:hyperlink>
          <w:r>
            <w:tab/>
          </w:r>
          <w:r>
            <w:fldChar w:fldCharType="begin"/>
          </w:r>
          <w:r>
            <w:instrText xml:space="preserve"> PAGEREF _MA_TOC_010 \h </w:instrText>
          </w:r>
          <w:r>
            <w:fldChar w:fldCharType="separate"/>
          </w:r>
          <w:r>
            <w:t>2</w:t>
          </w:r>
          <w:r>
            <w:fldChar w:fldCharType="end"/>
          </w:r>
        </w:p>
        <w:p>
          <w:pPr>
            <w:pStyle w:val="Verzeichnis2"/>
            <w:tabs>
              <w:tab w:val="right" w:leader="dot" w:pos="9070"/>
            </w:tabs>
            <w:spacing w:after="70" w:line="240" w:lineRule="auto"/>
            <w:ind w:left="220"/>
          </w:pPr>
          <w:hyperlink w:anchor="_MA_TOC_011">
            <w:r>
              <w:rPr>
                <w:sz w:val="22"/>
              </w:rPr>
              <w:t xml:space="preserve">1.5 Abgrenzung der Arbeit</w:t>
            </w:r>
          </w:hyperlink>
          <w:r>
            <w:tab/>
          </w:r>
          <w:r>
            <w:fldChar w:fldCharType="begin"/>
          </w:r>
          <w:r>
            <w:instrText xml:space="preserve"> PAGEREF _MA_TOC_011 \h </w:instrText>
          </w:r>
          <w:r>
            <w:fldChar w:fldCharType="separate"/>
          </w:r>
          <w:r>
            <w:t>3</w:t>
          </w:r>
          <w:r>
            <w:fldChar w:fldCharType="end"/>
          </w:r>
        </w:p>
        <w:p>
          <w:pPr>
            <w:pStyle w:val="Verzeichnis2"/>
            <w:tabs>
              <w:tab w:val="right" w:leader="dot" w:pos="9070"/>
            </w:tabs>
            <w:spacing w:after="70" w:line="240" w:lineRule="auto"/>
            <w:ind w:left="220"/>
          </w:pPr>
          <w:hyperlink w:anchor="_MA_TOC_012">
            <w:r>
              <w:rPr>
                <w:sz w:val="22"/>
              </w:rPr>
              <w:t xml:space="preserve">1.6 Aufbau der Arbeit</w:t>
            </w:r>
          </w:hyperlink>
          <w:r>
            <w:tab/>
          </w:r>
          <w:r>
            <w:fldChar w:fldCharType="begin"/>
          </w:r>
          <w:r>
            <w:instrText xml:space="preserve"> PAGEREF _MA_TOC_012 \h </w:instrText>
          </w:r>
          <w:r>
            <w:fldChar w:fldCharType="separate"/>
          </w:r>
          <w:r>
            <w:t>3</w:t>
          </w:r>
          <w:r>
            <w:fldChar w:fldCharType="end"/>
          </w:r>
        </w:p>
        <w:p>
          <w:pPr>
            <w:pStyle w:val="Verzeichnis1"/>
            <w:tabs>
              <w:tab w:val="right" w:leader="dot" w:pos="9070"/>
            </w:tabs>
            <w:spacing w:after="70" w:line="240" w:lineRule="auto"/>
            <w:ind w:left="0"/>
          </w:pPr>
          <w:hyperlink w:anchor="_MA_TOC_013">
            <w:r>
              <w:rPr>
                <w:sz w:val="22"/>
              </w:rPr>
              <w:t xml:space="preserve">2 Theoretische Grundlagen</w:t>
            </w:r>
          </w:hyperlink>
          <w:r>
            <w:tab/>
          </w:r>
          <w:r>
            <w:fldChar w:fldCharType="begin"/>
          </w:r>
          <w:r>
            <w:instrText xml:space="preserve"> PAGEREF _MA_TOC_013 \h </w:instrText>
          </w:r>
          <w:r>
            <w:fldChar w:fldCharType="separate"/>
          </w:r>
          <w:r>
            <w:t>4</w:t>
          </w:r>
          <w:r>
            <w:fldChar w:fldCharType="end"/>
          </w:r>
        </w:p>
        <w:p>
          <w:pPr>
            <w:pStyle w:val="Verzeichnis2"/>
            <w:tabs>
              <w:tab w:val="right" w:leader="dot" w:pos="9070"/>
            </w:tabs>
            <w:spacing w:after="70" w:line="240" w:lineRule="auto"/>
            <w:ind w:left="220"/>
          </w:pPr>
          <w:hyperlink w:anchor="_MA_TOC_014">
            <w:r>
              <w:rPr>
                <w:sz w:val="22"/>
              </w:rPr>
              <w:t xml:space="preserve">2.1 Zustandsüberwachung und Anomalieerkennung</w:t>
            </w:r>
          </w:hyperlink>
          <w:r>
            <w:tab/>
          </w:r>
          <w:r>
            <w:fldChar w:fldCharType="begin"/>
          </w:r>
          <w:r>
            <w:instrText xml:space="preserve"> PAGEREF _MA_TOC_014 \h </w:instrText>
          </w:r>
          <w:r>
            <w:fldChar w:fldCharType="separate"/>
          </w:r>
          <w:r>
            <w:t>4</w:t>
          </w:r>
          <w:r>
            <w:fldChar w:fldCharType="end"/>
          </w:r>
        </w:p>
        <w:p>
          <w:pPr>
            <w:pStyle w:val="Verzeichnis2"/>
            <w:tabs>
              <w:tab w:val="right" w:leader="dot" w:pos="9070"/>
            </w:tabs>
            <w:spacing w:after="70" w:line="240" w:lineRule="auto"/>
            <w:ind w:left="220"/>
          </w:pPr>
          <w:hyperlink w:anchor="_MA_TOC_015">
            <w:r>
              <w:rPr>
                <w:sz w:val="22"/>
              </w:rPr>
              <w:t xml:space="preserve">2.2 Verfahrensklassen für die Anomalieentscheidung</w:t>
            </w:r>
          </w:hyperlink>
          <w:r>
            <w:tab/>
          </w:r>
          <w:r>
            <w:fldChar w:fldCharType="begin"/>
          </w:r>
          <w:r>
            <w:instrText xml:space="preserve"> PAGEREF _MA_TOC_015 \h </w:instrText>
          </w:r>
          <w:r>
            <w:fldChar w:fldCharType="separate"/>
          </w:r>
          <w:r>
            <w:t>4</w:t>
          </w:r>
          <w:r>
            <w:fldChar w:fldCharType="end"/>
          </w:r>
        </w:p>
        <w:p>
          <w:pPr>
            <w:pStyle w:val="Verzeichnis3"/>
            <w:tabs>
              <w:tab w:val="right" w:leader="dot" w:pos="9070"/>
            </w:tabs>
            <w:spacing w:after="70" w:line="240" w:lineRule="auto"/>
            <w:ind w:left="440"/>
          </w:pPr>
          <w:hyperlink w:anchor="_MA_TOC_016">
            <w:r>
              <w:rPr>
                <w:sz w:val="22"/>
              </w:rPr>
              <w:t xml:space="preserve">2.2.1 Statistische Schwellenwertverfahren</w:t>
            </w:r>
          </w:hyperlink>
          <w:r>
            <w:tab/>
          </w:r>
          <w:r>
            <w:fldChar w:fldCharType="begin"/>
          </w:r>
          <w:r>
            <w:instrText xml:space="preserve"> PAGEREF _MA_TOC_016 \h </w:instrText>
          </w:r>
          <w:r>
            <w:fldChar w:fldCharType="separate"/>
          </w:r>
          <w:r>
            <w:t>4</w:t>
          </w:r>
          <w:r>
            <w:fldChar w:fldCharType="end"/>
          </w:r>
        </w:p>
        <w:p>
          <w:pPr>
            <w:pStyle w:val="Verzeichnis3"/>
            <w:tabs>
              <w:tab w:val="right" w:leader="dot" w:pos="9070"/>
            </w:tabs>
            <w:spacing w:after="70" w:line="240" w:lineRule="auto"/>
            <w:ind w:left="440"/>
          </w:pPr>
          <w:hyperlink w:anchor="_MA_TOC_017">
            <w:r>
              <w:rPr>
                <w:sz w:val="22"/>
              </w:rPr>
              <w:t xml:space="preserve">2.2.2 Klassische Verfahren im Normaldaten-Szenario</w:t>
            </w:r>
          </w:hyperlink>
          <w:r>
            <w:tab/>
          </w:r>
          <w:r>
            <w:fldChar w:fldCharType="begin"/>
          </w:r>
          <w:r>
            <w:instrText xml:space="preserve"> PAGEREF _MA_TOC_017 \h </w:instrText>
          </w:r>
          <w:r>
            <w:fldChar w:fldCharType="separate"/>
          </w:r>
          <w:r>
            <w:t>5</w:t>
          </w:r>
          <w:r>
            <w:fldChar w:fldCharType="end"/>
          </w:r>
        </w:p>
        <w:p>
          <w:pPr>
            <w:pStyle w:val="Verzeichnis3"/>
            <w:tabs>
              <w:tab w:val="right" w:leader="dot" w:pos="9070"/>
            </w:tabs>
            <w:spacing w:after="70" w:line="240" w:lineRule="auto"/>
            <w:ind w:left="440"/>
          </w:pPr>
          <w:hyperlink w:anchor="_MA_TOC_018">
            <w:r>
              <w:rPr>
                <w:sz w:val="22"/>
              </w:rPr>
              <w:t xml:space="preserve">2.2.3 Autoencoder</w:t>
            </w:r>
          </w:hyperlink>
          <w:r>
            <w:tab/>
          </w:r>
          <w:r>
            <w:fldChar w:fldCharType="begin"/>
          </w:r>
          <w:r>
            <w:instrText xml:space="preserve"> PAGEREF _MA_TOC_018 \h </w:instrText>
          </w:r>
          <w:r>
            <w:fldChar w:fldCharType="separate"/>
          </w:r>
          <w:r>
            <w:t>5</w:t>
          </w:r>
          <w:r>
            <w:fldChar w:fldCharType="end"/>
          </w:r>
        </w:p>
        <w:p>
          <w:pPr>
            <w:pStyle w:val="Verzeichnis2"/>
            <w:tabs>
              <w:tab w:val="right" w:leader="dot" w:pos="9070"/>
            </w:tabs>
            <w:spacing w:after="70" w:line="240" w:lineRule="auto"/>
            <w:ind w:left="220"/>
          </w:pPr>
          <w:hyperlink w:anchor="_MA_TOC_019">
            <w:r>
              <w:rPr>
                <w:sz w:val="22"/>
              </w:rPr>
              <w:t xml:space="preserve">2.3 Messdaten und Fensterbildung</w:t>
            </w:r>
          </w:hyperlink>
          <w:r>
            <w:tab/>
          </w:r>
          <w:r>
            <w:fldChar w:fldCharType="begin"/>
          </w:r>
          <w:r>
            <w:instrText xml:space="preserve"> PAGEREF _MA_TOC_019 \h </w:instrText>
          </w:r>
          <w:r>
            <w:fldChar w:fldCharType="separate"/>
          </w:r>
          <w:r>
            <w:t>5</w:t>
          </w:r>
          <w:r>
            <w:fldChar w:fldCharType="end"/>
          </w:r>
        </w:p>
        <w:p>
          <w:pPr>
            <w:pStyle w:val="Verzeichnis2"/>
            <w:tabs>
              <w:tab w:val="right" w:leader="dot" w:pos="9070"/>
            </w:tabs>
            <w:spacing w:after="70" w:line="240" w:lineRule="auto"/>
            <w:ind w:left="220"/>
          </w:pPr>
          <w:hyperlink w:anchor="_MA_TOC_020">
            <w:r>
              <w:rPr>
                <w:sz w:val="22"/>
              </w:rPr>
              <w:t xml:space="preserve">2.4 Datenaufteilung und Vorverarbeitung</w:t>
            </w:r>
          </w:hyperlink>
          <w:r>
            <w:tab/>
          </w:r>
          <w:r>
            <w:fldChar w:fldCharType="begin"/>
          </w:r>
          <w:r>
            <w:instrText xml:space="preserve"> PAGEREF _MA_TOC_020 \h </w:instrText>
          </w:r>
          <w:r>
            <w:fldChar w:fldCharType="separate"/>
          </w:r>
          <w:r>
            <w:t>6</w:t>
          </w:r>
          <w:r>
            <w:fldChar w:fldCharType="end"/>
          </w:r>
        </w:p>
        <w:p>
          <w:pPr>
            <w:pStyle w:val="Verzeichnis2"/>
            <w:tabs>
              <w:tab w:val="right" w:leader="dot" w:pos="9070"/>
            </w:tabs>
            <w:spacing w:after="70" w:line="240" w:lineRule="auto"/>
            <w:ind w:left="220"/>
          </w:pPr>
          <w:hyperlink w:anchor="_MA_TOC_021">
            <w:r>
              <w:rPr>
                <w:sz w:val="22"/>
              </w:rPr>
              <w:t xml:space="preserve">2.5 Schwellenwertkalibrierung</w:t>
            </w:r>
          </w:hyperlink>
          <w:r>
            <w:tab/>
          </w:r>
          <w:r>
            <w:fldChar w:fldCharType="begin"/>
          </w:r>
          <w:r>
            <w:instrText xml:space="preserve"> PAGEREF _MA_TOC_021 \h </w:instrText>
          </w:r>
          <w:r>
            <w:fldChar w:fldCharType="separate"/>
          </w:r>
          <w:r>
            <w:t>6</w:t>
          </w:r>
          <w:r>
            <w:fldChar w:fldCharType="end"/>
          </w:r>
        </w:p>
        <w:p>
          <w:pPr>
            <w:pStyle w:val="Verzeichnis2"/>
            <w:tabs>
              <w:tab w:val="right" w:leader="dot" w:pos="9070"/>
            </w:tabs>
            <w:spacing w:after="70" w:line="240" w:lineRule="auto"/>
            <w:ind w:left="220"/>
          </w:pPr>
          <w:hyperlink w:anchor="_MA_TOC_022">
            <w:r>
              <w:rPr>
                <w:sz w:val="22"/>
              </w:rPr>
              <w:t xml:space="preserve">2.6 Erkennungsqualität und Aussagekraft der Evaluation</w:t>
            </w:r>
          </w:hyperlink>
          <w:r>
            <w:tab/>
          </w:r>
          <w:r>
            <w:fldChar w:fldCharType="begin"/>
          </w:r>
          <w:r>
            <w:instrText xml:space="preserve"> PAGEREF _MA_TOC_022 \h </w:instrText>
          </w:r>
          <w:r>
            <w:fldChar w:fldCharType="separate"/>
          </w:r>
          <w:r>
            <w:t>7</w:t>
          </w:r>
          <w:r>
            <w:fldChar w:fldCharType="end"/>
          </w:r>
        </w:p>
        <w:p>
          <w:pPr>
            <w:pStyle w:val="Verzeichnis2"/>
            <w:tabs>
              <w:tab w:val="right" w:leader="dot" w:pos="9070"/>
            </w:tabs>
            <w:spacing w:after="70" w:line="240" w:lineRule="auto"/>
            <w:ind w:left="220"/>
          </w:pPr>
          <w:hyperlink w:anchor="_MA_TOC_023">
            <w:r>
              <w:rPr>
                <w:sz w:val="22"/>
              </w:rPr>
              <w:t xml:space="preserve">2.7 Lokale Ausführung und Zeitverhalten</w:t>
            </w:r>
          </w:hyperlink>
          <w:r>
            <w:tab/>
          </w:r>
          <w:r>
            <w:fldChar w:fldCharType="begin"/>
          </w:r>
          <w:r>
            <w:instrText xml:space="preserve"> PAGEREF _MA_TOC_023 \h </w:instrText>
          </w:r>
          <w:r>
            <w:fldChar w:fldCharType="separate"/>
          </w:r>
          <w:r>
            <w:t>8</w:t>
          </w:r>
          <w:r>
            <w:fldChar w:fldCharType="end"/>
          </w:r>
        </w:p>
        <w:p>
          <w:pPr>
            <w:pStyle w:val="Verzeichnis2"/>
            <w:tabs>
              <w:tab w:val="right" w:leader="dot" w:pos="9070"/>
            </w:tabs>
            <w:spacing w:after="70" w:line="240" w:lineRule="auto"/>
            <w:ind w:left="220"/>
          </w:pPr>
          <w:hyperlink w:anchor="_MA_TOC_024">
            <w:r>
              <w:rPr>
                <w:sz w:val="22"/>
              </w:rPr>
              <w:t xml:space="preserve">2.8 Veränderte Normalbedingungen</w:t>
            </w:r>
          </w:hyperlink>
          <w:r>
            <w:tab/>
          </w:r>
          <w:r>
            <w:fldChar w:fldCharType="begin"/>
          </w:r>
          <w:r>
            <w:instrText xml:space="preserve"> PAGEREF _MA_TOC_024 \h </w:instrText>
          </w:r>
          <w:r>
            <w:fldChar w:fldCharType="separate"/>
          </w:r>
          <w:r>
            <w:t>8</w:t>
          </w:r>
          <w:r>
            <w:fldChar w:fldCharType="end"/>
          </w:r>
        </w:p>
        <w:p>
          <w:pPr>
            <w:pStyle w:val="Verzeichnis1"/>
            <w:tabs>
              <w:tab w:val="right" w:leader="dot" w:pos="9070"/>
            </w:tabs>
            <w:spacing w:after="70" w:line="240" w:lineRule="auto"/>
            <w:ind w:left="0"/>
          </w:pPr>
          <w:hyperlink w:anchor="_MA_TOC_025">
            <w:r>
              <w:rPr>
                <w:sz w:val="22"/>
              </w:rPr>
              <w:t xml:space="preserve">3 Stand der Technik und verwandte Arbeiten</w:t>
            </w:r>
          </w:hyperlink>
          <w:r>
            <w:tab/>
          </w:r>
          <w:r>
            <w:fldChar w:fldCharType="begin"/>
          </w:r>
          <w:r>
            <w:instrText xml:space="preserve"> PAGEREF _MA_TOC_025 \h </w:instrText>
          </w:r>
          <w:r>
            <w:fldChar w:fldCharType="separate"/>
          </w:r>
          <w:r>
            <w:t>9</w:t>
          </w:r>
          <w:r>
            <w:fldChar w:fldCharType="end"/>
          </w:r>
        </w:p>
        <w:p>
          <w:pPr>
            <w:pStyle w:val="Verzeichnis2"/>
            <w:tabs>
              <w:tab w:val="right" w:leader="dot" w:pos="9070"/>
            </w:tabs>
            <w:spacing w:after="70" w:line="240" w:lineRule="auto"/>
            <w:ind w:left="220"/>
          </w:pPr>
          <w:hyperlink w:anchor="_MA_TOC_026">
            <w:r>
              <w:rPr>
                <w:sz w:val="22"/>
              </w:rPr>
              <w:t xml:space="preserve">3.1 Datenbasis und Messbedingungen</w:t>
            </w:r>
          </w:hyperlink>
          <w:r>
            <w:tab/>
          </w:r>
          <w:r>
            <w:fldChar w:fldCharType="begin"/>
          </w:r>
          <w:r>
            <w:instrText xml:space="preserve"> PAGEREF _MA_TOC_026 \h </w:instrText>
          </w:r>
          <w:r>
            <w:fldChar w:fldCharType="separate"/>
          </w:r>
          <w:r>
            <w:t>9</w:t>
          </w:r>
          <w:r>
            <w:fldChar w:fldCharType="end"/>
          </w:r>
        </w:p>
        <w:p>
          <w:pPr>
            <w:pStyle w:val="Verzeichnis2"/>
            <w:tabs>
              <w:tab w:val="right" w:leader="dot" w:pos="9070"/>
            </w:tabs>
            <w:spacing w:after="70" w:line="240" w:lineRule="auto"/>
            <w:ind w:left="220"/>
          </w:pPr>
          <w:hyperlink w:anchor="_MA_TOC_027">
            <w:r>
              <w:rPr>
                <w:sz w:val="22"/>
              </w:rPr>
              <w:t xml:space="preserve">3.2 Verfahren und Edge-Ausführung</w:t>
            </w:r>
          </w:hyperlink>
          <w:r>
            <w:tab/>
          </w:r>
          <w:r>
            <w:fldChar w:fldCharType="begin"/>
          </w:r>
          <w:r>
            <w:instrText xml:space="preserve"> PAGEREF _MA_TOC_027 \h </w:instrText>
          </w:r>
          <w:r>
            <w:fldChar w:fldCharType="separate"/>
          </w:r>
          <w:r>
            <w:t>9</w:t>
          </w:r>
          <w:r>
            <w:fldChar w:fldCharType="end"/>
          </w:r>
        </w:p>
        <w:p>
          <w:pPr>
            <w:pStyle w:val="Verzeichnis2"/>
            <w:tabs>
              <w:tab w:val="right" w:leader="dot" w:pos="9070"/>
            </w:tabs>
            <w:spacing w:after="70" w:line="240" w:lineRule="auto"/>
            <w:ind w:left="220"/>
          </w:pPr>
          <w:hyperlink w:anchor="_MA_TOC_028">
            <w:r>
              <w:rPr>
                <w:sz w:val="22"/>
              </w:rPr>
              <w:t xml:space="preserve">3.3 Vergleich ausgewählter Arbeiten</w:t>
            </w:r>
          </w:hyperlink>
          <w:r>
            <w:tab/>
          </w:r>
          <w:r>
            <w:fldChar w:fldCharType="begin"/>
          </w:r>
          <w:r>
            <w:instrText xml:space="preserve"> PAGEREF _MA_TOC_028 \h </w:instrText>
          </w:r>
          <w:r>
            <w:fldChar w:fldCharType="separate"/>
          </w:r>
          <w:r>
            <w:t>10</w:t>
          </w:r>
          <w:r>
            <w:fldChar w:fldCharType="end"/>
          </w:r>
        </w:p>
        <w:p>
          <w:pPr>
            <w:pStyle w:val="Verzeichnis2"/>
            <w:tabs>
              <w:tab w:val="right" w:leader="dot" w:pos="9070"/>
            </w:tabs>
            <w:spacing w:after="70" w:line="240" w:lineRule="auto"/>
            <w:ind w:left="220"/>
          </w:pPr>
          <w:hyperlink w:anchor="_MA_TOC_029">
            <w:r>
              <w:rPr>
                <w:sz w:val="22"/>
              </w:rPr>
              <w:t xml:space="preserve">3.4 Forschungslücke und Einordnung der eigenen Arbeit</w:t>
            </w:r>
          </w:hyperlink>
          <w:r>
            <w:tab/>
          </w:r>
          <w:r>
            <w:fldChar w:fldCharType="begin"/>
          </w:r>
          <w:r>
            <w:instrText xml:space="preserve"> PAGEREF _MA_TOC_029 \h </w:instrText>
          </w:r>
          <w:r>
            <w:fldChar w:fldCharType="separate"/>
          </w:r>
          <w:r>
            <w:t>11</w:t>
          </w:r>
          <w:r>
            <w:fldChar w:fldCharType="end"/>
          </w:r>
        </w:p>
        <w:p>
          <w:pPr>
            <w:pStyle w:val="Verzeichnis1"/>
            <w:tabs>
              <w:tab w:val="right" w:leader="dot" w:pos="9070"/>
            </w:tabs>
            <w:spacing w:after="70" w:line="240" w:lineRule="auto"/>
            <w:ind w:left="0"/>
          </w:pPr>
          <w:hyperlink w:anchor="_MA_TOC_030">
            <w:r>
              <w:rPr>
                <w:sz w:val="22"/>
              </w:rPr>
              <w:t xml:space="preserve">4 Anforderungsanalyse</w:t>
            </w:r>
          </w:hyperlink>
          <w:r>
            <w:tab/>
          </w:r>
          <w:r>
            <w:fldChar w:fldCharType="begin"/>
          </w:r>
          <w:r>
            <w:instrText xml:space="preserve"> PAGEREF _MA_TOC_030 \h </w:instrText>
          </w:r>
          <w:r>
            <w:fldChar w:fldCharType="separate"/>
          </w:r>
          <w:r>
            <w:t>12</w:t>
          </w:r>
          <w:r>
            <w:fldChar w:fldCharType="end"/>
          </w:r>
        </w:p>
        <w:p>
          <w:pPr>
            <w:pStyle w:val="Verzeichnis2"/>
            <w:tabs>
              <w:tab w:val="right" w:leader="dot" w:pos="9070"/>
            </w:tabs>
            <w:spacing w:after="70" w:line="240" w:lineRule="auto"/>
            <w:ind w:left="220"/>
          </w:pPr>
          <w:hyperlink w:anchor="_MA_TOC_031">
            <w:r>
              <w:rPr>
                <w:sz w:val="22"/>
              </w:rPr>
              <w:t xml:space="preserve">4.1 Messdaten und Vergleichsbasis</w:t>
            </w:r>
          </w:hyperlink>
          <w:r>
            <w:tab/>
          </w:r>
          <w:r>
            <w:fldChar w:fldCharType="begin"/>
          </w:r>
          <w:r>
            <w:instrText xml:space="preserve"> PAGEREF _MA_TOC_031 \h </w:instrText>
          </w:r>
          <w:r>
            <w:fldChar w:fldCharType="separate"/>
          </w:r>
          <w:r>
            <w:t>12</w:t>
          </w:r>
          <w:r>
            <w:fldChar w:fldCharType="end"/>
          </w:r>
        </w:p>
        <w:p>
          <w:pPr>
            <w:pStyle w:val="Verzeichnis2"/>
            <w:tabs>
              <w:tab w:val="right" w:leader="dot" w:pos="9070"/>
            </w:tabs>
            <w:spacing w:after="70" w:line="240" w:lineRule="auto"/>
            <w:ind w:left="220"/>
          </w:pPr>
          <w:hyperlink w:anchor="_MA_TOC_032">
            <w:r>
              <w:rPr>
                <w:sz w:val="22"/>
              </w:rPr>
              <w:t xml:space="preserve">4.2 Lokale Verarbeitung und Zeitverhalten</w:t>
            </w:r>
          </w:hyperlink>
          <w:r>
            <w:tab/>
          </w:r>
          <w:r>
            <w:fldChar w:fldCharType="begin"/>
          </w:r>
          <w:r>
            <w:instrText xml:space="preserve"> PAGEREF _MA_TOC_032 \h </w:instrText>
          </w:r>
          <w:r>
            <w:fldChar w:fldCharType="separate"/>
          </w:r>
          <w:r>
            <w:t>13</w:t>
          </w:r>
          <w:r>
            <w:fldChar w:fldCharType="end"/>
          </w:r>
        </w:p>
        <w:p>
          <w:pPr>
            <w:pStyle w:val="Verzeichnis2"/>
            <w:tabs>
              <w:tab w:val="right" w:leader="dot" w:pos="9070"/>
            </w:tabs>
            <w:spacing w:after="70" w:line="240" w:lineRule="auto"/>
            <w:ind w:left="220"/>
          </w:pPr>
          <w:hyperlink w:anchor="_MA_TOC_033">
            <w:r>
              <w:rPr>
                <w:sz w:val="22"/>
              </w:rPr>
              <w:t xml:space="preserve">4.3 Evaluation</w:t>
            </w:r>
          </w:hyperlink>
          <w:r>
            <w:tab/>
          </w:r>
          <w:r>
            <w:fldChar w:fldCharType="begin"/>
          </w:r>
          <w:r>
            <w:instrText xml:space="preserve"> PAGEREF _MA_TOC_033 \h </w:instrText>
          </w:r>
          <w:r>
            <w:fldChar w:fldCharType="separate"/>
          </w:r>
          <w:r>
            <w:t>13</w:t>
          </w:r>
          <w:r>
            <w:fldChar w:fldCharType="end"/>
          </w:r>
        </w:p>
        <w:p>
          <w:pPr>
            <w:pStyle w:val="Verzeichnis2"/>
            <w:tabs>
              <w:tab w:val="right" w:leader="dot" w:pos="9070"/>
            </w:tabs>
            <w:spacing w:after="70" w:line="240" w:lineRule="auto"/>
            <w:ind w:left="220"/>
          </w:pPr>
          <w:hyperlink w:anchor="_MA_TOC_037">
            <w:r>
              <w:rPr>
                <w:sz w:val="22"/>
              </w:rPr>
              <w:t xml:space="preserve">4.4 Kernanforderungen und Nachweis</w:t>
            </w:r>
          </w:hyperlink>
          <w:r>
            <w:tab/>
          </w:r>
          <w:r>
            <w:fldChar w:fldCharType="begin"/>
          </w:r>
          <w:r>
            <w:instrText xml:space="preserve"> PAGEREF _MA_TOC_037 \h </w:instrText>
          </w:r>
          <w:r>
            <w:fldChar w:fldCharType="separate"/>
          </w:r>
          <w:r>
            <w:t>14</w:t>
          </w:r>
          <w:r>
            <w:fldChar w:fldCharType="end"/>
          </w:r>
        </w:p>
        <w:p>
          <w:pPr>
            <w:pStyle w:val="Verzeichnis1"/>
            <w:tabs>
              <w:tab w:val="right" w:leader="dot" w:pos="9070"/>
            </w:tabs>
            <w:spacing w:after="70" w:line="240" w:lineRule="auto"/>
            <w:ind w:left="0"/>
          </w:pPr>
          <w:hyperlink w:anchor="_MA_TOC_042">
            <w:r>
              <w:rPr>
                <w:sz w:val="22"/>
              </w:rPr>
              <w:t xml:space="preserve">5 Variantenvergleich und Systementscheidung</w:t>
            </w:r>
          </w:hyperlink>
          <w:r>
            <w:tab/>
          </w:r>
          <w:r>
            <w:fldChar w:fldCharType="begin"/>
          </w:r>
          <w:r>
            <w:instrText xml:space="preserve"> PAGEREF _MA_TOC_042 \h </w:instrText>
          </w:r>
          <w:r>
            <w:fldChar w:fldCharType="separate"/>
          </w:r>
          <w:r>
            <w:t>16</w:t>
          </w:r>
          <w:r>
            <w:fldChar w:fldCharType="end"/>
          </w:r>
        </w:p>
        <w:p>
          <w:pPr>
            <w:pStyle w:val="Verzeichnis2"/>
            <w:tabs>
              <w:tab w:val="right" w:leader="dot" w:pos="9070"/>
            </w:tabs>
            <w:spacing w:after="70" w:line="240" w:lineRule="auto"/>
            <w:ind w:left="220"/>
          </w:pPr>
          <w:hyperlink w:anchor="_K5_Section_1">
            <w:r>
              <w:rPr>
                <w:sz w:val="22"/>
              </w:rPr>
              <w:t xml:space="preserve">5.1 Bewertungsrahmen und Vorgehen</w:t>
            </w:r>
          </w:hyperlink>
          <w:r>
            <w:tab/>
          </w:r>
          <w:r>
            <w:fldChar w:fldCharType="begin"/>
          </w:r>
          <w:r>
            <w:instrText xml:space="preserve"> PAGEREF _K5_Section_1 \h </w:instrText>
          </w:r>
          <w:r>
            <w:fldChar w:fldCharType="separate"/>
          </w:r>
          <w:r>
            <w:t>16</w:t>
          </w:r>
          <w:r>
            <w:fldChar w:fldCharType="end"/>
          </w:r>
        </w:p>
        <w:p>
          <w:pPr>
            <w:pStyle w:val="Verzeichnis2"/>
            <w:tabs>
              <w:tab w:val="right" w:leader="dot" w:pos="9070"/>
            </w:tabs>
            <w:spacing w:after="70" w:line="240" w:lineRule="auto"/>
            <w:ind w:left="220"/>
          </w:pPr>
          <w:hyperlink w:anchor="_K5_Section_2">
            <w:r>
              <w:rPr>
                <w:sz w:val="22"/>
              </w:rPr>
              <w:t xml:space="preserve">5.2 Bewertung der Prüfstandsalternativen</w:t>
            </w:r>
          </w:hyperlink>
          <w:r>
            <w:tab/>
          </w:r>
          <w:r>
            <w:fldChar w:fldCharType="begin"/>
          </w:r>
          <w:r>
            <w:instrText xml:space="preserve"> PAGEREF _K5_Section_2 \h </w:instrText>
          </w:r>
          <w:r>
            <w:fldChar w:fldCharType="separate"/>
          </w:r>
          <w:r>
            <w:t>17</w:t>
          </w:r>
          <w:r>
            <w:fldChar w:fldCharType="end"/>
          </w:r>
        </w:p>
        <w:p>
          <w:pPr>
            <w:pStyle w:val="Verzeichnis2"/>
            <w:tabs>
              <w:tab w:val="right" w:leader="dot" w:pos="9070"/>
            </w:tabs>
            <w:spacing w:after="70" w:line="240" w:lineRule="auto"/>
            <w:ind w:left="220"/>
          </w:pPr>
          <w:hyperlink w:anchor="_K5_Section_3">
            <w:r>
              <w:rPr>
                <w:sz w:val="22"/>
              </w:rPr>
              <w:t xml:space="preserve">5.3 Auswahl von Sensorik und Edge-Plattform</w:t>
            </w:r>
          </w:hyperlink>
          <w:r>
            <w:tab/>
          </w:r>
          <w:r>
            <w:fldChar w:fldCharType="begin"/>
          </w:r>
          <w:r>
            <w:instrText xml:space="preserve"> PAGEREF _K5_Section_3 \h </w:instrText>
          </w:r>
          <w:r>
            <w:fldChar w:fldCharType="separate"/>
          </w:r>
          <w:r>
            <w:t>20</w:t>
          </w:r>
          <w:r>
            <w:fldChar w:fldCharType="end"/>
          </w:r>
        </w:p>
        <w:p>
          <w:pPr>
            <w:pStyle w:val="Verzeichnis2"/>
            <w:tabs>
              <w:tab w:val="right" w:leader="dot" w:pos="9070"/>
            </w:tabs>
            <w:spacing w:after="70" w:line="240" w:lineRule="auto"/>
            <w:ind w:left="220"/>
          </w:pPr>
          <w:hyperlink w:anchor="_K5_Section_4">
            <w:r>
              <w:rPr>
                <w:sz w:val="22"/>
              </w:rPr>
              <w:t xml:space="preserve">5.4 Datenbasis, Signalrepräsentation und Verfahren</w:t>
            </w:r>
          </w:hyperlink>
          <w:r>
            <w:tab/>
          </w:r>
          <w:r>
            <w:fldChar w:fldCharType="begin"/>
          </w:r>
          <w:r>
            <w:instrText xml:space="preserve"> PAGEREF _K5_Section_4 \h </w:instrText>
          </w:r>
          <w:r>
            <w:fldChar w:fldCharType="separate"/>
          </w:r>
          <w:r>
            <w:t>22</w:t>
          </w:r>
          <w:r>
            <w:fldChar w:fldCharType="end"/>
          </w:r>
        </w:p>
        <w:p>
          <w:pPr>
            <w:pStyle w:val="Verzeichnis2"/>
            <w:tabs>
              <w:tab w:val="right" w:leader="dot" w:pos="9070"/>
            </w:tabs>
            <w:spacing w:after="70" w:line="240" w:lineRule="auto"/>
            <w:ind w:left="220"/>
          </w:pPr>
          <w:hyperlink w:anchor="_K5_Section_5">
            <w:r>
              <w:rPr>
                <w:sz w:val="22"/>
              </w:rPr>
              <w:t xml:space="preserve">5.5 Kriterienbasierte Bewertung der Softwarealternativen</w:t>
            </w:r>
          </w:hyperlink>
          <w:r>
            <w:tab/>
          </w:r>
          <w:r>
            <w:fldChar w:fldCharType="begin"/>
          </w:r>
          <w:r>
            <w:instrText xml:space="preserve"> PAGEREF _K5_Section_5 \h </w:instrText>
          </w:r>
          <w:r>
            <w:fldChar w:fldCharType="separate"/>
          </w:r>
          <w:r>
            <w:t>24</w:t>
          </w:r>
          <w:r>
            <w:fldChar w:fldCharType="end"/>
          </w:r>
        </w:p>
        <w:p>
          <w:pPr>
            <w:pStyle w:val="Verzeichnis2"/>
            <w:tabs>
              <w:tab w:val="right" w:leader="dot" w:pos="9070"/>
            </w:tabs>
            <w:spacing w:after="70" w:line="240" w:lineRule="auto"/>
            <w:ind w:left="220"/>
          </w:pPr>
          <w:hyperlink w:anchor="_K5_Section_6">
            <w:r>
              <w:rPr>
                <w:sz w:val="22"/>
              </w:rPr>
              <w:t xml:space="preserve">5.6 Systementscheidung und Übergang zur Implementierung</w:t>
            </w:r>
          </w:hyperlink>
          <w:r>
            <w:tab/>
          </w:r>
          <w:r>
            <w:fldChar w:fldCharType="begin"/>
          </w:r>
          <w:r>
            <w:instrText xml:space="preserve"> PAGEREF _K5_Section_6 \h </w:instrText>
          </w:r>
          <w:r>
            <w:fldChar w:fldCharType="separate"/>
          </w:r>
          <w:r>
            <w:t>27</w:t>
          </w:r>
          <w:r>
            <w:fldChar w:fldCharType="end"/>
          </w:r>
        </w:p>
        <w:p>
          <w:pPr>
            <w:pStyle w:val="Verzeichnis1"/>
            <w:tabs>
              <w:tab w:val="right" w:leader="dot" w:pos="9070"/>
            </w:tabs>
            <w:spacing w:after="70" w:line="240" w:lineRule="auto"/>
            <w:ind w:left="0"/>
          </w:pPr>
          <w:hyperlink w:anchor="_MA_TOC_043">
            <w:r>
              <w:rPr>
                <w:sz w:val="22"/>
              </w:rPr>
              <w:t xml:space="preserve">6 Implementierung</w:t>
            </w:r>
          </w:hyperlink>
          <w:r>
            <w:tab/>
          </w:r>
          <w:r>
            <w:fldChar w:fldCharType="begin"/>
          </w:r>
          <w:r>
            <w:instrText xml:space="preserve"> PAGEREF _MA_TOC_043 \h </w:instrText>
          </w:r>
          <w:r>
            <w:fldChar w:fldCharType="separate"/>
          </w:r>
          <w:r>
            <w:t>29</w:t>
          </w:r>
          <w:r>
            <w:fldChar w:fldCharType="end"/>
          </w:r>
        </w:p>
        <w:p>
          <w:pPr>
            <w:pStyle w:val="Verzeichnis2"/>
            <w:tabs>
              <w:tab w:val="right" w:leader="dot" w:pos="9070"/>
            </w:tabs>
            <w:spacing w:after="70" w:line="240" w:lineRule="auto"/>
            <w:ind w:left="220"/>
          </w:pPr>
          <w:hyperlink w:anchor="Implementation_1">
            <w:r>
              <w:rPr>
                <w:sz w:val="22"/>
              </w:rPr>
              <w:t xml:space="preserve">6.1 Vorhandener Prüfstand und dokumentierte Bedingungen</w:t>
            </w:r>
          </w:hyperlink>
          <w:r>
            <w:tab/>
          </w:r>
          <w:r>
            <w:fldChar w:fldCharType="begin"/>
          </w:r>
          <w:r>
            <w:instrText xml:space="preserve"> PAGEREF Implementation_1 \h </w:instrText>
          </w:r>
          <w:r>
            <w:fldChar w:fldCharType="separate"/>
          </w:r>
          <w:r>
            <w:t>29</w:t>
          </w:r>
          <w:r>
            <w:fldChar w:fldCharType="end"/>
          </w:r>
        </w:p>
        <w:p>
          <w:pPr>
            <w:pStyle w:val="Verzeichnis2"/>
            <w:tabs>
              <w:tab w:val="right" w:leader="dot" w:pos="9070"/>
            </w:tabs>
            <w:spacing w:after="70" w:line="240" w:lineRule="auto"/>
            <w:ind w:left="220"/>
          </w:pPr>
          <w:hyperlink w:anchor="Implementation_10">
            <w:r>
              <w:rPr>
                <w:sz w:val="22"/>
              </w:rPr>
              <w:t xml:space="preserve">6.2 Softwarestruktur und Datenfluss</w:t>
            </w:r>
          </w:hyperlink>
          <w:r>
            <w:tab/>
          </w:r>
          <w:r>
            <w:fldChar w:fldCharType="begin"/>
          </w:r>
          <w:r>
            <w:instrText xml:space="preserve"> PAGEREF Implementation_10 \h </w:instrText>
          </w:r>
          <w:r>
            <w:fldChar w:fldCharType="separate"/>
          </w:r>
          <w:r>
            <w:t>31</w:t>
          </w:r>
          <w:r>
            <w:fldChar w:fldCharType="end"/>
          </w:r>
        </w:p>
        <w:p>
          <w:pPr>
            <w:pStyle w:val="Verzeichnis2"/>
            <w:tabs>
              <w:tab w:val="right" w:leader="dot" w:pos="9070"/>
            </w:tabs>
            <w:spacing w:after="70" w:line="240" w:lineRule="auto"/>
            <w:ind w:left="220"/>
          </w:pPr>
          <w:hyperlink w:anchor="Implementation_16">
            <w:r>
              <w:rPr>
                <w:sz w:val="22"/>
              </w:rPr>
              <w:t xml:space="preserve">6.3 Korrigierte Sensorerfassung und Rohdatenprotokoll</w:t>
            </w:r>
          </w:hyperlink>
          <w:r>
            <w:tab/>
          </w:r>
          <w:r>
            <w:fldChar w:fldCharType="begin"/>
          </w:r>
          <w:r>
            <w:instrText xml:space="preserve"> PAGEREF Implementation_16 \h </w:instrText>
          </w:r>
          <w:r>
            <w:fldChar w:fldCharType="separate"/>
          </w:r>
          <w:r>
            <w:t>33</w:t>
          </w:r>
          <w:r>
            <w:fldChar w:fldCharType="end"/>
          </w:r>
        </w:p>
        <w:p>
          <w:pPr>
            <w:pStyle w:val="Verzeichnis2"/>
            <w:tabs>
              <w:tab w:val="right" w:leader="dot" w:pos="9070"/>
            </w:tabs>
            <w:spacing w:after="70" w:line="240" w:lineRule="auto"/>
            <w:ind w:left="220"/>
          </w:pPr>
          <w:hyperlink w:anchor="Implementation_24">
            <w:r>
              <w:rPr>
                <w:sz w:val="22"/>
              </w:rPr>
              <w:t xml:space="preserve">6.4 Datenaufteilung, Modelle und Schwellen</w:t>
            </w:r>
          </w:hyperlink>
          <w:r>
            <w:tab/>
          </w:r>
          <w:r>
            <w:fldChar w:fldCharType="begin"/>
          </w:r>
          <w:r>
            <w:instrText xml:space="preserve"> PAGEREF Implementation_24 \h </w:instrText>
          </w:r>
          <w:r>
            <w:fldChar w:fldCharType="separate"/>
          </w:r>
          <w:r>
            <w:t>35</w:t>
          </w:r>
          <w:r>
            <w:fldChar w:fldCharType="end"/>
          </w:r>
        </w:p>
        <w:p>
          <w:pPr>
            <w:pStyle w:val="Verzeichnis2"/>
            <w:tabs>
              <w:tab w:val="right" w:leader="dot" w:pos="9070"/>
            </w:tabs>
            <w:spacing w:after="70" w:line="240" w:lineRule="auto"/>
            <w:ind w:left="220"/>
          </w:pPr>
          <w:hyperlink w:anchor="Implementation_34">
            <w:r>
              <w:rPr>
                <w:sz w:val="22"/>
              </w:rPr>
              <w:t xml:space="preserve">6.5 Liveverarbeitung und Ressourceninstrumentierung</w:t>
            </w:r>
          </w:hyperlink>
          <w:r>
            <w:tab/>
          </w:r>
          <w:r>
            <w:fldChar w:fldCharType="begin"/>
          </w:r>
          <w:r>
            <w:instrText xml:space="preserve"> PAGEREF Implementation_34 \h </w:instrText>
          </w:r>
          <w:r>
            <w:fldChar w:fldCharType="separate"/>
          </w:r>
          <w:r>
            <w:t>37</w:t>
          </w:r>
          <w:r>
            <w:fldChar w:fldCharType="end"/>
          </w:r>
        </w:p>
        <w:p>
          <w:pPr>
            <w:pStyle w:val="Verzeichnis2"/>
            <w:tabs>
              <w:tab w:val="right" w:leader="dot" w:pos="9070"/>
            </w:tabs>
            <w:spacing w:after="70" w:line="240" w:lineRule="auto"/>
            <w:ind w:left="220"/>
          </w:pPr>
          <w:hyperlink w:anchor="Implementation_39">
            <w:r>
              <w:rPr>
                <w:sz w:val="22"/>
              </w:rPr>
              <w:t xml:space="preserve">6.6 Technische Prüfbelege und deren Grenzen</w:t>
            </w:r>
          </w:hyperlink>
          <w:r>
            <w:tab/>
          </w:r>
          <w:r>
            <w:fldChar w:fldCharType="begin"/>
          </w:r>
          <w:r>
            <w:instrText xml:space="preserve"> PAGEREF Implementation_39 \h </w:instrText>
          </w:r>
          <w:r>
            <w:fldChar w:fldCharType="separate"/>
          </w:r>
          <w:r>
            <w:t>38</w:t>
          </w:r>
          <w:r>
            <w:fldChar w:fldCharType="end"/>
          </w:r>
        </w:p>
        <w:p>
          <w:pPr>
            <w:pStyle w:val="Verzeichnis2"/>
            <w:tabs>
              <w:tab w:val="right" w:leader="dot" w:pos="9070"/>
            </w:tabs>
            <w:spacing w:after="70" w:line="240" w:lineRule="auto"/>
            <w:ind w:left="220"/>
          </w:pPr>
          <w:hyperlink w:anchor="Implementation_45">
            <w:r>
              <w:rPr>
                <w:sz w:val="22"/>
              </w:rPr>
              <w:t xml:space="preserve">6.7 Kontrollierte Pilotfolge und Vorbereitung der Evaluation</w:t>
            </w:r>
          </w:hyperlink>
          <w:r>
            <w:tab/>
          </w:r>
          <w:r>
            <w:fldChar w:fldCharType="begin"/>
          </w:r>
          <w:r>
            <w:instrText xml:space="preserve"> PAGEREF Implementation_45 \h </w:instrText>
          </w:r>
          <w:r>
            <w:fldChar w:fldCharType="separate"/>
          </w:r>
          <w:r>
            <w:t>40</w:t>
          </w:r>
          <w:r>
            <w:fldChar w:fldCharType="end"/>
          </w:r>
        </w:p>
        <w:p>
          <w:pPr>
            <w:pStyle w:val="Verzeichnis1"/>
            <w:tabs>
              <w:tab w:val="right" w:leader="dot" w:pos="9070"/>
            </w:tabs>
            <w:spacing w:after="70" w:line="240" w:lineRule="auto"/>
            <w:ind w:left="0"/>
          </w:pPr>
          <w:hyperlink w:anchor="_MA_TOC_044">
            <w:r>
              <w:rPr>
                <w:sz w:val="22"/>
              </w:rPr>
              <w:t xml:space="preserve">7 Evaluation und Ergebnisse</w:t>
            </w:r>
          </w:hyperlink>
          <w:r>
            <w:tab/>
          </w:r>
          <w:r>
            <w:fldChar w:fldCharType="begin"/>
          </w:r>
          <w:r>
            <w:instrText xml:space="preserve"> PAGEREF _MA_TOC_044 \h </w:instrText>
          </w:r>
          <w:r>
            <w:fldChar w:fldCharType="separate"/>
          </w:r>
          <w:r>
            <w:t>43</w:t>
          </w:r>
          <w:r>
            <w:fldChar w:fldCharType="end"/>
          </w:r>
        </w:p>
        <w:p>
          <w:pPr>
            <w:pStyle w:val="Verzeichnis1"/>
            <w:tabs>
              <w:tab w:val="right" w:leader="dot" w:pos="9070"/>
            </w:tabs>
            <w:spacing w:after="70" w:line="240" w:lineRule="auto"/>
            <w:ind w:left="0"/>
          </w:pPr>
          <w:hyperlink w:anchor="_MA_TOC_045">
            <w:r>
              <w:rPr>
                <w:sz w:val="22"/>
              </w:rPr>
              <w:t xml:space="preserve">8 Diskussion</w:t>
            </w:r>
          </w:hyperlink>
          <w:r>
            <w:tab/>
          </w:r>
          <w:r>
            <w:fldChar w:fldCharType="begin"/>
          </w:r>
          <w:r>
            <w:instrText xml:space="preserve"> PAGEREF _MA_TOC_045 \h </w:instrText>
          </w:r>
          <w:r>
            <w:fldChar w:fldCharType="separate"/>
          </w:r>
          <w:r>
            <w:t>44</w:t>
          </w:r>
          <w:r>
            <w:fldChar w:fldCharType="end"/>
          </w:r>
        </w:p>
        <w:p>
          <w:pPr>
            <w:pStyle w:val="Verzeichnis1"/>
            <w:tabs>
              <w:tab w:val="right" w:leader="dot" w:pos="9070"/>
            </w:tabs>
            <w:spacing w:after="70" w:line="240" w:lineRule="auto"/>
            <w:ind w:left="0"/>
          </w:pPr>
          <w:hyperlink w:anchor="_MA_TOC_046">
            <w:r>
              <w:rPr>
                <w:sz w:val="22"/>
              </w:rPr>
              <w:t xml:space="preserve">9 Ausblick</w:t>
            </w:r>
          </w:hyperlink>
          <w:r>
            <w:tab/>
          </w:r>
          <w:r>
            <w:fldChar w:fldCharType="begin"/>
          </w:r>
          <w:r>
            <w:instrText xml:space="preserve"> PAGEREF _MA_TOC_046 \h </w:instrText>
          </w:r>
          <w:r>
            <w:fldChar w:fldCharType="separate"/>
          </w:r>
          <w:r>
            <w:t>45</w:t>
          </w:r>
          <w:r>
            <w:fldChar w:fldCharType="end"/>
          </w:r>
        </w:p>
        <w:p>
          <w:pPr>
            <w:pStyle w:val="Verzeichnis1"/>
            <w:tabs>
              <w:tab w:val="right" w:leader="dot" w:pos="9070"/>
            </w:tabs>
            <w:spacing w:after="70" w:line="240" w:lineRule="auto"/>
            <w:ind w:left="0"/>
          </w:pPr>
          <w:hyperlink w:anchor="_MA_TOC_048">
            <w:r>
              <w:rPr>
                <w:sz w:val="22"/>
              </w:rPr>
              <w:t xml:space="preserve">10 Fazit</w:t>
            </w:r>
          </w:hyperlink>
          <w:r>
            <w:tab/>
          </w:r>
          <w:r>
            <w:fldChar w:fldCharType="begin"/>
          </w:r>
          <w:r>
            <w:instrText xml:space="preserve"> PAGEREF _MA_TOC_048 \h </w:instrText>
          </w:r>
          <w:r>
            <w:fldChar w:fldCharType="separate"/>
          </w:r>
          <w:r>
            <w:t>46</w:t>
          </w:r>
          <w:r>
            <w:fldChar w:fldCharType="end"/>
          </w:r>
        </w:p>
        <w:p>
          <w:pPr>
            <w:pStyle w:val="Verzeichnis1"/>
            <w:tabs>
              <w:tab w:val="right" w:leader="dot" w:pos="9070"/>
            </w:tabs>
            <w:spacing w:after="70" w:line="240" w:lineRule="auto"/>
            <w:ind w:left="0"/>
          </w:pPr>
          <w:hyperlink w:anchor="ChapterRef_110">
            <w:r>
              <w:rPr>
                <w:sz w:val="22"/>
              </w:rPr>
              <w:t xml:space="preserve">11 Literaturverzeichnis</w:t>
            </w:r>
          </w:hyperlink>
          <w:r>
            <w:tab/>
          </w:r>
          <w:r>
            <w:fldChar w:fldCharType="begin"/>
          </w:r>
          <w:r>
            <w:instrText xml:space="preserve"> PAGEREF ChapterRef_110 \h </w:instrText>
          </w:r>
          <w:r>
            <w:fldChar w:fldCharType="separate"/>
          </w:r>
          <w:r>
            <w:t>i</w:t>
          </w:r>
          <w:r>
            <w:fldChar w:fldCharType="end"/>
          </w:r>
        </w:p>
        <w:p>
          <w:pPr>
            <w:pStyle w:val="Verzeichnis1"/>
            <w:tabs>
              <w:tab w:val="right" w:leader="dot" w:pos="9070"/>
            </w:tabs>
            <w:spacing w:after="70" w:line="240" w:lineRule="auto"/>
            <w:ind w:left="0"/>
          </w:pPr>
          <w:hyperlink w:anchor="_MA_TOC_050">
            <w:r>
              <w:rPr>
                <w:sz w:val="22"/>
              </w:rPr>
              <w:t xml:space="preserve">12 Anhang</w:t>
            </w:r>
          </w:hyperlink>
          <w:r>
            <w:tab/>
          </w:r>
          <w:r>
            <w:fldChar w:fldCharType="begin"/>
          </w:r>
          <w:r>
            <w:instrText xml:space="preserve"> PAGEREF _MA_TOC_050 \h </w:instrText>
          </w:r>
          <w:r>
            <w:fldChar w:fldCharType="separate"/>
          </w:r>
          <w:r>
            <w:t>iv</w:t>
          </w:r>
          <w:r>
            <w:fldChar w:fldCharType="end"/>
          </w:r>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pPr>
        <w:spacing w:after="120" w:line="300" w:lineRule="auto"/>
        <w:widowControl/>
      </w:pPr>
      <w:r>
        <w:t xml:space="preserve">Dieses Kapitel beschreibt den am 9. September 2026 belegten Implementierungsstand. Die Forschungsfragen aus Kapitel 1 bestimmen die Trennung zwischen Erkennungsqualität, technischem Aufwand und veränderten Normalbedingungen. Die Regeln für Datenaufteilung und Kalibrierung aus Kapitel 2 sowie die in Kapitel 3 beschriebenen Grenzen der Übertragbarkeit werden in der Verarbeitung berücksichtigt. Die Anforderungen A1–A13 aus Kapitel 4 und die Auswahlentscheidungen aus Kapitel 5 bilden den Bezug für die folgenden Komponenten und Prüfungen. Eine implementierte Funktion wird dabei nicht mit einem abgeschlossenen experimentellen Nachweis gleichgesetzt.</w:t>
      </w:r>
    </w:p>
    <w:p>
      <w:pPr>
        <w:pStyle w:val="berschrift2"/>
        <w:numPr>
          <w:ilvl w:val="1"/>
          <w:numId w:val="1"/>
        </w:numPr>
        <w:ind w:left="576" w:hanging="576"/>
      </w:pPr>
      <w:bookmarkStart w:id="97" w:name="Implementation_1"/>
      <w:r>
        <w:t xml:space="preserve">Vorhandener Prüfstand und dokumentierte Bedingungen</w:t>
      </w:r>
      <w:bookmarkEnd w:id="97"/>
    </w:p>
    <w:p>
      <w:pPr>
        <w:spacing w:after="120" w:line="300" w:lineRule="auto"/>
        <w:widowControl/>
      </w:pPr>
      <w:r>
        <w:t xml:space="preserve">Die Implementierung läuft direkt auf dem Rechner edgepi, einem Raspberry Pi 5 Model B Rev 1.0 mit ARM64-Architektur und Debian 13. Der ADXL345 ist über I²C-Bus 1 ansprechbar. Nach der ergänzenden Nutzerangabe vom 9. September 2026 ist der Prüfstand bereits aufgebaut und angeschlossen; Lüftersteuerung und Code haben mit diesem Aufbau zuvor funktioniert. Der Nutzer identifiziert den Lüfter als ARCTIC P12 Pro PST mit 120 mm und nennt eine vom Pi getrennte externe 12-V-Versorgung. In der abschließenden Hardwareklärung bestätigt der Nutzer GPIO18 als Steueranschluss des Lüfters und den ADXL345 mit vorgesehener I²C-Beschaltung an einer Ecke des Lüfterrahmens. Damit ist der Montageort zur Erfassung der dort auftretenden Vibrationen festgelegt. Diese beiden Hardwarepunkte gelten als geklärte Randbedingungen des vorhandenen Prüfstands. Aus der Montagebeschreibung allein wird noch keine ausreichende Signalqualität abgeleitet.</w:t>
      </w:r>
    </w:p>
    <w:p>
      <w:pPr>
        <w:spacing w:after="120" w:line="300" w:lineRule="auto"/>
        <w:widowControl/>
      </w:pPr>
      <w:r>
        <w:t xml:space="preserve">Der Nutzer gab nachträglich an, dass der Lüfter während des gesamten vorherigen Arbeitsdurchlaufs ausgeschaltet war. Außerdem wurde die PWM-Vorgabe zwischenzeitlich halbiert. Ausgangs- und Zielwert einschließlich der verwendeten Skala sind noch nicht geklärt. Diese Angaben werden als nachträgliche Aussagen im Arbeitsbericht dokumentiert. Die ursprünglichen Messprotokolle behalten ihre Zustandskennzeichnungen. Aus dem ausgeschalteten Lüfter folgt ohne zeitgleiche Bestätigung von Auslauf, Montage und Umgebungsbedingungen keine kontrollierte Stillstandsreferenz.</w:t>
      </w:r>
    </w:p>
    <w:p>
      <w:pPr>
        <w:spacing w:after="120" w:line="300" w:lineRule="auto"/>
        <w:widowControl/>
      </w:pPr>
      <w:r>
        <w:t xml:space="preserve">In der ersten Fortsetzung wurden ausschließlich Zustände ausgelesen. Die damals gespeicherten 25 % bei 25 kHz belegen weder einen früheren Betriebspunkt noch ein elektrisches PWM-Signal, da die Pin-Funktion zwischen Abfragen wechselte. Später meldete der Nutzer den Start mit pinctrl set 18 op dh und beobachtete volle Leistung. Damit galt die zuvor angefragte Stillstandsbedingung nicht mehr. Die beobachtete volle Leistung ist keine gemessene Drehzahl oder elektrische Leistung. Der tatsächliche Zeitpunkt des Nutzerbefehls ist unbekannt. Zugleich wurde die softwareseitige Steuerung für die vereinbarten Prüfungen ausdrücklich übertragen.</w:t>
      </w:r>
    </w:p>
    <w:p>
      <w:pPr>
        <w:spacing w:after="120" w:line="300" w:lineRule="auto"/>
        <w:widowControl/>
      </w:pPr>
      <w:r>
        <w:t xml:space="preserve">Der Steueranschluss ist GPIO18 am physischen Pin 12 der Pi-Stiftleiste; der physische Pin 18 gehört dagegen zu GPIO24. Der gemeldete Nutzerbefehl wählt GPIO18 als normalen Digitalausgang auf High. Für Zwischenwerte wird der bereits konfigurierte Hardware-PWM-Kanal 2 des RP1-Controllers pwmchip0 verwendet. Dazu gehört auf GPIO18 die Funktion a3 mit der Anzeige PWM0_CHAN2. Die Vorgabe beträgt 25 kHz. Gespeicherter Tastgrad, Pin-Funktion, Signal am Lüfter und mechanische Drehzahl werden getrennt bewertet.</w:t>
      </w:r>
    </w:p>
    <w:p>
      <w:pPr>
        <w:spacing w:after="120" w:line="300" w:lineRule="auto"/>
        <w:widowControl/>
      </w:pPr>
      <w:r>
        <w:t xml:space="preserve">Vor der angekündigten Abschaltung war kein konkurrierender Erfassungs- oder Steuerprozess erkennbar. Anschließend wurden 0 % über den vorhandenen PWM-Kanal eingestellt und die PWM-Pinfunktion hergestellt. Die Rücklesung bestätigte 0 ns Tastzeit bei 40.000 ns Periode, einen aktivierten Kanal und GPIO18 in Funktion a3 mit Low-Pegel. Nach zehn Sekunden Wartezeit blieb dieser ausgelesene Zustand unverändert. Den vollständigen Stillstand bestätigte anschließend der Nutzer als Sichtbeobachtung. Die genaue Befehlsfolge und Protokollierungszeiten stehen in steuerungsuebernahme_20260909.md und im Journal results/fan_control_20260909/control_events.jsonl. Die Zeiten der Nutzerangaben bezeichnen deren Protokollierung; sie bestimmen nicht rückwirkend den Ausführungszeitpunkt eines Nutzerbefehls. Die ursprünglichen Messjournale bleiben unverändert.</w:t>
      </w:r>
    </w:p>
    <w:p>
      <w:pPr>
        <w:pStyle w:val="Beschriftung"/>
        <w:keepNext/>
      </w:pPr>
      <w:bookmarkStart w:id="98" w:name="Table_6_1"/>
      <w:r>
        <w:rPr>
          <w:sz w:val="22"/>
        </w:rPr>
        <w:t xml:space="preserve">Tabelle 6-1: Bestätigte Prüfstandangaben und Grenzen der Nachweise</w:t>
      </w:r>
      <w:bookmarkEnd w:id="98"/>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Bestandteil</w:t>
            </w:r>
          </w:p>
        </w:tc>
        <w:tc>
          <w:tcPr>
            <w:tcW w:w="3350" w:type="dxa"/>
            <w:shd w:fill="E7E6E6" w:val="clear"/>
          </w:tcPr>
          <w:p>
            <w:pPr>
              <w:keepNext/>
              <w:spacing w:before="20" w:after="20" w:line="252" w:lineRule="auto"/>
            </w:pPr>
            <w:r>
              <w:rPr>
                <w:b/>
                <w:sz w:val="21"/>
              </w:rPr>
              <w:t xml:space="preserve">Belegter Stand</w:t>
            </w:r>
          </w:p>
        </w:tc>
        <w:tc>
          <w:tcPr>
            <w:tcW w:w="3570" w:type="dxa"/>
            <w:shd w:fill="E7E6E6" w:val="clear"/>
          </w:tcPr>
          <w:p>
            <w:pPr>
              <w:keepNext/>
              <w:spacing w:before="20" w:after="20" w:line="252" w:lineRule="auto"/>
            </w:pPr>
            <w:r>
              <w:rPr>
                <w:b/>
                <w:sz w:val="21"/>
              </w:rPr>
              <w:t xml:space="preserve">Einordnung und Aussagegrenze</w:t>
            </w:r>
          </w:p>
        </w:tc>
      </w:tr>
      <w:tr>
        <w:trPr>
          <w:cantSplit/>
        </w:trPr>
        <w:tc>
          <w:tcPr>
            <w:tcW w:w="2150" w:type="dxa"/>
          </w:tcPr>
          <w:p>
            <w:pPr>
              <w:keepNext/>
              <w:spacing w:before="20" w:after="20" w:line="252" w:lineRule="auto"/>
            </w:pPr>
            <w:r>
              <w:rPr>
                <w:sz w:val="21"/>
              </w:rPr>
              <w:t xml:space="preserve">Zielrechner und Sensor</w:t>
            </w:r>
          </w:p>
        </w:tc>
        <w:tc>
          <w:tcPr>
            <w:tcW w:w="3350" w:type="dxa"/>
          </w:tcPr>
          <w:p>
            <w:pPr>
              <w:keepNext/>
              <w:spacing w:before="20" w:after="20" w:line="252" w:lineRule="auto"/>
            </w:pPr>
            <w:r>
              <w:rPr>
                <w:sz w:val="21"/>
              </w:rPr>
              <w:t xml:space="preserve">Raspberry Pi 5; ADXL345 über I²C-Bus 1 geprüft; vorgesehene I²C-Beschaltung vom Nutzer bestätigt</w:t>
            </w:r>
          </w:p>
        </w:tc>
        <w:tc>
          <w:tcPr>
            <w:tcW w:w="3570" w:type="dxa"/>
          </w:tcPr>
          <w:p>
            <w:pPr>
              <w:keepNext/>
              <w:spacing w:before="20" w:after="20" w:line="252" w:lineRule="auto"/>
            </w:pPr>
            <w:r>
              <w:rPr>
                <w:sz w:val="21"/>
              </w:rPr>
              <w:t xml:space="preserve">Sensoranschluss als feste Randbedingung übernommen</w:t>
            </w:r>
          </w:p>
        </w:tc>
      </w:tr>
      <w:tr>
        <w:trPr>
          <w:cantSplit/>
        </w:trPr>
        <w:tc>
          <w:tcPr>
            <w:tcW w:w="2150" w:type="dxa"/>
          </w:tcPr>
          <w:p>
            <w:pPr>
              <w:keepNext/>
              <w:spacing w:before="20" w:after="20" w:line="252" w:lineRule="auto"/>
            </w:pPr>
            <w:r>
              <w:rPr>
                <w:sz w:val="21"/>
              </w:rPr>
              <w:t xml:space="preserve">Mechanischer Aufbau</w:t>
            </w:r>
          </w:p>
        </w:tc>
        <w:tc>
          <w:tcPr>
            <w:tcW w:w="3350" w:type="dxa"/>
          </w:tcPr>
          <w:p>
            <w:pPr>
              <w:keepNext/>
              <w:spacing w:before="20" w:after="20" w:line="252" w:lineRule="auto"/>
            </w:pPr>
            <w:r>
              <w:rPr>
                <w:sz w:val="21"/>
              </w:rPr>
              <w:t xml:space="preserve">ARCTIC P12 Pro PST, externe 12 V; ADXL345 laut Nutzer an einer Ecke des Lüfterrahmens befestigt</w:t>
            </w:r>
          </w:p>
        </w:tc>
        <w:tc>
          <w:tcPr>
            <w:tcW w:w="3570" w:type="dxa"/>
          </w:tcPr>
          <w:p>
            <w:pPr>
              <w:keepNext/>
              <w:spacing w:before="20" w:after="20" w:line="252" w:lineRule="auto"/>
            </w:pPr>
            <w:r>
              <w:rPr>
                <w:sz w:val="21"/>
              </w:rPr>
              <w:t xml:space="preserve">Montageort bestätigt; Eignung der erfassten Vibrationen wird anhand der Pilotdaten geprüft</w:t>
            </w:r>
          </w:p>
        </w:tc>
      </w:tr>
      <w:tr>
        <w:trPr>
          <w:cantSplit/>
        </w:trPr>
        <w:tc>
          <w:tcPr>
            <w:tcW w:w="2150" w:type="dxa"/>
          </w:tcPr>
          <w:p>
            <w:pPr>
              <w:keepNext/>
              <w:spacing w:before="20" w:after="20" w:line="252" w:lineRule="auto"/>
            </w:pPr>
            <w:r>
              <w:rPr>
                <w:sz w:val="21"/>
              </w:rPr>
              <w:t xml:space="preserve">Lüfterzustand im vorherigen Durchlauf</w:t>
            </w:r>
          </w:p>
        </w:tc>
        <w:tc>
          <w:tcPr>
            <w:tcW w:w="3350" w:type="dxa"/>
          </w:tcPr>
          <w:p>
            <w:pPr>
              <w:keepNext/>
              <w:spacing w:before="20" w:after="20" w:line="252" w:lineRule="auto"/>
            </w:pPr>
            <w:r>
              <w:rPr>
                <w:sz w:val="21"/>
              </w:rPr>
              <w:t xml:space="preserve">Nachträgliche Angabe: ausgeschaltet</w:t>
            </w:r>
          </w:p>
        </w:tc>
        <w:tc>
          <w:tcPr>
            <w:tcW w:w="3570" w:type="dxa"/>
          </w:tcPr>
          <w:p>
            <w:pPr>
              <w:keepNext/>
              <w:spacing w:before="20" w:after="20" w:line="252" w:lineRule="auto"/>
            </w:pPr>
            <w:r>
              <w:rPr>
                <w:sz w:val="21"/>
              </w:rPr>
              <w:t xml:space="preserve">Nicht zeitgleich protokolliert: vollständiger Stillstand, Auslaufzeit, Berührungen und Fremdschwingungen je Aufnahme</w:t>
            </w:r>
          </w:p>
        </w:tc>
      </w:tr>
      <w:tr>
        <w:trPr>
          <w:cantSplit/>
        </w:trPr>
        <w:tc>
          <w:tcPr>
            <w:tcW w:w="2150" w:type="dxa"/>
          </w:tcPr>
          <w:p>
            <w:pPr>
              <w:keepNext/>
              <w:spacing w:before="20" w:after="20" w:line="252" w:lineRule="auto"/>
            </w:pPr>
            <w:r>
              <w:rPr>
                <w:sz w:val="21"/>
              </w:rPr>
              <w:t xml:space="preserve">PWM-Vorgabe und Pinzuordnung</w:t>
            </w:r>
          </w:p>
        </w:tc>
        <w:tc>
          <w:tcPr>
            <w:tcW w:w="3350" w:type="dxa"/>
          </w:tcPr>
          <w:p>
            <w:pPr>
              <w:keepNext/>
              <w:spacing w:before="20" w:after="20" w:line="252" w:lineRule="auto"/>
            </w:pPr>
            <w:r>
              <w:rPr>
                <w:sz w:val="21"/>
              </w:rPr>
              <w:t xml:space="preserve">0 % bei 25 kHz zurückgelesen; GPIO18 = physischer Pin 12, Funktion a3; Stillstand visuell bestätigt; nächster Sollwert laut Nutzer 25 %</w:t>
            </w:r>
          </w:p>
        </w:tc>
        <w:tc>
          <w:tcPr>
            <w:tcW w:w="3570" w:type="dxa"/>
          </w:tcPr>
          <w:p>
            <w:pPr>
              <w:keepNext/>
              <w:spacing w:before="20" w:after="20" w:line="252" w:lineRule="auto"/>
            </w:pPr>
            <w:r>
              <w:rPr>
                <w:sz w:val="21"/>
              </w:rPr>
              <w:t xml:space="preserve">Frühere Halbierung und elektrischer Signalverlauf; 25 % wurden anschließend nach Bereitschaftsbestätigung eingestellt und zurückgelesen</w:t>
            </w:r>
          </w:p>
        </w:tc>
      </w:tr>
      <w:tr>
        <w:trPr>
          <w:cantSplit/>
        </w:trPr>
        <w:tc>
          <w:tcPr>
            <w:tcW w:w="2150" w:type="dxa"/>
          </w:tcPr>
          <w:p>
            <w:pPr>
              <w:spacing w:before="20" w:after="20" w:line="252" w:lineRule="auto"/>
            </w:pPr>
            <w:r>
              <w:rPr>
                <w:sz w:val="21"/>
              </w:rPr>
              <w:t xml:space="preserve">Drehzahl</w:t>
            </w:r>
          </w:p>
        </w:tc>
        <w:tc>
          <w:tcPr>
            <w:tcW w:w="3350" w:type="dxa"/>
          </w:tcPr>
          <w:p>
            <w:pPr>
              <w:spacing w:before="20" w:after="20" w:line="252" w:lineRule="auto"/>
            </w:pPr>
            <w:r>
              <w:rPr>
                <w:sz w:val="21"/>
              </w:rPr>
              <w:t xml:space="preserve">GPIO18 abschließend als Steueranschluss bestätigt; keine unabhängige Drehzahlmessung vorhanden</w:t>
            </w:r>
          </w:p>
        </w:tc>
        <w:tc>
          <w:tcPr>
            <w:tcW w:w="3570" w:type="dxa"/>
          </w:tcPr>
          <w:p>
            <w:pPr>
              <w:spacing w:before="20" w:after="20" w:line="252" w:lineRule="auto"/>
            </w:pPr>
            <w:r>
              <w:rPr>
                <w:sz w:val="21"/>
              </w:rPr>
              <w:t xml:space="preserve">PWM-Vorgabe ist keine Drehzahl; Drehzahlfeld bleibt ungemessen</w:t>
            </w:r>
          </w:p>
        </w:tc>
      </w:tr>
    </w:tbl>
    <w:p>
      <w:pPr>
        <w:spacing w:after="120" w:line="300" w:lineRule="auto" w:before="120"/>
        <w:widowControl/>
      </w:pPr>
      <w:r>
        <w:t xml:space="preserve">PWM und Drehzahl werden als unterschiedliche Größen geführt. Die abschließende Nutzerklärung bestätigt GPIO18 als Steueranschluss und beendet die zuvor offene Zuordnung. Sie ist kein Nachweis eines separaten Tachoeingangs. Das Herstellerdatenblatt des P12 Pro PST unterscheidet am Lüfterstecker PWM-Eingang und Tachoausgang (ARCTIC, o. J.). Für den dokumentierten Stand liegt keine unabhängige Drehzahlmessung des Prüflüfters vor; das Drehzahlfeld bleibt deshalb leer beziehungsweise maschinenlesbar null. Ein unter hwmon auslesbarer Drehzahlwert des Pi-Kühlers wird dem Prüflüfter nicht zugeordnet. Die beiden bestätigten Hardwarepunkte werden nicht erneut als offene Aufbauaufgaben behandelt. Die fehlende Drehzahlmessung begrenzt weiterhin die Zuordnung von Spektralanteilen zu Drehfrequenz und Harmonischen sowie den Nachweis einer konstanten Drehzahl nach A10 und A11.</w:t>
      </w:r>
    </w:p>
    <w:p>
      <w:pPr>
        <w:pStyle w:val="berschrift2"/>
        <w:numPr>
          <w:ilvl w:val="1"/>
          <w:numId w:val="1"/>
        </w:numPr>
        <w:ind w:left="576" w:hanging="576"/>
      </w:pPr>
      <w:bookmarkStart w:id="99" w:name="Implementation_10"/>
      <w:r>
        <w:t xml:space="preserve">Softwarestruktur und Datenfluss</w:t>
      </w:r>
      <w:bookmarkEnd w:id="99"/>
    </w:p>
    <w:p>
      <w:pPr>
        <w:spacing w:after="120" w:line="300" w:lineRule="auto"/>
        <w:widowControl/>
      </w:pPr>
      <w:r>
        <w:t xml:space="preserve">Die Programme liegen im Repository masterarbeit-edge-ai. Die Sensorerfassung, Datenvorbereitung, Modellbildung und Auswertung sind in getrennten Modulen umgesetzt. Die Projektumgebung .venv enthält Python 3.13.5, NumPy 2.5.1, pandas 3.0.3, SciPy 1.18.0, scikit-learn 1.9.0, TensorFlow 2.21.0, ai-edge-litert 2.1.6 und smbus2 0.6.1. Diese Versionsangaben beziehen sich auf die dokumentierte Systemaufnahme des ersten Durchlaufs. Die zweite Umgebung .venv_tf bleibt gesondert erhalten. Laufprotokolle erfassen die tatsächlich verwendete Umgebung und die für den Lauf ermittelten Paketversionen.</w:t>
      </w:r>
    </w:p>
    <w:p>
      <w:pPr>
        <w:pStyle w:val="Beschriftung"/>
        <w:keepNext/>
      </w:pPr>
      <w:bookmarkStart w:id="100" w:name="Table_6_2"/>
      <w:r>
        <w:rPr>
          <w:sz w:val="22"/>
        </w:rPr>
        <w:t xml:space="preserve">Tabelle 6-2: Implementierte Komponenten der Verarbeitung</w:t>
      </w:r>
      <w:bookmarkEnd w:id="100"/>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450"/>
        <w:gridCol w:w="3200"/>
        <w:gridCol w:w="3420"/>
      </w:tblGrid>
      <w:tr>
        <w:trPr>
          <w:cantSplit/>
          <w:tblHeader/>
        </w:trPr>
        <w:tc>
          <w:tcPr>
            <w:tcW w:w="2450" w:type="dxa"/>
            <w:shd w:fill="E7E6E6" w:val="clear"/>
          </w:tcPr>
          <w:p>
            <w:pPr>
              <w:keepNext/>
              <w:spacing w:before="20" w:after="20" w:line="252" w:lineRule="auto"/>
            </w:pPr>
            <w:r>
              <w:rPr>
                <w:b/>
                <w:sz w:val="21"/>
              </w:rPr>
              <w:t xml:space="preserve">Komponente</w:t>
            </w:r>
          </w:p>
        </w:tc>
        <w:tc>
          <w:tcPr>
            <w:tcW w:w="3200" w:type="dxa"/>
            <w:shd w:fill="E7E6E6" w:val="clear"/>
          </w:tcPr>
          <w:p>
            <w:pPr>
              <w:keepNext/>
              <w:spacing w:before="20" w:after="20" w:line="252" w:lineRule="auto"/>
            </w:pPr>
            <w:r>
              <w:rPr>
                <w:b/>
                <w:sz w:val="21"/>
              </w:rPr>
              <w:t xml:space="preserve">Aufgabe</w:t>
            </w:r>
          </w:p>
        </w:tc>
        <w:tc>
          <w:tcPr>
            <w:tcW w:w="3420" w:type="dxa"/>
            <w:shd w:fill="E7E6E6" w:val="clear"/>
          </w:tcPr>
          <w:p>
            <w:pPr>
              <w:keepNext/>
              <w:spacing w:before="20" w:after="20" w:line="252" w:lineRule="auto"/>
            </w:pPr>
            <w:r>
              <w:rPr>
                <w:b/>
                <w:sz w:val="21"/>
              </w:rPr>
              <w:t xml:space="preserve">Zugeordnetes Ergebnis</w:t>
            </w:r>
          </w:p>
        </w:tc>
      </w:tr>
      <w:tr>
        <w:trPr>
          <w:cantSplit/>
        </w:trPr>
        <w:tc>
          <w:tcPr>
            <w:tcW w:w="2450" w:type="dxa"/>
          </w:tcPr>
          <w:p>
            <w:pPr>
              <w:keepNext/>
              <w:spacing w:before="20" w:after="20" w:line="252" w:lineRule="auto"/>
            </w:pPr>
            <w:r>
              <w:rPr>
                <w:sz w:val="21"/>
              </w:rPr>
              <w:t xml:space="preserve">fan_pwm.py</w:t>
            </w:r>
          </w:p>
        </w:tc>
        <w:tc>
          <w:tcPr>
            <w:tcW w:w="3200" w:type="dxa"/>
          </w:tcPr>
          <w:p>
            <w:pPr>
              <w:keepNext/>
              <w:spacing w:before="20" w:after="20" w:line="252" w:lineRule="auto"/>
            </w:pPr>
            <w:r>
              <w:rPr>
                <w:sz w:val="21"/>
              </w:rPr>
              <w:t xml:space="preserve">Vorhandenen Hardware-PWM-Kanal prüfen und explizite Stellbefehle ausführen</w:t>
            </w:r>
          </w:p>
        </w:tc>
        <w:tc>
          <w:tcPr>
            <w:tcW w:w="3420" w:type="dxa"/>
          </w:tcPr>
          <w:p>
            <w:pPr>
              <w:keepNext/>
              <w:spacing w:before="20" w:after="20" w:line="252" w:lineRule="auto"/>
            </w:pPr>
            <w:r>
              <w:rPr>
                <w:sz w:val="21"/>
              </w:rPr>
              <w:t xml:space="preserve">Steuerjournal, Rücklesung von PWM und Pin-Funktion</w:t>
            </w:r>
          </w:p>
        </w:tc>
      </w:tr>
      <w:tr>
        <w:trPr>
          <w:cantSplit/>
        </w:trPr>
        <w:tc>
          <w:tcPr>
            <w:tcW w:w="2450" w:type="dxa"/>
          </w:tcPr>
          <w:p>
            <w:pPr>
              <w:keepNext/>
              <w:spacing w:before="20" w:after="20" w:line="252" w:lineRule="auto"/>
            </w:pPr>
            <w:r>
              <w:rPr>
                <w:sz w:val="21"/>
              </w:rPr>
              <w:t xml:space="preserve">adxl345.py</w:t>
            </w:r>
          </w:p>
        </w:tc>
        <w:tc>
          <w:tcPr>
            <w:tcW w:w="3200" w:type="dxa"/>
          </w:tcPr>
          <w:p>
            <w:pPr>
              <w:keepNext/>
              <w:spacing w:before="20" w:after="20" w:line="252" w:lineRule="auto"/>
            </w:pPr>
            <w:r>
              <w:rPr>
                <w:sz w:val="21"/>
              </w:rPr>
              <w:t xml:space="preserve">Sensor konfigurieren, Register zurücklesen und neue FIFO-Einträge lesen</w:t>
            </w:r>
          </w:p>
        </w:tc>
        <w:tc>
          <w:tcPr>
            <w:tcW w:w="3420" w:type="dxa"/>
          </w:tcPr>
          <w:p>
            <w:pPr>
              <w:keepNext/>
              <w:spacing w:before="20" w:after="20" w:line="252" w:lineRule="auto"/>
            </w:pPr>
            <w:r>
              <w:rPr>
                <w:sz w:val="21"/>
              </w:rPr>
              <w:t xml:space="preserve">XYZ-Werte, Hostzeit und Qualitätsflags</w:t>
            </w:r>
          </w:p>
        </w:tc>
      </w:tr>
      <w:tr>
        <w:trPr>
          <w:cantSplit/>
        </w:trPr>
        <w:tc>
          <w:tcPr>
            <w:tcW w:w="2450" w:type="dxa"/>
          </w:tcPr>
          <w:p>
            <w:pPr>
              <w:keepNext/>
              <w:spacing w:before="20" w:after="20" w:line="252" w:lineRule="auto"/>
            </w:pPr>
            <w:r>
              <w:rPr>
                <w:sz w:val="21"/>
              </w:rPr>
              <w:t xml:space="preserve">collect_real_data.py</w:t>
            </w:r>
          </w:p>
        </w:tc>
        <w:tc>
          <w:tcPr>
            <w:tcW w:w="3200" w:type="dxa"/>
          </w:tcPr>
          <w:p>
            <w:pPr>
              <w:keepNext/>
              <w:spacing w:before="20" w:after="20" w:line="252" w:lineRule="auto"/>
            </w:pPr>
            <w:r>
              <w:rPr>
                <w:sz w:val="21"/>
              </w:rPr>
              <w:t xml:space="preserve">Zeitlich begrenzte Aufnahme journalisieren</w:t>
            </w:r>
          </w:p>
        </w:tc>
        <w:tc>
          <w:tcPr>
            <w:tcW w:w="3420" w:type="dxa"/>
          </w:tcPr>
          <w:p>
            <w:pPr>
              <w:keepNext/>
              <w:spacing w:before="20" w:after="20" w:line="252" w:lineRule="auto"/>
            </w:pPr>
            <w:r>
              <w:rPr>
                <w:sz w:val="21"/>
              </w:rPr>
              <w:t xml:space="preserve">CSV-Rohdaten und JSON-Begleitprotokoll</w:t>
            </w:r>
          </w:p>
        </w:tc>
      </w:tr>
      <w:tr>
        <w:trPr>
          <w:cantSplit/>
        </w:trPr>
        <w:tc>
          <w:tcPr>
            <w:tcW w:w="2450" w:type="dxa"/>
          </w:tcPr>
          <w:p>
            <w:pPr>
              <w:keepNext/>
              <w:spacing w:before="20" w:after="20" w:line="252" w:lineRule="auto"/>
            </w:pPr>
            <w:r>
              <w:rPr>
                <w:sz w:val="21"/>
              </w:rPr>
              <w:t xml:space="preserve">calibrate_and_train.py</w:t>
            </w:r>
          </w:p>
        </w:tc>
        <w:tc>
          <w:tcPr>
            <w:tcW w:w="3200" w:type="dxa"/>
          </w:tcPr>
          <w:p>
            <w:pPr>
              <w:keepNext/>
              <w:spacing w:before="20" w:after="20" w:line="252" w:lineRule="auto"/>
            </w:pPr>
            <w:r>
              <w:rPr>
                <w:sz w:val="21"/>
              </w:rPr>
              <w:t xml:space="preserve">Neue Normalaufnahmen trennen, skalieren und Modell bilden</w:t>
            </w:r>
          </w:p>
        </w:tc>
        <w:tc>
          <w:tcPr>
            <w:tcW w:w="3420" w:type="dxa"/>
          </w:tcPr>
          <w:p>
            <w:pPr>
              <w:keepNext/>
              <w:spacing w:before="20" w:after="20" w:line="252" w:lineRule="auto"/>
            </w:pPr>
            <w:r>
              <w:rPr>
                <w:sz w:val="21"/>
              </w:rPr>
              <w:t xml:space="preserve">Profil, Scaler, Keras-/TFLite-Modell und P99</w:t>
            </w:r>
          </w:p>
        </w:tc>
      </w:tr>
      <w:tr>
        <w:trPr>
          <w:cantSplit/>
        </w:trPr>
        <w:tc>
          <w:tcPr>
            <w:tcW w:w="2450" w:type="dxa"/>
          </w:tcPr>
          <w:p>
            <w:pPr>
              <w:keepNext/>
              <w:spacing w:before="20" w:after="20" w:line="252" w:lineRule="auto"/>
            </w:pPr>
            <w:r>
              <w:rPr>
                <w:sz w:val="21"/>
              </w:rPr>
              <w:t xml:space="preserve">common_comparison.py</w:t>
            </w:r>
          </w:p>
        </w:tc>
        <w:tc>
          <w:tcPr>
            <w:tcW w:w="3200" w:type="dxa"/>
          </w:tcPr>
          <w:p>
            <w:pPr>
              <w:keepNext/>
              <w:spacing w:before="20" w:after="20" w:line="252" w:lineRule="auto"/>
            </w:pPr>
            <w:r>
              <w:rPr>
                <w:sz w:val="21"/>
              </w:rPr>
              <w:t xml:space="preserve">RMS, Isolation Forest und TFLite auf denselben Fenstern ausführen</w:t>
            </w:r>
          </w:p>
        </w:tc>
        <w:tc>
          <w:tcPr>
            <w:tcW w:w="3420" w:type="dxa"/>
          </w:tcPr>
          <w:p>
            <w:pPr>
              <w:keepNext/>
              <w:spacing w:before="20" w:after="20" w:line="252" w:lineRule="auto"/>
            </w:pPr>
            <w:r>
              <w:rPr>
                <w:sz w:val="21"/>
              </w:rPr>
              <w:t xml:space="preserve">Vergleichsbundle, Einzelentscheidungen und Kennzahlen</w:t>
            </w:r>
          </w:p>
        </w:tc>
      </w:tr>
      <w:tr>
        <w:trPr>
          <w:cantSplit/>
        </w:trPr>
        <w:tc>
          <w:tcPr>
            <w:tcW w:w="2450" w:type="dxa"/>
          </w:tcPr>
          <w:p>
            <w:pPr>
              <w:keepNext/>
              <w:spacing w:before="20" w:after="20" w:line="252" w:lineRule="auto"/>
            </w:pPr>
            <w:r>
              <w:rPr>
                <w:sz w:val="21"/>
              </w:rPr>
              <w:t xml:space="preserve">live_pipeline.py und Liveprogramme</w:t>
            </w:r>
          </w:p>
        </w:tc>
        <w:tc>
          <w:tcPr>
            <w:tcW w:w="3200" w:type="dxa"/>
          </w:tcPr>
          <w:p>
            <w:pPr>
              <w:keepNext/>
              <w:spacing w:before="20" w:after="20" w:line="252" w:lineRule="auto"/>
            </w:pPr>
            <w:r>
              <w:rPr>
                <w:sz w:val="21"/>
              </w:rPr>
              <w:t xml:space="preserve">Erfassung von der Entscheidung entkoppeln</w:t>
            </w:r>
          </w:p>
        </w:tc>
        <w:tc>
          <w:tcPr>
            <w:tcW w:w="3420" w:type="dxa"/>
          </w:tcPr>
          <w:p>
            <w:pPr>
              <w:keepNext/>
              <w:spacing w:before="20" w:after="20" w:line="252" w:lineRule="auto"/>
            </w:pPr>
            <w:r>
              <w:rPr>
                <w:sz w:val="21"/>
              </w:rPr>
              <w:t xml:space="preserve">Rohjournal, Entscheidungsjournal, Zeit- und Statusangaben</w:t>
            </w:r>
          </w:p>
        </w:tc>
      </w:tr>
      <w:tr>
        <w:trPr>
          <w:cantSplit/>
        </w:trPr>
        <w:tc>
          <w:tcPr>
            <w:tcW w:w="2450" w:type="dxa"/>
          </w:tcPr>
          <w:p>
            <w:pPr>
              <w:spacing w:before="20" w:after="20" w:line="252" w:lineRule="auto"/>
            </w:pPr>
            <w:r>
              <w:rPr>
                <w:sz w:val="21"/>
              </w:rPr>
              <w:t xml:space="preserve">fft_pilot.py</w:t>
            </w:r>
          </w:p>
        </w:tc>
        <w:tc>
          <w:tcPr>
            <w:tcW w:w="3200" w:type="dxa"/>
          </w:tcPr>
          <w:p>
            <w:pPr>
              <w:spacing w:before="20" w:after="20" w:line="252" w:lineRule="auto"/>
            </w:pPr>
            <w:r>
              <w:rPr>
                <w:sz w:val="21"/>
              </w:rPr>
              <w:t xml:space="preserve">Gespeicherte Pilotdaten spektral untersuchen</w:t>
            </w:r>
          </w:p>
        </w:tc>
        <w:tc>
          <w:tcPr>
            <w:tcW w:w="3420" w:type="dxa"/>
          </w:tcPr>
          <w:p>
            <w:pPr>
              <w:spacing w:before="20" w:after="20" w:line="252" w:lineRule="auto"/>
            </w:pPr>
            <w:r>
              <w:rPr>
                <w:sz w:val="21"/>
              </w:rPr>
              <w:t xml:space="preserve">Achsenspektren, Analysebericht und Grafik</w:t>
            </w:r>
          </w:p>
        </w:tc>
      </w:tr>
    </w:tbl>
    <w:p>
      <w:pPr>
        <w:spacing w:after="120" w:line="300" w:lineRule="auto" w:before="120"/>
        <w:widowControl/>
      </w:pPr>
      <w:r>
        <w:t xml:space="preserve">Der Datenfluss beginnt mit einem neuen FIFO-Eintrag des Sensors. Die Erfassung speichert den Messvektor zusammen mit seiner Herkunft. Nach der aufnahmeweisen Zuordnung werden vollständige XYZ-Fenster gebildet und mit ausschließlich aus Trainingsdaten bestimmten Parametern standardisiert. Die drei Vergleichsmethoden erzeugen daraus jeweils einen Score. Die Entscheidung verwendet die zuvor aus normalen Validierungsdaten bestimmte Schwelle. Der Testpfad enthält weder Training noch eine Anpassung dieser Schwellen.</w:t>
      </w:r>
    </w:p>
    <w:p>
      <w:pPr>
        <w:spacing w:after="120" w:line="300" w:lineRule="auto"/>
        <w:widowControl/>
      </w:pPr>
      <w:r>
        <w:t xml:space="preserve">Das Modul fan_pwm.py verwendet die Python-Standardbibliothek und greift direkt auf den vorhandenen Kernel-PWM-Kanal zu. Die zusätzliche Bibliothek rpi_hardware_pwm ist dafür nicht erforderlich. Vor Zugriffen werden RP1-Gerätezuordnung, Kanal, Periode und Polarität geprüft. Ein exklusiver Prozess-Lock koordiniert Programme, die diesen Steuerweg verwenden. Beim Öffnen des Steuerkontexts wird der vorhandene Zustand gelesen; beim Schließen wird der Lock freigegeben. Beide Schritte ändern die PWM nicht. Stellbefehle erfolgen ausschließlich durch ausdrückliche Methodenaufrufe und werden mit Rücklesung protokolliert. Die bestehenden Programme live_monitor.py und live_tflite_fan_control.py verwenden diesen gemeinsamen Steuerweg über FanController. Dieser Entwicklungsadapter setzt beim Start die gewählte Vorgabe und fordert beim Beenden ausdrücklich 0 % mit aktiviertem PWM-Kanal an. Auch bei Fehlern während der Aufnahme oder beim Beenden der Erfassung werden die 0-%-Anforderung und die Freigabe der Sperre versucht. Die übrigen Abschlussarbeiten erhalten dabei ihre eigenen Fehlerpfade. Ein nicht bestätigter Stellbefehl führt zu einem Fehlerstatus; daraus wird kein Stillstand abgeleitet. Die GUI wird erst am Programmeinstieg eingerichtet, damit der Aktuator ohne grafische Sitzung importierbar bleibt. Auch die TFLite-Oberfläche aktiviert ihren interaktiven Grafikmodus erst beim Start des Hauptprogramms; ihr Import verändert den Grafikmodus einer vorherigen FFT-Auswertung nicht. Diese Softwarepfade wurden mit hardwarefreien Tests geprüft. Auf dem realen Pi wurde die 0-%-Vorgabe zunächst ausschließlich lesend geprüft. Nach dem kontrollierten Stillstandspiloten und ausdrücklicher Bereitschaftsbestätigung stellte das Modul am 9. September 2026 um 20:11:58 UTC den Betriebspunkt von 25 % ein. Die Rücklesung bestätigte 10.000 ns Tastzeit bei 40.000 ns Periode, aktivierten Kanal und die Hardware-PWM-Pinfunktion. Dieser Befund bestätigt den Stellweg; er misst keine Drehzahl und keinen elektrischen Signalverlauf.</w:t>
      </w:r>
    </w:p>
    <w:p>
      <w:pPr>
        <w:pStyle w:val="berschrift2"/>
        <w:numPr>
          <w:ilvl w:val="1"/>
          <w:numId w:val="1"/>
        </w:numPr>
        <w:ind w:left="576" w:hanging="576"/>
      </w:pPr>
      <w:bookmarkStart w:id="101" w:name="Implementation_16"/>
      <w:r>
        <w:t xml:space="preserve">Korrigierte Sensorerfassung und Rohdatenprotokoll</w:t>
      </w:r>
      <w:bookmarkEnd w:id="101"/>
    </w:p>
    <w:p>
      <w:pPr>
        <w:spacing w:after="120" w:line="300" w:lineRule="auto"/>
        <w:widowControl/>
      </w:pPr>
      <w:r>
        <w:t xml:space="preserve">Die frühere Messkette konfigurierte die interne Sensorausgaberate und den Messbereich nicht ausdrücklich. Die damalige Angabe von 500 Abfragen pro Sekunde belegt deshalb keine 500 neuen Beschleunigungsmessungen pro Sekunde. Die korrigierte Implementierung setzt die Konfiguration vor einer Aufnahme und liest die betreffenden Register zurück. Bei unbekannter oder auf 100 kHz konfigurierter I²C-Busfrequenz wird höchstens eine ODR von 200 Hz zugelassen. Die technische Begründung dieser Begrenzung folgt der in Abschnitt 5.3 behandelten I²C-Empfehlung des ADXL345-Datenblatts. Die Buskonfiguration ersetzt keine elektrische Messung der Taktleitung.</w:t>
      </w:r>
    </w:p>
    <w:p>
      <w:pPr>
        <w:pStyle w:val="Beschriftung"/>
        <w:keepNext/>
      </w:pPr>
      <w:bookmarkStart w:id="102" w:name="Table_6_3"/>
      <w:r>
        <w:rPr>
          <w:sz w:val="22"/>
        </w:rPr>
        <w:t xml:space="preserve">Tabelle 6-3: Aktuelle Pilotparameter und ihre Aussagegrenzen</w:t>
      </w:r>
      <w:bookmarkEnd w:id="102"/>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Parameter</w:t>
            </w:r>
          </w:p>
        </w:tc>
        <w:tc>
          <w:tcPr>
            <w:tcW w:w="3350" w:type="dxa"/>
            <w:shd w:fill="E7E6E6" w:val="clear"/>
          </w:tcPr>
          <w:p>
            <w:pPr>
              <w:keepNext/>
              <w:spacing w:before="20" w:after="20" w:line="252" w:lineRule="auto"/>
            </w:pPr>
            <w:r>
              <w:rPr>
                <w:b/>
                <w:sz w:val="21"/>
              </w:rPr>
              <w:t xml:space="preserve">Implementierte Vorgabe</w:t>
            </w:r>
          </w:p>
        </w:tc>
        <w:tc>
          <w:tcPr>
            <w:tcW w:w="3570" w:type="dxa"/>
            <w:shd w:fill="E7E6E6" w:val="clear"/>
          </w:tcPr>
          <w:p>
            <w:pPr>
              <w:keepNext/>
              <w:spacing w:before="20" w:after="20" w:line="252" w:lineRule="auto"/>
            </w:pPr>
            <w:r>
              <w:rPr>
                <w:b/>
                <w:sz w:val="21"/>
              </w:rPr>
              <w:t xml:space="preserve">Begründung und Prüfbedarf</w:t>
            </w:r>
          </w:p>
        </w:tc>
      </w:tr>
      <w:tr>
        <w:trPr>
          <w:cantSplit/>
        </w:trPr>
        <w:tc>
          <w:tcPr>
            <w:tcW w:w="2150" w:type="dxa"/>
          </w:tcPr>
          <w:p>
            <w:pPr>
              <w:keepNext/>
              <w:spacing w:before="20" w:after="20" w:line="252" w:lineRule="auto"/>
            </w:pPr>
            <w:r>
              <w:rPr>
                <w:sz w:val="21"/>
              </w:rPr>
              <w:t xml:space="preserve">Sensorausgaberate</w:t>
            </w:r>
          </w:p>
        </w:tc>
        <w:tc>
          <w:tcPr>
            <w:tcW w:w="3350" w:type="dxa"/>
          </w:tcPr>
          <w:p>
            <w:pPr>
              <w:keepNext/>
              <w:spacing w:before="20" w:after="20" w:line="252" w:lineRule="auto"/>
            </w:pPr>
            <w:r>
              <w:rPr>
                <w:sz w:val="21"/>
              </w:rPr>
              <w:t xml:space="preserve">200 Hz</w:t>
            </w:r>
          </w:p>
        </w:tc>
        <w:tc>
          <w:tcPr>
            <w:tcW w:w="3570" w:type="dxa"/>
          </w:tcPr>
          <w:p>
            <w:pPr>
              <w:keepNext/>
              <w:spacing w:before="20" w:after="20" w:line="252" w:lineRule="auto"/>
            </w:pPr>
            <w:r>
              <w:rPr>
                <w:sz w:val="21"/>
              </w:rPr>
              <w:t xml:space="preserve">Technischer Ausgangspunkt für die vorhandene I²C-Konfiguration; relevantes Nutzband noch zu prüfen</w:t>
            </w:r>
          </w:p>
        </w:tc>
      </w:tr>
      <w:tr>
        <w:trPr>
          <w:cantSplit/>
        </w:trPr>
        <w:tc>
          <w:tcPr>
            <w:tcW w:w="2150" w:type="dxa"/>
          </w:tcPr>
          <w:p>
            <w:pPr>
              <w:keepNext/>
              <w:spacing w:before="20" w:after="20" w:line="252" w:lineRule="auto"/>
            </w:pPr>
            <w:r>
              <w:rPr>
                <w:sz w:val="21"/>
              </w:rPr>
              <w:t xml:space="preserve">Auflösung und Bereich</w:t>
            </w:r>
          </w:p>
        </w:tc>
        <w:tc>
          <w:tcPr>
            <w:tcW w:w="3350" w:type="dxa"/>
          </w:tcPr>
          <w:p>
            <w:pPr>
              <w:keepNext/>
              <w:spacing w:before="20" w:after="20" w:line="252" w:lineRule="auto"/>
            </w:pPr>
            <w:r>
              <w:rPr>
                <w:sz w:val="21"/>
              </w:rPr>
              <w:t xml:space="preserve">Full Resolution, ±2 g</w:t>
            </w:r>
          </w:p>
        </w:tc>
        <w:tc>
          <w:tcPr>
            <w:tcW w:w="3570" w:type="dxa"/>
          </w:tcPr>
          <w:p>
            <w:pPr>
              <w:keepNext/>
              <w:spacing w:before="20" w:after="20" w:line="252" w:lineRule="auto"/>
            </w:pPr>
            <w:r>
              <w:rPr>
                <w:sz w:val="21"/>
              </w:rPr>
              <w:t xml:space="preserve">Register werden geprüft; ausreichende Reserve gegen Sättigung benötigt Betriebsdaten</w:t>
            </w:r>
          </w:p>
        </w:tc>
      </w:tr>
      <w:tr>
        <w:trPr>
          <w:cantSplit/>
        </w:trPr>
        <w:tc>
          <w:tcPr>
            <w:tcW w:w="2150" w:type="dxa"/>
          </w:tcPr>
          <w:p>
            <w:pPr>
              <w:keepNext/>
              <w:spacing w:before="20" w:after="20" w:line="252" w:lineRule="auto"/>
            </w:pPr>
            <w:r>
              <w:rPr>
                <w:sz w:val="21"/>
              </w:rPr>
              <w:t xml:space="preserve">Datenabruf</w:t>
            </w:r>
          </w:p>
        </w:tc>
        <w:tc>
          <w:tcPr>
            <w:tcW w:w="3350" w:type="dxa"/>
          </w:tcPr>
          <w:p>
            <w:pPr>
              <w:keepNext/>
              <w:spacing w:before="20" w:after="20" w:line="252" w:lineRule="auto"/>
            </w:pPr>
            <w:r>
              <w:rPr>
                <w:sz w:val="21"/>
              </w:rPr>
              <w:t xml:space="preserve">FIFO-Stream, 32 Einträge</w:t>
            </w:r>
          </w:p>
        </w:tc>
        <w:tc>
          <w:tcPr>
            <w:tcW w:w="3570" w:type="dxa"/>
          </w:tcPr>
          <w:p>
            <w:pPr>
              <w:keepNext/>
              <w:spacing w:before="20" w:after="20" w:line="252" w:lineRule="auto"/>
            </w:pPr>
            <w:r>
              <w:rPr>
                <w:sz w:val="21"/>
              </w:rPr>
              <w:t xml:space="preserve">Lesen nur bei vorhandenem Eintrag; Überlaufverdacht wird markiert</w:t>
            </w:r>
          </w:p>
        </w:tc>
      </w:tr>
      <w:tr>
        <w:trPr>
          <w:cantSplit/>
        </w:trPr>
        <w:tc>
          <w:tcPr>
            <w:tcW w:w="2150" w:type="dxa"/>
          </w:tcPr>
          <w:p>
            <w:pPr>
              <w:keepNext/>
              <w:spacing w:before="20" w:after="20" w:line="252" w:lineRule="auto"/>
            </w:pPr>
            <w:r>
              <w:rPr>
                <w:sz w:val="21"/>
              </w:rPr>
              <w:t xml:space="preserve">Zeitstempel</w:t>
            </w:r>
          </w:p>
        </w:tc>
        <w:tc>
          <w:tcPr>
            <w:tcW w:w="3350" w:type="dxa"/>
          </w:tcPr>
          <w:p>
            <w:pPr>
              <w:keepNext/>
              <w:spacing w:before="20" w:after="20" w:line="252" w:lineRule="auto"/>
            </w:pPr>
            <w:r>
              <w:rPr>
                <w:sz w:val="21"/>
              </w:rPr>
              <w:t xml:space="preserve">Monotone Hostzeit nach Datenburst</w:t>
            </w:r>
          </w:p>
        </w:tc>
        <w:tc>
          <w:tcPr>
            <w:tcW w:w="3570" w:type="dxa"/>
          </w:tcPr>
          <w:p>
            <w:pPr>
              <w:keepNext/>
              <w:spacing w:before="20" w:after="20" w:line="252" w:lineRule="auto"/>
            </w:pPr>
            <w:r>
              <w:rPr>
                <w:sz w:val="21"/>
              </w:rPr>
              <w:t xml:space="preserve">Zeitpunkt des Auslesens, kein sensorinterner Zeitstempel</w:t>
            </w:r>
          </w:p>
        </w:tc>
      </w:tr>
      <w:tr>
        <w:trPr>
          <w:cantSplit/>
        </w:trPr>
        <w:tc>
          <w:tcPr>
            <w:tcW w:w="2150" w:type="dxa"/>
          </w:tcPr>
          <w:p>
            <w:pPr>
              <w:keepNext/>
              <w:spacing w:before="20" w:after="20" w:line="252" w:lineRule="auto"/>
            </w:pPr>
            <w:r>
              <w:rPr>
                <w:sz w:val="21"/>
              </w:rPr>
              <w:t xml:space="preserve">Modellfenster</w:t>
            </w:r>
          </w:p>
        </w:tc>
        <w:tc>
          <w:tcPr>
            <w:tcW w:w="3350" w:type="dxa"/>
          </w:tcPr>
          <w:p>
            <w:pPr>
              <w:keepNext/>
              <w:spacing w:before="20" w:after="20" w:line="252" w:lineRule="auto"/>
            </w:pPr>
            <w:r>
              <w:rPr>
                <w:sz w:val="21"/>
              </w:rPr>
              <w:t xml:space="preserve">H = S = 128, drei Achsen</w:t>
            </w:r>
          </w:p>
        </w:tc>
        <w:tc>
          <w:tcPr>
            <w:tcW w:w="3570" w:type="dxa"/>
          </w:tcPr>
          <w:p>
            <w:pPr>
              <w:keepNext/>
              <w:spacing w:before="20" w:after="20" w:line="252" w:lineRule="auto"/>
            </w:pPr>
            <w:r>
              <w:rPr>
                <w:sz w:val="21"/>
              </w:rPr>
              <w:t xml:space="preserve">Aktuelle feste Eingabeform; nominell 0,64 s bei 200 Hz, Eignung noch offen</w:t>
            </w:r>
          </w:p>
        </w:tc>
      </w:tr>
      <w:tr>
        <w:trPr>
          <w:cantSplit/>
        </w:trPr>
        <w:tc>
          <w:tcPr>
            <w:tcW w:w="2150" w:type="dxa"/>
          </w:tcPr>
          <w:p>
            <w:pPr>
              <w:spacing w:before="20" w:after="20" w:line="252" w:lineRule="auto"/>
            </w:pPr>
            <w:r>
              <w:rPr>
                <w:sz w:val="21"/>
              </w:rPr>
              <w:t xml:space="preserve">FFT-Pilot</w:t>
            </w:r>
          </w:p>
        </w:tc>
        <w:tc>
          <w:tcPr>
            <w:tcW w:w="3350" w:type="dxa"/>
          </w:tcPr>
          <w:p>
            <w:pPr>
              <w:spacing w:before="20" w:after="20" w:line="252" w:lineRule="auto"/>
            </w:pPr>
            <w:r>
              <w:rPr>
                <w:sz w:val="21"/>
              </w:rPr>
              <w:t xml:space="preserve">512 Werte, 50 % Überlappung, Hann</w:t>
            </w:r>
          </w:p>
        </w:tc>
        <w:tc>
          <w:tcPr>
            <w:tcW w:w="3570" w:type="dxa"/>
          </w:tcPr>
          <w:p>
            <w:pPr>
              <w:spacing w:before="20" w:after="20" w:line="252" w:lineRule="auto"/>
            </w:pPr>
            <w:r>
              <w:rPr>
                <w:sz w:val="21"/>
              </w:rPr>
              <w:t xml:space="preserve">Ausgangspunkt zur Spektralprüfung; keine automatische Festlegung endgültiger Messparameter</w:t>
            </w:r>
          </w:p>
        </w:tc>
      </w:tr>
    </w:tbl>
    <w:p>
      <w:pPr>
        <w:spacing w:after="120" w:line="300" w:lineRule="auto" w:before="120"/>
        <w:widowControl/>
      </w:pPr>
      <w:r>
        <w:t xml:space="preserve">Ein Prozess-Lock verhindert konkurrierende Zugriffe durch die neuen Erfassungsprogramme. Fremde Programme berücksichtigen diesen Lock nicht zwangsläufig; daher wird vor Hardwareversuchen zusätzlich nach laufenden Prozessen und geöffneten Geräten gesucht. Vor jedem XYZ-Burst werden Status und FIFO-Füllstand geprüft. Gleiche quantisierte XYZ-Tupel können auch bei neuen Sensormessungen auftreten. Der Frischwertnachweis stützt sich auf die FIFO-Folge und nicht auf eine Forderung nach unterschiedlichen Zahlenwerten.</w:t>
      </w:r>
    </w:p>
    <w:p>
      <w:pPr>
        <w:spacing w:after="120" w:line="300" w:lineRule="auto"/>
        <w:widowControl/>
      </w:pPr>
      <w:r>
        <w:t xml:space="preserve">An jeder Aufnahmegrenze werden noch nicht aufgezeichnete Vorlaufwerte bewusst verworfen und der FIFO neu gestartet. Ein voller FIFO, ein gesetzter Überlaufstatus oder eine Lesepause über der nominellen FIFO-Zeitkapazität kennzeichnen einen möglichen Datenverlust. Die exakte Zahl verlorener Sensorwerte ist daraus nicht ableitbar. Sättigung wird konservativ nahe den digitalen Messbereichsgrenzen markiert. Beim geordneten Schließen stellt die Verbindung die vorherigen Konfigurationsregister wieder her.</w:t>
      </w:r>
    </w:p>
    <w:p>
      <w:pPr>
        <w:spacing w:after="120" w:line="300" w:lineRule="auto"/>
        <w:widowControl/>
      </w:pPr>
      <w:r>
        <w:t xml:space="preserve">Das CSV-Journal enthält die drei Achsen in g, den Betrag des Messvektors, Zustandslabel, Sampleindex, relative Hostzeit, monotone Hostzeit, nominell geschätzte Sensorzeit sowie FIFO-, Verlust- und Sättigungsangaben. Die geschätzte Sensorzeit ergibt sich aus Sampleindex und nomineller ODR und ist ausdrücklich kein gemessener Sensorzeitstempel. Das JSON-Protokoll ergänzt Aufnahmezweck, Montage, PWM-Vorgabe, gegebenenfalls unabhängig gemessene Drehzahl, Registerrücklesung, Quellcodehashes, Laufstatus und CSV-Prüfsumme.</w:t>
      </w:r>
    </w:p>
    <w:p>
      <w:pPr>
        <w:spacing w:after="120" w:line="300" w:lineRule="auto"/>
        <w:widowControl/>
      </w:pPr>
      <w:r>
        <w:t xml:space="preserve">Neue Ausgabepfade werden exklusiv angelegt. Die Erfassung erhält bei behandeltem SIGINT, SIGTERM oder Lesefehler die bereits gelesenen Werte und schreibt den Abschlussstatus. Das geordnete Ende führt Flush und fsync aus. Dies ist kein Nachweis eines verlustfreien Verhaltens bei Stromausfall oder SIGKILL. Die Anforderungen A5 und A13 werden damit technisch unterstützt; die Reichweite der geprüften Abbruchfälle bleibt ausdrücklich begrenzt.</w:t>
      </w:r>
    </w:p>
    <w:p>
      <w:pPr>
        <w:pStyle w:val="berschrift2"/>
        <w:numPr>
          <w:ilvl w:val="1"/>
          <w:numId w:val="1"/>
        </w:numPr>
        <w:ind w:left="576" w:hanging="576"/>
      </w:pPr>
      <w:bookmarkStart w:id="103" w:name="Implementation_24"/>
      <w:r>
        <w:t xml:space="preserve">Datenaufteilung, Modelle und Schwellen</w:t>
      </w:r>
      <w:bookmarkEnd w:id="103"/>
    </w:p>
    <w:p>
      <w:pPr>
        <w:spacing w:after="120" w:line="300" w:lineRule="auto"/>
        <w:widowControl/>
      </w:pPr>
      <w:r>
        <w:t xml:space="preserve">Das Kalibrierungsprogramm ordnet vollständige Normalaufnahmen vor der Fensterbildung Training oder Validierung zu. In der aktuellen Implementierung bilden die zuerst aufgenommenen Dateien den Trainingsanteil und die abschließenden Dateien den konfigurierten Validierungsanteil. Ein Fenster überschreitet keine Aufnahmegrenze. Unvollständige Restfenster werden mit ihrer Samplezahl ausgewiesen. Die chronologische Zuordnung garantiert keine statistische Unabhängigkeit der aufeinanderfolgenden Messläufe; der tatsächliche Versuchsablauf muss zusätzlich dokumentiert werden.</w:t>
      </w:r>
    </w:p>
    <w:p>
      <w:pPr>
        <w:spacing w:after="120" w:line="300" w:lineRule="auto"/>
        <w:widowControl/>
      </w:pPr>
      <w:r>
        <w:t xml:space="preserve">Vor Datenvorbereitung und Training werden CSV- und JSON-Prüfsummen, Zustandsangaben, Sensorparameter, Zeitstempel, fortlaufende Sampleindizes und Qualitätsflags geprüft. Die Prüfung umfasst auch einen später verworfenen Fensterrest. Bereits ein markierter Gap-, Overrun- oder Sättigungsfall führt zum Zurückweisen der Aufnahme für die neue Kalibrierung. Diese technischen Prüfungen belegen noch kein ausreichendes Nutzband oder Signal-Rausch-Verhältnis.</w:t>
      </w:r>
    </w:p>
    <w:p>
      <w:pPr>
        <w:spacing w:after="120" w:line="300" w:lineRule="auto"/>
        <w:widowControl/>
      </w:pPr>
      <w:r>
        <w:t xml:space="preserve">Der StandardScaler wird je Achse ausschließlich an den vollständigen normalen Trainingsfenstern angepasst. Seine Parameter werden anschließend unverändert verwendet. Alle Vergleichsmethoden erhalten dieselben Float32-Fenster mit H mal drei Werten. Für die FFT-Diagnose wird je Segment der Mittelwert entfernt; diese diagnostische Verarbeitung ist von der trainingsbasierten Standardisierung der Modelle zu unterscheiden.</w:t>
      </w:r>
    </w:p>
    <w:p>
      <w:pPr>
        <w:pStyle w:val="Beschriftung"/>
        <w:keepNext/>
      </w:pPr>
      <w:bookmarkStart w:id="104" w:name="Table_6_4"/>
      <w:r>
        <w:rPr>
          <w:sz w:val="22"/>
        </w:rPr>
        <w:t xml:space="preserve">Tabelle 6-4: Gemeinsame Eingabebasis und implementierte Verfahren</w:t>
      </w:r>
      <w:bookmarkEnd w:id="104"/>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Verfahren</w:t>
            </w:r>
          </w:p>
        </w:tc>
        <w:tc>
          <w:tcPr>
            <w:tcW w:w="3350" w:type="dxa"/>
            <w:shd w:fill="E7E6E6" w:val="clear"/>
          </w:tcPr>
          <w:p>
            <w:pPr>
              <w:keepNext/>
              <w:spacing w:before="20" w:after="20" w:line="252" w:lineRule="auto"/>
            </w:pPr>
            <w:r>
              <w:rPr>
                <w:b/>
                <w:sz w:val="21"/>
              </w:rPr>
              <w:t xml:space="preserve">Eingabe und Score</w:t>
            </w:r>
          </w:p>
        </w:tc>
        <w:tc>
          <w:tcPr>
            <w:tcW w:w="3570" w:type="dxa"/>
            <w:shd w:fill="E7E6E6" w:val="clear"/>
          </w:tcPr>
          <w:p>
            <w:pPr>
              <w:keepNext/>
              <w:spacing w:before="20" w:after="20" w:line="252" w:lineRule="auto"/>
            </w:pPr>
            <w:r>
              <w:rPr>
                <w:b/>
                <w:sz w:val="21"/>
              </w:rPr>
              <w:t xml:space="preserve">Modellbildung und Schwelle</w:t>
            </w:r>
          </w:p>
        </w:tc>
      </w:tr>
      <w:tr>
        <w:trPr>
          <w:cantSplit/>
        </w:trPr>
        <w:tc>
          <w:tcPr>
            <w:tcW w:w="2150" w:type="dxa"/>
          </w:tcPr>
          <w:p>
            <w:pPr>
              <w:keepNext/>
              <w:spacing w:before="20" w:after="20" w:line="252" w:lineRule="auto"/>
            </w:pPr>
            <w:r>
              <w:rPr>
                <w:sz w:val="21"/>
              </w:rPr>
              <w:t xml:space="preserve">RMS</w:t>
            </w:r>
          </w:p>
        </w:tc>
        <w:tc>
          <w:tcPr>
            <w:tcW w:w="3350" w:type="dxa"/>
          </w:tcPr>
          <w:p>
            <w:pPr>
              <w:keepNext/>
              <w:spacing w:before="20" w:after="20" w:line="252" w:lineRule="auto"/>
            </w:pPr>
            <w:r>
              <w:rPr>
                <w:sz w:val="21"/>
              </w:rPr>
              <w:t xml:space="preserve">Quadratwurzel des Mittelwerts aller quadrierten standardisierten Fensterwerte; dimensionslos</w:t>
            </w:r>
          </w:p>
        </w:tc>
        <w:tc>
          <w:tcPr>
            <w:tcW w:w="3570" w:type="dxa"/>
          </w:tcPr>
          <w:p>
            <w:pPr>
              <w:keepNext/>
              <w:spacing w:before="20" w:after="20" w:line="252" w:lineRule="auto"/>
            </w:pPr>
            <w:r>
              <w:rPr>
                <w:sz w:val="21"/>
              </w:rPr>
              <w:t xml:space="preserve">Kein gelerntes Modell; lineares P99 der normalen Validierung</w:t>
            </w:r>
          </w:p>
        </w:tc>
      </w:tr>
      <w:tr>
        <w:trPr>
          <w:cantSplit/>
        </w:trPr>
        <w:tc>
          <w:tcPr>
            <w:tcW w:w="2150" w:type="dxa"/>
          </w:tcPr>
          <w:p>
            <w:pPr>
              <w:keepNext/>
              <w:spacing w:before="20" w:after="20" w:line="252" w:lineRule="auto"/>
            </w:pPr>
            <w:r>
              <w:rPr>
                <w:sz w:val="21"/>
              </w:rPr>
              <w:t xml:space="preserve">Isolation Forest</w:t>
            </w:r>
          </w:p>
        </w:tc>
        <w:tc>
          <w:tcPr>
            <w:tcW w:w="3350" w:type="dxa"/>
          </w:tcPr>
          <w:p>
            <w:pPr>
              <w:keepNext/>
              <w:spacing w:before="20" w:after="20" w:line="252" w:lineRule="auto"/>
            </w:pPr>
            <w:r>
              <w:rPr>
                <w:sz w:val="21"/>
              </w:rPr>
              <w:t xml:space="preserve">Dasselbe Fenster in C-Reihenfolge als Vektor; Score = −score_samples</w:t>
            </w:r>
          </w:p>
        </w:tc>
        <w:tc>
          <w:tcPr>
            <w:tcW w:w="3570" w:type="dxa"/>
          </w:tcPr>
          <w:p>
            <w:pPr>
              <w:keepNext/>
              <w:spacing w:before="20" w:after="20" w:line="252" w:lineRule="auto"/>
            </w:pPr>
            <w:r>
              <w:rPr>
                <w:sz w:val="21"/>
              </w:rPr>
              <w:t xml:space="preserve">200 Bäume, max_samples = auto, Seed 42, ein Worker; normales Training und Validierungs-P99</w:t>
            </w:r>
          </w:p>
        </w:tc>
      </w:tr>
      <w:tr>
        <w:trPr>
          <w:cantSplit/>
        </w:trPr>
        <w:tc>
          <w:tcPr>
            <w:tcW w:w="2150" w:type="dxa"/>
          </w:tcPr>
          <w:p>
            <w:pPr>
              <w:spacing w:before="20" w:after="20" w:line="252" w:lineRule="auto"/>
            </w:pPr>
            <w:r>
              <w:rPr>
                <w:sz w:val="21"/>
              </w:rPr>
              <w:t xml:space="preserve">Float32-TFLite-Autoencoder</w:t>
            </w:r>
          </w:p>
        </w:tc>
        <w:tc>
          <w:tcPr>
            <w:tcW w:w="3350" w:type="dxa"/>
          </w:tcPr>
          <w:p>
            <w:pPr>
              <w:spacing w:before="20" w:after="20" w:line="252" w:lineRule="auto"/>
            </w:pPr>
            <w:r>
              <w:rPr>
                <w:sz w:val="21"/>
              </w:rPr>
              <w:t xml:space="preserve">Standardisiertes XYZ-Fenster; mittlerer quadratischer Rekonstruktionsfehler</w:t>
            </w:r>
          </w:p>
        </w:tc>
        <w:tc>
          <w:tcPr>
            <w:tcW w:w="3570" w:type="dxa"/>
          </w:tcPr>
          <w:p>
            <w:pPr>
              <w:spacing w:before="20" w:after="20" w:line="252" w:lineRule="auto"/>
            </w:pPr>
            <w:r>
              <w:rPr>
                <w:sz w:val="21"/>
              </w:rPr>
              <w:t xml:space="preserve">Normales Training in Keras; gespeicherte Validierungs-P99 bleibt nach Konvertierung unverändert</w:t>
            </w:r>
          </w:p>
        </w:tc>
      </w:tr>
    </w:tbl>
    <w:p>
      <w:pPr>
        <w:spacing w:after="120" w:line="300" w:lineRule="auto" w:before="120"/>
        <w:widowControl/>
      </w:pPr>
      <w:r>
        <w:t xml:space="preserve">Der Autoencoder verarbeitet Fenster der Form 128 × 3. Der Encoder enthält zwei eindimensionale Faltungen mit acht beziehungsweise vier Filtern und Kernelgrößen fünf beziehungsweise drei. Nach jeder Faltung halbiert Max-Pooling die zeitliche Länge. Im Decoder folgen Faltungen mit vier und acht Filtern sowie jeweils eine Verdopplung der zeitlichen Länge. Eine abschließende lineare Faltung mit drei Filtern und Kernelgröße fünf rekonstruiert die Eingangskanäle. Die übrigen Faltungen verwenden ReLU. Diese Architektur ist implementiert; ihre Eignung für die korrigierte Messkette muss durch neue Daten geprüft werden.</w:t>
      </w:r>
    </w:p>
    <w:p>
      <w:pPr>
        <w:spacing w:after="120" w:line="300" w:lineRule="auto"/>
        <w:widowControl/>
      </w:pPr>
      <w:r>
        <w:t xml:space="preserve">Die aktuelle Trainingskonfiguration verwendet Seed 42, Batchgröße 32 und höchstens 100 Epochen. ModelCheckpoint und Early Stopping überwachen den Validierungsfehler; Early Stopping verwendet eine Geduld von zehn Epochen und eine Mindestverbesserung von 10⁻⁶. Dieselbe normale Validierung dient anschließend der P99-Kalibrierung. Sie ist auf Aufnahmeebene vom Training getrennt, jedoch kein zusätzlicher, von der Modellwahl abgeschirmter Kalibrierungssplit. Ein solcher zusätzlicher Split wäre vor neuen Versuchen ausdrücklich festzulegen und zu implementieren.</w:t>
      </w:r>
    </w:p>
    <w:p>
      <w:pPr>
        <w:spacing w:after="120" w:line="300" w:lineRule="auto"/>
        <w:widowControl/>
      </w:pPr>
      <w:r>
        <w:t xml:space="preserve">Die Konvertierung erzeugt ein Float32-TFLite-Modell ohne Quantisierung. Die vorhandene Konsistenzprüfung vergleicht Rekonstruktionen, Scores und Entscheidungen mit Keras auf denselben Validierungsfenstern. Im Code sind maximale absolute Abweichungen von 10⁻³ für die Rekonstruktion und 10⁻⁴ für den MSE als Grenzen hinterlegt. Ein neues Modell benötigt eine neue Prüfung; ein erfolgreicher Vergleich alter Modelle wird nicht übertragen. Die Interpretation der Grenzen und etwaiger Entscheidungsabweichungen ist im jeweiligen Konvertierungsbericht enthalten.</w:t>
      </w:r>
    </w:p>
    <w:p>
      <w:pPr>
        <w:spacing w:after="120" w:line="300" w:lineRule="auto"/>
        <w:widowControl/>
      </w:pPr>
      <w:r>
        <w:t xml:space="preserve">Das gemeinsame Bundle bindet Modelle, Scaler, Profilkopie, Datenzuordnung und Quellcode über SHA-256. Alle Scores sind so ausgerichtet, dass ein größerer Wert stärker auffällig ist. Ein Score oberhalb seiner Schwelle ergibt ANOMALY; andernfalls ergibt ein gültiger Score NORMAL. Nichtendliche Werte oder unzulässige Modellausgaben führen zu INVALID. Die P99-Regel ist für alle Methoden gleich, die numerischen Schwellen sind methodenspezifisch. Validierungsüberschreitungen sind Kalibrierungsdiagnosen und keine unabhängige Fehlalarmmessung.</w:t>
      </w:r>
    </w:p>
    <w:p>
      <w:pPr>
        <w:pStyle w:val="berschrift2"/>
        <w:numPr>
          <w:ilvl w:val="1"/>
          <w:numId w:val="1"/>
        </w:numPr>
        <w:ind w:left="576" w:hanging="576"/>
      </w:pPr>
      <w:bookmarkStart w:id="105" w:name="Implementation_34"/>
      <w:r>
        <w:t xml:space="preserve">Liveverarbeitung und Ressourceninstrumentierung</w:t>
      </w:r>
      <w:bookmarkEnd w:id="105"/>
    </w:p>
    <w:p>
      <w:pPr>
        <w:spacing w:after="120" w:line="300" w:lineRule="auto"/>
        <w:widowControl/>
      </w:pPr>
      <w:r>
        <w:t xml:space="preserve">Die Livepipeline erfasst Sensorwerte in einem getrennten Thread und persistiert die Rohdaten. Eine Warteschlange mit Platz für vier vollständige Fenster entkoppelt die Erfassung von der Entscheidung. Bei Überlast werden verlorene Entscheidungsfenster gezählt; sie werden nicht als verarbeitete Normalfenster ausgegeben. Die Rohdatenpersistenz und der geordnete Abschluss sind getrennt von der rechtzeitigen Verarbeitung jedes Fensters zu beurteilen.</w:t>
      </w:r>
    </w:p>
    <w:p>
      <w:pPr>
        <w:spacing w:after="120" w:line="300" w:lineRule="auto"/>
        <w:widowControl/>
      </w:pPr>
      <w:r>
        <w:t xml:space="preserve">Die Verarbeitungslatenz beginnt mit dem vollständigen Fenster und endet bei der verfügbaren Entscheidung. Wartezeit, Vorverarbeitung und Inferenz werden getrennt instrumentiert. CPU-Zeit und RSS beziehen sich auf den gesamten jeweiligen Prozess. Die Bezugsgröße von 100 % CPU ist ein Kern; zusätzlich ist eine Normierung auf alle logischen Kerne möglich. Bibliotheken und Vorverarbeitung gehören zum Prozessspeicher. Die gespeicherte Modelldateigröße wird als eigene Größe geführt.</w:t>
      </w:r>
    </w:p>
    <w:p>
      <w:pPr>
        <w:spacing w:after="120" w:line="300" w:lineRule="auto"/>
        <w:widowControl/>
      </w:pPr>
      <w:r>
        <w:t xml:space="preserve">Ein Ressourcen-Replay arbeitet ohne Sensor- und Fensterfüllwartezeit. Es eignet sich zum Vergleich der Verarbeitung derselben gespeicherten Fenster, ersetzt aber keine Liveprüfung von A7 und A8. Für H2 werden zusätzlich Fristüberschreitungen und Erfassungspausen benötigt. Die optionale Oberfläche verwendet begrenzte Nachrichtenpuffer und kennzeichnet veraltete Daten. Eine sichtbare Funktionsprüfung und eine kontrollierte Messung ihrer Zusatzlast stehen aus, da im bisherigen Terminal keine nutzbare Desktop-Anmeldung bestätigt wurde.</w:t>
      </w:r>
    </w:p>
    <w:p>
      <w:pPr>
        <w:spacing w:after="120" w:line="300" w:lineRule="auto"/>
        <w:widowControl/>
      </w:pPr>
      <w:r>
        <w:t xml:space="preserve">Die vorhandene Lüfterabschaltung ist ein gesonderter Entwicklungsmodus. Ihr RUN-Zustand verwendet 100 % Ansteuerung. Dieser Modus wird für den Methodenvergleich nicht verwendet, weil eine detektionsabhängige Abschaltung die anschließend erfassten Daten verändern würde. Die Messprogramme dokumentieren eine separat eingestellte PWM-Vorgabe, ohne dadurch einen Ausgang zu setzen. Seit der ausdrücklichen Übertragung übernimmt die Softwaresteuerung die angekündigten Zustandswechsel des Prüfstandes. Zwischenwerte werden über den vorhandenen Hardware-PWM-Kanal eingestellt. Konkreter Tastgrad, Einlaufphase und Aufnahmebeginn werden vor dem jeweiligen Versuch benannt. Während der Aufnahme bleibt der Steuerkontext geöffnet und hält seinen Lock; Sollwert und Pin-Funktion können ohne Stellbefehl zurückgelesen werden. Das Ende dieses Kontexts schaltet den Lüfter nicht automatisch um. Es erfolgen keine erkennungsabhängigen Zustandsänderungen. Direkte pinctrl- oder sysfs-Zugriffe fremder Programme beachten den Lock nicht zwangsläufig. Vor jedem Hardwarelauf werden deshalb konkurrierende Steuerungs- und Erfassungsprozesse erneut geprüft; eine einmalige Prozessprüfung schließt spätere Fremdzugriffe nicht aus.</w:t>
      </w:r>
    </w:p>
    <w:p>
      <w:pPr>
        <w:pStyle w:val="berschrift2"/>
        <w:numPr>
          <w:ilvl w:val="1"/>
          <w:numId w:val="1"/>
        </w:numPr>
        <w:ind w:left="576" w:hanging="576"/>
      </w:pPr>
      <w:bookmarkStart w:id="106" w:name="Implementation_39"/>
      <w:r>
        <w:t xml:space="preserve">Technische Prüfbelege und deren Grenzen</w:t>
      </w:r>
      <w:bookmarkEnd w:id="106"/>
    </w:p>
    <w:p>
      <w:pPr>
        <w:spacing w:after="120" w:line="300" w:lineRule="auto"/>
        <w:widowControl/>
      </w:pPr>
      <w:r>
        <w:t xml:space="preserve">Die vorhandenen Belege sind unter results/verification_20260909 und results/common_comparison_20260909 abgelegt. Sie dokumentieren Softwarekorrekturen und technische Entwicklungsversuche. Die erneute Bewertung der früheren Aufnahmen verändert diese Dateien nicht. Tabelle 6-5 trennt den jeweiligen Befund von einem noch fehlenden experimentellen Nachweis.</w:t>
      </w:r>
    </w:p>
    <w:p>
      <w:pPr>
        <w:pStyle w:val="Beschriftung"/>
        <w:keepNext/>
      </w:pPr>
      <w:bookmarkStart w:id="107" w:name="Table_6_5"/>
      <w:r>
        <w:rPr>
          <w:sz w:val="22"/>
        </w:rPr>
        <w:t xml:space="preserve">Tabelle 6-5: Vorhandene Entwicklungsbelege und offene Nachweise</w:t>
      </w:r>
      <w:bookmarkEnd w:id="107"/>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Prüfung</w:t>
            </w:r>
          </w:p>
        </w:tc>
        <w:tc>
          <w:tcPr>
            <w:tcW w:w="3350" w:type="dxa"/>
            <w:shd w:fill="E7E6E6" w:val="clear"/>
          </w:tcPr>
          <w:p>
            <w:pPr>
              <w:keepNext/>
              <w:spacing w:before="20" w:after="20" w:line="252" w:lineRule="auto"/>
            </w:pPr>
            <w:r>
              <w:rPr>
                <w:b/>
                <w:sz w:val="21"/>
              </w:rPr>
              <w:t xml:space="preserve">Nachgewiesener Umfang</w:t>
            </w:r>
          </w:p>
        </w:tc>
        <w:tc>
          <w:tcPr>
            <w:tcW w:w="3570" w:type="dxa"/>
            <w:shd w:fill="E7E6E6" w:val="clear"/>
          </w:tcPr>
          <w:p>
            <w:pPr>
              <w:keepNext/>
              <w:spacing w:before="20" w:after="20" w:line="252" w:lineRule="auto"/>
            </w:pPr>
            <w:r>
              <w:rPr>
                <w:b/>
                <w:sz w:val="21"/>
              </w:rPr>
              <w:t xml:space="preserve">Aussagegrenze</w:t>
            </w:r>
          </w:p>
        </w:tc>
      </w:tr>
      <w:tr>
        <w:trPr>
          <w:cantSplit/>
        </w:trPr>
        <w:tc>
          <w:tcPr>
            <w:tcW w:w="2150" w:type="dxa"/>
          </w:tcPr>
          <w:p>
            <w:pPr>
              <w:keepNext/>
              <w:spacing w:before="20" w:after="20" w:line="252" w:lineRule="auto"/>
            </w:pPr>
            <w:r>
              <w:rPr>
                <w:sz w:val="21"/>
              </w:rPr>
              <w:t xml:space="preserve">Software-Regression des ersten Durchlaufs</w:t>
            </w:r>
          </w:p>
        </w:tc>
        <w:tc>
          <w:tcPr>
            <w:tcW w:w="3350" w:type="dxa"/>
          </w:tcPr>
          <w:p>
            <w:pPr>
              <w:keepNext/>
              <w:spacing w:before="20" w:after="20" w:line="252" w:lineRule="auto"/>
            </w:pPr>
            <w:r>
              <w:rPr>
                <w:sz w:val="21"/>
              </w:rPr>
              <w:t xml:space="preserve">61 Tests und zwölf Untertests bestanden; Bericht software_tests_final_v2.xml</w:t>
            </w:r>
          </w:p>
        </w:tc>
        <w:tc>
          <w:tcPr>
            <w:tcW w:w="3570" w:type="dxa"/>
          </w:tcPr>
          <w:p>
            <w:pPr>
              <w:keepNext/>
              <w:spacing w:before="20" w:after="20" w:line="252" w:lineRule="auto"/>
            </w:pPr>
            <w:r>
              <w:rPr>
                <w:sz w:val="21"/>
              </w:rPr>
              <w:t xml:space="preserve">Keine mechanische Zustands- oder SNR-Bestätigung</w:t>
            </w:r>
          </w:p>
        </w:tc>
      </w:tr>
      <w:tr>
        <w:trPr>
          <w:cantSplit/>
        </w:trPr>
        <w:tc>
          <w:tcPr>
            <w:tcW w:w="2150" w:type="dxa"/>
          </w:tcPr>
          <w:p>
            <w:pPr>
              <w:keepNext/>
              <w:spacing w:before="20" w:after="20" w:line="252" w:lineRule="auto"/>
            </w:pPr>
            <w:r>
              <w:rPr>
                <w:sz w:val="21"/>
              </w:rPr>
              <w:t xml:space="preserve">FIFO-Sensorpilot</w:t>
            </w:r>
          </w:p>
        </w:tc>
        <w:tc>
          <w:tcPr>
            <w:tcW w:w="3350" w:type="dxa"/>
          </w:tcPr>
          <w:p>
            <w:pPr>
              <w:keepNext/>
              <w:spacing w:before="20" w:after="20" w:line="252" w:lineRule="auto"/>
            </w:pPr>
            <w:r>
              <w:rPr>
                <w:sz w:val="21"/>
              </w:rPr>
              <w:t xml:space="preserve">Neue FIFO-Einträge und Registerkonfiguration; im gespeicherten Pilot keine gesetzten Qualitätsflags</w:t>
            </w:r>
          </w:p>
        </w:tc>
        <w:tc>
          <w:tcPr>
            <w:tcW w:w="3570" w:type="dxa"/>
          </w:tcPr>
          <w:p>
            <w:pPr>
              <w:keepNext/>
              <w:spacing w:before="20" w:after="20" w:line="252" w:lineRule="auto"/>
            </w:pPr>
            <w:r>
              <w:rPr>
                <w:sz w:val="21"/>
              </w:rPr>
              <w:t xml:space="preserve">Damalige Randbedingungen nicht kontrolliert protokolliert</w:t>
            </w:r>
          </w:p>
        </w:tc>
      </w:tr>
      <w:tr>
        <w:trPr>
          <w:cantSplit/>
        </w:trPr>
        <w:tc>
          <w:tcPr>
            <w:tcW w:w="2150" w:type="dxa"/>
          </w:tcPr>
          <w:p>
            <w:pPr>
              <w:keepNext/>
              <w:spacing w:before="20" w:after="20" w:line="252" w:lineRule="auto"/>
            </w:pPr>
            <w:r>
              <w:rPr>
                <w:sz w:val="21"/>
              </w:rPr>
              <w:t xml:space="preserve">Fehler- und Abbruchproben</w:t>
            </w:r>
          </w:p>
        </w:tc>
        <w:tc>
          <w:tcPr>
            <w:tcW w:w="3350" w:type="dxa"/>
          </w:tcPr>
          <w:p>
            <w:pPr>
              <w:keepNext/>
              <w:spacing w:before="20" w:after="20" w:line="252" w:lineRule="auto"/>
            </w:pPr>
            <w:r>
              <w:rPr>
                <w:sz w:val="21"/>
              </w:rPr>
              <w:t xml:space="preserve">Absichtliche Lesepause als Überlauf erkannt; Teilaufnahme nach SIGTERM erhalten</w:t>
            </w:r>
          </w:p>
        </w:tc>
        <w:tc>
          <w:tcPr>
            <w:tcW w:w="3570" w:type="dxa"/>
          </w:tcPr>
          <w:p>
            <w:pPr>
              <w:keepNext/>
              <w:spacing w:before="20" w:after="20" w:line="252" w:lineRule="auto"/>
            </w:pPr>
            <w:r>
              <w:rPr>
                <w:sz w:val="21"/>
              </w:rPr>
              <w:t xml:space="preserve">Kein Stromausfalltest; keine genaue Verlustzählung</w:t>
            </w:r>
          </w:p>
        </w:tc>
      </w:tr>
      <w:tr>
        <w:trPr>
          <w:cantSplit/>
        </w:trPr>
        <w:tc>
          <w:tcPr>
            <w:tcW w:w="2150" w:type="dxa"/>
          </w:tcPr>
          <w:p>
            <w:pPr>
              <w:keepNext/>
              <w:spacing w:before="20" w:after="20" w:line="252" w:lineRule="auto"/>
            </w:pPr>
            <w:r>
              <w:rPr>
                <w:sz w:val="21"/>
              </w:rPr>
              <w:t xml:space="preserve">TFLite und Vergleichspipeline</w:t>
            </w:r>
          </w:p>
        </w:tc>
        <w:tc>
          <w:tcPr>
            <w:tcW w:w="3350" w:type="dxa"/>
          </w:tcPr>
          <w:p>
            <w:pPr>
              <w:keepNext/>
              <w:spacing w:before="20" w:after="20" w:line="252" w:lineRule="auto"/>
            </w:pPr>
            <w:r>
              <w:rPr>
                <w:sz w:val="21"/>
              </w:rPr>
              <w:t xml:space="preserve">Alte Profilartefakte reproduziert; gemeinsamer Validierungsvergleich vorbereitet</w:t>
            </w:r>
          </w:p>
        </w:tc>
        <w:tc>
          <w:tcPr>
            <w:tcW w:w="3570" w:type="dxa"/>
          </w:tcPr>
          <w:p>
            <w:pPr>
              <w:keepNext/>
              <w:spacing w:before="20" w:after="20" w:line="252" w:lineRule="auto"/>
            </w:pPr>
            <w:r>
              <w:rPr>
                <w:sz w:val="21"/>
              </w:rPr>
              <w:t xml:space="preserve">Keine unabhängige Testgüte der korrigierten Messkette</w:t>
            </w:r>
          </w:p>
        </w:tc>
      </w:tr>
      <w:tr>
        <w:trPr>
          <w:cantSplit/>
        </w:trPr>
        <w:tc>
          <w:tcPr>
            <w:tcW w:w="2150" w:type="dxa"/>
          </w:tcPr>
          <w:p>
            <w:pPr>
              <w:keepNext/>
              <w:spacing w:before="20" w:after="20" w:line="252" w:lineRule="auto"/>
            </w:pPr>
            <w:r>
              <w:rPr>
                <w:sz w:val="21"/>
              </w:rPr>
              <w:t xml:space="preserve">Kurzer Livepilot und Ressourcen-Replay</w:t>
            </w:r>
          </w:p>
        </w:tc>
        <w:tc>
          <w:tcPr>
            <w:tcW w:w="3350" w:type="dxa"/>
          </w:tcPr>
          <w:p>
            <w:pPr>
              <w:keepNext/>
              <w:spacing w:before="20" w:after="20" w:line="252" w:lineRule="auto"/>
            </w:pPr>
            <w:r>
              <w:rPr>
                <w:sz w:val="21"/>
              </w:rPr>
              <w:t xml:space="preserve">Technische Ausführung und Zeitinstrumentierung auf dem Pi geprüft</w:t>
            </w:r>
          </w:p>
        </w:tc>
        <w:tc>
          <w:tcPr>
            <w:tcW w:w="3570" w:type="dxa"/>
          </w:tcPr>
          <w:p>
            <w:pPr>
              <w:keepNext/>
              <w:spacing w:before="20" w:after="20" w:line="252" w:lineRule="auto"/>
            </w:pPr>
            <w:r>
              <w:rPr>
                <w:sz w:val="21"/>
              </w:rPr>
              <w:t xml:space="preserve">Kein abschließender Langzeit-, GUI- oder H2-Nachweis</w:t>
            </w:r>
          </w:p>
        </w:tc>
      </w:tr>
      <w:tr>
        <w:trPr>
          <w:cantSplit/>
        </w:trPr>
        <w:tc>
          <w:tcPr>
            <w:tcW w:w="2150" w:type="dxa"/>
          </w:tcPr>
          <w:p>
            <w:pPr>
              <w:keepNext/>
              <w:spacing w:before="20" w:after="20" w:line="252" w:lineRule="auto"/>
            </w:pPr>
            <w:r>
              <w:rPr>
                <w:sz w:val="21"/>
              </w:rPr>
              <w:t xml:space="preserve">Übernahme der Lüftersteuerung</w:t>
            </w:r>
          </w:p>
        </w:tc>
        <w:tc>
          <w:tcPr>
            <w:tcW w:w="3350" w:type="dxa"/>
          </w:tcPr>
          <w:p>
            <w:pPr>
              <w:keepNext/>
              <w:spacing w:before="20" w:after="20" w:line="252" w:lineRule="auto"/>
            </w:pPr>
            <w:r>
              <w:rPr>
                <w:sz w:val="21"/>
              </w:rPr>
              <w:t xml:space="preserve">GPIO18/physischer Pin 12 und RP1-Kanal geprüft; 0 % bei 25 kHz mit Funktion a3 gesetzt; Stillstand danach vom Nutzer visuell bestätigt</w:t>
            </w:r>
          </w:p>
        </w:tc>
        <w:tc>
          <w:tcPr>
            <w:tcW w:w="3570" w:type="dxa"/>
          </w:tcPr>
          <w:p>
            <w:pPr>
              <w:keepNext/>
              <w:spacing w:before="20" w:after="20" w:line="252" w:lineRule="auto"/>
            </w:pPr>
            <w:r>
              <w:rPr>
                <w:sz w:val="21"/>
              </w:rPr>
              <w:t xml:space="preserve">Keine gemessene Drehzahl oder elektrische Signalform; Steueranschluss und Montageort abschließend vom Nutzer bestätigt</w:t>
            </w:r>
          </w:p>
        </w:tc>
      </w:tr>
      <w:tr>
        <w:trPr>
          <w:cantSplit/>
        </w:trPr>
        <w:tc>
          <w:tcPr>
            <w:tcW w:w="2150" w:type="dxa"/>
          </w:tcPr>
          <w:p>
            <w:pPr>
              <w:keepNext/>
              <w:spacing w:before="20" w:after="20" w:line="252" w:lineRule="auto"/>
            </w:pPr>
            <w:r>
              <w:rPr>
                <w:sz w:val="21"/>
              </w:rPr>
              <w:t xml:space="preserve">Wiederverwendbarer PWM-Steuerweg</w:t>
            </w:r>
          </w:p>
        </w:tc>
        <w:tc>
          <w:tcPr>
            <w:tcW w:w="3350" w:type="dxa"/>
          </w:tcPr>
          <w:p>
            <w:pPr>
              <w:keepNext/>
              <w:spacing w:before="20" w:after="20" w:line="252" w:lineRule="auto"/>
            </w:pPr>
            <w:r>
              <w:rPr>
                <w:sz w:val="21"/>
              </w:rPr>
              <w:t xml:space="preserve">28 Backend- und 24 Adapterprüfungen bestanden; am Pi 0 % zurückgelesen und anschließend ausdrücklich freigegebene 25 % eingestellt und zurückgelesen</w:t>
            </w:r>
          </w:p>
        </w:tc>
        <w:tc>
          <w:tcPr>
            <w:tcW w:w="3570" w:type="dxa"/>
          </w:tcPr>
          <w:p>
            <w:pPr>
              <w:keepNext/>
              <w:spacing w:before="20" w:after="20" w:line="252" w:lineRule="auto"/>
            </w:pPr>
            <w:r>
              <w:rPr>
                <w:sz w:val="21"/>
              </w:rPr>
              <w:t xml:space="preserve">Keine Messung des elektrischen Signalverlaufs oder der Drehzahl</w:t>
            </w:r>
          </w:p>
        </w:tc>
      </w:tr>
      <w:tr>
        <w:trPr>
          <w:cantSplit/>
        </w:trPr>
        <w:tc>
          <w:tcPr>
            <w:tcW w:w="2150" w:type="dxa"/>
          </w:tcPr>
          <w:p>
            <w:pPr>
              <w:spacing w:before="20" w:after="20" w:line="252" w:lineRule="auto"/>
            </w:pPr>
            <w:r>
              <w:rPr>
                <w:sz w:val="21"/>
              </w:rPr>
              <w:t xml:space="preserve">Neue kontrollierte Stillstandsaufnahme</w:t>
            </w:r>
          </w:p>
        </w:tc>
        <w:tc>
          <w:tcPr>
            <w:tcW w:w="3350" w:type="dxa"/>
          </w:tcPr>
          <w:p>
            <w:pPr>
              <w:spacing w:before="20" w:after="20" w:line="252" w:lineRule="auto"/>
            </w:pPr>
            <w:r>
              <w:rPr>
                <w:sz w:val="21"/>
              </w:rPr>
              <w:t xml:space="preserve">30 s, 6.193 Werte; 0 Gap-, Overrun- und Sättigungsflags; maximale Hostlücke 7,104 ms</w:t>
            </w:r>
          </w:p>
        </w:tc>
        <w:tc>
          <w:tcPr>
            <w:tcW w:w="3570" w:type="dxa"/>
          </w:tcPr>
          <w:p>
            <w:pPr>
              <w:spacing w:before="20" w:after="20" w:line="252" w:lineRule="auto"/>
            </w:pPr>
            <w:r>
              <w:rPr>
                <w:sz w:val="21"/>
              </w:rPr>
              <w:t xml:space="preserve">Neue Hintergrundreferenz; noch kein Vergleich zum laufenden Lüfter und keine Trainingsaufnahme</w:t>
            </w:r>
          </w:p>
        </w:tc>
      </w:tr>
    </w:tbl>
    <w:p>
      <w:pPr>
        <w:spacing w:after="120" w:line="300" w:lineRule="auto" w:before="120"/>
        <w:widowControl/>
      </w:pPr>
      <w:r>
        <w:t xml:space="preserve">Nach Integration der PWM-Steuerung bestanden 113 Tests und zwölf Untertests. Die anschließende Prüfung der FFT-Eingangskontrolle erweiterte diesen Umfang auf 192 bestandene Tests und zwölf Untertests; davon entfallen 81 Tests auf FFT-Skalierung und Aufnahmeprüfung. Der aktuelle Bericht liegt unter results/hardware_confirmation_20260909/software_tests_final.xml. Die Steuerungsprüfungen verwenden temporäre Dateisystemmodelle und nachgebildete Pinrückmeldungen; die FFT-Prüfungen verwenden künstliche Zahlenfolgen. Diese Tests erzeugen weder Sensormessungen noch ein PWM-Signal am Prüfstand.</w:t>
      </w:r>
    </w:p>
    <w:p>
      <w:pPr>
        <w:spacing w:after="120" w:line="300" w:lineRule="auto"/>
        <w:widowControl/>
      </w:pPr>
      <w:r>
        <w:t xml:space="preserve">Der frühere Livepilot erzeugte mit alten Modellartefakten und ausdrücklich zugelassener Messratenabweichung ausschließlich ANOMALY-Entscheidungen. Diese Entscheidungen belegen weder Fehlererkennung noch Fehlalarme: Die Referenzmodelle gehörten zur früheren Messkette, und eine kontrollierte Zustandsreferenz fehlte. Auch die nachträgliche Ausschaltangabe beseitigt diese Einschränkungen nicht. H1–H3 bleiben bis zu den jeweils vorgesehenen unabhängigen Messungen unbestätigt.</w:t>
      </w:r>
    </w:p>
    <w:p>
      <w:pPr>
        <w:pStyle w:val="berschrift2"/>
        <w:numPr>
          <w:ilvl w:val="1"/>
          <w:numId w:val="1"/>
        </w:numPr>
        <w:ind w:left="576" w:hanging="576"/>
      </w:pPr>
      <w:bookmarkStart w:id="108" w:name="Implementation_45"/>
      <w:r>
        <w:t xml:space="preserve">Kontrollierte Pilotfolge und Vorbereitung der Evaluation</w:t>
      </w:r>
      <w:bookmarkEnd w:id="108"/>
    </w:p>
    <w:p>
      <w:pPr>
        <w:spacing w:after="120" w:line="300" w:lineRule="auto"/>
        <w:widowControl/>
      </w:pPr>
      <w:r>
        <w:t xml:space="preserve">Der Nutzer hat den Stillstand nach der softwareseitigen 0-%-Vorgabe visuell bestätigt. Mit der abschließenden Hardwareklärung sind GPIO18 als Steueranschluss und die Sensorbefestigung an einer Ecke des Lüfterrahmens festgelegt. Die nächste Messung verwendet diesen Aufbau; während der angekündigten Aufnahme bleiben Montage und Lüfterzustand unverändert. Zum Berichtsstand ist die Hardwarebeschreibung abgeschlossen. Die erste angekündigte 30-s-Stillstandsaufnahme wurde am 9. September 2026 ab 20:08:39 UTC mit der korrigierten FIFO-Erfassung und dem Zweck pilot durchgeführt. Sie bildet eine Hintergrundreferenz für die Messkettenprüfung und wird nicht als Normaltraining des laufenden Lüfters verwendet. Der anschließende Betriebspunkt von 25 % wurde angekündigt, vom Nutzer mit „Ja, bereit“ freigegeben und softwareseitig eingestellt. Dieser neu festgelegte Sollwert ist keine Ableitung aus der früheren Halbierung. Das Einschalten und Einstellen übernimmt die Softwaresteuerung. Als vorläufige Einlaufphase sind 30 s vorgesehen; die verstrichene Zeit allein beweist keinen stabilen Lauf. Während jeder Aufnahme bleiben Montage und Betriebspunkt unverändert. Nach mindestens 30 s Stabilisierung wartet die Betriebsaufnahme zum aktuellen Stand auf die Sichtbestätigung des tatsächlichen Lüfterlaufs; eine Drehzahlerfassung ist nicht vorhanden.</w:t>
      </w:r>
    </w:p>
    <w:p>
      <w:pPr>
        <w:spacing w:after="120" w:line="300" w:lineRule="auto"/>
        <w:widowControl/>
      </w:pPr>
      <w:r>
        <w:t xml:space="preserve">Die neue Stillstandsaufnahme enthält 6.193 Messvektoren. Bei nominell 200 Hz ODR beträgt der beobachtete FIFO-Durchsatz 206,480 Werte/s; diese Abweichung wird nicht durch eine Umbenennung oder Neuabtastung verdeckt. Die maximale Hostzeitdifferenz beträgt 7,104 ms, die maximale beobachtete FIFO-Füllung einen Eintrag. Es sind keine Lücken-, Überlauf- oder Sättigungsflags gesetzt. Der AC-RMS beträgt für X/Y/Z 0,006465/0,005462/0,009024 g. Der Betrag des Achsenmittelwertvektors beträgt 1,100864 g und wird ohne nachträgliche Offset- oder Skalierungskorrektur berichtet. Dies ist kein abgeschlossener Sensorkalibrierungsnachweis.</w:t>
      </w:r>
    </w:p>
    <w:p>
      <w:pPr>
        <w:spacing w:after="120" w:line="300" w:lineRule="auto"/>
        <w:widowControl/>
      </w:pPr>
      <w:r>
        <w:t xml:space="preserve">Die Stillstands-FFT verwendet 23 Hann-Segmente mit jeweils 512 Werten und 256 Werten Überlappung. Der Frequenzstützstellenabstand beträgt auf Grundlage des beobachteten Durchsatzes 0,403281 Hz. Die stärksten PSD-Stützstellen liegen für X/Y/Z bei 55,653/80,253/75,010 Hz; daraus werden keine Drehfrequenzen oder Fehlerursachen abgeleitet. Die Datei standstill_20260909_200838.csv liegt unter data/controlled_20260909. Aufnahmejournal, Steuerungsrücklesung, Qualitätsbericht und FFT liegen unter results/hardware_confirmation_20260909. Die ursprünglichen Aufnahmen bleiben unverändert.</w:t>
      </w:r>
    </w:p>
    <w:p>
      <w:pPr>
        <w:spacing w:after="120" w:line="300" w:lineRule="auto"/>
        <w:widowControl/>
      </w:pPr>
      <w:r>
        <w:t xml:space="preserve">Vor der FFT-Auswertung prüft die Software sämtliche benötigten Spalten, ausdrücklich bekannte fehlerfreie Qualitätsflags und alle endlichen Achswerte einschließlich eines nicht verwendeten Segmentrestes. Die Samplefolge muss lückenlos bei null beginnen; die Anzahl muss mit dem Aufnahmemanifest übereinstimmen. Host-Nanosekunden werden als ganze Zahlen ohne Zwischenkonvertierung in Gleitkommazahlen gelesen. Zusätzlich werden Zeitreihenfolge, FIFO-Zeitkapazität, positive endliche ODR und ganzzahlige Segmentlänge geprüft. Ungültige Eingaben werden vor dem Anlegen des Ergebnisordners zurückgewiesen. Diese Korrektur verhindert, dass unbekannte Qualitätsangaben als fehlerfreie Messung gelten oder ungültige Schlusswerte bereits geschriebene Teilergebnisse hinterlassen.</w:t>
      </w:r>
    </w:p>
    <w:p>
      <w:pPr>
        <w:spacing w:after="120" w:line="300" w:lineRule="auto"/>
        <w:widowControl/>
      </w:pPr>
      <w:r>
        <w:t xml:space="preserve">Stillstands- und Betriebsdaten werden auf Mittelwerte, AC-RMS, Wertebereiche, Frequenzanteile, beobachteten FIFO-Durchsatz, Hostzeitlücken und Qualitätsflags untersucht. Die FFT-Diagnose verwendet Hann-Fenster, Mittelwertentfernung und einseitige Leistungsdichten. Ihre Frequenzachse beruht auf dem beobachteten FIFO-Durchsatz unter der Annahme eines hinreichend stabilen Sensortaktes ohne unerkannten Verlust. Eine Spektralspitze wird ohne unabhängige Drehzahlmessung nicht als Drehfrequenz bezeichnet. Ein geringer Anteil nahe der Bandgrenze beweist keine Aliasingfreiheit.</w:t>
      </w:r>
    </w:p>
    <w:p>
      <w:pPr>
        <w:spacing w:after="120" w:line="300" w:lineRule="auto"/>
        <w:widowControl/>
      </w:pPr>
      <w:r>
        <w:t xml:space="preserve">Der Leistungsabstand zwischen Betrieb und Stillstand wird für ein dokumentiertes gemeinsames Frequenzband bestimmt. Das Verhältnis 10 log₁₀(P_B/P_S) beschreibt Betriebs- zu Stillstandsleistung. Die Stillstandsleistung enthält neben Sensorrauschen auch Umgebungsanregungen. Erst unter der zusätzlichen Annahme unveränderter, additiver und unkorrelierter Hintergrundanteile darf aus P_B−P_S bei positivem Unterschied ein Überschuss-SNR geschätzt werden. Eine solche Schätzung wird mit ihren Annahmen ausgewiesen und nicht als isolierte Sensoreigenrauschmessung bezeichnet.</w:t>
      </w:r>
    </w:p>
    <w:p>
      <w:pPr>
        <w:spacing w:after="120" w:line="300" w:lineRule="auto"/>
        <w:widowControl/>
      </w:pPr>
      <w:r>
        <w:t xml:space="preserve">Die endgültige Auswahl von ODR, Messbereich, Frequenzband, H/S und Aufnahmedauer erfolgt vor neuer Modellbildung anhand dieser Piloten. Null gesetzte Gap-, Overrun- und Sättigungsflags sind bereits technische Freigabekriterien. Weitere numerische Grenzen für Signaltrennung, Ratenschwankung und Drift sind noch offen. Sie müssen begründet und vor der abschließenden Testserie festgehalten werden. Falls Bandbreite oder Signalqualität nicht ausreichen, bleibt A1 offen. Ein erfolgreiches Training würde diesen fehlenden Nachweis nicht ersetzen.</w:t>
      </w:r>
    </w:p>
    <w:p>
      <w:pPr>
        <w:spacing w:after="120" w:line="300" w:lineRule="auto"/>
        <w:widowControl/>
      </w:pPr>
      <w:r>
        <w:t xml:space="preserve">Der vorbereitete Versuchsplan sieht zunächst sechs normale Trainings- und zwei normale Validierungsaufnahmen mit jeweils 60 s als Vorschlag vor. Diese Planwerte sind keine bereits erhobenen Daten und werden nach der Pilotprüfung festgelegt. Aufnahme und Training können mit record-only und train-only getrennt ausgeführt werden. Erst danach wird das gemeinsame RMS-/Isolation-Forest-/TFLite-Bundle erzeugt und vor den unabhängigen Tests eingefroren. Konkrete Anomaliezustände, ihre reproduzierbare Herstellung und Rücksetzung sowie Zahl und Reihenfolge der Testwiederholungen sind vor der Testphase zu dokumentieren.</w:t>
      </w:r>
    </w:p>
    <w:p>
      <w:pPr>
        <w:spacing w:after="120" w:line="300" w:lineRule="auto"/>
        <w:widowControl/>
      </w:pPr>
      <w:r>
        <w:t xml:space="preserve">Für den zweiten normalen Betriebspunkt werden dieselben Modelle, dieselbe Skalierung und sämtliche Schwellen unverändert verwendet. Er bleibt normale Klasse und erhält eine eigene Zustandskennung. Ein separat trainiertes zweites Profil beantwortet FF4 nicht. Die späteren Kennzahlen werden insgesamt, je Zustand und je Aufnahme ausgewertet; Fenster derselben Aufnahme gelten nicht als unabhängige Wiederholungen. Kapitel 7 erhält Evaluationsergebnisse erst nach den entsprechenden Messungen. Der detaillierte Ablauf und die offenen Entscheidungen sind in versuchsplan_kontrolliert_20260909.md dokumentiert.</w:t>
      </w:r>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bookmarkStart w:id="110" w:name="ChapterRef_110"/>
          <w:r w:rsidRPr="00090EA6">
            <w:t>Literaturverzeichnis</w:t>
          </w:r>
          <w:bookmarkEnd w:id="94"/>
          <w:bookmarkEnd w:id="93"/>
          <w:bookmarkEnd w:id="110"/>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