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w:t>
          </w:r>
          <w:r>
            <w:fldChar w:fldCharType="end"/>
          </w:r>
        </w:p>
        <w:p>
          <w:pPr>
            <w:pStyle w:val="Verzeichnis2"/>
            <w:tabs>
              <w:tab w:val="right" w:leader="dot" w:pos="9070"/>
            </w:tabs>
            <w:spacing w:after="70" w:line="240" w:lineRule="auto"/>
            <w:ind w:left="220"/>
          </w:pPr>
          <w:hyperlink w:anchor="Implementation_35">
            <w:r>
              <w:rPr>
                <w:sz w:val="22"/>
              </w:rPr>
              <w:t xml:space="preserve">6.5 Liveverarbeitung und Ressourceninstrumentierung</w:t>
            </w:r>
          </w:hyperlink>
          <w:r>
            <w:tab/>
          </w:r>
          <w:r>
            <w:fldChar w:fldCharType="begin"/>
          </w:r>
          <w:r>
            <w:instrText xml:space="preserve"> PAGEREF Implementation_35 \h </w:instrText>
          </w:r>
          <w:r>
            <w:fldChar w:fldCharType="separate"/>
          </w:r>
          <w:r>
            <w:t>?</w:t>
          </w:r>
          <w:r>
            <w:fldChar w:fldCharType="end"/>
          </w:r>
        </w:p>
        <w:p>
          <w:pPr>
            <w:pStyle w:val="Verzeichnis2"/>
            <w:tabs>
              <w:tab w:val="right" w:leader="dot" w:pos="9070"/>
            </w:tabs>
            <w:spacing w:after="70" w:line="240" w:lineRule="auto"/>
            <w:ind w:left="220"/>
          </w:pPr>
          <w:hyperlink w:anchor="Implementation_40">
            <w:r>
              <w:rPr>
                <w:sz w:val="22"/>
              </w:rPr>
              <w:t xml:space="preserve">6.6 Technische Prüfbelege und deren Grenzen</w:t>
            </w:r>
          </w:hyperlink>
          <w:r>
            <w:tab/>
          </w:r>
          <w:r>
            <w:fldChar w:fldCharType="begin"/>
          </w:r>
          <w:r>
            <w:instrText xml:space="preserve"> PAGEREF Implementation_40 \h </w:instrText>
          </w:r>
          <w:r>
            <w:fldChar w:fldCharType="separate"/>
          </w:r>
          <w:r>
            <w:t>?</w:t>
          </w:r>
          <w:r>
            <w:fldChar w:fldCharType="end"/>
          </w:r>
        </w:p>
        <w:p>
          <w:pPr>
            <w:pStyle w:val="Verzeichnis2"/>
            <w:tabs>
              <w:tab w:val="right" w:leader="dot" w:pos="9070"/>
            </w:tabs>
            <w:spacing w:after="70" w:line="240" w:lineRule="auto"/>
            <w:ind w:left="220"/>
          </w:pPr>
          <w:hyperlink w:anchor="Implementation_46">
            <w:r>
              <w:rPr>
                <w:sz w:val="22"/>
              </w:rPr>
              <w:t xml:space="preserve">6.7 Kontrollierte Pilotfolge und Vorbereitung der Evaluation</w:t>
            </w:r>
          </w:hyperlink>
          <w:r>
            <w:tab/>
          </w:r>
          <w:r>
            <w:fldChar w:fldCharType="begin"/>
          </w:r>
          <w:r>
            <w:instrText xml:space="preserve"> PAGEREF Implementation_46 \h </w:instrText>
          </w:r>
          <w:r>
            <w:fldChar w:fldCharType="separate"/>
          </w:r>
          <w:r>
            <w:t>?</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GPIO18 = physischer Pin 12, Funktion a3; 25 kHz; zwei Betriebsaufnahmen bei 25 %; anschließend 0 % zurückgelesen</w:t>
            </w:r>
          </w:p>
        </w:tc>
        <w:tc>
          <w:tcPr>
            <w:tcW w:w="3570" w:type="dxa"/>
          </w:tcPr>
          <w:p>
            <w:pPr>
              <w:keepNext/>
              <w:spacing w:before="20" w:after="20" w:line="252" w:lineRule="auto"/>
            </w:pPr>
            <w:r>
              <w:rPr>
                <w:sz w:val="21"/>
              </w:rPr>
              <w:t xml:space="preserve">Frühere Halbierung und elektrischer Signalverlauf bleiben unbelegt; nach erneutem Ausschalten ist der mechanische Stillstand gesondert zu bestätigen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die 0-%-Vorgabe zunächst ausschließlich lesend geprüft. Nach dem kontrollierten Stillstandspiloten und ausdrücklicher Bereitschaftsbestätigung stellte das Modul am 9. September 2026 um 20:11:58 UTC den Betriebspunkt von 25 % ein. Die Rücklesung bestätigte 10.000 ns Tastzeit bei 40.000 ns Periode, aktivierten Kanal und die Hardware-PWM-Pinfunktion. Dieser Befund bestätigt den Stellweg; er misst keine Drehzahl und keinen elektrischen Signalverlauf.</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Nominell 200 Hz</w:t>
            </w:r>
          </w:p>
        </w:tc>
        <w:tc>
          <w:tcPr>
            <w:tcW w:w="3570" w:type="dxa"/>
          </w:tcPr>
          <w:p>
            <w:pPr>
              <w:keepNext/>
              <w:spacing w:before="20" w:after="20" w:line="252" w:lineRule="auto"/>
            </w:pPr>
            <w:r>
              <w:rPr>
                <w:sz w:val="21"/>
              </w:rPr>
              <w:t xml:space="preserve">Beobachteter Durchsatz der Piloten 206,480–206,863 Werte/s;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geprüft; keine Sättigungsflags in den bisherigen Piloten, Reserve für spätere Anomalieversuche noch unbewiesen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Eine ergänzende Integritätsprüfung in common_comparison.py vergleicht den Hash des JSON-Begleitprotokolls mit dem im Profil gespeicherten metadata_sha256, bevor dessen Zustandsangabe übernommen wird. Ist dieser Hash im Profil angegeben, führen ein abweichendes oder fehlendes Begleitprotokoll zur Zurückweisung der Aufnahme. Wenn das Profil eine geprüfte Messkette beansprucht, ist der Begleitprotokollhash verpflichtend; ohne diese Bindung erhält das Bundle nicht den Status verified. Diese Prüfung sichert die Zuordnung vorhandener Dateien. Sie ersetzt keinen physikalischen Nachweis der Messketteneignung.</w:t>
      </w:r>
    </w:p>
    <w:p>
      <w:pPr>
        <w:spacing w:after="120" w:line="300" w:lineRule="auto"/>
        <w:widowControl/>
      </w:pPr>
      <w:r>
        <w:t xml:space="preserve">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5"/>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40"/>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keepNext/>
              <w:spacing w:before="20" w:after="20" w:line="252" w:lineRule="auto"/>
            </w:pPr>
            <w:r>
              <w:rPr>
                <w:sz w:val="21"/>
              </w:rPr>
              <w:t xml:space="preserve">Wiederverwendbarer PWM-Steuerweg</w:t>
            </w:r>
          </w:p>
        </w:tc>
        <w:tc>
          <w:tcPr>
            <w:tcW w:w="3350" w:type="dxa"/>
          </w:tcPr>
          <w:p>
            <w:pPr>
              <w:keepNext/>
              <w:spacing w:before="20" w:after="20" w:line="252" w:lineRule="auto"/>
            </w:pPr>
            <w:r>
              <w:rPr>
                <w:sz w:val="21"/>
              </w:rPr>
              <w:t xml:space="preserve">28 Backend- und 24 Adapterprüfungen bestanden; am Pi 0 % zurückgelesen und anschließend ausdrücklich freigegebene 25 % eingestellt und zurückgelesen</w:t>
            </w:r>
          </w:p>
        </w:tc>
        <w:tc>
          <w:tcPr>
            <w:tcW w:w="3570" w:type="dxa"/>
          </w:tcPr>
          <w:p>
            <w:pPr>
              <w:keepNext/>
              <w:spacing w:before="20" w:after="20" w:line="252" w:lineRule="auto"/>
            </w:pPr>
            <w:r>
              <w:rPr>
                <w:sz w:val="21"/>
              </w:rPr>
              <w:t xml:space="preserve">Keine Messung des elektrischen Signalverlaufs oder der Drehzahl</w:t>
            </w:r>
          </w:p>
        </w:tc>
      </w:tr>
      <w:tr>
        <w:trPr>
          <w:cantSplit/>
        </w:trPr>
        <w:tc>
          <w:tcPr>
            <w:tcW w:w="2150" w:type="dxa"/>
          </w:tcPr>
          <w:p>
            <w:pPr>
              <w:spacing w:before="20" w:after="20" w:line="252" w:lineRule="auto"/>
            </w:pPr>
            <w:r>
              <w:rPr>
                <w:sz w:val="21"/>
              </w:rPr>
              <w:t xml:space="preserve">Neue kontrollierte Pilotaufnahmen</w:t>
            </w:r>
          </w:p>
        </w:tc>
        <w:tc>
          <w:tcPr>
            <w:tcW w:w="3350" w:type="dxa"/>
          </w:tcPr>
          <w:p>
            <w:pPr>
              <w:spacing w:before="20" w:after="20" w:line="252" w:lineRule="auto"/>
            </w:pPr>
            <w:r>
              <w:rPr>
                <w:sz w:val="21"/>
              </w:rPr>
              <w:t xml:space="preserve">Je 30 s: Stillstand mit 6.193 Werten sowie Betrieb und Wiederholung bei 25 % mit jeweils 6.205 Werten; keine gesetzten Lücken-, Überlauf- oder Sättigungsflags</w:t>
            </w:r>
          </w:p>
        </w:tc>
        <w:tc>
          <w:tcPr>
            <w:tcW w:w="3570" w:type="dxa"/>
          </w:tcPr>
          <w:p>
            <w:pPr>
              <w:spacing w:before="20" w:after="20" w:line="252" w:lineRule="auto"/>
            </w:pPr>
            <w:r>
              <w:rPr>
                <w:sz w:val="21"/>
              </w:rPr>
              <w:t xml:space="preserve">Technische Erfassung positiv; schwache Trennung im ersten Paar, nachfolgende Stillstandsreferenz noch ausstehend; keine Trainingsfreigabe</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Mit den ergänzenden Integritätsprüfungen bestanden anschließend 200 Tests und zwölf Untertests. Der aktuelle Bericht liegt unter results/operating_confirmation_20260909/software_tests_final.xml. Die Steuerungsprüfungen verwenden temporäre Dateisystemmodelle und nachgebildete Pinrückmeldungen; die FFT-Prüfungen verwenden künstliche Zahlenfolgen. Die neuen Integritätstests prüfen insbesondere veränderte, fehlende oder nicht durch Profilhashes gebundene Aufnahmeprotokolle.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6"/>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Hardwarebeschreibung ist damit abgeschlossen. Die erste angekündigte 30-s-Stillstandsaufnahme, im Folgenden S0, wurde am 9. September 2026 ab 20:08:39 UTC mit der korrigierten FIFO-Erfassung und dem Zweck pilot durchgeführt. Sie bildet eine Hintergrundreferenz für die Messkettenprüfung und wird nicht als Normaltraining des laufenden Lüfters verwendet.</w:t>
      </w:r>
    </w:p>
    <w:p>
      <w:pPr>
        <w:spacing w:after="120" w:line="300" w:lineRule="auto"/>
        <w:widowControl/>
      </w:pPr>
      <w:r>
        <w:t xml:space="preserve">Der anschließende Betriebspunkt von 25 % wurde angekündigt, vom Nutzer mit „Ja, bereit“ freigegeben und um 20:11:58 UTC softwareseitig eingestellt. Dieser neu festgelegte Sollwert ist keine Ableitung aus der früheren Halbierung. Nach der Bestätigung eines sichtbar gleichmäßigen Lüfterlaufs und unveränderter Montage begann die erste 30-s-Betriebsaufnahme B1 um 20:24:35 UTC. Die tatsächlich verstrichene Einlaufzeit betrug 756,907 s; die vorgesehene Mindestzeit von 30 s wurde somit überschritten. Die längere Wartezeit entstand vor dem bestätigten Aufnahmebeginn und ist keine Messung einer Drehzahlstabilisierung. Die Hardware-PWM-Rücklesungen vor und nach der Aufnahme zeigten unveränderte 25 % bei 25 kHz. Während der Erfassung erfolgte kein Stellbefehl und keine erkennungsabhängige Änderung. Eine unabhängige Drehzahlmessung liegt nicht vor.</w:t>
      </w:r>
    </w:p>
    <w:p>
      <w:pPr>
        <w:spacing w:after="120" w:line="300" w:lineRule="auto"/>
        <w:widowControl/>
      </w:pPr>
      <w:r>
        <w:t xml:space="preserve">Die neue Stillstandsaufnahme enthält 6.193 Messvektoren. Bei nominell 200 Hz ODR beträgt der beobachtete FIFO-Durchsatz 206,480 Werte/s; diese Abweichung wird nicht durch eine Umbenennung oder Neuabtastung verdeckt. Die maximale Hostzeitdifferenz beträgt 7,104 ms, die maximale beobachtete FIFO-Füllung einen Eintrag. Es sind keine Lücken-, Überlauf- oder Sättigungsflags gesetzt. Der AC-RMS beträgt für X/Y/Z 0,006465/0,005462/0,009024 g. Der Betrag des Achsenmittelwertvektors beträgt 1,100864 g und wird ohne nachträgliche Offset- oder Skalierungskorrektur berichtet. Dies ist kein abgeschlossener Sensorkalibrierungsnachweis.</w:t>
      </w:r>
    </w:p>
    <w:p>
      <w:pPr>
        <w:spacing w:after="120" w:line="300" w:lineRule="auto"/>
        <w:widowControl/>
      </w:pPr>
      <w:r>
        <w:t xml:space="preserve">Die Stillstands-FFT verwendet 23 Hann-Segmente mit jeweils 512 Werten und 256 Werten Überlappung. Der Frequenzstützstellenabstand beträgt auf Grundlage des beobachteten Durchsatzes 0,403281 Hz. Die stärksten PSD-Stützstellen liegen für X/Y/Z bei 55,653/80,253/75,010 Hz; daraus werden keine Drehfrequenzen oder Fehlerursachen abgeleitet. Die Datei standstill_20260909_200838.csv liegt unter data/controlled_20260909. Aufnahmejournal, Steuerungsrücklesung, Qualitätsbericht und FFT liegen unter results/hardware_confirmation_20260909. Die ursprünglichen Aufnahmen bleiben unverändert.</w:t>
      </w:r>
    </w:p>
    <w:p>
      <w:pPr>
        <w:spacing w:after="120" w:line="300" w:lineRule="auto"/>
        <w:widowControl/>
      </w:pPr>
      <w:r>
        <w:t xml:space="preserve">B1 enthält 6.205 Messvektoren bei einem beobachteten FIFO-Durchsatz von 206,847 Werten/s. Die größte Hostzeitdifferenz beträgt 6,009 ms; die maximale beobachtete FIFO-Füllung beträgt einen Eintrag. Die Sampleindizes sind lückenlos, und es sind keine Lücken-, Überlauf- oder Sättigungsflags gesetzt. Der AC-RMS beträgt für X/Y/Z 0,006860/0,005926/0,009455 g. Der Vektor-AC-RMS steigt von 0,012371 g in S0 auf 0,013099 g in B1. Die Werte der sechs aufeinanderfolgenden 5-s-Abschnitte überlappen jedoch: 0,011902–0,012959 g im Stillstand und 0,012789–0,013715 g im Betrieb. Im Stillstand sinkt der Abschnittskennwert vom ersten zum letzten Abschnitt. Die geringe Leistungszunahme allein belegt deshalb keine belastbare allgemeine Trennung des Lüftersignals vom zeitlich veränderlichen Hintergrund.</w:t>
      </w:r>
    </w:p>
    <w:p>
      <w:pPr>
        <w:spacing w:after="120" w:line="300" w:lineRule="auto"/>
        <w:widowControl/>
      </w:pPr>
      <w:r>
        <w:t xml:space="preserve">Die Paaranalyse verwendet dieselbe PSD-Methode für beide Dateien und integriert an gemeinsamen exakten Bandgrenzen mit linearer Interpolation und Trapezregel. Für die summierte XYZ-Leistung ergibt sich im diagnostischen Band 1–90 Hz ein Verhältnis Betrieb zu Stillstand von 0,510 dB; im Band 5–80 Hz beträgt es 0,592 dB. Die nur unter den Annahmen unveränderter, additiver und unkorrelierter Hintergrundleistung berechneten Überschuss-SNR-Werte betragen −9,042 beziehungsweise −8,353 dB. Das Paar weist diese Annahmen nicht nach. Die Zahlen sind daher weder unabhängig gemessene Lüfter-SNR-Werte noch vorab festgelegte Akzeptanzgrenzen. Ergebnisse und Grafiken stehen unter results/paired_pilots_20260909.</w:t>
      </w:r>
    </w:p>
    <w:p>
      <w:pPr>
        <w:spacing w:after="120" w:line="300" w:lineRule="auto"/>
        <w:widowControl/>
      </w:pPr>
      <w:r>
        <w:t xml:space="preserve">Eine explorative Prüfung findet bei B1 wiederkehrende Spektralkandidaten auf X bei etwa 54,54 und 71,51 Hz. Ein Kandidat auf Y bei 23,03 Hz ist dagegen vor allem im Abschnitt 10–15 s erhöht. Diese Kandidaten wurden aus derselben Aufnahme ausgewählt, in der ihre zeitliche Verteilung anschließend untersucht wurde. Sie sind keine unabhängige Bestätigung oder Signifikanzprüfung und werden keiner Rotation oder Blattfolge zugeordnet. Je nach Achse liegen rund 17–19 % der PSD-Summe in den obersten 20 % des einseitigen Frequenzbereichs. Daraus folgt kein Nachweis von Aliasfreiheit oder eines geeigneten Nutzbandes.</w:t>
      </w:r>
    </w:p>
    <w:p>
      <w:pPr>
        <w:spacing w:after="120" w:line="300" w:lineRule="auto"/>
        <w:widowControl/>
      </w:pPr>
      <w:r>
        <w:t xml:space="preserve">Zur Wiederholungsprüfung wurde bei weiterhin vorgegebenen 25 % eine weitere 30-s-Betriebsaufnahme ab 20:32:10 UTC durchgeführt. Diese Wiederholung B1-W enthält ebenfalls 6.205 Messvektoren. Der beobachtete FIFO-Durchsatz beträgt 206,863 Werte/s, die größte Hostzeitdifferenz 6,057 ms und die maximale FIFO-Füllung einen Eintrag; Lücken-, Überlauf- und Sättigungsflags sind nicht gesetzt. Die Rücklesungen vor und nach der Aufnahme bestätigen dieselbe PWM-Vorgabe und Pinfunktion. Erst nach Aufnahmeende wurde der angekündigte Stellbefehl auf 0 % ausgeführt und um 20:32:40 UTC als abgeschlossen protokolliert. Nach zehn Sekunden Auslaufwartezeit zeigte die Rücklesung weiterhin 0 %. Der erneute mechanische Stillstand ist zum Berichtsstand noch durch Sichtbeobachtung zu bestätigen, bevor die nachfolgende Stillstandsreferenz S1 beginnt.</w:t>
      </w:r>
    </w:p>
    <w:p>
      <w:pPr>
        <w:spacing w:after="120" w:line="300" w:lineRule="auto"/>
        <w:widowControl/>
      </w:pPr>
      <w:r>
        <w:t xml:space="preserve">Der Vektor-AC-RMS von B1-W beträgt 0,012954 g; seine 5-s-Abschnitte reichen von 0,012404 bis 0,013991 g und überlappen damit ebenfalls die Variation von S0. Gegenüber S0 beträgt das summierte XYZ-Leistungsverhältnis 0,347 dB im Band 1–90 Hz und 0,371 dB im Band 5–80 Hz. Der bei B1 ausgewählte X-Kandidat um 71,51 Hz kehrt im unveränderten Diagnoseband von ±0,8 Hz wieder: Das Verhältnis zu S0 beträgt 3,382 dB für B1 und 4,102 dB für B1-W; in allen sechs Abschnitten der Wiederholung liegt es zwischen 2,127 und 6,044 dB. Der X-Kandidat um 54,54 Hz ist schwächer und nicht durchgängig erhöht. Die episodische Erhöhung auf Y bei 23,03 Hz wiederholt sich nicht in gleicher Weise. Diese Befunde unterscheiden einen wiederkehrenden Spektralkandidaten von der insgesamt geringen Leistungszunahme. Sie sind weiterhin keine Drehzahlzuordnung oder vorab festgelegte Akzeptanzprüfung. Die vollständige Dreifachauswertung liegt unter results/paired_pilots_20260909/repeat_bracketing.</w:t>
      </w:r>
    </w:p>
    <w:p>
      <w:pPr>
        <w:spacing w:after="120" w:line="300" w:lineRule="auto"/>
        <w:widowControl/>
      </w:pPr>
      <w:r>
        <w:t xml:space="preserve">S1 soll nun prüfen, ob sich der Hintergrund nach den beiden Betriebsaufnahmen verändert hat. Ohne diese nachfolgende Referenz bleibt die Auswertung vorläufig. Die technische Erfassungsqualität ist positiv dokumentiert, während Nutzband, Hintergrundstabilität und allgemeine Signaltrennung noch nicht abschließend nachgewiesen sind. Eine negative bedingte Überschuss-SNR-Schätzung beweist dabei nicht die Abwesenheit eines Lüftersignals. Aus den bisherigen Piloten wird keine Trainingsfreigabe abgeleitet.</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Der vorbereitete Ablauf unter results/operating_confirmation_20260909 hält measurement_chain_verified bis zur dokumentierten Parameterentscheidung auf false. train-only prüft die gespeicherten Aufnahmebelege erneut, enthält derzeit aber keine automatische Sperre anhand eines physikalischen Parameterentscheids; der Arbeitsablauf verhindert den Trainingsaufruf vor dessen Freigabe.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