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t>Zusammenfassung</w:t>
      </w:r>
    </w:p>
    <w:p>
      <w:pPr>
        <w:pStyle w:val="Normal"/>
        <w:rPr/>
      </w:pPr>
      <w:r>
        <w:rPr/>
        <w:t>Diese Arbeit untersucht einen lokalen Methodenvergleich zur normalitätsbasierten Anomalieerkennung an einem Lüfterprüfstand. Ein ADXL345 erfasst dreiachsige Beschleunigungen; ein Raspberry Pi 5 verarbeitet identische, nicht überlappende Fenster mit 128 XYZ-Punkten. Verglichen werden eine RMS-Schwelle auf standardisierten Werten, Isolation Forest und ein TFLite-Autoencoder. Vollständige Aufnahmen sind Training, Validierung oder Test zugeordnet. Modelle, Skalierung und Schwellen bleiben in den unabhängigen Tests unverändert.</w:t>
      </w:r>
    </w:p>
    <w:p>
      <w:pPr>
        <w:pStyle w:val="Normal"/>
        <w:rPr/>
      </w:pPr>
      <w:r>
        <w:rPr/>
        <w:t>Die kontrollierte Testfolge umfasst Normalbetrieb, eine äußere Luftstromveränderung durch eine separat befestigte Platte und eine normale Rückkehrreferenz bei 75 % PWM. Bewertet wird jeweils der vorab festgelegte Abschnitt [180,300) s einer 300-s-Aufnahme. Von 194 gültigen Fenstern des veränderten Zustands markieren RMS sieben, Isolation Forest vier und der Autoencoder keines. Die F1-Werte der vollständigen Folge betragen 6,93 %, 4,04 % und 0 %. Die erwartete Überlegenheit des Autoencoders ist in dieser Folge nicht bestätigt. Zusätzliche Normaltests bei 50 % PWM zeigen methoden- und aufnahmeabhängige Fehlalarme.</w:t>
      </w:r>
    </w:p>
    <w:p>
      <w:pPr>
        <w:pStyle w:val="Normal"/>
        <w:rPr/>
      </w:pPr>
      <w:r>
        <w:rPr/>
        <w:t>In der getrennten Laufzeitprüfung liegt das empirische P99 der gesamten Verarbeitungslatenz im Sensorbetrieb je nach Methode und Lauf zwischen 6,113 und 28,577 ms; das beobachtete Fensterintervall beträgt etwa 618 ms. Die Studie belegt damit die lokale Ausführbarkeit im gemessenen Umfang, jedoch keine zuverlässige Erkennung der untersuchten Luftstromänderung. Eine einzige unabhängige veränderte Aufnahme, die ungemessene Drehzahl und die nicht unabhängig geklärte Abweichung zwischen nominell 200 Hz und etwa 207 XYZ/s begrenzen die Aussagekraft. Der Abschluss erfolgt als Pilotstudie mit erhaltenen negativen Ergebnissen und ausdrücklich offenen Nachweisen.</w:t>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42803_554761375">
            <w:r>
              <w:rPr>
                <w:webHidden/>
                <w:rStyle w:val="IndexLink"/>
              </w:rPr>
              <w:t>Zusammenfassung</w:t>
              <w:tab/>
              <w:t>ii</w:t>
            </w:r>
          </w:hyperlink>
        </w:p>
        <w:p>
          <w:pPr>
            <w:pStyle w:val="TOC1"/>
            <w:tabs>
              <w:tab w:val="clear" w:pos="708"/>
              <w:tab w:val="right" w:pos="9071" w:leader="dot"/>
            </w:tabs>
            <w:rPr/>
          </w:pPr>
          <w:hyperlink w:anchor="__RefHeading___Toc14072_535938422">
            <w:r>
              <w:rPr>
                <w:webHidden/>
                <w:rStyle w:val="IndexLink"/>
              </w:rPr>
              <w:t>Abbildungsverzeichnis</w:t>
              <w:tab/>
              <w:t>v</w:t>
            </w:r>
          </w:hyperlink>
        </w:p>
        <w:p>
          <w:pPr>
            <w:pStyle w:val="TOC1"/>
            <w:tabs>
              <w:tab w:val="clear" w:pos="708"/>
              <w:tab w:val="right" w:pos="9071" w:leader="dot"/>
            </w:tabs>
            <w:rPr/>
          </w:pPr>
          <w:hyperlink w:anchor="__RefHeading___Toc14074_535938422">
            <w:r>
              <w:rPr>
                <w:webHidden/>
                <w:rStyle w:val="IndexLink"/>
              </w:rPr>
              <w:t>Tabellenverzeichnis</w:t>
              <w:tab/>
              <w:t>vi</w:t>
            </w:r>
          </w:hyperlink>
        </w:p>
        <w:p>
          <w:pPr>
            <w:pStyle w:val="TOC1"/>
            <w:tabs>
              <w:tab w:val="clear" w:pos="708"/>
              <w:tab w:val="right" w:pos="9071" w:leader="dot"/>
            </w:tabs>
            <w:rPr/>
          </w:pPr>
          <w:hyperlink w:anchor="__RefHeading___Toc14076_535938422">
            <w:r>
              <w:rPr>
                <w:webHidden/>
                <w:rStyle w:val="IndexLink"/>
              </w:rPr>
              <w:t>Abkürzungsverzeichnis</w:t>
              <w:tab/>
              <w:t>vii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10</w:t>
            </w:r>
          </w:hyperlink>
        </w:p>
        <w:p>
          <w:pPr>
            <w:pStyle w:val="TOC2"/>
            <w:tabs>
              <w:tab w:val="clear" w:pos="708"/>
              <w:tab w:val="right" w:pos="9071" w:leader="dot"/>
            </w:tabs>
            <w:rPr/>
          </w:pPr>
          <w:hyperlink w:anchor="__RefHeading___Toc14128_535938422">
            <w:r>
              <w:rPr>
                <w:webHidden/>
                <w:rStyle w:val="IndexLink"/>
              </w:rPr>
              <w:t>4.1 Messdaten und Vergleichsbasis</w:t>
              <w:tab/>
              <w:t>10</w:t>
            </w:r>
          </w:hyperlink>
        </w:p>
        <w:p>
          <w:pPr>
            <w:pStyle w:val="TOC2"/>
            <w:tabs>
              <w:tab w:val="clear" w:pos="708"/>
              <w:tab w:val="right" w:pos="9071" w:leader="dot"/>
            </w:tabs>
            <w:rPr/>
          </w:pPr>
          <w:hyperlink w:anchor="__RefHeading___Toc14130_535938422">
            <w:r>
              <w:rPr>
                <w:webHidden/>
                <w:rStyle w:val="IndexLink"/>
              </w:rPr>
              <w:t>4.2 Lokale Verarbeitung und Zeitverhalten</w:t>
              <w:tab/>
              <w:t>10</w:t>
            </w:r>
          </w:hyperlink>
        </w:p>
        <w:p>
          <w:pPr>
            <w:pStyle w:val="TOC2"/>
            <w:tabs>
              <w:tab w:val="clear" w:pos="708"/>
              <w:tab w:val="right" w:pos="9071" w:leader="dot"/>
            </w:tabs>
            <w:rPr/>
          </w:pPr>
          <w:hyperlink w:anchor="__RefHeading___Toc14132_535938422">
            <w:r>
              <w:rPr>
                <w:webHidden/>
                <w:rStyle w:val="IndexLink"/>
              </w:rPr>
              <w:t>4.3 Evaluation</w:t>
              <w:tab/>
              <w:t>11</w:t>
            </w:r>
          </w:hyperlink>
        </w:p>
        <w:p>
          <w:pPr>
            <w:pStyle w:val="TOC2"/>
            <w:tabs>
              <w:tab w:val="clear" w:pos="708"/>
              <w:tab w:val="right" w:pos="9071" w:leader="dot"/>
            </w:tabs>
            <w:rPr/>
          </w:pPr>
          <w:hyperlink w:anchor="__RefHeading___Toc14134_535938422">
            <w:r>
              <w:rPr>
                <w:webHidden/>
                <w:rStyle w:val="IndexLink"/>
              </w:rPr>
              <w:t>4.4 Kernanforderungen und Nachweis</w:t>
              <w:tab/>
              <w:t>11</w:t>
            </w:r>
          </w:hyperlink>
        </w:p>
        <w:p>
          <w:pPr>
            <w:pStyle w:val="TOC1"/>
            <w:tabs>
              <w:tab w:val="clear" w:pos="708"/>
              <w:tab w:val="right" w:pos="9071" w:leader="dot"/>
            </w:tabs>
            <w:rPr/>
          </w:pPr>
          <w:hyperlink w:anchor="__RefHeading___Toc14136_535938422">
            <w:r>
              <w:rPr>
                <w:webHidden/>
                <w:rStyle w:val="IndexLink"/>
              </w:rPr>
              <w:t>5 Variantenvergleich und Systementscheidung</w:t>
              <w:tab/>
              <w:t>14</w:t>
            </w:r>
          </w:hyperlink>
        </w:p>
        <w:p>
          <w:pPr>
            <w:pStyle w:val="TOC2"/>
            <w:tabs>
              <w:tab w:val="clear" w:pos="708"/>
              <w:tab w:val="right" w:pos="9071" w:leader="dot"/>
            </w:tabs>
            <w:rPr/>
          </w:pPr>
          <w:hyperlink w:anchor="__RefHeading___Toc14138_535938422">
            <w:r>
              <w:rPr>
                <w:webHidden/>
                <w:rStyle w:val="IndexLink"/>
              </w:rPr>
              <w:t>5.1 Bewertungsrahmen und Vorgehen</w:t>
              <w:tab/>
              <w:t>14</w:t>
            </w:r>
          </w:hyperlink>
        </w:p>
        <w:p>
          <w:pPr>
            <w:pStyle w:val="TOC2"/>
            <w:tabs>
              <w:tab w:val="clear" w:pos="708"/>
              <w:tab w:val="right" w:pos="9071" w:leader="dot"/>
            </w:tabs>
            <w:rPr/>
          </w:pPr>
          <w:hyperlink w:anchor="__RefHeading___Toc14140_535938422">
            <w:r>
              <w:rPr>
                <w:webHidden/>
                <w:rStyle w:val="IndexLink"/>
              </w:rPr>
              <w:t>5.2 Bewertung der Prüfstandsalternativen</w:t>
              <w:tab/>
              <w:t>15</w:t>
            </w:r>
          </w:hyperlink>
        </w:p>
        <w:p>
          <w:pPr>
            <w:pStyle w:val="TOC2"/>
            <w:tabs>
              <w:tab w:val="clear" w:pos="708"/>
              <w:tab w:val="right" w:pos="9071" w:leader="dot"/>
            </w:tabs>
            <w:rPr/>
          </w:pPr>
          <w:hyperlink w:anchor="__RefHeading___Toc14142_535938422">
            <w:r>
              <w:rPr>
                <w:webHidden/>
                <w:rStyle w:val="IndexLink"/>
              </w:rPr>
              <w:t>5.3 Auswahl von Sensorik und Edge-Plattform</w:t>
              <w:tab/>
              <w:t>17</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19</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21</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23</w:t>
            </w:r>
          </w:hyperlink>
        </w:p>
        <w:p>
          <w:pPr>
            <w:pStyle w:val="TOC1"/>
            <w:tabs>
              <w:tab w:val="clear" w:pos="708"/>
              <w:tab w:val="right" w:pos="9071" w:leader="dot"/>
            </w:tabs>
            <w:rPr/>
          </w:pPr>
          <w:hyperlink w:anchor="__RefHeading___Toc14150_535938422">
            <w:r>
              <w:rPr>
                <w:webHidden/>
                <w:rStyle w:val="IndexLink"/>
              </w:rPr>
              <w:t>6 Implementierung</w:t>
              <w:tab/>
              <w:t>24</w:t>
            </w:r>
          </w:hyperlink>
        </w:p>
        <w:p>
          <w:pPr>
            <w:pStyle w:val="TOC2"/>
            <w:tabs>
              <w:tab w:val="clear" w:pos="708"/>
              <w:tab w:val="right" w:pos="9071" w:leader="dot"/>
            </w:tabs>
            <w:rPr/>
          </w:pPr>
          <w:hyperlink w:anchor="__RefHeading___Toc14152_535938422">
            <w:r>
              <w:rPr>
                <w:webHidden/>
                <w:rStyle w:val="IndexLink"/>
              </w:rPr>
              <w:t>6.1 Prüfstand, Aufbauversionen und Zustandsnachweise</w:t>
              <w:tab/>
              <w:t>24</w:t>
            </w:r>
          </w:hyperlink>
        </w:p>
        <w:p>
          <w:pPr>
            <w:pStyle w:val="TOC2"/>
            <w:tabs>
              <w:tab w:val="clear" w:pos="708"/>
              <w:tab w:val="right" w:pos="9071" w:leader="dot"/>
            </w:tabs>
            <w:rPr/>
          </w:pPr>
          <w:hyperlink w:anchor="__RefHeading___Toc14154_535938422">
            <w:r>
              <w:rPr>
                <w:webHidden/>
                <w:rStyle w:val="IndexLink"/>
              </w:rPr>
              <w:t>6.2 Hardware-PWM und Ablaufsteuerung</w:t>
              <w:tab/>
              <w:t>25</w:t>
            </w:r>
          </w:hyperlink>
        </w:p>
        <w:p>
          <w:pPr>
            <w:pStyle w:val="TOC2"/>
            <w:tabs>
              <w:tab w:val="clear" w:pos="708"/>
              <w:tab w:val="right" w:pos="9071" w:leader="dot"/>
            </w:tabs>
            <w:rPr/>
          </w:pPr>
          <w:hyperlink w:anchor="__RefHeading___Toc14156_535938422">
            <w:r>
              <w:rPr>
                <w:webHidden/>
                <w:rStyle w:val="IndexLink"/>
              </w:rPr>
              <w:t>6.3 Sensorerfassung, Zeitbasis und Qualitätskennzeichnung</w:t>
              <w:tab/>
              <w:t>26</w:t>
            </w:r>
          </w:hyperlink>
        </w:p>
        <w:p>
          <w:pPr>
            <w:pStyle w:val="TOC2"/>
            <w:tabs>
              <w:tab w:val="clear" w:pos="708"/>
              <w:tab w:val="right" w:pos="9071" w:leader="dot"/>
            </w:tabs>
            <w:rPr/>
          </w:pPr>
          <w:hyperlink w:anchor="__RefHeading___Toc14158_535938422">
            <w:r>
              <w:rPr>
                <w:webHidden/>
                <w:rStyle w:val="IndexLink"/>
              </w:rPr>
              <w:t>6.4 Gemeinsame Fensterbildung und Vorverarbeitung</w:t>
              <w:tab/>
              <w:t>27</w:t>
            </w:r>
          </w:hyperlink>
        </w:p>
        <w:p>
          <w:pPr>
            <w:pStyle w:val="TOC2"/>
            <w:tabs>
              <w:tab w:val="clear" w:pos="708"/>
              <w:tab w:val="right" w:pos="9071" w:leader="dot"/>
            </w:tabs>
            <w:rPr/>
          </w:pPr>
          <w:hyperlink w:anchor="__RefHeading___Toc14160_535938422">
            <w:r>
              <w:rPr>
                <w:webHidden/>
                <w:rStyle w:val="IndexLink"/>
              </w:rPr>
              <w:t>6.5 Modellpaket, Training und Kalibrierung</w:t>
              <w:tab/>
              <w:t>28</w:t>
            </w:r>
          </w:hyperlink>
        </w:p>
        <w:p>
          <w:pPr>
            <w:pStyle w:val="TOC2"/>
            <w:tabs>
              <w:tab w:val="clear" w:pos="708"/>
              <w:tab w:val="right" w:pos="9071" w:leader="dot"/>
            </w:tabs>
            <w:rPr/>
          </w:pPr>
          <w:hyperlink w:anchor="__RefHeading___Toc14162_535938422">
            <w:r>
              <w:rPr>
                <w:webHidden/>
                <w:rStyle w:val="IndexLink"/>
              </w:rPr>
              <w:t>6.6 Lokaler Datenweg und Ressourceninstrumentierung</w:t>
              <w:tab/>
              <w:t>30</w:t>
            </w:r>
          </w:hyperlink>
        </w:p>
        <w:p>
          <w:pPr>
            <w:pStyle w:val="TOC2"/>
            <w:tabs>
              <w:tab w:val="clear" w:pos="708"/>
              <w:tab w:val="right" w:pos="9071" w:leader="dot"/>
            </w:tabs>
            <w:rPr/>
          </w:pPr>
          <w:hyperlink w:anchor="__RefHeading___Toc14164_535938422">
            <w:r>
              <w:rPr>
                <w:webHidden/>
                <w:rStyle w:val="IndexLink"/>
              </w:rPr>
              <w:t>6.7 Festgelegte Versuche und Nachweisgrenzen</w:t>
              <w:tab/>
              <w:t>31</w:t>
            </w:r>
          </w:hyperlink>
        </w:p>
        <w:p>
          <w:pPr>
            <w:pStyle w:val="TOC1"/>
            <w:tabs>
              <w:tab w:val="clear" w:pos="708"/>
              <w:tab w:val="right" w:pos="9071" w:leader="dot"/>
            </w:tabs>
            <w:rPr/>
          </w:pPr>
          <w:hyperlink w:anchor="__RefHeading___Toc14166_535938422">
            <w:r>
              <w:rPr>
                <w:webHidden/>
                <w:rStyle w:val="IndexLink"/>
              </w:rPr>
              <w:t>7 Evaluation und Ergebnisse</w:t>
              <w:tab/>
              <w:t>32</w:t>
            </w:r>
          </w:hyperlink>
        </w:p>
        <w:p>
          <w:pPr>
            <w:pStyle w:val="TOC2"/>
            <w:tabs>
              <w:tab w:val="clear" w:pos="708"/>
              <w:tab w:val="right" w:pos="9071" w:leader="dot"/>
            </w:tabs>
            <w:rPr/>
          </w:pPr>
          <w:hyperlink w:anchor="__RefHeading___Toc14168_535938422">
            <w:r>
              <w:rPr>
                <w:webHidden/>
                <w:rStyle w:val="IndexLink"/>
              </w:rPr>
              <w:t>7.1 Datenbasis und Auswertungseinheit</w:t>
              <w:tab/>
              <w:t>32</w:t>
            </w:r>
          </w:hyperlink>
        </w:p>
        <w:p>
          <w:pPr>
            <w:pStyle w:val="TOC2"/>
            <w:tabs>
              <w:tab w:val="clear" w:pos="708"/>
              <w:tab w:val="right" w:pos="9071" w:leader="dot"/>
            </w:tabs>
            <w:rPr/>
          </w:pPr>
          <w:hyperlink w:anchor="__RefHeading___Toc14170_535938422">
            <w:r>
              <w:rPr>
                <w:webHidden/>
                <w:rStyle w:val="IndexLink"/>
              </w:rPr>
              <w:t>7.2 Erfassungsqualität und physikalische Zeitbasis</w:t>
              <w:tab/>
              <w:t>33</w:t>
            </w:r>
          </w:hyperlink>
        </w:p>
        <w:p>
          <w:pPr>
            <w:pStyle w:val="TOC2"/>
            <w:tabs>
              <w:tab w:val="clear" w:pos="708"/>
              <w:tab w:val="right" w:pos="9071" w:leader="dot"/>
            </w:tabs>
            <w:rPr/>
          </w:pPr>
          <w:hyperlink w:anchor="__RefHeading___Toc14172_535938422">
            <w:r>
              <w:rPr>
                <w:webHidden/>
                <w:rStyle w:val="IndexLink"/>
              </w:rPr>
              <w:t>7.3 Fehlalarme bei unverändertem Normalbetrieb</w:t>
              <w:tab/>
              <w:t>34</w:t>
            </w:r>
          </w:hyperlink>
        </w:p>
        <w:p>
          <w:pPr>
            <w:pStyle w:val="TOC2"/>
            <w:tabs>
              <w:tab w:val="clear" w:pos="708"/>
              <w:tab w:val="right" w:pos="9071" w:leader="dot"/>
            </w:tabs>
            <w:rPr/>
          </w:pPr>
          <w:hyperlink w:anchor="__RefHeading___Toc14174_535938422">
            <w:r>
              <w:rPr>
                <w:webHidden/>
                <w:rStyle w:val="IndexLink"/>
              </w:rPr>
              <w:t>7.4 Kontrollierte Luftstromveränderung und Rückkehrreferenz</w:t>
              <w:tab/>
              <w:t>34</w:t>
            </w:r>
          </w:hyperlink>
        </w:p>
        <w:p>
          <w:pPr>
            <w:pStyle w:val="TOC2"/>
            <w:tabs>
              <w:tab w:val="clear" w:pos="708"/>
              <w:tab w:val="right" w:pos="9071" w:leader="dot"/>
            </w:tabs>
            <w:rPr/>
          </w:pPr>
          <w:hyperlink w:anchor="__RefHeading___Toc14176_535938422">
            <w:r>
              <w:rPr>
                <w:webHidden/>
                <w:rStyle w:val="IndexLink"/>
              </w:rPr>
              <w:t>7.5 Explorative Fehleranalyse der Modellentscheidungen</w:t>
              <w:tab/>
              <w:t>37</w:t>
            </w:r>
          </w:hyperlink>
        </w:p>
        <w:p>
          <w:pPr>
            <w:pStyle w:val="TOC2"/>
            <w:tabs>
              <w:tab w:val="clear" w:pos="708"/>
              <w:tab w:val="right" w:pos="9071" w:leader="dot"/>
            </w:tabs>
            <w:rPr/>
          </w:pPr>
          <w:hyperlink w:anchor="__RefHeading___Toc14178_535938422">
            <w:r>
              <w:rPr>
                <w:webHidden/>
                <w:rStyle w:val="IndexLink"/>
              </w:rPr>
              <w:t>7.6 Zweiter normaler Betriebspunkt bei 50 % PWM</w:t>
              <w:tab/>
              <w:t>39</w:t>
            </w:r>
          </w:hyperlink>
        </w:p>
        <w:p>
          <w:pPr>
            <w:pStyle w:val="TOC2"/>
            <w:tabs>
              <w:tab w:val="clear" w:pos="708"/>
              <w:tab w:val="right" w:pos="9071" w:leader="dot"/>
            </w:tabs>
            <w:rPr/>
          </w:pPr>
          <w:hyperlink w:anchor="__RefHeading___Toc14180_535938422">
            <w:r>
              <w:rPr>
                <w:webHidden/>
                <w:rStyle w:val="IndexLink"/>
              </w:rPr>
              <w:t>7.7 Laufzeit, Ressourcen und lokaler Sensorbetrieb</w:t>
              <w:tab/>
              <w:t>40</w:t>
            </w:r>
          </w:hyperlink>
        </w:p>
        <w:p>
          <w:pPr>
            <w:pStyle w:val="TOC2"/>
            <w:tabs>
              <w:tab w:val="clear" w:pos="708"/>
              <w:tab w:val="right" w:pos="9071" w:leader="dot"/>
            </w:tabs>
            <w:rPr/>
          </w:pPr>
          <w:hyperlink w:anchor="__RefHeading___Toc14182_535938422">
            <w:r>
              <w:rPr>
                <w:webHidden/>
                <w:rStyle w:val="IndexLink"/>
              </w:rPr>
              <w:t>7.8 Erfüllungsgrad der Anforderungen</w:t>
              <w:tab/>
              <w:t>45</w:t>
            </w:r>
          </w:hyperlink>
        </w:p>
        <w:p>
          <w:pPr>
            <w:pStyle w:val="TOC1"/>
            <w:tabs>
              <w:tab w:val="clear" w:pos="708"/>
              <w:tab w:val="right" w:pos="9071" w:leader="dot"/>
            </w:tabs>
            <w:rPr/>
          </w:pPr>
          <w:hyperlink w:anchor="__RefHeading___Toc14184_535938422">
            <w:r>
              <w:rPr>
                <w:webHidden/>
                <w:rStyle w:val="IndexLink"/>
              </w:rPr>
              <w:t>8 Diskussion</w:t>
              <w:tab/>
              <w:t>47</w:t>
            </w:r>
          </w:hyperlink>
        </w:p>
        <w:p>
          <w:pPr>
            <w:pStyle w:val="TOC2"/>
            <w:tabs>
              <w:tab w:val="clear" w:pos="708"/>
              <w:tab w:val="right" w:pos="9071" w:leader="dot"/>
            </w:tabs>
            <w:rPr/>
          </w:pPr>
          <w:hyperlink w:anchor="__RefHeading___Toc14186_535938422">
            <w:r>
              <w:rPr>
                <w:webHidden/>
                <w:rStyle w:val="IndexLink"/>
              </w:rPr>
              <w:t>8.1 Aussagekraft des Methodenvergleichs</w:t>
              <w:tab/>
              <w:t>47</w:t>
            </w:r>
          </w:hyperlink>
        </w:p>
        <w:p>
          <w:pPr>
            <w:pStyle w:val="TOC2"/>
            <w:tabs>
              <w:tab w:val="clear" w:pos="708"/>
              <w:tab w:val="right" w:pos="9071" w:leader="dot"/>
            </w:tabs>
            <w:rPr/>
          </w:pPr>
          <w:hyperlink w:anchor="__RefHeading___Toc14188_535938422">
            <w:r>
              <w:rPr>
                <w:webHidden/>
                <w:rStyle w:val="IndexLink"/>
              </w:rPr>
              <w:t>8.2 Einlaufzeit, Aufstellung und Vorverarbeitung</w:t>
              <w:tab/>
              <w:t>48</w:t>
            </w:r>
          </w:hyperlink>
        </w:p>
        <w:p>
          <w:pPr>
            <w:pStyle w:val="TOC2"/>
            <w:tabs>
              <w:tab w:val="clear" w:pos="708"/>
              <w:tab w:val="right" w:pos="9071" w:leader="dot"/>
            </w:tabs>
            <w:rPr/>
          </w:pPr>
          <w:hyperlink w:anchor="__RefHeading___Toc14190_535938422">
            <w:r>
              <w:rPr>
                <w:webHidden/>
                <w:rStyle w:val="IndexLink"/>
              </w:rPr>
              <w:t>8.3 Technische Grenzen und Übertragbarkeit</w:t>
              <w:tab/>
              <w:t>48</w:t>
            </w:r>
          </w:hyperlink>
        </w:p>
        <w:p>
          <w:pPr>
            <w:pStyle w:val="TOC1"/>
            <w:tabs>
              <w:tab w:val="clear" w:pos="708"/>
              <w:tab w:val="right" w:pos="9071" w:leader="dot"/>
            </w:tabs>
            <w:rPr/>
          </w:pPr>
          <w:hyperlink w:anchor="__RefHeading___Toc42805_554761375">
            <w:r>
              <w:rPr>
                <w:webHidden/>
                <w:rStyle w:val="IndexLink"/>
              </w:rPr>
              <w:t>9 Nicht erbrachte Nachweise und Ausblick</w:t>
              <w:tab/>
              <w:t>50</w:t>
            </w:r>
          </w:hyperlink>
        </w:p>
        <w:p>
          <w:pPr>
            <w:pStyle w:val="TOC1"/>
            <w:tabs>
              <w:tab w:val="clear" w:pos="708"/>
              <w:tab w:val="right" w:pos="9071" w:leader="dot"/>
            </w:tabs>
            <w:rPr/>
          </w:pPr>
          <w:hyperlink w:anchor="__RefHeading___Toc14194_535938422">
            <w:r>
              <w:rPr>
                <w:webHidden/>
                <w:rStyle w:val="IndexLink"/>
              </w:rPr>
              <w:t>10 Fazit</w:t>
              <w:tab/>
              <w:t>52</w:t>
            </w:r>
          </w:hyperlink>
        </w:p>
        <w:p>
          <w:pPr>
            <w:pStyle w:val="TOC1"/>
            <w:tabs>
              <w:tab w:val="clear" w:pos="708"/>
              <w:tab w:val="right" w:pos="9071" w:leader="dot"/>
            </w:tabs>
            <w:rPr/>
          </w:pPr>
          <w:hyperlink w:anchor="__RefHeading___Toc14196_535938422">
            <w:r>
              <w:rPr>
                <w:webHidden/>
                <w:rStyle w:val="IndexLink"/>
              </w:rPr>
              <w:t>Anhang</w:t>
              <w:tab/>
              <w:t>53</w:t>
            </w:r>
          </w:hyperlink>
        </w:p>
        <w:p>
          <w:pPr>
            <w:pStyle w:val="TOC2"/>
            <w:tabs>
              <w:tab w:val="clear" w:pos="708"/>
              <w:tab w:val="right" w:pos="9071" w:leader="dot"/>
            </w:tabs>
            <w:rPr/>
          </w:pPr>
          <w:hyperlink w:anchor="__RefHeading___Toc14198_535938422">
            <w:r>
              <w:rPr>
                <w:webHidden/>
                <w:rStyle w:val="IndexLink"/>
              </w:rPr>
              <w:t>Digitale Belege und Zuordnung</w:t>
              <w:tab/>
              <w:t>53</w:t>
            </w:r>
          </w:hyperlink>
        </w:p>
        <w:p>
          <w:pPr>
            <w:pStyle w:val="TOC2"/>
            <w:tabs>
              <w:tab w:val="clear" w:pos="708"/>
              <w:tab w:val="right" w:pos="9071" w:leader="dot"/>
            </w:tabs>
            <w:rPr/>
          </w:pPr>
          <w:hyperlink w:anchor="__RefHeading___Toc14200_535938422">
            <w:r>
              <w:rPr>
                <w:webHidden/>
                <w:rStyle w:val="IndexLink"/>
              </w:rPr>
              <w:t>Ergänzende Kennzahlen des kontrollierten Zustandslabels</w:t>
              <w:tab/>
              <w:t>54</w:t>
            </w:r>
          </w:hyperlink>
        </w:p>
        <w:p>
          <w:pPr>
            <w:pStyle w:val="TOC2"/>
            <w:tabs>
              <w:tab w:val="clear" w:pos="708"/>
              <w:tab w:val="right" w:pos="9071" w:leader="dot"/>
            </w:tabs>
            <w:rPr/>
          </w:pPr>
          <w:hyperlink w:anchor="__RefHeading___Toc42807_554761375">
            <w:r>
              <w:rPr>
                <w:webHidden/>
                <w:rStyle w:val="IndexLink"/>
              </w:rPr>
              <w:t>Dokumentation der KI-Unterstützung</w:t>
              <w:tab/>
              <w:t>55</w:t>
            </w:r>
          </w:hyperlink>
        </w:p>
        <w:p>
          <w:pPr>
            <w:pStyle w:val="TOC2"/>
            <w:tabs>
              <w:tab w:val="clear" w:pos="708"/>
              <w:tab w:val="right" w:pos="9071" w:leader="dot"/>
            </w:tabs>
            <w:rPr/>
          </w:pPr>
          <w:hyperlink w:anchor="__RefHeading___Toc14202_535938422">
            <w:r>
              <w:rPr>
                <w:webHidden/>
                <w:rStyle w:val="IndexLink"/>
              </w:rPr>
              <w:t>Lesen der Messdateien</w:t>
              <w:tab/>
              <w:t>56</w:t>
            </w:r>
          </w:hyperlink>
        </w:p>
        <w:p>
          <w:pPr>
            <w:pStyle w:val="TOC1"/>
            <w:tabs>
              <w:tab w:val="clear" w:pos="708"/>
              <w:tab w:val="right" w:pos="9071" w:leader="dot"/>
            </w:tabs>
            <w:rPr/>
          </w:pPr>
          <w:hyperlink w:anchor="__RefHeading___Toc14204_535938422">
            <w:r>
              <w:rPr>
                <w:webHidden/>
                <w:rStyle w:val="IndexLink"/>
              </w:rPr>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5" w:name="__RefHeading___Toc14072_535938422"/>
      <w:bookmarkEnd w:id="5"/>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Abbildung 7-1: Eingefrorene Scores auf identischen 128er-Fenstern der unabhängigen Folge. Die gestrichelten Linien sind die vorab fixierten Schwellen. Diese Verläufe sind von den 5-s-RMS-Werten zu unterscheiden. Quelle: eigene unveränderte Testauswertung.</w:t>
              <w:tab/>
              <w:t>35</w:t>
            </w:r>
          </w:hyperlink>
        </w:p>
        <w:p>
          <w:pPr>
            <w:pStyle w:val="TOC1"/>
            <w:tabs>
              <w:tab w:val="clear" w:pos="708"/>
              <w:tab w:val="right" w:pos="9071" w:leader="dot"/>
            </w:tabs>
            <w:rPr/>
          </w:pPr>
          <w:hyperlink w:anchor="__RefHeading___Toc14216_535938422">
            <w:r>
              <w:rPr>
                <w:webHidden/>
                <w:rStyle w:val="IndexLink"/>
              </w:rPr>
              <w:t>Abbildung 7-2: Vollständige 5-s-RMS-Verläufe der unabhängigen Folge Normal → Platte → Normal. Die Markierung bei 180 s kennzeichnet den vorab gewählten Prüfabschnitt. Quelle: eigene Messungen vom 12.09.2026.</w:t>
              <w:tab/>
              <w:t>36</w:t>
            </w:r>
          </w:hyperlink>
        </w:p>
        <w:p>
          <w:pPr>
            <w:pStyle w:val="TOC1"/>
            <w:tabs>
              <w:tab w:val="clear" w:pos="708"/>
              <w:tab w:val="right" w:pos="9071" w:leader="dot"/>
            </w:tabs>
            <w:rPr/>
          </w:pPr>
          <w:hyperlink w:anchor="__RefHeading___Toc14214_535938422">
            <w:r>
              <w:rPr>
                <w:webHidden/>
                <w:rStyle w:val="IndexLink"/>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38</w:t>
            </w:r>
          </w:hyperlink>
        </w:p>
        <w:p>
          <w:pPr>
            <w:pStyle w:val="TOC1"/>
            <w:tabs>
              <w:tab w:val="clear" w:pos="708"/>
              <w:tab w:val="right" w:pos="9071" w:leader="dot"/>
            </w:tabs>
            <w:rPr/>
          </w:pPr>
          <w:hyperlink w:anchor="__RefHeading___Toc14212_535938422">
            <w:r>
              <w:rPr>
                <w:webHidden/>
                <w:rStyle w:val="IndexLink"/>
              </w:rPr>
              <w:t>Abbildung 7-4: Fehlalarmraten je vollständiger Normalaufnahme und zusammengefasst bei 75 % und 50 % PWM mit demselben eingefrorenen Paket. Die Aufnahmen sind nicht zeitgleich oder randomisiert gepaart. Quelle: eigene Testauswertung.</w:t>
              <w:tab/>
              <w:t>40</w:t>
            </w:r>
          </w:hyperlink>
        </w:p>
        <w:p>
          <w:pPr>
            <w:pStyle w:val="TOC1"/>
            <w:tabs>
              <w:tab w:val="clear" w:pos="708"/>
              <w:tab w:val="right" w:pos="9071" w:leader="dot"/>
            </w:tabs>
            <w:rPr/>
          </w:pPr>
          <w:hyperlink w:anchor="__RefHeading___Toc14210_535938422">
            <w:r>
              <w:rPr>
                <w:webHidden/>
                <w:rStyle w:val="IndexLink"/>
              </w:rPr>
              <w:t>Abbildung 7-5: Verarbeitungslatenz aus drei eigenen Prozessen je Methode und Betriebsart. Punkte zeigen P99, Linien den Bereich vom Median zum Maximum; die gestrichelte Linie kennzeichnet das kleinste beobachtete Fensterintervall. Quelle: eigene Laufzeitmessungen.</w:t>
              <w:tab/>
              <w:t>42</w:t>
            </w:r>
          </w:hyperlink>
        </w:p>
        <w:p>
          <w:pPr>
            <w:pStyle w:val="TOC1"/>
            <w:tabs>
              <w:tab w:val="clear" w:pos="708"/>
              <w:tab w:val="right" w:pos="9071" w:leader="dot"/>
            </w:tabs>
            <w:rPr/>
          </w:pPr>
          <w:hyperlink w:anchor="__RefHeading___Toc14208_535938422">
            <w:r>
              <w:rPr>
                <w:webHidden/>
                <w:rStyle w:val="IndexLink"/>
              </w:rPr>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43</w:t>
            </w:r>
          </w:hyperlink>
          <w:r>
            <w:rPr>
              <w:rStyle w:val="IndexLink"/>
            </w:rPr>
            <w:fldChar w:fldCharType="end"/>
          </w:r>
        </w:p>
      </w:sdtContent>
    </w:sdt>
    <w:p>
      <w:pPr>
        <w:pStyle w:val="FrontMatterHeading"/>
        <w:numPr>
          <w:ilvl w:val="0"/>
          <w:numId w:val="0"/>
        </w:numPr>
        <w:ind w:hanging="0" w:start="0"/>
        <w:rPr/>
      </w:pPr>
      <w:r>
        <w:br w:type="page"/>
      </w:r>
      <w:bookmarkStart w:id="6" w:name="__RefHeading___Toc14074_535938422"/>
      <w:bookmarkEnd w:id="6"/>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12</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15</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16</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16</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17</w:t>
            </w:r>
          </w:hyperlink>
        </w:p>
        <w:p>
          <w:pPr>
            <w:pStyle w:val="TOC1"/>
            <w:tabs>
              <w:tab w:val="clear" w:pos="708"/>
              <w:tab w:val="right" w:pos="9071" w:leader="dot"/>
            </w:tabs>
            <w:rPr/>
          </w:pPr>
          <w:hyperlink w:anchor="__RefHeading___Toc14270_535938422">
            <w:r>
              <w:rPr>
                <w:webHidden/>
                <w:rStyle w:val="IndexLink"/>
              </w:rPr>
              <w:t>Tabelle 5-5: Bewertung der Edge-Plattformen</w:t>
              <w:tab/>
              <w:t>18</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18</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19</w:t>
            </w:r>
          </w:hyperlink>
        </w:p>
        <w:p>
          <w:pPr>
            <w:pStyle w:val="TOC1"/>
            <w:tabs>
              <w:tab w:val="clear" w:pos="708"/>
              <w:tab w:val="right" w:pos="9071" w:leader="dot"/>
            </w:tabs>
            <w:rPr/>
          </w:pPr>
          <w:hyperlink w:anchor="__RefHeading___Toc14262_535938422">
            <w:r>
              <w:rPr>
                <w:webHidden/>
                <w:rStyle w:val="IndexLink"/>
              </w:rPr>
              <w:t>Tabelle 5-9: Auswahl der Anomalieverfahren</w:t>
              <w:tab/>
              <w:t>20</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21</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22</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22</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23</w:t>
            </w:r>
          </w:hyperlink>
        </w:p>
        <w:p>
          <w:pPr>
            <w:pStyle w:val="TOC1"/>
            <w:tabs>
              <w:tab w:val="clear" w:pos="708"/>
              <w:tab w:val="right" w:pos="9071" w:leader="dot"/>
            </w:tabs>
            <w:rPr/>
          </w:pPr>
          <w:hyperlink w:anchor="__RefHeading___Toc14252_535938422">
            <w:r>
              <w:rPr>
                <w:webHidden/>
                <w:rStyle w:val="IndexLink"/>
              </w:rPr>
              <w:t>Tabelle 6-1: Prüfstand und Bedeutung der dokumentierten Größen</w:t>
              <w:tab/>
              <w:t>24</w:t>
            </w:r>
          </w:hyperlink>
        </w:p>
        <w:p>
          <w:pPr>
            <w:pStyle w:val="TOC1"/>
            <w:tabs>
              <w:tab w:val="clear" w:pos="708"/>
              <w:tab w:val="right" w:pos="9071" w:leader="dot"/>
            </w:tabs>
            <w:rPr/>
          </w:pPr>
          <w:hyperlink w:anchor="__RefHeading___Toc14250_535938422">
            <w:r>
              <w:rPr>
                <w:webHidden/>
                <w:rStyle w:val="IndexLink"/>
              </w:rPr>
              <w:t>Tabelle 6-2: Unveränderte Sensorkonfiguration der v4-Messkette</w:t>
              <w:tab/>
              <w:t>26</w:t>
            </w:r>
          </w:hyperlink>
        </w:p>
        <w:p>
          <w:pPr>
            <w:pStyle w:val="TOC1"/>
            <w:tabs>
              <w:tab w:val="clear" w:pos="708"/>
              <w:tab w:val="right" w:pos="9071" w:leader="dot"/>
            </w:tabs>
            <w:rPr/>
          </w:pPr>
          <w:hyperlink w:anchor="__RefHeading___Toc14248_535938422">
            <w:r>
              <w:rPr>
                <w:webHidden/>
                <w:rStyle w:val="IndexLink"/>
              </w:rPr>
              <w:t>Tabelle 6-3: Architektur des ausgeführten Autoencoders</w:t>
              <w:tab/>
              <w:t>28</w:t>
            </w:r>
          </w:hyperlink>
        </w:p>
        <w:p>
          <w:pPr>
            <w:pStyle w:val="TOC1"/>
            <w:tabs>
              <w:tab w:val="clear" w:pos="708"/>
              <w:tab w:val="right" w:pos="9071" w:leader="dot"/>
            </w:tabs>
            <w:rPr/>
          </w:pPr>
          <w:hyperlink w:anchor="__RefHeading___Toc14246_535938422">
            <w:r>
              <w:rPr>
                <w:webHidden/>
                <w:rStyle w:val="IndexLink"/>
              </w:rPr>
              <w:t>Tabelle 6-4: Scores und eingefrorene Entscheidungsschwellen</w:t>
              <w:tab/>
              <w:t>29</w:t>
            </w:r>
          </w:hyperlink>
        </w:p>
        <w:p>
          <w:pPr>
            <w:pStyle w:val="TOC1"/>
            <w:tabs>
              <w:tab w:val="clear" w:pos="708"/>
              <w:tab w:val="right" w:pos="9071" w:leader="dot"/>
            </w:tabs>
            <w:rPr/>
          </w:pPr>
          <w:hyperlink w:anchor="__RefHeading___Toc14244_535938422">
            <w:r>
              <w:rPr>
                <w:webHidden/>
                <w:rStyle w:val="IndexLink"/>
              </w:rPr>
              <w:t>Tabelle 6-5: Komponenten des geprüften Datenwegs</w:t>
              <w:tab/>
              <w:t>30</w:t>
            </w:r>
          </w:hyperlink>
        </w:p>
        <w:p>
          <w:pPr>
            <w:pStyle w:val="TOC1"/>
            <w:tabs>
              <w:tab w:val="clear" w:pos="708"/>
              <w:tab w:val="right" w:pos="9071" w:leader="dot"/>
            </w:tabs>
            <w:rPr/>
          </w:pPr>
          <w:hyperlink w:anchor="__RefHeading___Toc14242_535938422">
            <w:r>
              <w:rPr>
                <w:webHidden/>
                <w:rStyle w:val="IndexLink"/>
              </w:rPr>
              <w:t>Tabelle 7-1: Aufnahmen für Entwicklung und unabhängige Erkennungsprüfung</w:t>
              <w:tab/>
              <w:t>32</w:t>
            </w:r>
          </w:hyperlink>
        </w:p>
        <w:p>
          <w:pPr>
            <w:pStyle w:val="TOC1"/>
            <w:tabs>
              <w:tab w:val="clear" w:pos="708"/>
              <w:tab w:val="right" w:pos="9071" w:leader="dot"/>
            </w:tabs>
            <w:rPr/>
          </w:pPr>
          <w:hyperlink w:anchor="__RefHeading___Toc14240_535938422">
            <w:r>
              <w:rPr>
                <w:webHidden/>
                <w:rStyle w:val="IndexLink"/>
              </w:rPr>
              <w:t>Tabelle 7-2: Unabhängige Normalaufnahmen bei 75 % PWM</w:t>
              <w:tab/>
              <w:t>34</w:t>
            </w:r>
          </w:hyperlink>
        </w:p>
        <w:p>
          <w:pPr>
            <w:pStyle w:val="TOC1"/>
            <w:tabs>
              <w:tab w:val="clear" w:pos="708"/>
              <w:tab w:val="right" w:pos="9071" w:leader="dot"/>
            </w:tabs>
            <w:rPr/>
          </w:pPr>
          <w:hyperlink w:anchor="__RefHeading___Toc14238_535938422">
            <w:r>
              <w:rPr>
                <w:webHidden/>
                <w:rStyle w:val="IndexLink"/>
              </w:rPr>
              <w:t>Tabelle 7-3: Entscheidungen der drei Methoden in der vollständigen Plattenfolge</w:t>
              <w:tab/>
              <w:t>34</w:t>
            </w:r>
          </w:hyperlink>
        </w:p>
        <w:p>
          <w:pPr>
            <w:pStyle w:val="TOC1"/>
            <w:tabs>
              <w:tab w:val="clear" w:pos="708"/>
              <w:tab w:val="right" w:pos="9071" w:leader="dot"/>
            </w:tabs>
            <w:rPr/>
          </w:pPr>
          <w:hyperlink w:anchor="__RefHeading___Toc14236_535938422">
            <w:r>
              <w:rPr>
                <w:webHidden/>
                <w:rStyle w:val="IndexLink"/>
              </w:rPr>
              <w:t>Tabelle 7-4: Physikalischer Vektor-AC-RMS der 5-s-Abschnitte von 180 bis 300 s</w:t>
              <w:tab/>
              <w:t>36</w:t>
            </w:r>
          </w:hyperlink>
        </w:p>
        <w:p>
          <w:pPr>
            <w:pStyle w:val="TOC1"/>
            <w:tabs>
              <w:tab w:val="clear" w:pos="708"/>
              <w:tab w:val="right" w:pos="9071" w:leader="dot"/>
            </w:tabs>
            <w:rPr/>
          </w:pPr>
          <w:hyperlink w:anchor="__RefHeading___Toc14234_535938422">
            <w:r>
              <w:rPr>
                <w:webHidden/>
                <w:rStyle w:val="IndexLink"/>
              </w:rPr>
              <w:t>Tabelle 7-5: Mittlerer Autoencoder-Rekonstruktionsfehler je Achse auf identischen Modellfenstern</w:t>
              <w:tab/>
              <w:t>37</w:t>
            </w:r>
          </w:hyperlink>
        </w:p>
        <w:p>
          <w:pPr>
            <w:pStyle w:val="TOC1"/>
            <w:tabs>
              <w:tab w:val="clear" w:pos="708"/>
              <w:tab w:val="right" w:pos="9071" w:leader="dot"/>
            </w:tabs>
            <w:rPr/>
          </w:pPr>
          <w:hyperlink w:anchor="__RefHeading___Toc14232_535938422">
            <w:r>
              <w:rPr>
                <w:webHidden/>
                <w:rStyle w:val="IndexLink"/>
              </w:rPr>
              <w:t>Tabelle 7-6: Fehlalarme im zweiten normalen Betriebspunkt</w:t>
              <w:tab/>
              <w:t>39</w:t>
            </w:r>
          </w:hyperlink>
        </w:p>
        <w:p>
          <w:pPr>
            <w:pStyle w:val="TOC1"/>
            <w:tabs>
              <w:tab w:val="clear" w:pos="708"/>
              <w:tab w:val="right" w:pos="9071" w:leader="dot"/>
            </w:tabs>
            <w:rPr/>
          </w:pPr>
          <w:hyperlink w:anchor="__RefHeading___Toc14230_535938422">
            <w:r>
              <w:rPr>
                <w:webHidden/>
                <w:rStyle w:val="IndexLink"/>
              </w:rPr>
              <w:t>Tabelle 7-7: Latenz je Methode und Betriebsart; Bereich der drei getrennten Prozesse</w:t>
              <w:tab/>
              <w:t>41</w:t>
            </w:r>
          </w:hyperlink>
        </w:p>
        <w:p>
          <w:pPr>
            <w:pStyle w:val="TOC1"/>
            <w:tabs>
              <w:tab w:val="clear" w:pos="708"/>
              <w:tab w:val="right" w:pos="9071" w:leader="dot"/>
            </w:tabs>
            <w:rPr/>
          </w:pPr>
          <w:hyperlink w:anchor="__RefHeading___Toc14228_535938422">
            <w:r>
              <w:rPr>
                <w:webHidden/>
                <w:rStyle w:val="IndexLink"/>
              </w:rPr>
              <w:t>Tabelle 7-8: Prozessressourcen im aktiven Abschnitt [180,300) s; Bereich der drei Prozesse</w:t>
              <w:tab/>
              <w:t>42</w:t>
            </w:r>
          </w:hyperlink>
        </w:p>
        <w:p>
          <w:pPr>
            <w:pStyle w:val="TOC1"/>
            <w:tabs>
              <w:tab w:val="clear" w:pos="708"/>
              <w:tab w:val="right" w:pos="9071" w:leader="dot"/>
            </w:tabs>
            <w:rPr/>
          </w:pPr>
          <w:hyperlink w:anchor="__RefHeading___Toc14226_535938422">
            <w:r>
              <w:rPr>
                <w:webHidden/>
                <w:rStyle w:val="IndexLink"/>
              </w:rPr>
              <w:t>Tabelle 7-9: Nachweisstand der Anforderungen A1–A13</w:t>
              <w:tab/>
              <w:t>45</w:t>
            </w:r>
          </w:hyperlink>
        </w:p>
        <w:p>
          <w:pPr>
            <w:pStyle w:val="TOC1"/>
            <w:tabs>
              <w:tab w:val="clear" w:pos="708"/>
              <w:tab w:val="right" w:pos="9071" w:leader="dot"/>
            </w:tabs>
            <w:rPr/>
          </w:pPr>
          <w:hyperlink w:anchor="__RefHeading___Toc42811_554761375">
            <w:r>
              <w:rPr>
                <w:webHidden/>
                <w:rStyle w:val="IndexLink"/>
              </w:rPr>
              <w:t>Tabelle 7-10: Forschungsfragen, Hypothesen und Gültigkeitsgrenzen</w:t>
              <w:tab/>
              <w:t>46</w:t>
            </w:r>
          </w:hyperlink>
        </w:p>
        <w:p>
          <w:pPr>
            <w:pStyle w:val="TOC1"/>
            <w:tabs>
              <w:tab w:val="clear" w:pos="708"/>
              <w:tab w:val="right" w:pos="9071" w:leader="dot"/>
            </w:tabs>
            <w:rPr/>
          </w:pPr>
          <w:hyperlink w:anchor="__RefHeading___Toc14224_535938422">
            <w:r>
              <w:rPr>
                <w:webHidden/>
                <w:rStyle w:val="IndexLink"/>
              </w:rPr>
              <w:t>Tabelle A-1: Verzeichnis der maßgeblichen digitalen Belege</w:t>
              <w:tab/>
              <w:t>53</w:t>
            </w:r>
          </w:hyperlink>
        </w:p>
        <w:p>
          <w:pPr>
            <w:pStyle w:val="TOC1"/>
            <w:tabs>
              <w:tab w:val="clear" w:pos="708"/>
              <w:tab w:val="right" w:pos="9071" w:leader="dot"/>
            </w:tabs>
            <w:rPr/>
          </w:pPr>
          <w:hyperlink w:anchor="__RefHeading___Toc14222_535938422">
            <w:r>
              <w:rPr>
                <w:webHidden/>
                <w:rStyle w:val="IndexLink"/>
              </w:rPr>
              <w:t>Tabelle A-2: Verwechslungszahlen der einen Plattenfolge auf identischen Fenstern</w:t>
              <w:tab/>
              <w:t>54</w:t>
            </w:r>
          </w:hyperlink>
        </w:p>
        <w:p>
          <w:pPr>
            <w:pStyle w:val="TOC1"/>
            <w:tabs>
              <w:tab w:val="clear" w:pos="708"/>
              <w:tab w:val="right" w:pos="9071" w:leader="dot"/>
            </w:tabs>
            <w:rPr/>
          </w:pPr>
          <w:hyperlink w:anchor="__RefHeading___Toc14220_535938422">
            <w:r>
              <w:rPr>
                <w:webHidden/>
                <w:rStyle w:val="IndexLink"/>
              </w:rPr>
              <w:t>Tabelle A-3: Deskriptive Kennzahlen für das Zustandslabel; alle Angaben in Prozent</w:t>
              <w:tab/>
              <w:t>54</w:t>
            </w:r>
          </w:hyperlink>
        </w:p>
        <w:p>
          <w:pPr>
            <w:pStyle w:val="TOC1"/>
            <w:tabs>
              <w:tab w:val="clear" w:pos="708"/>
              <w:tab w:val="right" w:pos="9071" w:leader="dot"/>
            </w:tabs>
            <w:rPr/>
          </w:pPr>
          <w:hyperlink w:anchor="__RefHeading___Toc42809_554761375">
            <w:r>
              <w:rPr>
                <w:webHidden/>
                <w:rStyle w:val="IndexLink"/>
              </w:rPr>
              <w:t>Tabelle A-4: Verwechslungszahlen je Aufnahme und Methode im Abschnitt [180,300) s</w:t>
              <w:tab/>
              <w:t>55</w:t>
            </w:r>
          </w:hyperlink>
          <w:r>
            <w:rPr>
              <w:rStyle w:val="IndexLink"/>
            </w:rPr>
            <w:fldChar w:fldCharType="end"/>
          </w:r>
        </w:p>
      </w:sdtContent>
    </w:sdt>
    <w:p>
      <w:pPr>
        <w:pStyle w:val="FrontMatterHeading"/>
        <w:numPr>
          <w:ilvl w:val="0"/>
          <w:numId w:val="0"/>
        </w:numPr>
        <w:ind w:hanging="0" w:start="0"/>
        <w:rPr/>
      </w:pPr>
      <w:r>
        <w:br w:type="page"/>
      </w:r>
      <w:bookmarkStart w:id="7" w:name="__RefHeading___Toc14076_535938422"/>
      <w:bookmarkEnd w:id="7"/>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5"/>
        <w:gridCol w:w="6805"/>
      </w:tblGrid>
      <w:tr>
        <w:trPr>
          <w:tblHeader w:val="true"/>
          <w:cantSplit w:val="true"/>
        </w:trPr>
        <w:tc>
          <w:tcPr>
            <w:tcW w:w="226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FinalHeading_10000"/>
      <w:bookmarkStart w:id="10" w:name="_MA_TOC_006"/>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FinalHeading_10001"/>
      <w:bookmarkStart w:id="13" w:name="_MA_TOC_007"/>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4" w:name="__RefHeading___Toc14082_535938422"/>
      <w:bookmarkStart w:id="15" w:name="FinalHeading_10002"/>
      <w:bookmarkStart w:id="16" w:name="_MA_TOC_008"/>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FinalHeading_10003"/>
      <w:bookmarkStart w:id="19" w:name="_MA_TOC_009"/>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20" w:name="__RefHeading___Toc14086_535938422"/>
      <w:bookmarkStart w:id="21" w:name="FinalHeading_10004"/>
      <w:bookmarkStart w:id="22" w:name="_MA_TOC_010"/>
      <w:bookmarkEnd w:id="20"/>
      <w:r>
        <w:rPr>
          <w:color w:val="000000"/>
        </w:rPr>
        <w:t>Forschungsfragen und Hypothesen</w:t>
      </w:r>
      <w:bookmarkEnd w:id="21"/>
      <w:bookmarkEnd w:id="22"/>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Die unabhängige Prüfung verwendet davon getrennte Testaufnahmen und ein vor ihrer Auswertung festgelegtes Versuchsprotokoll. Ihre Aussagekraft bleibt durch Zahl und Vielfalt der vollständigen Aufnahmen begrenzt.</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3" w:name="__RefHeading___Toc14088_535938422"/>
      <w:bookmarkStart w:id="24" w:name="FinalHeading_10005"/>
      <w:bookmarkStart w:id="25" w:name="_MA_TOC_011"/>
      <w:bookmarkEnd w:id="23"/>
      <w:r>
        <w:rPr>
          <w:color w:val="000000"/>
        </w:rPr>
        <w:t>Abgrenzung der Arbeit</w:t>
      </w:r>
      <w:bookmarkEnd w:id="24"/>
      <w:bookmarkEnd w:id="25"/>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rPr/>
      </w:pPr>
      <w:r>
        <w:rPr/>
        <w:t>Die Abschlussfassung verwendet die bis zum 12. September 2026 vorhandenen Messungen; die abschließende Auswertung und Redaktion erfolgen am 13. September 2026. Weitere Plattenwiederholungen und unabhängige Drehzahl- oder Sensortaktmessungen werden in dieser Fassung nicht als durchgeführt behandelt. Diese Begrenzung des tatsächlich erbrachten Umfangs wird nach der Versuchsauswertung offengelegt. Die ursprünglichen Anforderungen und Hypothesen bleiben als Bewertungsmaßstab erhalten; insbesondere werden Teilnachweise der Messqualität und Wiederholbarkeit nicht nachträglich zu vollständiger Erfüllung erklärt.</w:t>
      </w:r>
    </w:p>
    <w:p>
      <w:pPr>
        <w:pStyle w:val="Heading2"/>
        <w:numPr>
          <w:ilvl w:val="1"/>
          <w:numId w:val="2"/>
        </w:numPr>
        <w:jc w:val="start"/>
        <w:rPr/>
      </w:pPr>
      <w:bookmarkStart w:id="26" w:name="__RefHeading___Toc14090_535938422"/>
      <w:bookmarkStart w:id="27" w:name="FinalHeading_10006"/>
      <w:bookmarkStart w:id="28" w:name="_MA_TOC_012"/>
      <w:bookmarkEnd w:id="26"/>
      <w:r>
        <w:rPr>
          <w:color w:val="000000"/>
        </w:rPr>
        <w:t>Aufbau der Arbeit</w:t>
      </w:r>
      <w:bookmarkEnd w:id="27"/>
      <w:bookmarkEnd w:id="28"/>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9" w:name="__RefHeading___Toc14092_535938422"/>
      <w:bookmarkStart w:id="30" w:name="FinalHeading_10007"/>
      <w:bookmarkStart w:id="31" w:name="_MA_TOC_013"/>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FinalHeading_10008"/>
      <w:bookmarkStart w:id="34" w:name="_MA_TOC_014"/>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FinalHeading_10009"/>
      <w:bookmarkStart w:id="37" w:name="_MA_TOC_015"/>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FinalHeading_10010"/>
      <w:bookmarkStart w:id="40" w:name="_MA_TOC_016"/>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FinalHeading_10011"/>
      <w:bookmarkStart w:id="43" w:name="_MA_TOC_017"/>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FinalHeading_10012"/>
      <w:bookmarkStart w:id="46" w:name="_MA_TOC_018"/>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FinalHeading_10013"/>
      <w:bookmarkStart w:id="49" w:name="_MA_TOC_019"/>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FinalHeading_10014"/>
      <w:bookmarkStart w:id="52" w:name="_MA_TOC_020"/>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FinalHeading_10015"/>
      <w:bookmarkStart w:id="55" w:name="_MA_TOC_021"/>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6" w:name="__RefHeading___Toc14110_535938422"/>
      <w:bookmarkStart w:id="57" w:name="FinalHeading_10016"/>
      <w:bookmarkStart w:id="58" w:name="_MA_TOC_022"/>
      <w:bookmarkEnd w:id="56"/>
      <w:r>
        <w:rPr>
          <w:color w:val="000000"/>
        </w:rPr>
        <w:t>Erkennungsqualität und Aussagekraft der Evaluation</w:t>
      </w:r>
      <w:bookmarkEnd w:id="57"/>
      <w:bookmarkEnd w:id="58"/>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9" w:name="__RefHeading___Toc14218_535938422"/>
      <w:bookmarkStart w:id="60" w:name="FinalCaption_10017"/>
      <w:bookmarkStart w:id="61" w:name="Table_2_1"/>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2" w:name="__RefHeading___Toc14112_535938422"/>
      <w:bookmarkStart w:id="63" w:name="FinalHeading_10018"/>
      <w:bookmarkStart w:id="64" w:name="_MA_TOC_023"/>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FinalHeading_10019"/>
      <w:bookmarkStart w:id="67" w:name="_MA_TOC_024"/>
      <w:bookmarkEnd w:id="65"/>
      <w:r>
        <w:rPr>
          <w:color w:val="000000"/>
        </w:rPr>
        <w:t>Veränderte Normalbedingungen</w:t>
      </w:r>
      <w:bookmarkEnd w:id="66"/>
      <w:bookmarkEnd w:id="67"/>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8" w:name="__RefHeading___Toc14116_535938422"/>
      <w:bookmarkStart w:id="69" w:name="FinalHeading_10020"/>
      <w:bookmarkStart w:id="70" w:name="_MA_TOC_025"/>
      <w:bookmarkStart w:id="71" w:name="_Toc239410475"/>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FinalHeading_10021"/>
      <w:bookmarkStart w:id="74" w:name="_MA_TOC_026"/>
      <w:bookmarkStart w:id="75" w:name="_Toc239410476"/>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6" w:name="__RefHeading___Toc14120_535938422"/>
      <w:bookmarkStart w:id="77" w:name="FinalHeading_10022"/>
      <w:bookmarkStart w:id="78" w:name="_MA_TOC_027"/>
      <w:bookmarkStart w:id="79" w:name="_Toc239410477"/>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Für die Einordnung in dieser Arbeit wird die Fehlalarmänderung deshalb nicht als isolierter Montageeffekt behandelt.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80" w:name="__RefHeading___Toc14122_535938422"/>
      <w:bookmarkStart w:id="81" w:name="FinalHeading_10023"/>
      <w:bookmarkStart w:id="82" w:name="_MA_TOC_028"/>
      <w:bookmarkStart w:id="83" w:name="_Toc239410478"/>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FinalCaption_10024"/>
      <w:bookmarkStart w:id="86" w:name="Table_3_1"/>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3"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6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6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6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7" w:name="__RefHeading___Toc14124_535938422"/>
      <w:bookmarkStart w:id="88" w:name="FinalHeading_10025"/>
      <w:bookmarkStart w:id="89" w:name="_MA_TOC_029"/>
      <w:bookmarkStart w:id="90" w:name="_Toc239410479"/>
      <w:bookmarkEnd w:id="87"/>
      <w:r>
        <w:rPr>
          <w:rFonts w:eastAsia="Times New Roman"/>
          <w:color w:val="000000"/>
        </w:rPr>
        <w:t>Forschungslücke und Einordnung der eigenen Arbeit</w:t>
      </w:r>
      <w:bookmarkEnd w:id="88"/>
      <w:bookmarkEnd w:id="89"/>
      <w:bookmarkEnd w:id="90"/>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und 5 konkretisieren Anforderungen und Systemauswahl.</w:t>
      </w:r>
    </w:p>
    <w:p>
      <w:pPr>
        <w:pStyle w:val="Heading1"/>
        <w:numPr>
          <w:ilvl w:val="0"/>
          <w:numId w:val="2"/>
        </w:numPr>
        <w:jc w:val="start"/>
        <w:rPr/>
      </w:pPr>
      <w:bookmarkStart w:id="91" w:name="__RefHeading___Toc14126_535938422"/>
      <w:bookmarkStart w:id="92" w:name="FinalHeading_10026"/>
      <w:bookmarkStart w:id="93" w:name="_MA_TOC_030"/>
      <w:bookmarkStart w:id="94" w:name="_Toc239410480"/>
      <w:bookmarkEnd w:id="91"/>
      <w:r>
        <w:rPr>
          <w:color w:val="000000"/>
        </w:rPr>
        <w:t>Anforderungsanalyse</w:t>
      </w:r>
      <w:bookmarkEnd w:id="92"/>
      <w:bookmarkEnd w:id="93"/>
      <w:bookmarkEnd w:id="94"/>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5" w:name="__RefHeading___Toc14128_535938422"/>
      <w:bookmarkStart w:id="96" w:name="FinalHeading_10027"/>
      <w:bookmarkStart w:id="97" w:name="_MA_TOC_031"/>
      <w:bookmarkStart w:id="98" w:name="_Toc239410481"/>
      <w:bookmarkEnd w:id="95"/>
      <w:r>
        <w:rPr>
          <w:color w:val="000000"/>
        </w:rPr>
        <w:t>Messdaten und Vergleichsbasis</w:t>
      </w:r>
      <w:bookmarkEnd w:id="96"/>
      <w:bookmarkEnd w:id="97"/>
      <w:bookmarkEnd w:id="98"/>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9" w:name="__RefHeading___Toc14130_535938422"/>
      <w:bookmarkStart w:id="100" w:name="FinalHeading_10028"/>
      <w:bookmarkStart w:id="101" w:name="_MA_TOC_032"/>
      <w:bookmarkStart w:id="102" w:name="_Toc239410482"/>
      <w:bookmarkEnd w:id="99"/>
      <w:r>
        <w:rPr>
          <w:color w:val="000000"/>
        </w:rPr>
        <w:t>Lokale Verarbeitung und Zeitverhalten</w:t>
      </w:r>
      <w:bookmarkEnd w:id="100"/>
      <w:bookmarkEnd w:id="101"/>
      <w:bookmarkEnd w:id="102"/>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3" w:name="__RefHeading___Toc14132_535938422"/>
      <w:bookmarkStart w:id="104" w:name="FinalHeading_10029"/>
      <w:bookmarkStart w:id="105" w:name="_MA_TOC_033"/>
      <w:bookmarkStart w:id="106" w:name="_Toc239410483"/>
      <w:bookmarkEnd w:id="103"/>
      <w:r>
        <w:rPr>
          <w:color w:val="000000"/>
        </w:rPr>
        <w:t>Evaluation</w:t>
      </w:r>
      <w:bookmarkEnd w:id="104"/>
      <w:bookmarkEnd w:id="105"/>
      <w:bookmarkEnd w:id="106"/>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7" w:name="__RefHeading___Toc14134_535938422"/>
      <w:bookmarkStart w:id="108" w:name="FinalHeading_10030"/>
      <w:bookmarkStart w:id="109" w:name="_MA_TOC_037"/>
      <w:bookmarkStart w:id="110" w:name="_Toc239410487"/>
      <w:bookmarkEnd w:id="107"/>
      <w:r>
        <w:rPr>
          <w:color w:val="000000"/>
        </w:rPr>
        <w:t>Kernanforderungen und Nachweis</w:t>
      </w:r>
      <w:bookmarkEnd w:id="108"/>
      <w:bookmarkEnd w:id="109"/>
      <w:bookmarkEnd w:id="110"/>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1" w:name="__RefHeading___Toc14280_535938422"/>
      <w:bookmarkStart w:id="112" w:name="FinalCaption_10031"/>
      <w:bookmarkStart w:id="113" w:name="Table_4_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FinalHeading_10032"/>
      <w:bookmarkStart w:id="116" w:name="_MA_TOC_042"/>
      <w:bookmarkStart w:id="117" w:name="_Toc239410492"/>
      <w:bookmarkStart w:id="118" w:name="_Ref219884887"/>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rPr/>
      </w:pPr>
      <w:r>
        <w:rPr/>
        <w:t>Die folgende Darstellung rekonstruiert die Systementscheidung und die dabei festgelegten Prüfvorbehalte. Die Anforderungen beschreiben den ursprünglichen Zielmaßstab. Ob die jeweiligen Nachweise im vorhandenen Datenstand erbracht wurden, bewertet Kapitel 7.</w:t>
      </w:r>
    </w:p>
    <w:p>
      <w:pPr>
        <w:pStyle w:val="Heading2"/>
        <w:numPr>
          <w:ilvl w:val="1"/>
          <w:numId w:val="2"/>
        </w:numPr>
        <w:jc w:val="start"/>
        <w:rPr/>
      </w:pPr>
      <w:bookmarkStart w:id="119" w:name="__RefHeading___Toc14138_535938422"/>
      <w:bookmarkStart w:id="120" w:name="FinalHeading_10033"/>
      <w:bookmarkStart w:id="121" w:name="_K5_Section_1"/>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2" w:name="__RefHeading___Toc14140_535938422"/>
      <w:bookmarkStart w:id="123" w:name="FinalHeading_10034"/>
      <w:bookmarkStart w:id="124" w:name="_K5_Section_2"/>
      <w:bookmarkEnd w:id="122"/>
      <w:r>
        <w:rPr>
          <w:color w:val="000000"/>
        </w:rPr>
        <w:t>Bewertung der Prüfstandsalternativen</w:t>
      </w:r>
      <w:bookmarkEnd w:id="123"/>
      <w:bookmarkEnd w:id="124"/>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5" w:name="__RefHeading___Toc14278_535938422"/>
      <w:bookmarkStart w:id="126" w:name="FinalCaption_10035"/>
      <w:bookmarkStart w:id="127" w:name="Table_5_1"/>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FinalCaption_10036"/>
      <w:bookmarkStart w:id="130" w:name="Table_5_2"/>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FinalCaption_10037"/>
      <w:bookmarkStart w:id="133" w:name="Table_5_3"/>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wurde der ARCTIC P12 Pro PST vorgesehen, dessen Datenblatt PWM-Ansteuerung und ein Drehzahlsignal ausweist (ARCTIC, o. J.). Ein PWM-Tastgrad ist eine Stellgröße und kein Nachweis einer konstanten Drehzahl. Die Konzeption sah deshalb die Erfassung der tatsächlichen Drehzahl vor. Dieser Nachweis wurde in der abgeschlossenen Pilotstudie nicht erbracht; die Betriebspunkte werden entsprechend durch ihre dokumentierten PWM-Vorgaben beschrieben. Für FF4 wurde ein zweiter normaler Betriebspunkt bei unveränderter Montage untersucht. Versuchszustand, Schutzmaßnahmen und Messablauf sind in Kapitel 6 dokumentiert; den begrenzten Nachweis der Rücksetzbarkeit bewertet Kapitel 7.</w:t>
      </w:r>
    </w:p>
    <w:p>
      <w:pPr>
        <w:pStyle w:val="Heading2"/>
        <w:numPr>
          <w:ilvl w:val="1"/>
          <w:numId w:val="2"/>
        </w:numPr>
        <w:jc w:val="start"/>
        <w:rPr/>
      </w:pPr>
      <w:bookmarkStart w:id="134" w:name="__RefHeading___Toc14142_535938422"/>
      <w:bookmarkStart w:id="135" w:name="FinalHeading_10038"/>
      <w:bookmarkStart w:id="136" w:name="_K5_Section_3"/>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FinalCaption_10039"/>
      <w:bookmarkStart w:id="139" w:name="Table_5_4"/>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FinalCaption_10040"/>
      <w:bookmarkStart w:id="142" w:name="Table_5_5"/>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FinalCaption_10041"/>
      <w:bookmarkStart w:id="145" w:name="Table_5_6"/>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FinalCaption_10042"/>
      <w:bookmarkStart w:id="148" w:name="Table_5_7"/>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FinalHeading_10043"/>
      <w:bookmarkStart w:id="151" w:name="_K5_Section_4"/>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FinalCaption_10044"/>
      <w:bookmarkStart w:id="154" w:name="Table_5_8"/>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FinalCaption_10045"/>
      <w:bookmarkStart w:id="157" w:name="Table_5_9"/>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8" w:name="__RefHeading___Toc14146_535938422"/>
      <w:bookmarkStart w:id="159" w:name="FinalHeading_10046"/>
      <w:bookmarkStart w:id="160" w:name="_K5_Section_5"/>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FinalCaption_10047"/>
      <w:bookmarkStart w:id="163" w:name="Table_5_10"/>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FinalCaption_10048"/>
      <w:bookmarkStart w:id="166" w:name="Table_5_11"/>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FinalCaption_10049"/>
      <w:bookmarkStart w:id="169" w:name="Table_5_12"/>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FinalHeading_10050"/>
      <w:bookmarkStart w:id="172" w:name="_K5_Section_6"/>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FinalCaption_10051"/>
      <w:bookmarkStart w:id="175" w:name="Table_5_13"/>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Implementierung und Testprotokoll; Kapitel 7 bewertet die unabhängigen Tests anhand unveränderter Anforderungen und Hypothesen.</w:t>
      </w:r>
    </w:p>
    <w:p>
      <w:pPr>
        <w:pStyle w:val="Heading1"/>
        <w:numPr>
          <w:ilvl w:val="0"/>
          <w:numId w:val="2"/>
        </w:numPr>
        <w:rPr/>
      </w:pPr>
      <w:bookmarkStart w:id="176" w:name="__RefHeading___Toc14150_535938422"/>
      <w:bookmarkStart w:id="177" w:name="FinalHeading_10052"/>
      <w:bookmarkEnd w:id="176"/>
      <w:r>
        <w:rPr/>
        <w:t>Implementierung</w:t>
      </w:r>
      <w:bookmarkEnd w:id="177"/>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8" w:name="__RefHeading___Toc14152_535938422"/>
      <w:bookmarkStart w:id="179" w:name="FinalHeading_10053"/>
      <w:bookmarkEnd w:id="178"/>
      <w:r>
        <w:rPr/>
        <w:t>Prüfstand, Aufbauversionen und Zustandsnachweise</w:t>
      </w:r>
      <w:bookmarkEnd w:id="179"/>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80" w:name="__RefHeading___Toc14252_535938422"/>
      <w:bookmarkStart w:id="181" w:name="FinalCaption_10054"/>
      <w:bookmarkEnd w:id="180"/>
      <w:r>
        <w:rPr/>
        <w:t>Tabelle 6-1: Prüfstand und Bedeutung der dokumentierten Größen</w:t>
      </w:r>
      <w:bookmarkEnd w:id="18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2" w:name="__RefHeading___Toc14154_535938422"/>
      <w:bookmarkStart w:id="183" w:name="FinalHeading_10055"/>
      <w:bookmarkEnd w:id="182"/>
      <w:r>
        <w:rPr/>
        <w:t>Hardware-PWM und Ablaufsteuerung</w:t>
      </w:r>
      <w:bookmarkEnd w:id="183"/>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diese Stellvorgabe während des Methodenvergleichs nicht; eine Rückwirkung über die Ansteuerung ist damit ausgeschlossen. Ob die tatsächliche Drehzahl und weitere physikalische Bedingungen zwischen getrennten Läufen identisch waren, ist dadurch nicht nachgewiesen.</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4" w:name="__RefHeading___Toc14156_535938422"/>
      <w:bookmarkStart w:id="185" w:name="FinalHeading_10056"/>
      <w:bookmarkEnd w:id="184"/>
      <w:r>
        <w:rPr/>
        <w:t>Sensorerfassung, Zeitbasis und Qualitätskennzeichnung</w:t>
      </w:r>
      <w:bookmarkEnd w:id="185"/>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6" w:name="__RefHeading___Toc14250_535938422"/>
      <w:bookmarkStart w:id="187" w:name="FinalCaption_10057"/>
      <w:bookmarkEnd w:id="186"/>
      <w:r>
        <w:rPr/>
        <w:t>Tabelle 6-2: Unveränderte Sensorkonfiguration der v4-Messkette</w:t>
      </w:r>
      <w:bookmarkEnd w:id="18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8" w:name="__RefHeading___Toc14158_535938422"/>
      <w:bookmarkStart w:id="189" w:name="FinalHeading_10058"/>
      <w:bookmarkEnd w:id="188"/>
      <w:r>
        <w:rPr/>
        <w:t>Gemeinsame Fensterbildung und Vorverarbeitung</w:t>
      </w:r>
      <w:bookmarkEnd w:id="189"/>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90" w:name="__RefHeading___Toc14160_535938422"/>
      <w:bookmarkStart w:id="191" w:name="FinalHeading_10059"/>
      <w:bookmarkEnd w:id="190"/>
      <w:r>
        <w:rPr/>
        <w:t>Modellpaket, Training und Kalibrierung</w:t>
      </w:r>
      <w:bookmarkEnd w:id="191"/>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Dieselbe normale Validierungsaufnahme dient sowohl zur Auswahl der gespeicherten Autoencoder-Epoche als auch zur Schwellenkalibrierung. Sie ist damit keine von der Modellauswahl unabhängige zusätzliche Kalibrierungsstichprobe. Die unabhängigen Testaufnahmen bleiben davon getrennt. Zwei Trainingsstarts und ein Validierungsstart erfassen nur einen kleinen Teil der möglichen Normalvariation; die große Zahl benachbarter Fenster ersetzt keine zusätzliche unabhängige Aufnahme.</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2" w:name="__RefHeading___Toc14248_535938422"/>
      <w:bookmarkStart w:id="193" w:name="FinalCaption_10060"/>
      <w:bookmarkEnd w:id="192"/>
      <w:r>
        <w:rPr/>
        <w:t>Tabelle 6-3: Architektur des ausgeführten Autoencoders</w:t>
      </w:r>
      <w:bookmarkEnd w:id="1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4" w:name="__RefHeading___Toc14246_535938422"/>
      <w:bookmarkStart w:id="195" w:name="FinalCaption_10061"/>
      <w:bookmarkEnd w:id="194"/>
      <w:r>
        <w:rPr/>
        <w:t>Tabelle 6-4: Scores und eingefrorene Entscheidungsschwellen</w:t>
      </w:r>
      <w:bookmarkEnd w:id="19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Beim Isolation Forest wird der negierte Wert von score_samples mit der gespeicherten gemeinsamen Quantilschwelle verglichen. Die bibliotheksinterne Einstellung contamination = auto wird nicht als Fehlalarmvorgabe verwendet; die Entscheidung folgt nicht der unveränderten predict-Grenze der Bibliothek. Damit bleibt die tatsächlich ausgewertete Scoredefinition von einer angenommenen Ausreißerquote getrennt.</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6" w:name="__RefHeading___Toc14162_535938422"/>
      <w:bookmarkStart w:id="197" w:name="FinalHeading_10062"/>
      <w:bookmarkEnd w:id="196"/>
      <w:r>
        <w:rPr/>
        <w:t>Lokaler Datenweg und Ressourceninstrumentierung</w:t>
      </w:r>
      <w:bookmarkEnd w:id="197"/>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8" w:name="__RefHeading___Toc14244_535938422"/>
      <w:bookmarkStart w:id="199" w:name="FinalCaption_10063"/>
      <w:bookmarkEnd w:id="198"/>
      <w:r>
        <w:rPr/>
        <w:t>Tabelle 6-5: Komponenten des geprüften Datenwegs</w:t>
      </w:r>
      <w:bookmarkEnd w:id="19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Die Messläufe enthalten keine GUI. Implementierung und Einbindung der vorhandenen Oberfläche werden in Abschnitt 6.8 getrennt beschrieben.</w:t>
      </w:r>
    </w:p>
    <w:p>
      <w:pPr>
        <w:pStyle w:val="Heading2"/>
        <w:numPr>
          <w:ilvl w:val="1"/>
          <w:numId w:val="2"/>
        </w:numPr>
        <w:rPr/>
      </w:pPr>
      <w:bookmarkStart w:id="200" w:name="__RefHeading___Toc14164_535938422"/>
      <w:bookmarkStart w:id="201" w:name="FinalHeading_10064"/>
      <w:bookmarkEnd w:id="200"/>
      <w:r>
        <w:rPr/>
        <w:t>Festgelegte Versuche und Nachweisgrenzen</w:t>
      </w:r>
      <w:bookmarkEnd w:id="201"/>
    </w:p>
    <w:p>
      <w:pPr>
        <w:pStyle w:val="Normal"/>
        <w:rPr/>
      </w:pPr>
      <w:r>
        <w:rP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18 Softwaretests prüfen Referenzscores, Datenqualität und Fehlerpfade. Die Hardwareläufe belegen die lokale Verarbeitung im gemessenen Umfang. Kapitel 7 bewertet die Anforderungen einschließlich offener Drehzahl-, Messketten- und Wiederholungsnachweise.</w:t>
      </w:r>
    </w:p>
    <w:p>
      <w:pPr>
        <w:pStyle w:val="Heading2"/>
        <w:numPr>
          <w:ilvl w:val="1"/>
          <w:numId w:val="2"/>
        </w:numPr>
      </w:pPr>
      <w:r>
        <w:t>Grafische Benutzeroberfläche und Integrationsstand</w:t>
      </w:r>
    </w:p>
    <w:p>
      <w:r>
        <w:t>Die Oberfläche in src/live_tflite_gui.py ist als profilgebundener Entwicklungsstand umgesetzt (Belege: B11). Tkinter und Matplotlib zeigen Profilkennung, Rekonstruktionsfehler, Schwelle, Entscheidung, Zeitstempel sowie Angaben zu Erfassung, Inferenz und Pufferung. Der MSE-Verlauf enthält höchstens 100 Fenster; ungültige und veraltete Entscheidungen erhalten die Zustände ERROR beziehungsweise STALE. Start, Stop und Exit steuern die Messung, nicht den Lüfter. Ein Hintergrundthread führt die Auswertung aus; der Hauptthread aktualisiert die Anzeige. Eine begrenzte Nachrichtenqueue verhindert, dass eine verzögerte Anzeige den Auswerter beim Übergeben von Meldungen blockiert. Verworfene Anzeigemeldungen werden getrennt gezählt.</w:t>
      </w:r>
    </w:p>
    <w:p>
      <w:r>
        <w:t>Die GUI verwendet live_tflite_monitor.py und live_pipeline.BufferedAcquisition mit der bereits korrigierten FIFO-Erfassung frischer Sensorwerte. Sie verarbeitet vollständige 128er-XYZ-Fenster fortlaufend, ohne die an einen Stellbefehl gebundene Abschnittsauswahl [180,300) s des finalen Tests. Ausgewertet wird der TFLite-Autoencoder eines per Kommandozeile gewählten Profils; RMS und Isolation Forest sind nicht eingebunden. scale_window wandelt Rohachsen zuerst in Float32 um und wendet den Profil-Scaler an. Die bei v4 vorgeschriebene achsenweise Mittelwertentfernung je Fenster in Float64 fehlt. Gleiche Tensorformen von 1 × 128 × 3 belegen daher keine gleiche Modelleingabe.</w:t>
      </w:r>
    </w:p>
    <w:p>
      <w:r>
        <w:t>Die Profilauflösung verlangt profile.json mit Status ready sowie dazu passende Modell-, Scaler- und Schwellenartefakte. Das finale pilot_bundle.json besitzt ein anderes Schema und wird von der GUI nicht geladen. Alle vier vorhandenen Altprofile nennen 500 Hz; die voreingestellte Sensorerfassung liegt bei 200 Hz. Ohne Entwicklungsübersteuerung weist die Konsistenzprüfung diese Kombination zurück. Eine solche Übersteuerung oder ein bloßer Dateiaustausch stellt die v4-Vorverarbeitung nicht her. Die optionale Kommandozeilenüberschreibung der GUI-Schwelle ist ebenfalls keine zulässige Einstellung des eingefrorenen Methodenvergleichs.</w:t>
      </w:r>
    </w:p>
    <w:p>
      <w:pPr>
        <w:pStyle w:val="Tabellenbeschriftung"/>
      </w:pPr>
      <w:r>
        <w:t>Tabelle 6-7: Implementierung und Nachweisgrenzen der vorhandenen GUI</w:t>
      </w:r>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Bereich</w:t>
            </w:r>
          </w:p>
        </w:tc>
        <w:tc>
          <w:tcPr>
            <w:tcW w:type="dxa" w:w="2665"/>
            <w:vAlign w:val="center"/>
            <w:shd w:fill="E7EDF2" w:val="clear"/>
          </w:tcPr>
          <w:p>
            <w:pPr>
              <w:keepNext/>
              <w:keepLines/>
              <w:spacing w:line="240" w:lineRule="auto" w:before="40" w:after="40"/>
              <w:jc w:val="left"/>
            </w:pPr>
            <w:r>
              <w:rPr>
                <w:rFonts w:ascii="Calibri" w:hAnsi="Calibri"/>
                <w:b/>
                <w:sz w:val="19"/>
              </w:rPr>
              <w:t>Umgesetzter Stand</w:t>
            </w:r>
          </w:p>
        </w:tc>
        <w:tc>
          <w:tcPr>
            <w:tcW w:type="dxa" w:w="4422"/>
            <w:vAlign w:val="center"/>
            <w:shd w:fill="E7EDF2" w:val="clear"/>
          </w:tcPr>
          <w:p>
            <w:pPr>
              <w:keepNext/>
              <w:keepLines/>
              <w:spacing w:line="240" w:lineRule="auto" w:before="40" w:after="40"/>
              <w:jc w:val="left"/>
            </w:pPr>
            <w:r>
              <w:rPr>
                <w:rFonts w:ascii="Calibri" w:hAnsi="Calibri"/>
                <w:b/>
                <w:sz w:val="19"/>
              </w:rPr>
              <w:t>Grenze für das finale Paket</w:t>
            </w:r>
          </w:p>
        </w:tc>
      </w:tr>
      <w:tr>
        <w:trPr>
          <w:cantSplit/>
        </w:trPr>
        <w:tc>
          <w:tcPr>
            <w:tcW w:type="dxa" w:w="1984"/>
            <w:vAlign w:val="center"/>
          </w:tcPr>
          <w:p>
            <w:pPr>
              <w:keepNext w:val="0"/>
              <w:keepLines/>
              <w:spacing w:line="240" w:lineRule="auto" w:before="40" w:after="40"/>
              <w:jc w:val="left"/>
            </w:pPr>
            <w:r>
              <w:rPr>
                <w:rFonts w:ascii="Calibri" w:hAnsi="Calibri"/>
                <w:b w:val="0"/>
                <w:sz w:val="19"/>
              </w:rPr>
              <w:t>Anzeige und Bedienung</w:t>
            </w:r>
          </w:p>
        </w:tc>
        <w:tc>
          <w:tcPr>
            <w:tcW w:type="dxa" w:w="2665"/>
            <w:vAlign w:val="center"/>
          </w:tcPr>
          <w:p>
            <w:pPr>
              <w:keepNext w:val="0"/>
              <w:keepLines/>
              <w:spacing w:line="240" w:lineRule="auto" w:before="40" w:after="40"/>
              <w:jc w:val="left"/>
            </w:pPr>
            <w:r>
              <w:rPr>
                <w:rFonts w:ascii="Calibri" w:hAnsi="Calibri"/>
                <w:b w:val="0"/>
                <w:sz w:val="19"/>
              </w:rPr>
              <w:t>Status, MSE-Verlauf, Schwelle, Zeit-/Pufferangaben; Start, Stop, Exit.</w:t>
            </w:r>
          </w:p>
        </w:tc>
        <w:tc>
          <w:tcPr>
            <w:tcW w:type="dxa" w:w="4422"/>
            <w:vAlign w:val="center"/>
          </w:tcPr>
          <w:p>
            <w:pPr>
              <w:keepNext w:val="0"/>
              <w:keepLines/>
              <w:spacing w:line="240" w:lineRule="auto" w:before="40" w:after="40"/>
              <w:jc w:val="left"/>
            </w:pPr>
            <w:r>
              <w:rPr>
                <w:rFonts w:ascii="Calibri" w:hAnsi="Calibri"/>
                <w:b w:val="0"/>
                <w:sz w:val="19"/>
              </w:rPr>
              <w:t>Keine Lüftersteuerung; kein Drei-Methoden-Vergleich in der Oberfläche.</w:t>
            </w:r>
          </w:p>
        </w:tc>
      </w:tr>
      <w:tr>
        <w:trPr>
          <w:cantSplit/>
        </w:trPr>
        <w:tc>
          <w:tcPr>
            <w:tcW w:type="dxa" w:w="1984"/>
            <w:vAlign w:val="center"/>
          </w:tcPr>
          <w:p>
            <w:pPr>
              <w:keepNext w:val="0"/>
              <w:keepLines/>
              <w:spacing w:line="240" w:lineRule="auto" w:before="40" w:after="40"/>
              <w:jc w:val="left"/>
            </w:pPr>
            <w:r>
              <w:rPr>
                <w:rFonts w:ascii="Calibri" w:hAnsi="Calibri"/>
                <w:b w:val="0"/>
                <w:sz w:val="19"/>
              </w:rPr>
              <w:t>Daten- und Modellweg</w:t>
            </w:r>
          </w:p>
        </w:tc>
        <w:tc>
          <w:tcPr>
            <w:tcW w:type="dxa" w:w="2665"/>
            <w:vAlign w:val="center"/>
          </w:tcPr>
          <w:p>
            <w:pPr>
              <w:keepNext w:val="0"/>
              <w:keepLines/>
              <w:spacing w:line="240" w:lineRule="auto" w:before="40" w:after="40"/>
              <w:jc w:val="left"/>
            </w:pPr>
            <w:r>
              <w:rPr>
                <w:rFonts w:ascii="Calibri" w:hAnsi="Calibri"/>
                <w:b w:val="0"/>
                <w:sz w:val="19"/>
              </w:rPr>
              <w:t>Profil-Autoencoder über live_tflite_monitor; Rohachsen → Float32 → Profil-Scaler.</w:t>
            </w:r>
          </w:p>
        </w:tc>
        <w:tc>
          <w:tcPr>
            <w:tcW w:type="dxa" w:w="4422"/>
            <w:vAlign w:val="center"/>
          </w:tcPr>
          <w:p>
            <w:pPr>
              <w:keepNext w:val="0"/>
              <w:keepLines/>
              <w:spacing w:line="240" w:lineRule="auto" w:before="40" w:after="40"/>
              <w:jc w:val="left"/>
            </w:pPr>
            <w:r>
              <w:rPr>
                <w:rFonts w:ascii="Calibri" w:hAnsi="Calibri"/>
                <w:b w:val="0"/>
                <w:sz w:val="19"/>
              </w:rPr>
              <w:t>Keine Anbindung an den finalen FrozenEngine-/WindowAssembler-Weg; Fensterzentrierung fehlt.</w:t>
            </w:r>
          </w:p>
        </w:tc>
      </w:tr>
      <w:tr>
        <w:trPr>
          <w:cantSplit/>
        </w:trPr>
        <w:tc>
          <w:tcPr>
            <w:tcW w:type="dxa" w:w="1984"/>
            <w:vAlign w:val="center"/>
          </w:tcPr>
          <w:p>
            <w:pPr>
              <w:keepNext w:val="0"/>
              <w:keepLines/>
              <w:spacing w:line="240" w:lineRule="auto" w:before="40" w:after="40"/>
              <w:jc w:val="left"/>
            </w:pPr>
            <w:r>
              <w:rPr>
                <w:rFonts w:ascii="Calibri" w:hAnsi="Calibri"/>
                <w:b w:val="0"/>
                <w:sz w:val="19"/>
              </w:rPr>
              <w:t>Protokollierung</w:t>
            </w:r>
          </w:p>
        </w:tc>
        <w:tc>
          <w:tcPr>
            <w:tcW w:type="dxa" w:w="2665"/>
            <w:vAlign w:val="center"/>
          </w:tcPr>
          <w:p>
            <w:pPr>
              <w:keepNext w:val="0"/>
              <w:keepLines/>
              <w:spacing w:line="240" w:lineRule="auto" w:before="40" w:after="40"/>
              <w:jc w:val="left"/>
            </w:pPr>
            <w:r>
              <w:rPr>
                <w:rFonts w:ascii="Calibri" w:hAnsi="Calibri"/>
                <w:b w:val="0"/>
                <w:sz w:val="19"/>
              </w:rPr>
              <w:t>Monitor: Rohdaten, Entscheidungen und Ressourcen; GUI: Matplotlib-Zeichenabschluss und Meldungsverluste.</w:t>
            </w:r>
          </w:p>
        </w:tc>
        <w:tc>
          <w:tcPr>
            <w:tcW w:type="dxa" w:w="4422"/>
            <w:vAlign w:val="center"/>
          </w:tcPr>
          <w:p>
            <w:pPr>
              <w:keepNext w:val="0"/>
              <w:keepLines/>
              <w:spacing w:line="240" w:lineRule="auto" w:before="40" w:after="40"/>
              <w:jc w:val="left"/>
            </w:pPr>
            <w:r>
              <w:rPr>
                <w:rFonts w:ascii="Calibri" w:hAnsi="Calibri"/>
                <w:b w:val="0"/>
                <w:sz w:val="19"/>
              </w:rPr>
              <w:t>Kein Nachweis des physikalischen Anzeigezeitpunkts oder einer vergleichbaren Messreihe.</w:t>
            </w:r>
          </w:p>
        </w:tc>
      </w:tr>
      <w:tr>
        <w:trPr>
          <w:cantSplit/>
        </w:trPr>
        <w:tc>
          <w:tcPr>
            <w:tcW w:type="dxa" w:w="1984"/>
            <w:vAlign w:val="center"/>
          </w:tcPr>
          <w:p>
            <w:pPr>
              <w:keepNext w:val="0"/>
              <w:keepLines/>
              <w:spacing w:line="240" w:lineRule="auto" w:before="40" w:after="40"/>
              <w:jc w:val="left"/>
            </w:pPr>
            <w:r>
              <w:rPr>
                <w:rFonts w:ascii="Calibri" w:hAnsi="Calibri"/>
                <w:b w:val="0"/>
                <w:sz w:val="19"/>
              </w:rPr>
              <w:t>Softwareprüfung</w:t>
            </w:r>
          </w:p>
        </w:tc>
        <w:tc>
          <w:tcPr>
            <w:tcW w:type="dxa" w:w="2665"/>
            <w:vAlign w:val="center"/>
          </w:tcPr>
          <w:p>
            <w:pPr>
              <w:keepNext w:val="0"/>
              <w:keepLines/>
              <w:spacing w:line="240" w:lineRule="auto" w:before="40" w:after="40"/>
              <w:jc w:val="left"/>
            </w:pPr>
            <w:r>
              <w:rPr>
                <w:rFonts w:ascii="Calibri" w:hAnsi="Calibri"/>
                <w:b w:val="0"/>
                <w:sz w:val="19"/>
              </w:rPr>
              <w:t>Simulationsmodus; Tests für Queue, Kontrollmeldungen, Journal und Veralterung.</w:t>
            </w:r>
          </w:p>
        </w:tc>
        <w:tc>
          <w:tcPr>
            <w:tcW w:type="dxa" w:w="4422"/>
            <w:vAlign w:val="center"/>
          </w:tcPr>
          <w:p>
            <w:pPr>
              <w:keepNext w:val="0"/>
              <w:keepLines/>
              <w:spacing w:line="240" w:lineRule="auto" w:before="40" w:after="40"/>
              <w:jc w:val="left"/>
            </w:pPr>
            <w:r>
              <w:rPr>
                <w:rFonts w:ascii="Calibri" w:hAnsi="Calibri"/>
                <w:b w:val="0"/>
                <w:sz w:val="19"/>
              </w:rPr>
              <w:t>Keine Aussage über tatsächliche Bildschirmanzeige, Sensor-Livebetrieb oder GUI-Zusatzlast mit v4.</w:t>
            </w:r>
          </w:p>
        </w:tc>
      </w:tr>
    </w:tbl>
    <w:p>
      <w:pPr>
        <w:pStyle w:val="Heading1"/>
        <w:numPr>
          <w:ilvl w:val="0"/>
          <w:numId w:val="2"/>
        </w:numPr>
        <w:rPr/>
      </w:pPr>
      <w:bookmarkStart w:id="202" w:name="__RefHeading___Toc14166_535938422"/>
      <w:bookmarkStart w:id="203" w:name="FinalHeading_10065"/>
      <w:bookmarkEnd w:id="202"/>
      <w:r>
        <w:rPr/>
        <w:t>Evaluation und Ergebnisse</w:t>
      </w:r>
      <w:bookmarkEnd w:id="203"/>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4" w:name="__RefHeading___Toc14168_535938422"/>
      <w:bookmarkStart w:id="205" w:name="FinalHeading_10066"/>
      <w:bookmarkEnd w:id="204"/>
      <w:r>
        <w:rPr/>
        <w:t>Datenbasis und Auswertungseinheit</w:t>
      </w:r>
      <w:bookmarkEnd w:id="205"/>
    </w:p>
    <w:p>
      <w:pPr>
        <w:pStyle w:val="Tabellenbeschriftung"/>
        <w:rPr/>
      </w:pPr>
      <w:bookmarkStart w:id="206" w:name="__RefHeading___Toc14242_535938422"/>
      <w:bookmarkStart w:id="207" w:name="FinalCaption_10067"/>
      <w:bookmarkEnd w:id="206"/>
      <w:r>
        <w:rPr/>
        <w:t>Tabelle 7-1: Aufnahmen für Entwicklung und unabhängige Erkennungsprüfung</w:t>
      </w:r>
      <w:bookmarkEnd w:id="20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1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8" w:name="__RefHeading___Toc14170_535938422"/>
      <w:bookmarkStart w:id="209" w:name="FinalHeading_10068"/>
      <w:bookmarkEnd w:id="208"/>
      <w:r>
        <w:rPr/>
        <w:t>Erfassungsqualität und physikalische Zeitbasis</w:t>
      </w:r>
      <w:bookmarkEnd w:id="209"/>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10" w:name="__RefHeading___Toc14172_535938422"/>
      <w:bookmarkStart w:id="211" w:name="FinalHeading_10069"/>
      <w:bookmarkEnd w:id="210"/>
      <w:r>
        <w:rPr/>
        <w:t>Fehlalarme bei unverändertem Normalbetrieb</w:t>
      </w:r>
      <w:bookmarkEnd w:id="211"/>
    </w:p>
    <w:p>
      <w:pPr>
        <w:pStyle w:val="Tabellenbeschriftung"/>
        <w:rPr/>
      </w:pPr>
      <w:bookmarkStart w:id="212" w:name="__RefHeading___Toc14240_535938422"/>
      <w:bookmarkStart w:id="213" w:name="FinalCaption_10070"/>
      <w:bookmarkEnd w:id="212"/>
      <w:r>
        <w:rPr/>
        <w:t>Tabelle 7-2: Unabhängige Normalaufnahmen bei 75 % PWM</w:t>
      </w:r>
      <w:bookmarkEnd w:id="21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4" w:name="__RefHeading___Toc14174_535938422"/>
      <w:bookmarkStart w:id="215" w:name="FinalHeading_10071"/>
      <w:bookmarkEnd w:id="214"/>
      <w:r>
        <w:rPr/>
        <w:t>Kontrollierte Luftstromveränderung und Rückkehrreferenz</w:t>
      </w:r>
      <w:bookmarkEnd w:id="215"/>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6" w:name="__RefHeading___Toc14238_535938422"/>
      <w:bookmarkStart w:id="217" w:name="FinalCaption_10072"/>
      <w:bookmarkEnd w:id="216"/>
      <w:r>
        <w:rPr/>
        <w:t>Tabelle 7-3: Entscheidungen der drei Methoden in der vollständigen Plattenfolge</w:t>
      </w:r>
      <w:bookmarkEnd w:id="21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rPr/>
      </w:pPr>
      <w:r>
        <w:rPr/>
        <w:t>Für die vollständige Folge wird airflow_modified als vorab festgelegtes positives Zustandslabel ausgewertet. Auf denselben 582 gültigen Fenstern ergeben sich F1-Werte von 6,93 % für RMS, 4,04 % für Isolation Forest und 0 % für den Autoencoder. Die F1-Differenz des Autoencoders zur statistischen Baseline beträgt somit −6,93 Prozentpunkte; H1 ist in dieser Folge nicht bestätigt. Die vollständigen Konfusionszahlen und Kennzahlen stehen im Anhang. Die 194 positiven Fenster stammen aus einer einzigen Aufnahme und belegen keine Wiederholbarkeit des Ergebnisses.</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8" w:name="__RefHeading___Toc14206_535938422"/>
      <w:bookmarkStart w:id="219" w:name="FinalCaption_10073"/>
      <w:bookmarkEnd w:id="218"/>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9"/>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20" w:name="__RefHeading___Toc14236_535938422"/>
      <w:bookmarkStart w:id="221" w:name="FinalCaption_10074"/>
      <w:bookmarkEnd w:id="220"/>
      <w:r>
        <w:rPr/>
        <w:t>Tabelle 7-4: Physikalischer Vektor-AC-RMS der 5-s-Abschnitte von 180 bis 300 s</w:t>
      </w:r>
      <w:bookmarkEnd w:id="22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2" w:name="__RefHeading___Toc14216_535938422"/>
      <w:bookmarkStart w:id="223" w:name="FinalCaption_10075"/>
      <w:bookmarkEnd w:id="222"/>
      <w:r>
        <w:rPr/>
        <w:t>Abbildung 7-2: Vollständige 5-s-RMS-Verläufe der unabhängigen Folge Normal → Platte → Normal. Die Markierung bei 180 s kennzeichnet den vorab gewählten Prüfabschnitt. Quelle: eigene Messungen vom 12.09.2026.</w:t>
      </w:r>
      <w:bookmarkEnd w:id="223"/>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4" w:name="__RefHeading___Toc14176_535938422"/>
      <w:bookmarkStart w:id="225" w:name="FinalHeading_10076"/>
      <w:bookmarkEnd w:id="224"/>
      <w:r>
        <w:rPr/>
        <w:t>Explorative Fehleranalyse der Modellentscheidungen</w:t>
      </w:r>
      <w:bookmarkEnd w:id="225"/>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6" w:name="__RefHeading___Toc14234_535938422"/>
      <w:bookmarkStart w:id="227" w:name="FinalCaption_10077"/>
      <w:bookmarkEnd w:id="226"/>
      <w:r>
        <w:rPr/>
        <w:t>Tabelle 7-5: Mittlerer Autoencoder-Rekonstruktionsfehler je Achse auf identischen Modellfenstern</w:t>
      </w:r>
      <w:bookmarkEnd w:id="22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mittlere Gesamtfehler ist das arithmetische Mittel der drei mittleren Achsenfehler. Die kleineren X- und Y-Fehler überkompensieren den mit Platte geringfügig höheren Z-Fehler. Zusätzlich zeigt die Prüfung der einzelnen Modellfenster, dass in dieser Aufnahme kein Gesamtfehler die eingefrorene Schwelle von rund 0,54436 überschreitet. Ein kleinerer Gruppenmittelwert allein würde diesen Nullbefund nicht belegen. Ein größerer physischer Vektor-RMS muss bei dieser Vorverarbeitung und diesem Modell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8" w:name="__RefHeading___Toc14214_535938422"/>
      <w:bookmarkStart w:id="229" w:name="FinalCaption_10078"/>
      <w:bookmarkEnd w:id="228"/>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9"/>
    </w:p>
    <w:p>
      <w:pPr>
        <w:pStyle w:val="Normal"/>
        <w:rPr/>
      </w:pPr>
      <w:r>
        <w:rPr/>
        <w:t>Vierzig der 51 Autoencoder-Fehlalarme in normal_before liegen zwischen 180 und 240 s ab dem Stellbefehl. Über alle 194 Modellfenster dieser Aufnahme beträgt die explorative Pearson-Korrelation zwischen Autoencoder-Score und physischer X-Achsen-RMS ungefähr r = 0,821. Die Fenster sind zeitlich abhängig; der Koeffizient beschreibt diesen Verlauf und ist kein unabhängiger Kausalnachweis. Mit der Z-Achsen-RMS beträgt die entsprechende Korrelation nur rund 0,002.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30" w:name="__RefHeading___Toc14178_535938422"/>
      <w:bookmarkStart w:id="231" w:name="FinalHeading_10079"/>
      <w:bookmarkEnd w:id="230"/>
      <w:r>
        <w:rPr/>
        <w:t>Zweiter normaler Betriebspunkt bei 50 % PWM</w:t>
      </w:r>
      <w:bookmarkEnd w:id="231"/>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2" w:name="__RefHeading___Toc14232_535938422"/>
      <w:bookmarkStart w:id="233" w:name="FinalCaption_10080"/>
      <w:bookmarkEnd w:id="232"/>
      <w:r>
        <w:rPr/>
        <w:t>Tabelle 7-6: Fehlalarme im zweiten normalen Betriebspunkt</w:t>
      </w:r>
      <w:bookmarkEnd w:id="23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4" w:name="__RefHeading___Toc14212_535938422"/>
      <w:bookmarkStart w:id="235" w:name="FinalCaption_10081"/>
      <w:bookmarkEnd w:id="234"/>
      <w:r>
        <w:rPr/>
        <w:t>Abbildung 7-4: Fehlalarmraten je vollständiger Normalaufnahme und zusammengefasst bei 75 % und 50 % PWM mit demselben eingefrorenen Paket. Die Aufnahmen sind nicht zeitgleich oder randomisiert gepaart. Quelle: eigene Testauswertung.</w:t>
      </w:r>
      <w:bookmarkEnd w:id="235"/>
    </w:p>
    <w:p>
      <w:pPr>
        <w:pStyle w:val="Normal"/>
        <w:rPr/>
      </w:pPr>
      <w:r>
        <w:rPr/>
        <w:t>Bei RMS und Isolation Forest sinkt der zusammengefasste Fehlalarmanteil im vorliegenden Vergleich. Beim Autoencoder steigt er von 5,50 % auf 6,01 %, also um ungefähr 0,52 Prozentpunkte. Die sechs 75-%-Normalaufnahmen reichen beim Autoencoder jedoch von 0 bis 26,29 % Fehlalarmen; innerhalb der drei 50-%-Starts sinkt der Anteil von 8,76 auf 3,61 %. Die kleine gepoolte Zunahme beschreibt somit keine über alle Starts einheitliche Verschiebung und hängt von der festgelegten Zusammensetzung der Normalreferenzen ab. Die zeitlich getrennten Reihen isolieren die PWM nicht von weiteren Einflüssen. H3 ist für den Autoencoder nur mit der Richtung des zusammengefassten Anteils vereinbar und weder allgemein noch kausal bestätigt; für RMS und Isolation Forest zeigt der zusammengefasste Vergleich die entgegengesetzte Richtung.</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6" w:name="__RefHeading___Toc14180_535938422"/>
      <w:bookmarkStart w:id="237" w:name="FinalHeading_10082"/>
      <w:bookmarkEnd w:id="236"/>
      <w:r>
        <w:rPr/>
        <w:t>Laufzeit, Ressourcen und lokaler Sensorbetrieb</w:t>
      </w:r>
      <w:bookmarkEnd w:id="237"/>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8" w:name="__RefHeading___Toc14230_535938422"/>
      <w:bookmarkStart w:id="239" w:name="FinalCaption_10083"/>
      <w:bookmarkEnd w:id="238"/>
      <w:r>
        <w:rPr/>
        <w:t>Tabelle 7-7: Latenz je Methode und Betriebsart; Bereich der drei getrennten Prozesse</w:t>
      </w:r>
      <w:bookmarkEnd w:id="23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40" w:name="__RefHeading___Toc14210_535938422"/>
      <w:bookmarkStart w:id="241" w:name="FinalCaption_10084"/>
      <w:bookmarkEnd w:id="240"/>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1"/>
    </w:p>
    <w:p>
      <w:pPr>
        <w:pStyle w:val="Tabellenbeschriftung"/>
        <w:rPr/>
      </w:pPr>
      <w:bookmarkStart w:id="242" w:name="__RefHeading___Toc14228_535938422"/>
      <w:bookmarkStart w:id="243" w:name="FinalCaption_10085"/>
      <w:bookmarkEnd w:id="242"/>
      <w:r>
        <w:rPr/>
        <w:t>Tabelle 7-8: Prozessressourcen im aktiven Abschnitt [180,300) s; Bereich der drei Prozesse</w:t>
      </w:r>
      <w:bookmarkEnd w:id="24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4" w:name="__RefHeading___Toc14208_535938422"/>
      <w:bookmarkStart w:id="245" w:name="FinalCaption_10086"/>
      <w:bookmarkEnd w:id="244"/>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5"/>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r>
        <w:t>Für die GUI liegen 16 historische CSV-Dateien vom 23. bis 26. August 2026 mit insgesamt 30.075 Entscheidungszeilen vor. Sie sind den damaligen Profilen home_v001, fan_50 und fan_25 zugeordnet und enthalten sieben Felder einschließlich Score, Schwelle, Entscheidung, Zeitangabe und beobachteter Rate. Diese Dateien dokumentieren Ausgaben des damaligen GUI-Wegs. Sie enthalten jedoch keine ausreichende Zuordnung zum aktuellen Quellstand oder zum v4-Paket und keinen vollständigen CPU-, RAM- oder Anzeigezeitvergleich. Ein Abgleich tatsächlich dargestellter Bildschirmwerte mit den CSV-Werten ist dadurch nicht belegt.</w:t>
      </w:r>
    </w:p>
    <w:p>
      <w:r>
        <w:t>Die ergänzende Prüfung vom 13. September 2026 ist eine Softwareprüfung ohne Hardware: Drei vorhandene GUI-Regressionen prüfen begrenzte Queues, erhaltene Kontrollmeldungen und Journalanlage sowie STALE bei alten Fenstern trotz frischer Entscheidung. Ein separater synthetischer Funktionstest bestätigt die unterschiedliche Mittelwertbehandlung des GUI- und v4-Wegs; er verwendet keine gemessenen Beschleunigungen und führt keine Modellinferenz aus. Diese Prüfungen ersetzen weder einen sichtbaren GUI-Funktionstest noch einen Sensorversuch. Die 18 Laufzeitprozesse aus Abschnitt 7.7 liefen ohne Oberfläche. Der in Abschnitt 4.3 geforderte Vergleich mit und ohne GUI bei ansonsten gleichen Bedingungen ist nicht erbracht; die vorhandenen Laufzeitwerte dürfen nicht als GUI-Messwerte verwendet werden.</w:t>
      </w:r>
    </w:p>
    <w:p>
      <w:pPr>
        <w:pStyle w:val="Heading2"/>
        <w:pageBreakBefore/>
        <w:numPr>
          <w:ilvl w:val="1"/>
          <w:numId w:val="2"/>
        </w:numPr>
        <w:rPr/>
      </w:pPr>
      <w:bookmarkStart w:id="246" w:name="__RefHeading___Toc14182_535938422"/>
      <w:bookmarkStart w:id="247" w:name="FinalHeading_10087"/>
      <w:bookmarkEnd w:id="246"/>
      <w:r>
        <w:rPr/>
        <w:t>Erfüllungsgrad der Anforderungen</w:t>
      </w:r>
      <w:bookmarkEnd w:id="247"/>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8" w:name="__RefHeading___Toc14226_535938422"/>
      <w:bookmarkStart w:id="249" w:name="FinalCaption_10088"/>
      <w:bookmarkEnd w:id="248"/>
      <w:r>
        <w:rPr/>
        <w:t>Tabelle 7-9: Nachweisstand der Anforderungen A1–A13</w:t>
      </w:r>
      <w:bookmarkEnd w:id="249"/>
    </w:p>
    <w:tbl>
      <w:tblPr>
        <w:tblStyle w:val="Tabellenraster"/>
        <w:jc w:val="center"/>
        <w:tblInd w:w="0" w:type="dxa"/>
        <w:tblLayout w:type="fixed"/>
        <w:tblCellMar>
          <w:top w:w="0" w:type="dxa"/>
          <w:start w:w="108" w:type="dxa"/>
          <w:bottom w:w="0" w:type="dxa"/>
          <w:end w:w="108" w:type="dxa"/>
        </w:tblCellMar>
        <w:tblLook w:val="04a0" w:noHBand="0" w:noVBand="1" w:firstColumn="1" w:lastRow="0" w:lastColumn="0" w:firstRow="1"/>
        <w:tblW w:w="9071" w:type="dxa"/>
      </w:tblPr>
      <w:tblGrid>
        <w:gridCol w:w="1984"/>
        <w:gridCol w:w="2665"/>
        <w:gridCol w:w="4422"/>
      </w:tblGrid>
      <w:tr>
        <w:trPr>
          <w:tblHeader w:val="true"/>
          <w:cantSplit w:val="true"/>
        </w:trPr>
        <w:tc>
          <w:tcPr>
            <w:tcW w:w="1984"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ID</w:t>
            </w:r>
          </w:p>
        </w:tc>
        <w:tc>
          <w:tcPr>
            <w:tcW w:w="2665"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Stand</w:t>
            </w:r>
          </w:p>
        </w:tc>
        <w:tc>
          <w:tcPr>
            <w:tcW w:w="4422"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Beleg und Grenze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Ganze Aufnahmen getrennt; Training und Kalibrierung nur normal; Scaler ausschließlich an Trainingspunkten angepasst.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Identische 128er-Testfenster, gemeinsame Quantilregel und eingefrorene Vorverarbeitung für alle drei Methoden.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A4</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Im Messumfang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Automatische lokale Verarbeitung und maschinenlesbare Entscheidungen; ungültige Fenster getrennt behandelt.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A5</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Aufnahme-, Protokoll-, Modell- und Codekennungen sowie Hashes und Umgebungsdaten gespeichert.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A6</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Ausführung auf dem Raspberry Pi; numerischer Konvertierungsvergleich und identischer Live-/Offline-Datenweg geprüft.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A7</w:t>
            </w:r>
          </w:p>
        </w:tc>
        <w:tc>
          <w:tcPr>
            <w:tcW w:w="2665" w:type="dxa"/>
            <w:tcBorders/>
            <w:vAlign w:val="center"/>
          </w:tcPr>
          <w:p>
            <w:pPr>
              <w:pStyle w:val="Normal"/>
              <w:keepNext w:val="0"/>
              <w:keepLines/>
              <w:spacing w:lineRule="auto" w:line="240" w:before="40" w:after="40"/>
              <w:jc w:val="left"/>
              <w:rPr>
                <w:sz w:val="22"/>
              </w:rPr>
            </w:pPr>
            <w:r>
              <w:rPr>
                <w:rFonts w:ascii="Calibri" w:hAnsi="Calibri"/>
                <w:b w:val="0"/>
                <w:sz w:val="19"/>
              </w:rPr>
              <w:t>Im Messumfang nachgewiesen</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P99 der Verarbeitung liegt in allen geprüften Läufen unter dem beobachteten Fensterintervall; keine gezählte Fristüberschreitung. Hostseitige Grenze; keine harte Echtzeitgarantie.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A8</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Für endliche Läufe geprüft</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CPU, RSS, Modellgrößen und Queue erfasst; verworfene Entscheidungsfenster gezählt. Kein Nachweis unbegrenzten Dauerbetriebs oder unbekannter physischer Verluste.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A9</w:t>
            </w:r>
          </w:p>
        </w:tc>
        <w:tc>
          <w:tcPr>
            <w:tcW w:w="2665" w:type="dxa"/>
            <w:tcBorders/>
            <w:vAlign w:val="center"/>
          </w:tcPr>
          <w:p>
            <w:pPr>
              <w:pStyle w:val="Normal"/>
              <w:keepNext w:val="0"/>
              <w:keepLines/>
              <w:spacing w:lineRule="auto" w:line="240" w:before="40" w:after="40"/>
              <w:jc w:val="left"/>
              <w:rPr>
                <w:sz w:val="22"/>
              </w:rPr>
            </w:pPr>
            <w:r>
              <w:rPr>
                <w:rFonts w:ascii="Calibri" w:hAnsi="Calibri"/>
                <w:b w:val="0"/>
                <w:sz w:val="19"/>
              </w:rPr>
              <w:t>Im Pilotumfang ausgewertet</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A10</w:t>
            </w:r>
          </w:p>
        </w:tc>
        <w:tc>
          <w:tcPr>
            <w:tcW w:w="2665" w:type="dxa"/>
            <w:tcBorders/>
            <w:vAlign w:val="center"/>
          </w:tcPr>
          <w:p>
            <w:pPr>
              <w:pStyle w:val="Normal"/>
              <w:keepNext w:val="0"/>
              <w:keepLines/>
              <w:spacing w:lineRule="auto" w:line="240" w:before="40" w:after="40"/>
              <w:jc w:val="left"/>
              <w:rPr>
                <w:sz w:val="22"/>
              </w:rPr>
            </w:pPr>
            <w:r>
              <w:rPr>
                <w:rFonts w:ascii="Calibri" w:hAnsi="Calibri"/>
                <w:b w:val="0"/>
                <w:sz w:val="19"/>
              </w:rPr>
              <w:t>Im festgelegten Vergleich nachgewiesen</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Drei normale 50-%-Tests bei unverändertem Paket; Vergleich mit den vorab bestimmten 75-%-Normalreferenzen. Keine randomisierte Paarung und kein isolierter kausaler PWM-Effekt.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A12</w:t>
            </w:r>
          </w:p>
        </w:tc>
        <w:tc>
          <w:tcPr>
            <w:tcW w:w="2665" w:type="dxa"/>
            <w:tcBorders/>
            <w:vAlign w:val="center"/>
          </w:tcPr>
          <w:p>
            <w:pPr>
              <w:keepNext w:val="0"/>
              <w:keepLines/>
              <w:spacing w:line="240" w:lineRule="auto" w:before="40" w:after="40"/>
              <w:jc w:val="left"/>
            </w:pPr>
            <w:r>
              <w:rPr>
                <w:rFonts w:ascii="Calibri" w:hAnsi="Calibri"/>
                <w:b w:val="0"/>
                <w:sz w:val="19"/>
              </w:rPr>
              <w:t>GUI umgesetzt; Nachweis unvollständig</w:t>
            </w:r>
          </w:p>
        </w:tc>
        <w:tc>
          <w:tcPr>
            <w:tcW w:w="4422" w:type="dxa"/>
            <w:tcBorders/>
            <w:vAlign w:val="center"/>
          </w:tcPr>
          <w:p>
            <w:pPr>
              <w:keepNext w:val="0"/>
              <w:keepLines/>
              <w:spacing w:line="240" w:lineRule="auto" w:before="40" w:after="40"/>
              <w:jc w:val="left"/>
            </w:pPr>
            <w:r>
              <w:rPr>
                <w:rFonts w:ascii="Calibri" w:hAnsi="Calibri"/>
                <w:b w:val="0"/>
                <w:sz w:val="19"/>
              </w:rPr>
              <w:t>Profilbasierte Oberfläche und begrenzte Softwaretests vorhanden. Finale v4-Anbindung, Bildschirm-/Ergebnisabgleich und Vergleich mit/ohne GUI nicht nachgewiesen.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Normal"/>
        <w:keepNext w:val="true"/>
        <w:rPr/>
      </w:pPr>
      <w:r>
        <w:rPr/>
        <w:t>Tabelle 7-10 fasst die Antworten auf die Forschungsfragen und den Stand der Hypothesen zusammen. Die Aussagen beziehen sich auf die festgelegten Daten und Messgrenzen; aus einer Fensterzahl wird keine zusätzliche Zahl unabhängiger Versuche abgeleitet.</w:t>
      </w:r>
    </w:p>
    <w:p>
      <w:pPr>
        <w:pStyle w:val="Tabellenbeschriftung"/>
        <w:keepNext w:val="true"/>
        <w:rPr/>
      </w:pPr>
      <w:bookmarkStart w:id="250" w:name="__RefHeading___Toc42811_554761375"/>
      <w:bookmarkEnd w:id="250"/>
      <w:r>
        <w:rPr/>
        <w:t>Tabelle 7-10: Forschungsfragen, Hypothesen und Gültigkeitsgrenzen</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Bezug</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Beobachteter Befund</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Einordnung und Grenze</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FF1</w:t>
            </w:r>
          </w:p>
        </w:tc>
        <w:tc>
          <w:tcPr>
            <w:tcW w:w="2665" w:type="dxa"/>
            <w:tcBorders/>
            <w:vAlign w:val="center"/>
          </w:tcPr>
          <w:p>
            <w:pPr>
              <w:pStyle w:val="Normal"/>
              <w:keepNext w:val="false"/>
              <w:keepLines/>
              <w:spacing w:lineRule="auto" w:line="240" w:before="40" w:after="40"/>
              <w:jc w:val="start"/>
              <w:rPr>
                <w:sz w:val="22"/>
              </w:rPr>
            </w:pPr>
            <w:r>
              <w:rPr>
                <w:b w:val="false"/>
                <w:sz w:val="19"/>
              </w:rPr>
              <w:t>Anforderungen, Variantenvergleich und realisierte Mess-/Auswertekette dokumentiert.</w:t>
            </w:r>
          </w:p>
        </w:tc>
        <w:tc>
          <w:tcPr>
            <w:tcW w:w="4423" w:type="dxa"/>
            <w:tcBorders/>
            <w:vAlign w:val="center"/>
          </w:tcPr>
          <w:p>
            <w:pPr>
              <w:pStyle w:val="Normal"/>
              <w:keepNext w:val="false"/>
              <w:keepLines/>
              <w:spacing w:lineRule="auto" w:line="240" w:before="40" w:after="40"/>
              <w:jc w:val="start"/>
              <w:rPr>
                <w:sz w:val="22"/>
              </w:rPr>
            </w:pPr>
            <w:r>
              <w:rPr>
                <w:b w:val="false"/>
                <w:sz w:val="19"/>
              </w:rPr>
              <w:t>Auswahl und Implementierung nachvollziehbar; A1 und A11 nur teilweise nachgewiesen. Drehzahl ungemessen.</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FF2 / H1</w:t>
            </w:r>
          </w:p>
        </w:tc>
        <w:tc>
          <w:tcPr>
            <w:tcW w:w="2665" w:type="dxa"/>
            <w:tcBorders/>
            <w:vAlign w:val="center"/>
          </w:tcPr>
          <w:p>
            <w:pPr>
              <w:pStyle w:val="Normal"/>
              <w:keepNext w:val="false"/>
              <w:keepLines/>
              <w:spacing w:lineRule="auto" w:line="240" w:before="40" w:after="40"/>
              <w:jc w:val="start"/>
              <w:rPr>
                <w:sz w:val="22"/>
              </w:rPr>
            </w:pPr>
            <w:r>
              <w:rPr>
                <w:b w:val="false"/>
                <w:sz w:val="19"/>
              </w:rPr>
              <w:t>F1 der Plattenfolge: RMS 6,93 %, IF 4,04 %, AE 0 %.</w:t>
            </w:r>
          </w:p>
        </w:tc>
        <w:tc>
          <w:tcPr>
            <w:tcW w:w="4423" w:type="dxa"/>
            <w:tcBorders/>
            <w:vAlign w:val="center"/>
          </w:tcPr>
          <w:p>
            <w:pPr>
              <w:pStyle w:val="Normal"/>
              <w:keepNext w:val="false"/>
              <w:keepLines/>
              <w:spacing w:lineRule="auto" w:line="240" w:before="40" w:after="40"/>
              <w:jc w:val="start"/>
              <w:rPr>
                <w:sz w:val="22"/>
              </w:rPr>
            </w:pPr>
            <w:r>
              <w:rPr>
                <w:b w:val="false"/>
                <w:sz w:val="19"/>
              </w:rPr>
              <w:t>H1 in dieser Folge nicht bestätigt. Eine positive Aufnahme; kein allgemeiner Defektnachweis.</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FF3 / H2</w:t>
            </w:r>
          </w:p>
        </w:tc>
        <w:tc>
          <w:tcPr>
            <w:tcW w:w="2665" w:type="dxa"/>
            <w:tcBorders/>
            <w:vAlign w:val="center"/>
          </w:tcPr>
          <w:p>
            <w:pPr>
              <w:pStyle w:val="Normal"/>
              <w:keepNext w:val="false"/>
              <w:keepLines/>
              <w:spacing w:lineRule="auto" w:line="240" w:before="40" w:after="40"/>
              <w:jc w:val="start"/>
              <w:rPr>
                <w:sz w:val="22"/>
              </w:rPr>
            </w:pPr>
            <w:r>
              <w:rPr>
                <w:b w:val="false"/>
                <w:sz w:val="19"/>
              </w:rPr>
              <w:t>P99 unter dem beobachteten Fensterintervall in allen 18 Sensor-/Replay-Läufen; keine gezählte Überschreitung.</w:t>
            </w:r>
          </w:p>
        </w:tc>
        <w:tc>
          <w:tcPr>
            <w:tcW w:w="4423" w:type="dxa"/>
            <w:tcBorders/>
            <w:vAlign w:val="center"/>
          </w:tcPr>
          <w:p>
            <w:pPr>
              <w:pStyle w:val="Normal"/>
              <w:keepNext w:val="false"/>
              <w:keepLines/>
              <w:spacing w:lineRule="auto" w:line="240" w:before="40" w:after="40"/>
              <w:jc w:val="start"/>
              <w:rPr>
                <w:sz w:val="22"/>
              </w:rPr>
            </w:pPr>
            <w:r>
              <w:rPr>
                <w:b w:val="false"/>
                <w:sz w:val="19"/>
              </w:rPr>
              <w:t>H2 im gemessenen Umfang erfüllt. Latenz ab hostseitig vollständigem Fenster; kein unbegrenzter Echtzeit- oder Dauerbetriebsnachweis.</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FF4 / H3</w:t>
            </w:r>
          </w:p>
        </w:tc>
        <w:tc>
          <w:tcPr>
            <w:tcW w:w="2665" w:type="dxa"/>
            <w:tcBorders/>
            <w:vAlign w:val="center"/>
          </w:tcPr>
          <w:p>
            <w:pPr>
              <w:pStyle w:val="Normal"/>
              <w:keepNext w:val="false"/>
              <w:keepLines/>
              <w:spacing w:lineRule="auto" w:line="240" w:before="40" w:after="40"/>
              <w:jc w:val="start"/>
              <w:rPr>
                <w:sz w:val="22"/>
              </w:rPr>
            </w:pPr>
            <w:r>
              <w:rPr>
                <w:b w:val="false"/>
                <w:sz w:val="19"/>
              </w:rPr>
              <w:t>50-%-Normaltests mit unverändertem Paket: gepoolte Fehlalarme bei RMS/IF geringer, beim AE geringfügig höher.</w:t>
            </w:r>
          </w:p>
        </w:tc>
        <w:tc>
          <w:tcPr>
            <w:tcW w:w="4423" w:type="dxa"/>
            <w:tcBorders/>
            <w:vAlign w:val="center"/>
          </w:tcPr>
          <w:p>
            <w:pPr>
              <w:pStyle w:val="Normal"/>
              <w:keepNext w:val="false"/>
              <w:keepLines/>
              <w:spacing w:lineRule="auto" w:line="240" w:before="40" w:after="40"/>
              <w:jc w:val="start"/>
              <w:rPr>
                <w:sz w:val="22"/>
              </w:rPr>
            </w:pPr>
            <w:r>
              <w:rPr>
                <w:b w:val="false"/>
                <w:sz w:val="19"/>
              </w:rPr>
              <w:t>H3 nicht pauschal bestätigt. AE-Richtung nur deskriptiv; Startvariabilität und zeitlich getrennte Reihen begrenzen die Zuordnung.</w:t>
            </w:r>
          </w:p>
        </w:tc>
      </w:tr>
    </w:tbl>
    <w:p>
      <w:pPr>
        <w:pStyle w:val="Heading1"/>
        <w:numPr>
          <w:ilvl w:val="0"/>
          <w:numId w:val="2"/>
        </w:numPr>
        <w:rPr/>
      </w:pPr>
      <w:bookmarkStart w:id="251" w:name="__RefHeading___Toc14184_535938422"/>
      <w:bookmarkStart w:id="252" w:name="FinalHeading_10089"/>
      <w:bookmarkEnd w:id="251"/>
      <w:r>
        <w:rPr/>
        <w:t>Diskussion</w:t>
      </w:r>
      <w:bookmarkEnd w:id="252"/>
    </w:p>
    <w:p>
      <w:pPr>
        <w:pStyle w:val="Heading2"/>
        <w:numPr>
          <w:ilvl w:val="1"/>
          <w:numId w:val="2"/>
        </w:numPr>
        <w:rPr/>
      </w:pPr>
      <w:bookmarkStart w:id="253" w:name="__RefHeading___Toc14186_535938422"/>
      <w:bookmarkStart w:id="254" w:name="FinalHeading_10090"/>
      <w:bookmarkEnd w:id="253"/>
      <w:r>
        <w:rPr/>
        <w:t>Aussagekraft des Methodenvergleichs</w:t>
      </w:r>
      <w:bookmarkEnd w:id="254"/>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Normal"/>
        <w:rPr/>
      </w:pPr>
      <w:r>
        <w:rPr/>
        <w:t>Die Erkennungskennzahlen sind deskriptive Ergebnisse des vorab definierten Zustandslabels. Für den veränderten Zustand liegt nur eine unabhängige Aufnahme vor; ihre 194 Fenster sind zeitlich abhängig. Ein Konfidenzintervall oder Signifikanztest, der diese Fenster als unabhängige Replikate behandelte, würde die verfügbare Evidenz überschätzen. Deshalb werden Einzelaufnahmen, zeitliche Verläufe und Zählungen berichtet, ohne aus der Fensterzahl eine populationsweite Genauigkeit abzuleiten. Auch der explorative Zusammenhang zwischen Achsenenergie und Modellfehler ist kein kausaler Nachweis.</w:t>
      </w:r>
    </w:p>
    <w:p>
      <w:pPr>
        <w:pStyle w:val="Heading2"/>
        <w:numPr>
          <w:ilvl w:val="1"/>
          <w:numId w:val="2"/>
        </w:numPr>
        <w:rPr/>
      </w:pPr>
      <w:bookmarkStart w:id="255" w:name="__RefHeading___Toc14188_535938422"/>
      <w:bookmarkStart w:id="256" w:name="FinalHeading_10091"/>
      <w:bookmarkEnd w:id="255"/>
      <w:r>
        <w:rPr/>
        <w:t>Einlaufzeit, Aufstellung und Vorverarbeitung</w:t>
      </w:r>
      <w:bookmarkEnd w:id="256"/>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7" w:name="__RefHeading___Toc14190_535938422"/>
      <w:bookmarkStart w:id="258" w:name="FinalHeading_10092"/>
      <w:bookmarkEnd w:id="257"/>
      <w:r>
        <w:rPr/>
        <w:t>Technische Grenzen und Übertragbarkeit</w:t>
      </w:r>
      <w:bookmarkEnd w:id="258"/>
    </w:p>
    <w:p>
      <w:pPr>
        <w:pStyle w:val="Normal"/>
        <w:rPr/>
      </w:pPr>
      <w:r>
        <w:rPr/>
        <w:t>Die Laufzeitprüfung zeigt, ob die gespeicherte Verarbeitung im gemessenen Umfang Schritt hält. Numerische Konsistenz und geringe Latenz belegen keine richtige Zustandsentscheidung. Umgekehrt bedeutet schwache Zustandstrennung allein keinen Implementierungsfehler.</w:t>
      </w:r>
    </w:p>
    <w:p>
      <w:pPr>
        <w:pStyle w:val="Normal"/>
        <w:rPr/>
      </w:pPr>
      <w:r>
        <w:t>Die Latenzmessung beginnt beim hostseitig vollständigen Fenster; Fensterfüllzeit und unbekannte Verzögerungen vor dem Host-Leseabschluss sind ausgeschlossen. Endliche Tests unter gewöhnlichem Linux belegen keine harte Echtzeit. Die GUI ist umgesetzt, verwendet jedoch einen abweichenden Profilweg. Ihre Existenz und die hardwarefreien Teilprüfungen erfüllen A12 nicht vollständig; insbesondere bleibt der geforderte Vergleich der Zusatzlast offen.</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9" w:name="__RefHeading___Toc42805_554761375"/>
      <w:bookmarkEnd w:id="259"/>
      <w:r>
        <w:rPr/>
        <w:t>Nicht erbrachte Nachweise und Ausblick</w:t>
      </w:r>
    </w:p>
    <w:p>
      <w:pPr>
        <w:pStyle w:val="Normal"/>
        <w:rPr/>
      </w:pPr>
      <w:r>
        <w:rPr/>
        <w:t>Der empirische Teil dieser Fassung wird mit der vorhandenen Datenbasis abgeschlossen. Zwei zusätzliche Plattenfolgen sowie unabhängige Drehzahl- und Sensortaktmessungen wurden vorbereitet, aber nicht durchgeführt. Die damit verbundenen Grenzen bleiben Teil des Ergebnisses: A1 und A11 sind weiterhin nur teilweise nachgewiesen, und die tatsächliche Drehzahl bleibt unbekannt. Die folgende Beschreibung ordnet mögliche Anschlussuntersuchungen ein; sie ist kein Nachweis ihrer Ausführung und verändert den Status des eingefrorenen Entwicklungspakets nicht. Für die wissenschaftliche Dokumentation werden weder weitere Normalstarts zur Verbesserung eines Mittelwerts noch eine nachträgliche Schwellenanpassung vorgenommen.</w:t>
      </w:r>
    </w:p>
    <w:p>
      <w:pPr>
        <w:pStyle w:val="Normal"/>
        <w:rPr/>
      </w:pPr>
      <w:r>
        <w:rP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rPr/>
        <w:t>Ein vorbereiteter Anschlussversuch umfasst zwei zusätzliche vollständige Normal–Änderung–Normal-Folgen, sodass zusammen mit der vorhandenen Folge drei unabhängige veränderte Aufnahmen vorlägen. Auch dies wäre ein begrenzter Pilotumfang. Geometrie, Stellvorgabe, Auszeiten, Messdauer, Bewertungsabschnitt und Labels müssten vor Beginn festgelegt bleiben. Die Rückkehrreferenzen würden mit der normalen Variabilität verglichen; genau gleiche RMS-Mittelwerte wären kein notwendiges Rücksetzkriterium. Für weitergehende Aussagen müsste die Zahl unabhängiger Folgen anhand der gewünschten Genauigkeit geplant werden. Weitere Instrumentierung oder Modelländerungen erforderten eine gesondert dokumentierte Versuchs- beziehungsweise Modellversion.</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t>Für eine spätere v4-Einbindung müsste die bestehende Anzeige ihre Entscheidungen aus dem finalen Datenweg erhalten, einschließlich eingefrorener Vorverarbeitung, Artefaktprüfung, Schwellen und Gültigkeitskennzeichnung. Der vorhandene Profil-Auswerter darf dabei nicht stillschweigend weiterverwendet werden. Anschließend wären angezeigte Werte gegen gespeicherte Fensterentscheidungen sowie Fehler-, Veraltungs- und Beendigungsfälle zu prüfen. Der ursprüngliche Nachweis verlangt außerdem einen Vergleich mit und ohne GUI bei ansonsten gleichen Eingaben, Methoden und Bedingungen: Verarbeitung bis zur Entscheidung und bis zum protokollierten Zeichenabschluss, CPU, RAM, Pufferverluste und ungültige Ausgaben. Offline-Replay und Sensor-Livebetrieb müssten getrennt ausgewiesen werden. Diese Integrations- und Messschritte sind nicht durchgeführt; der geprüfte Betrieb ohne Oberfläche bleibt davon getrennt.</w:t>
      </w:r>
    </w:p>
    <w:p>
      <w:pPr>
        <w:pStyle w:val="Heading1"/>
        <w:numPr>
          <w:ilvl w:val="0"/>
          <w:numId w:val="2"/>
        </w:numPr>
        <w:rPr/>
      </w:pPr>
      <w:bookmarkStart w:id="260" w:name="__RefHeading___Toc14194_535938422"/>
      <w:bookmarkStart w:id="261" w:name="FinalHeading_10094"/>
      <w:bookmarkEnd w:id="260"/>
      <w:r>
        <w:rPr/>
        <w:t>Fazit</w:t>
      </w:r>
      <w:bookmarkEnd w:id="261"/>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rPr/>
        <w:t>FF3 wird durch getrennte Ressourcen- und Latenzmessungen im Sensorbetrieb und zeitgetreuen Replay beantwortet. H2 ist im gemessenen Umfang erfüllt: In allen 18 Prozessen liegt P99 unter dem beobachteten Fensterintervall; es gibt keine gezählte Fristüberschreitung. Gemessen wird hostseitige Verarbeitung in 300-s-Prozessen mit 120 s Modellbewertung. Harte Echtzeit, unbegrenzter Dauerbetrieb und fachlich richtige Zustandsentscheidungen folgen daraus nicht.</w:t>
      </w:r>
    </w:p>
    <w:p>
      <w:pPr>
        <w:pStyle w:val="Normal"/>
        <w:rPr/>
      </w:pPr>
      <w:r>
        <w:rPr/>
        <w:t>FF4 ist durch drei unabhängige Normalaufnahmen bei 50 % PWM mit unverändertem Paket untersucht. Gegenüber den festgelegten sechs 75-%-Normalreferenzen sinken die gepoolten Fehlalarmraten von RMS und Isolation Forest; beim Autoencoder steigt der Anteil geringfügig von 5,50 auf 6,01 %. Die Richtung ist nicht über alle Starts einheitlich und belegt keinen isolierten kausalen Tastgradeffekt. H3 wird deshalb nicht pauschal bestätigt.</w:t>
      </w:r>
    </w:p>
    <w:p>
      <w:pPr>
        <w:pStyle w:val="Normal"/>
        <w:rPr/>
      </w:pPr>
      <w:r>
        <w:rPr/>
        <w:t>Der Beitrag liegt in der überprüfbaren Umsetzung und offenen Bewertung eines begrenzten Methodenvergleichs. Stärkere Vibration, höherer Modellscore und richtige Zustandsentscheidung sind verschiedene Sachverhalte. Eine zuverlässige Erkennung der Luftstromänderung ist nicht belegt. Die Pilotstudie ist mit diesem negativen Ergebnis abschließbar; Wiederholungs-, Drehzahl- und physikalische Messkettennachweise bleiben teilweise unerbracht. Vollständige Anforderungserfüllung oder betriebsfertig validierte Defekterkennung werden nicht beansprucht.</w:t>
      </w:r>
    </w:p>
    <w:p>
      <w:pPr>
        <w:pStyle w:val="Heading1"/>
        <w:numPr>
          <w:ilvl w:val="0"/>
          <w:numId w:val="0"/>
        </w:numPr>
        <w:ind w:hanging="0" w:start="0"/>
        <w:rPr/>
      </w:pPr>
      <w:bookmarkStart w:id="262" w:name="__RefHeading___Toc14196_535938422"/>
      <w:bookmarkStart w:id="263" w:name="FinalHeading_10095"/>
      <w:bookmarkEnd w:id="262"/>
      <w:r>
        <w:rPr/>
        <w:t>Anhang</w:t>
      </w:r>
      <w:bookmarkEnd w:id="263"/>
    </w:p>
    <w:p>
      <w:pPr>
        <w:pStyle w:val="Heading2"/>
        <w:numPr>
          <w:ilvl w:val="0"/>
          <w:numId w:val="0"/>
        </w:numPr>
        <w:ind w:hanging="0" w:start="0"/>
        <w:rPr/>
      </w:pPr>
      <w:bookmarkStart w:id="264" w:name="__RefHeading___Toc14198_535938422"/>
      <w:bookmarkStart w:id="265" w:name="FinalHeading_10096"/>
      <w:bookmarkEnd w:id="264"/>
      <w:r>
        <w:rPr/>
        <w:t>Digitale Belege und Zuordnung</w:t>
      </w:r>
      <w:bookmarkEnd w:id="265"/>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6" w:name="__RefHeading___Toc14224_535938422"/>
      <w:bookmarkStart w:id="267" w:name="FinalCaption_10097"/>
      <w:bookmarkEnd w:id="266"/>
      <w:r>
        <w:rPr/>
        <w:t>Tabelle A-1: Verzeichnis der maßgeblichen digitalen Belege</w:t>
      </w:r>
      <w:bookmarkEnd w:id="267"/>
    </w:p>
    <w:tbl>
      <w:tblPr>
        <w:tblStyle w:val="Tabellenraster"/>
        <w:jc w:val="center"/>
        <w:tblInd w:w="0" w:type="dxa"/>
        <w:tblLayout w:type="fixed"/>
        <w:tblCellMar>
          <w:top w:w="0" w:type="dxa"/>
          <w:start w:w="108" w:type="dxa"/>
          <w:bottom w:w="0" w:type="dxa"/>
          <w:end w:w="108" w:type="dxa"/>
        </w:tblCellMar>
        <w:tblLook w:val="04a0" w:noHBand="0" w:noVBand="1" w:firstColumn="1" w:lastRow="0" w:lastColumn="0" w:firstRow="1"/>
        <w:tblW w:w="9071" w:type="dxa"/>
      </w:tblPr>
      <w:tblGrid>
        <w:gridCol w:w="794"/>
        <w:gridCol w:w="2835"/>
        <w:gridCol w:w="5443"/>
      </w:tblGrid>
      <w:tr>
        <w:trPr>
          <w:tblHeader w:val="true"/>
          <w:cantSplit w:val="true"/>
        </w:trPr>
        <w:tc>
          <w:tcPr>
            <w:tcW w:w="794" w:type="dxa"/>
            <w:tcBorders/>
            <w:shd w:fill="E7EDF2" w:val="clear"/>
            <w:vAlign w:val="center"/>
            <w:shd w:fill="E7EDF2" w:val="clear"/>
          </w:tcPr>
          <w:p>
            <w:pPr>
              <w:pStyle w:val="Normal"/>
              <w:keepNext/>
              <w:keepLines/>
              <w:spacing w:lineRule="auto" w:line="240" w:before="40" w:after="40"/>
              <w:jc w:val="left"/>
              <w:rPr>
                <w:sz w:val="22"/>
              </w:rPr>
            </w:pPr>
            <w:r>
              <w:rPr>
                <w:rFonts w:ascii="Calibri" w:hAnsi="Calibri"/>
                <w:b/>
                <w:sz w:val="19"/>
              </w:rPr>
              <w:t>ID</w:t>
            </w:r>
          </w:p>
        </w:tc>
        <w:tc>
          <w:tcPr>
            <w:tcW w:w="2835"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Inhalt</w:t>
            </w:r>
          </w:p>
        </w:tc>
        <w:tc>
          <w:tcPr>
            <w:tcW w:w="5443"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Projektpfad</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B1</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Eingefrorenes Modellpaket und Trainingsnachweis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results/upright_v4_training_pilot_20260911_130614/run_001/</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B2</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unabhängige normale 75-%-Tests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results/upright_v4_independent_normal_20260911_133047/</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B3</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Zusätzlicher Normaltest und dokumentierter abgebrochener Plattenstart</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results/upright_v4_frozen_airflow_test_20260911_164040/</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B4</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Vollständiger unabhängiger Test Normal → Platte → Normal</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results/upright_v4_frozen_airflow_test_20260912_073015/</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B5</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Explorative Fehleranalyse auf identischen Modellfenstern</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results/upright_v4_exploratory_diagnosis_20260912_081728/</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B6</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unabhängige normale 50-%-Tests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results/upright_v4_second_pwm50_20260912_091000/</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B7</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Abschließende Sensor-/Replay-Laufzeitprüfung und Erhaltungsnachweis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results/upright_v4_finalization_20260912_103145/</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B8</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Vor dem Training erstellte Spektralprüfung der Entwicklungsaufnahmen</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results/upright_v4_spectral_review_20260911_114502/</w:t>
            </w:r>
          </w:p>
        </w:tc>
      </w:tr>
      <w:tr>
        <w:trPr>
          <w:cantSplit w:val="true"/>
        </w:trPr>
        <w:tc>
          <w:tcPr>
            <w:tcW w:w="794" w:type="dxa"/>
            <w:tcBorders/>
            <w:vAlign w:val="center"/>
          </w:tcPr>
          <w:p>
            <w:pPr>
              <w:pStyle w:val="Normal"/>
              <w:keepNext w:val="0"/>
              <w:keepLines/>
              <w:spacing w:lineRule="auto" w:line="240" w:before="40" w:after="40"/>
              <w:jc w:val="left"/>
              <w:rPr>
                <w:sz w:val="22"/>
              </w:rPr>
            </w:pPr>
            <w:r>
              <w:rPr>
                <w:rFonts w:ascii="Calibri" w:hAnsi="Calibri"/>
                <w:b w:val="0"/>
                <w:sz w:val="19"/>
              </w:rPr>
              <w:t>B9</w:t>
            </w:r>
          </w:p>
        </w:tc>
        <w:tc>
          <w:tcPr>
            <w:tcW w:w="2835" w:type="dxa"/>
            <w:tcBorders/>
            <w:vAlign w:val="center"/>
          </w:tcPr>
          <w:p>
            <w:pPr>
              <w:pStyle w:val="Normal"/>
              <w:keepNext w:val="0"/>
              <w:keepLines/>
              <w:spacing w:lineRule="auto" w:line="240" w:before="40" w:after="40"/>
              <w:jc w:val="left"/>
              <w:rPr>
                <w:sz w:val="22"/>
              </w:rPr>
            </w:pPr>
            <w:r>
              <w:rPr>
                <w:rFonts w:ascii="Calibri" w:hAnsi="Calibri"/>
                <w:b w:val="0"/>
                <w:sz w:val="19"/>
              </w:rPr>
              <w:t>Fachreview und unveränderte Zählung je Aufnahme vom 12.09.2026</w:t>
            </w:r>
          </w:p>
        </w:tc>
        <w:tc>
          <w:tcPr>
            <w:tcW w:w="5443" w:type="dxa"/>
            <w:tcBorders/>
            <w:vAlign w:val="center"/>
          </w:tcPr>
          <w:p>
            <w:pPr>
              <w:pStyle w:val="Normal"/>
              <w:keepNext w:val="0"/>
              <w:keepLines/>
              <w:spacing w:lineRule="auto" w:line="240" w:before="40" w:after="40"/>
              <w:jc w:val="left"/>
              <w:rPr>
                <w:sz w:val="22"/>
              </w:rPr>
            </w:pPr>
            <w:r>
              <w:rPr>
                <w:rFonts w:ascii="Calibri" w:hAnsi="Calibri"/>
                <w:b w:val="0"/>
                <w:sz w:val="19"/>
              </w:rPr>
              <w:t>results/upright_v4_followup_closure_20260912/</w:t>
            </w:r>
          </w:p>
        </w:tc>
      </w:tr>
      <w:tr>
        <w:trPr>
          <w:cantSplit w:val="true"/>
        </w:trPr>
        <w:tc>
          <w:tcPr>
            <w:tcW w:w="794" w:type="dxa"/>
            <w:tcBorders/>
            <w:vAlign w:val="center"/>
          </w:tcPr>
          <w:p>
            <w:pPr>
              <w:pStyle w:val="Normal"/>
              <w:keepNext w:val="0"/>
              <w:keepLines/>
              <w:spacing w:lineRule="auto" w:line="240" w:before="40" w:after="40"/>
              <w:jc w:val="left"/>
              <w:rPr>
                <w:sz w:val="22"/>
              </w:rPr>
            </w:pPr>
            <w:r>
              <w:rPr>
                <w:rFonts w:ascii="Calibri" w:hAnsi="Calibri"/>
                <w:b w:val="0"/>
                <w:sz w:val="19"/>
              </w:rPr>
              <w:t>B10</w:t>
            </w:r>
          </w:p>
        </w:tc>
        <w:tc>
          <w:tcPr>
            <w:tcW w:w="2835" w:type="dxa"/>
            <w:tcBorders/>
            <w:vAlign w:val="center"/>
          </w:tcPr>
          <w:p>
            <w:pPr>
              <w:pStyle w:val="Normal"/>
              <w:keepNext w:val="0"/>
              <w:keepLines/>
              <w:spacing w:lineRule="auto" w:line="240" w:before="40" w:after="40"/>
              <w:jc w:val="left"/>
              <w:rPr>
                <w:sz w:val="22"/>
              </w:rPr>
            </w:pPr>
            <w:r>
              <w:rPr>
                <w:rFonts w:ascii="Calibri" w:hAnsi="Calibri"/>
                <w:b w:val="0"/>
                <w:sz w:val="19"/>
              </w:rPr>
              <w:t>Abschluss als begrenzte Pilotstudie: Quellen-, Statistik- und Konsistenzprüfung; Änderungs- und Erhaltungsnachweis</w:t>
            </w:r>
          </w:p>
        </w:tc>
        <w:tc>
          <w:tcPr>
            <w:tcW w:w="5443" w:type="dxa"/>
            <w:tcBorders/>
            <w:vAlign w:val="center"/>
          </w:tcPr>
          <w:p>
            <w:pPr>
              <w:pStyle w:val="Normal"/>
              <w:keepNext w:val="0"/>
              <w:keepLines/>
              <w:spacing w:lineRule="auto" w:line="240" w:before="40" w:after="40"/>
              <w:jc w:val="left"/>
              <w:rPr>
                <w:sz w:val="22"/>
              </w:rPr>
            </w:pPr>
            <w:r>
              <w:rPr>
                <w:rFonts w:ascii="Calibri" w:hAnsi="Calibri"/>
                <w:b w:val="0"/>
                <w:sz w:val="19"/>
              </w:rPr>
              <w:t>results/upright_v4_pilot_manuscript_20260913_064035/</w:t>
            </w:r>
          </w:p>
        </w:tc>
      </w:tr>
      <w:tr>
        <w:trPr>
          <w:cantSplit/>
        </w:trPr>
        <w:tc>
          <w:tcPr>
            <w:tcW w:type="dxa" w:w="794"/>
            <w:vAlign w:val="center"/>
          </w:tcPr>
          <w:p>
            <w:pPr>
              <w:keepNext w:val="0"/>
              <w:keepLines/>
              <w:spacing w:line="240" w:lineRule="auto" w:before="40" w:after="40"/>
              <w:jc w:val="left"/>
            </w:pPr>
            <w:r>
              <w:rPr>
                <w:rFonts w:ascii="Calibri" w:hAnsi="Calibri"/>
                <w:b w:val="0"/>
                <w:sz w:val="19"/>
              </w:rPr>
              <w:t>B11</w:t>
            </w:r>
          </w:p>
        </w:tc>
        <w:tc>
          <w:tcPr>
            <w:tcW w:type="dxa" w:w="2835"/>
            <w:vAlign w:val="center"/>
          </w:tcPr>
          <w:p>
            <w:pPr>
              <w:keepNext w:val="0"/>
              <w:keepLines/>
              <w:spacing w:line="240" w:lineRule="auto" w:before="40" w:after="40"/>
              <w:jc w:val="left"/>
            </w:pPr>
            <w:r>
              <w:rPr>
                <w:rFonts w:ascii="Calibri" w:hAnsi="Calibri"/>
                <w:b w:val="0"/>
                <w:sz w:val="19"/>
              </w:rPr>
              <w:t>Gezielte GUI-Dokumentation: Quell-/Profilprüfung, historische Nachweise, hardwarefreie Tests und Word-Änderungsnachweis</w:t>
            </w:r>
          </w:p>
        </w:tc>
        <w:tc>
          <w:tcPr>
            <w:tcW w:type="dxa" w:w="5443"/>
            <w:vAlign w:val="center"/>
          </w:tcPr>
          <w:p>
            <w:pPr>
              <w:keepNext w:val="0"/>
              <w:keepLines/>
              <w:spacing w:line="240" w:lineRule="auto" w:before="40" w:after="40"/>
              <w:jc w:val="left"/>
            </w:pPr>
            <w:r>
              <w:rPr>
                <w:rFonts w:ascii="Calibri" w:hAnsi="Calibri"/>
                <w:b w:val="0"/>
                <w:sz w:val="19"/>
              </w:rPr>
              <w:t>results/gui_documentation_review_20260913_085052/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8" w:name="__RefHeading___Toc14200_535938422"/>
      <w:bookmarkStart w:id="269" w:name="FinalHeading_10098"/>
      <w:bookmarkEnd w:id="268"/>
      <w:r>
        <w:rPr/>
        <w:t>Ergänzende Kennzahlen des kontrollierten Zustandslabels</w:t>
      </w:r>
      <w:bookmarkEnd w:id="269"/>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70" w:name="__RefHeading___Toc14222_535938422"/>
      <w:bookmarkStart w:id="271" w:name="FinalCaption_10099"/>
      <w:bookmarkEnd w:id="270"/>
      <w:r>
        <w:rPr/>
        <w:t>Tabelle A-2: Verwechslungszahlen der einen Plattenfolge auf identischen Fenstern</w:t>
      </w:r>
      <w:bookmarkEnd w:id="27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7"/>
        <w:gridCol w:w="1704"/>
        <w:gridCol w:w="1811"/>
        <w:gridCol w:w="1874"/>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2" w:name="__RefHeading___Toc14220_535938422"/>
      <w:bookmarkStart w:id="273" w:name="FinalCaption_10100"/>
      <w:bookmarkEnd w:id="272"/>
      <w:r>
        <w:rPr/>
        <w:t>Tabelle A-3: Deskriptive Kennzahlen für das Zustandslabel; alle Angaben in Prozent</w:t>
      </w:r>
      <w:bookmarkEnd w:id="27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8"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8"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8"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r>
        <w:br w:type="page"/>
      </w:r>
    </w:p>
    <w:p>
      <w:pPr>
        <w:pStyle w:val="Normal"/>
        <w:keepNext w:val="true"/>
        <w:spacing w:before="0" w:after="120"/>
        <w:rPr/>
      </w:pPr>
      <w:r>
        <w:rPr/>
        <w:t>Die folgenden Verwechslungszahlen sind nach vollständigen Aufnahmen gruppiert, beziehen sich jedoch ausschließlich auf die 194 gültigen Modellfenster im Abschnitt [180,300) s des jeweiligen 300-s-Laufs. Jede Aufnahme enthält eine Zustandsklasse. Der Anteil bezeichnet deshalb entweder Fehlalarme im Normalzustand oder markierte Fenster der kontrollierten Änderung. Kennzahlen der vollständigen Folge stehen in Tabelle A-3.</w:t>
      </w:r>
    </w:p>
    <w:p>
      <w:pPr>
        <w:pStyle w:val="Tabellenbeschriftung"/>
        <w:keepNext w:val="true"/>
        <w:rPr/>
      </w:pPr>
      <w:bookmarkStart w:id="274" w:name="__RefHeading___Toc42809_554761375"/>
      <w:bookmarkEnd w:id="274"/>
      <w:r>
        <w:rPr/>
        <w:t>Tabelle A-4: Verwechslungszahlen je Aufnahme und Methode im Abschnitt [180,300) s</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sz w:val="22"/>
              </w:rPr>
            </w:pPr>
            <w:r>
              <w:rPr>
                <w:b/>
                <w:sz w:val="18"/>
              </w:rPr>
              <w:t>Aufnahme / Methode</w:t>
            </w:r>
          </w:p>
        </w:tc>
        <w:tc>
          <w:tcPr>
            <w:tcW w:w="1362" w:type="dxa"/>
            <w:tcBorders/>
            <w:shd w:fill="E7EDF2" w:val="clear"/>
            <w:vAlign w:val="center"/>
          </w:tcPr>
          <w:p>
            <w:pPr>
              <w:pStyle w:val="Normal"/>
              <w:keepNext w:val="true"/>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FP / TN</w:t>
            </w:r>
          </w:p>
        </w:tc>
        <w:tc>
          <w:tcPr>
            <w:tcW w:w="1362" w:type="dxa"/>
            <w:tcBorders/>
            <w:shd w:fill="E7EDF2" w:val="clear"/>
            <w:vAlign w:val="center"/>
          </w:tcPr>
          <w:p>
            <w:pPr>
              <w:pStyle w:val="Normal"/>
              <w:keepNext w:val="true"/>
              <w:keepLines/>
              <w:spacing w:lineRule="auto" w:line="240" w:before="40" w:after="40"/>
              <w:jc w:val="start"/>
              <w:rPr>
                <w:sz w:val="22"/>
              </w:rPr>
            </w:pPr>
            <w:r>
              <w:rPr>
                <w:b/>
                <w:sz w:val="18"/>
              </w:rPr>
              <w:t>Anteil [%]</w:t>
            </w:r>
          </w:p>
        </w:tc>
        <w:tc>
          <w:tcPr>
            <w:tcW w:w="1359" w:type="dxa"/>
            <w:tcBorders/>
            <w:shd w:fill="E7EDF2" w:val="clear"/>
            <w:vAlign w:val="center"/>
          </w:tcPr>
          <w:p>
            <w:pPr>
              <w:pStyle w:val="Normal"/>
              <w:keepNext w:val="true"/>
              <w:keepLines/>
              <w:spacing w:lineRule="auto" w:line="240" w:before="40" w:after="40"/>
              <w:jc w:val="start"/>
              <w:rPr>
                <w:sz w:val="22"/>
              </w:rPr>
            </w:pPr>
            <w:r>
              <w:rPr>
                <w:b/>
                <w:sz w:val="18"/>
              </w:rPr>
              <w:t>Bedeutung</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vorher / RMS</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1 / 193</w:t>
            </w:r>
          </w:p>
        </w:tc>
        <w:tc>
          <w:tcPr>
            <w:tcW w:w="1362" w:type="dxa"/>
            <w:tcBorders/>
            <w:vAlign w:val="center"/>
          </w:tcPr>
          <w:p>
            <w:pPr>
              <w:pStyle w:val="Normal"/>
              <w:keepNext w:val="false"/>
              <w:keepLines/>
              <w:spacing w:lineRule="auto" w:line="240" w:before="40" w:after="40"/>
              <w:jc w:val="end"/>
              <w:rPr>
                <w:sz w:val="22"/>
              </w:rPr>
            </w:pPr>
            <w:r>
              <w:rPr>
                <w:b w:val="false"/>
                <w:sz w:val="18"/>
              </w:rPr>
              <w:t>0,52</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vorher / IF</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vorher / AE</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51 / 143</w:t>
            </w:r>
          </w:p>
        </w:tc>
        <w:tc>
          <w:tcPr>
            <w:tcW w:w="1362" w:type="dxa"/>
            <w:tcBorders/>
            <w:vAlign w:val="center"/>
          </w:tcPr>
          <w:p>
            <w:pPr>
              <w:pStyle w:val="Normal"/>
              <w:keepNext w:val="false"/>
              <w:keepLines/>
              <w:spacing w:lineRule="auto" w:line="240" w:before="40" w:after="40"/>
              <w:jc w:val="end"/>
              <w:rPr>
                <w:sz w:val="22"/>
              </w:rPr>
            </w:pPr>
            <w:r>
              <w:rPr>
                <w:b w:val="false"/>
                <w:sz w:val="18"/>
              </w:rPr>
              <w:t>26,29</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Luftstrom verändert / RMS</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7 / 187</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2" w:type="dxa"/>
            <w:tcBorders/>
            <w:vAlign w:val="center"/>
          </w:tcPr>
          <w:p>
            <w:pPr>
              <w:pStyle w:val="Normal"/>
              <w:keepNext w:val="false"/>
              <w:keepLines/>
              <w:spacing w:lineRule="auto" w:line="240" w:before="40" w:after="40"/>
              <w:jc w:val="end"/>
              <w:rPr>
                <w:sz w:val="22"/>
              </w:rPr>
            </w:pPr>
            <w:r>
              <w:rPr>
                <w:b w:val="false"/>
                <w:sz w:val="18"/>
              </w:rPr>
              <w:t>3,61</w:t>
            </w:r>
          </w:p>
        </w:tc>
        <w:tc>
          <w:tcPr>
            <w:tcW w:w="1359"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Luftstrom verändert / IF</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4 / 190</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2" w:type="dxa"/>
            <w:tcBorders/>
            <w:vAlign w:val="center"/>
          </w:tcPr>
          <w:p>
            <w:pPr>
              <w:pStyle w:val="Normal"/>
              <w:keepNext w:val="false"/>
              <w:keepLines/>
              <w:spacing w:lineRule="auto" w:line="240" w:before="40" w:after="40"/>
              <w:jc w:val="end"/>
              <w:rPr>
                <w:sz w:val="22"/>
              </w:rPr>
            </w:pPr>
            <w:r>
              <w:rPr>
                <w:b w:val="false"/>
                <w:sz w:val="18"/>
              </w:rPr>
              <w:t>2,06</w:t>
            </w:r>
          </w:p>
        </w:tc>
        <w:tc>
          <w:tcPr>
            <w:tcW w:w="1359"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Luftstrom verändert / AE</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194</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nachher / RMS</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nachher / IF</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2" w:type="dxa"/>
            <w:tcBorders/>
            <w:vAlign w:val="center"/>
          </w:tcPr>
          <w:p>
            <w:pPr>
              <w:pStyle w:val="Normal"/>
              <w:keepNext w:val="false"/>
              <w:keepLines/>
              <w:spacing w:lineRule="auto" w:line="240" w:before="40" w:after="40"/>
              <w:jc w:val="end"/>
              <w:rPr>
                <w:sz w:val="22"/>
              </w:rPr>
            </w:pPr>
            <w:r>
              <w:rPr>
                <w:b w:val="false"/>
                <w:sz w:val="18"/>
              </w:rPr>
              <w:t>0,00</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6" w:type="dxa"/>
            <w:tcBorders/>
            <w:vAlign w:val="center"/>
          </w:tcPr>
          <w:p>
            <w:pPr>
              <w:pStyle w:val="Normal"/>
              <w:keepNext w:val="false"/>
              <w:keepLines/>
              <w:spacing w:lineRule="auto" w:line="240" w:before="40" w:after="40"/>
              <w:jc w:val="start"/>
              <w:rPr>
                <w:sz w:val="22"/>
              </w:rPr>
            </w:pPr>
            <w:r>
              <w:rPr>
                <w:b w:val="false"/>
                <w:sz w:val="18"/>
              </w:rPr>
              <w:t>Normal nachher / AE</w:t>
            </w:r>
          </w:p>
        </w:tc>
        <w:tc>
          <w:tcPr>
            <w:tcW w:w="1362"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4 / 190</w:t>
            </w:r>
          </w:p>
        </w:tc>
        <w:tc>
          <w:tcPr>
            <w:tcW w:w="1362" w:type="dxa"/>
            <w:tcBorders/>
            <w:vAlign w:val="center"/>
          </w:tcPr>
          <w:p>
            <w:pPr>
              <w:pStyle w:val="Normal"/>
              <w:keepNext w:val="false"/>
              <w:keepLines/>
              <w:spacing w:lineRule="auto" w:line="240" w:before="40" w:after="40"/>
              <w:jc w:val="end"/>
              <w:rPr>
                <w:sz w:val="22"/>
              </w:rPr>
            </w:pPr>
            <w:r>
              <w:rPr>
                <w:b w:val="false"/>
                <w:sz w:val="18"/>
              </w:rPr>
              <w:t>2,06</w:t>
            </w:r>
          </w:p>
        </w:tc>
        <w:tc>
          <w:tcPr>
            <w:tcW w:w="1359" w:type="dxa"/>
            <w:tcBorders/>
            <w:vAlign w:val="center"/>
          </w:tcPr>
          <w:p>
            <w:pPr>
              <w:pStyle w:val="Normal"/>
              <w:keepNext w:val="false"/>
              <w:keepLines/>
              <w:spacing w:lineRule="auto" w:line="240" w:before="40" w:after="40"/>
              <w:jc w:val="start"/>
              <w:rPr>
                <w:sz w:val="22"/>
              </w:rPr>
            </w:pPr>
            <w:r>
              <w:rPr>
                <w:b w:val="false"/>
                <w:sz w:val="18"/>
              </w:rPr>
              <w:t>Fehlalarme</w:t>
            </w:r>
          </w:p>
        </w:tc>
      </w:tr>
    </w:tbl>
    <w:p>
      <w:pPr>
        <w:pStyle w:val="Normal"/>
        <w:rPr/>
      </w:pPr>
      <w:r>
        <w:rPr/>
        <w:t>Die nachträgliche Aufschlüsselung verwendet unveränderte archivierte Entscheidungen. Quellenhashes und Berechnung stehen in results/upright_v4_followup_closure_20260912/per_record_metrics.json; fachliche Korrekturen im dortigen Änderungsnachweis. Die Ausgangsfassung bleibt gesichert.</w:t>
      </w:r>
    </w:p>
    <w:p>
      <w:pPr>
        <w:pStyle w:val="Heading2"/>
        <w:numPr>
          <w:ilvl w:val="0"/>
          <w:numId w:val="0"/>
        </w:numPr>
        <w:ind w:hanging="0" w:start="0"/>
        <w:rPr/>
      </w:pPr>
      <w:bookmarkStart w:id="275" w:name="__RefHeading___Toc42807_554761375"/>
      <w:bookmarkEnd w:id="275"/>
      <w:r>
        <w:rPr/>
        <w:t>Dokumentation der KI-Unterstützung</w:t>
      </w:r>
    </w:p>
    <w:p>
      <w:pPr>
        <w:pStyle w:val="Normal"/>
        <w:rPr/>
      </w:pPr>
      <w:r>
        <w:rPr/>
        <w:t>Bei der Bearbeitung wurde Codex von OpenAI als KI-gestütztes Werkzeug für Softwareentwicklung und Fehlersuche, Datenauswertung und Grafikaufbereitung, Quellenprüfung sowie die Formulierung, Überarbeitung und Formatprüfung des Berichts verwendet. Dies umfasst auch generierte und überarbeitete Textpassagen; die Unterstützung beschränkt sich nicht auf Rechtschreibkorrekturen. Die physische Einrichtung und die im Kontrolljournal ausgewiesenen Sichtbeobachtungen stammen aus Nutzerangaben. KI-Ausgaben gelten nicht als eigenständige wissenschaftliche Quellen oder als Ersatz für Messnachweise.</w:t>
      </w:r>
    </w:p>
    <w:p>
      <w:pPr>
        <w:pStyle w:val="Normal"/>
        <w:rPr/>
      </w:pPr>
      <w:r>
        <w:rPr/>
        <w:t>Der digitale Nachweis B10 enthält den Unterstützungsbericht, dokumentierte Änderungen dieser Abschlussfassung sowie die Quellen-, Zahlen- und Erhaltungsprüfungen. Frühere Bearbeitungsartefakte sind unter B7 und B9 zugeordnet. Diese Unterlagen dokumentieren nachvollziehbare Bearbeitungsschritte, jedoch keine lückenlose Passagenzuordnung sämtlicher früherer Fassungen. Eine persönliche fachliche Prüfung, die Eigenständigkeitserklärung und die Einhaltung der für diese Arbeit geltenden Hilfsmittelregeln können nicht durch die Software bestätigt werden.</w:t>
      </w:r>
    </w:p>
    <w:p>
      <w:pPr>
        <w:pStyle w:val="Heading2"/>
        <w:numPr>
          <w:ilvl w:val="0"/>
          <w:numId w:val="0"/>
        </w:numPr>
        <w:ind w:hanging="0" w:start="0"/>
        <w:rPr/>
      </w:pPr>
      <w:bookmarkStart w:id="276" w:name="__RefHeading___Toc14202_535938422"/>
      <w:bookmarkStart w:id="277" w:name="FinalHeading_10101"/>
      <w:bookmarkEnd w:id="276"/>
      <w:r>
        <w:rPr/>
        <w:t>Lesen der Messdateien</w:t>
      </w:r>
      <w:bookmarkEnd w:id="277"/>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8" w:name="__RefHeading___Toc14204_535938422"/>
      <w:bookmarkStart w:id="279" w:name="FinalHeading_10102"/>
      <w:bookmarkEnd w:id="278"/>
      <w:r>
        <w:rPr/>
        <w:t>Literaturverzeichnis</w:t>
      </w:r>
      <w:bookmarkEnd w:id="279"/>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 https://mb.uni-paderborn.de/fileadmin-mb/kat/PDF/Veroeffentlichungen/20160703_PHME16_CM_bearing.pdf (Abruf: 12.09.2026.)</w:t>
      </w:r>
    </w:p>
    <w:p>
      <w:pPr>
        <w:pStyle w:val="LiteratureEntry"/>
        <w:rPr/>
      </w:pPr>
      <w:r>
        <w:rPr/>
        <w:t xml:space="preserve">Liu, F. T., Ting, K. M., &amp; Zhou, Z.-H. (2008). Isolation Forest. Proceedings of the Eighth IEEE International Conference on Data Mining, 413–422. </w:t>
      </w:r>
      <w:hyperlink r:id="rId38">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39">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0">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1">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2">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3">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4">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5">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6">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7">
        <w:r>
          <w:rPr>
            <w:rStyle w:val="Style"/>
            <w:color w:val="1F4E79"/>
          </w:rPr>
          <w:t>https://www.raspberrypi.com/products/raspberry-pi-5/</w:t>
        </w:r>
      </w:hyperlink>
      <w:r>
        <w:rPr/>
        <w:t xml:space="preserve"> </w:t>
      </w:r>
      <w:hyperlink r:id="rId48">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49">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0">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1">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2">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3">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4">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5">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6">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7">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8">
        <w:r>
          <w:rPr>
            <w:rStyle w:val="Style"/>
            <w:color w:val="1F4E79"/>
          </w:rPr>
          <w:t>https://www.st.com/resource/en/application_note/an4936-migrating-applications-from-stm32f7-to-stm32h743h753-mcus-stmicroelectronics.pdf</w:t>
        </w:r>
      </w:hyperlink>
      <w:r>
        <w:rPr/>
        <w:t xml:space="preserve"> </w:t>
      </w:r>
      <w:hyperlink r:id="rId59">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0">
        <w:r>
          <w:rPr>
            <w:rStyle w:val="Style"/>
            <w:color w:val="1F4E79"/>
          </w:rPr>
          <w:t>https://mb.uni-paderborn.de/en/kat/research/bearing-datacenter</w:t>
        </w:r>
      </w:hyperlink>
      <w:r>
        <w:rPr/>
        <w:t xml:space="preserve"> (Abruf: 12.09.2026.)</w:t>
      </w:r>
    </w:p>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uiPriority w:val="99"/>
    <w:semiHidden/>
    <w:unhideWhenUsed/>
    <w:qFormat/>
    <w:rsid w:val="00fe18a3"/>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uiPriority w:val="99"/>
    <w:semiHidden/>
    <w:unhideWhenUsed/>
    <w:qFormat/>
    <w:rsid w:val="00fe18a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doi.org/10.1109/ICDM.2008.17" TargetMode="External"/><Relationship Id="rId39" Type="http://schemas.openxmlformats.org/officeDocument/2006/relationships/hyperlink" Target="https://www.nasa.gov/reference/6-8-decision-analysis/" TargetMode="External"/><Relationship Id="rId40" Type="http://schemas.openxmlformats.org/officeDocument/2006/relationships/hyperlink" Target="https://www.nvidia.com/de-de/autonomous-machines/embedded-systems/jetson-orin/nano-super-developer-kit/" TargetMode="External"/><Relationship Id="rId41" Type="http://schemas.openxmlformats.org/officeDocument/2006/relationships/hyperlink" Target="https://onnxruntime.ai/docs/get-started/with-python.html" TargetMode="External"/><Relationship Id="rId42" Type="http://schemas.openxmlformats.org/officeDocument/2006/relationships/hyperlink" Target="https://www.orientalmotor.com/servo-motors/technology/servo-motor-features.html" TargetMode="External"/><Relationship Id="rId43" Type="http://schemas.openxmlformats.org/officeDocument/2006/relationships/hyperlink" Target="https://www.pcb.com/products?m=356a32" TargetMode="External"/><Relationship Id="rId44" Type="http://schemas.openxmlformats.org/officeDocument/2006/relationships/hyperlink" Target="https://doi.org/10.3390/s20082344" TargetMode="External"/><Relationship Id="rId45" Type="http://schemas.openxmlformats.org/officeDocument/2006/relationships/hyperlink" Target="https://docs.pytorch.org/executorch/stable/index.html" TargetMode="External"/><Relationship Id="rId46" Type="http://schemas.openxmlformats.org/officeDocument/2006/relationships/hyperlink" Target="https://doi.org/10.1016/j.ymssp.2010.07.017" TargetMode="External"/><Relationship Id="rId47" Type="http://schemas.openxmlformats.org/officeDocument/2006/relationships/hyperlink" Target="https://www.raspberrypi.com/products/raspberry-pi-5/" TargetMode="External"/><Relationship Id="rId48" Type="http://schemas.openxmlformats.org/officeDocument/2006/relationships/hyperlink" Target="https://datasheets.raspberrypi.com/rpi5/raspberry-pi-5-product-brief.pdf" TargetMode="External"/><Relationship Id="rId49" Type="http://schemas.openxmlformats.org/officeDocument/2006/relationships/hyperlink" Target="https://pip-assets.raspberrypi.com/categories/545-raspberry-pi-4-model-b/documents/RP-008344-DS-1-raspberry-pi-4-product-brief" TargetMode="External"/><Relationship Id="rId50" Type="http://schemas.openxmlformats.org/officeDocument/2006/relationships/hyperlink" Target="https://doi.org/10.1109/IJCNN52387.2021.9533927" TargetMode="External"/><Relationship Id="rId51" Type="http://schemas.openxmlformats.org/officeDocument/2006/relationships/hyperlink" Target="https://doi.org/10.1109/JPROC.2021.3052449" TargetMode="External"/><Relationship Id="rId52" Type="http://schemas.openxmlformats.org/officeDocument/2006/relationships/hyperlink" Target="https://scikit-learn.org/stable/common_pitfalls.html" TargetMode="External"/><Relationship Id="rId53" Type="http://schemas.openxmlformats.org/officeDocument/2006/relationships/hyperlink" Target="https://scikit-learn.org/stable/modules/cross_validation.html" TargetMode="External"/><Relationship Id="rId54" Type="http://schemas.openxmlformats.org/officeDocument/2006/relationships/hyperlink" Target="https://scikit-learn.org/stable/modules/model_evaluation.html" TargetMode="External"/><Relationship Id="rId55" Type="http://schemas.openxmlformats.org/officeDocument/2006/relationships/hyperlink" Target="https://scikit-learn.org/stable/modules/generated/sklearn.ensemble.IsolationForest.html" TargetMode="External"/><Relationship Id="rId56" Type="http://schemas.openxmlformats.org/officeDocument/2006/relationships/hyperlink" Target="https://docs.scipy.org/doc/scipy/tutorial/fft.html" TargetMode="External"/><Relationship Id="rId57" Type="http://schemas.openxmlformats.org/officeDocument/2006/relationships/hyperlink" Target="https://doi.org/10.1109/JIOT.2016.2579198" TargetMode="External"/><Relationship Id="rId58" Type="http://schemas.openxmlformats.org/officeDocument/2006/relationships/hyperlink" Target="https://www.st.com/resource/en/application_note/an4936-migrating-applications-from-stm32f7-to-stm32h743h753-mcus-stmicroelectronics.pdf" TargetMode="External"/><Relationship Id="rId59" Type="http://schemas.openxmlformats.org/officeDocument/2006/relationships/hyperlink" Target="https://www.st.com/en/microcontrollers-microprocessors/stm32h743-753.html" TargetMode="External"/><Relationship Id="rId60" Type="http://schemas.openxmlformats.org/officeDocument/2006/relationships/hyperlink" Target="https://mb.uni-paderborn.de/en/kat/research/bearing-datacenter" TargetMode="External"/><Relationship Id="rId61" Type="http://schemas.openxmlformats.org/officeDocument/2006/relationships/header" Target="header7.xml"/><Relationship Id="rId62" Type="http://schemas.openxmlformats.org/officeDocument/2006/relationships/header" Target="header8.xml"/><Relationship Id="rId63" Type="http://schemas.openxmlformats.org/officeDocument/2006/relationships/header" Target="header9.xml"/><Relationship Id="rId64" Type="http://schemas.openxmlformats.org/officeDocument/2006/relationships/footer" Target="footer7.xml"/><Relationship Id="rId65" Type="http://schemas.openxmlformats.org/officeDocument/2006/relationships/footer" Target="footer8.xml"/><Relationship Id="rId66" Type="http://schemas.openxmlformats.org/officeDocument/2006/relationships/footer" Target="footer9.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69</Pages>
  <Words>18180</Words>
  <Characters>132055</Characters>
  <CharactersWithSpaces>148644</CharactersWithSpaces>
  <Paragraphs>1458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Codex – gezielte GUI-Dokumentation</cp:lastModifiedBy>
  <cp:lastPrinted>2026-01-21T09:57:00Z</cp:lastPrinted>
  <dcterms:modified xsi:type="dcterms:W3CDTF">2026-09-13T09:00:17Z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