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t>Explorative Untersuchung einer lokalen Vergleichspipeline mit Smartphoneanregung</w:t>
      </w:r>
    </w:p>
    <w:p>
      <w:pPr>
        <w:pStyle w:val="Normal"/>
        <w:spacing w:before="0" w:after="40"/>
        <w:jc w:val="center"/>
        <w:rPr/>
      </w:pPr>
      <w:r>
        <w:rPr>
          <w:b/>
        </w:rPr>
        <w:t>Thema:</w:t>
      </w:r>
    </w:p>
    <w:p>
      <w:pPr>
        <w:pStyle w:val="Title"/>
        <w:spacing w:before="0" w:after="400"/>
        <w:jc w:val="center"/>
        <w:rPr/>
      </w:pPr>
      <w:r>
        <w:rPr>
          <w:b/>
          <w:color w:val="000000"/>
          <w:sz w:val="34"/>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ind w:start="2268"/>
        <w:rPr/>
      </w:pPr>
      <w:r>
        <w:rPr>
          <w:b/>
          <w:color w:val="000000"/>
        </w:rPr>
        <w:t xml:space="preserve">Abgabedatum: </w:t>
      </w:r>
      <w:r>
        <w:rPr>
          <w:color w:val="000000"/>
        </w:rPr>
        <w:t>27.10.2026</w:t>
      </w:r>
      <w:r>
        <w:rPr>
          <w:color w:val="000000"/>
        </w:rPr>
        <w:br w:type="page"/>
      </w:r>
    </w:p>
    <w:p>
      <w:pPr>
        <w:pStyle w:val="Heading1"/>
        <w:numPr>
          <w:ilvl w:val="0"/>
          <w:numId w:val="0"/>
        </w:numPr>
        <w:spacing w:before="0" w:after="160"/>
        <w:ind w:hanging="0" w:start="0"/>
        <w:jc w:val="start"/>
        <w:rPr>
          <w:rFonts w:eastAsia="Times New Roman" w:cs="Calibri"/>
          <w:lang w:eastAsia="de-DE"/>
        </w:rPr>
      </w:pPr>
      <w:bookmarkStart w:id="0" w:name="__RefHeading___Toc14070_535938422"/>
      <w:bookmarkStart w:id="1" w:name="_MA_TOC_001"/>
      <w:bookmarkStart w:id="2" w:name="_Toc239410448"/>
      <w:bookmarkStart w:id="3" w:name="_Toc216604720"/>
      <w:bookmarkEnd w:id="0"/>
      <w:r>
        <w:rPr>
          <w:rFonts w:eastAsia="Times New Roman" w:cs="Calibri"/>
          <w:color w:val="000000"/>
          <w:lang w:eastAsia="de-DE"/>
        </w:rPr>
        <w:t>Erklärung</w:t>
      </w:r>
      <w:bookmarkEnd w:id="1"/>
      <w:bookmarkEnd w:id="2"/>
      <w:bookmarkEnd w:id="3"/>
    </w:p>
    <w:p>
      <w:pPr>
        <w:pStyle w:val="Normal"/>
        <w:spacing w:lineRule="auto" w:line="240" w:after="12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after="12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after="12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r>
        <w:rPr>
          <w:rStyle w:val="CommentReference"/>
        </w:rPr>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Heading1"/>
        <w:numPr>
          <w:ilvl w:val="0"/>
          <w:numId w:val="0"/>
        </w:numPr>
        <w:spacing w:before="0" w:after="160"/>
        <w:ind w:hanging="0" w:start="0"/>
        <w:rPr/>
      </w:pPr>
      <w:bookmarkStart w:id="4" w:name="__RefHeading___Toc42803_554761375"/>
      <w:bookmarkEnd w:id="4"/>
      <w:r>
        <w:rPr>
          <w:color w:val="000000"/>
        </w:rPr>
        <w:t>Zusammenfassung</w:t>
      </w:r>
    </w:p>
    <w:p>
      <w:pPr>
        <w:pStyle w:val="Normal"/>
        <w:spacing w:after="120"/>
        <w:rPr/>
      </w:pPr>
      <w:r>
        <w:t>Diese Arbeit entwickelt und untersucht eine lokale Vergleichspipeline für die Anomalieerkennung aus dreiachsigen Beschleunigungsdaten. Ein Raspberry Pi 5 verarbeitet die Messungen eines ADXL345 an einem Lüfteraufbau mit RMS-Schwelle, Isolation Forest und einem Float32-TFLite-Autoencoder. Gegenstand ist eine explorative Pilotstudie mit äußerer mechanischer Anregung durch ein vibrierendes Smartphone auf dem Tisch. Alle Verfahren erhalten nicht überlappende Fenster aus 128 XYZ-Punkten und verwenden ein vor den Smartphoneaufnahmen erstelltes, eingefrorenes Normalprofil.</w:t>
      </w:r>
    </w:p>
    <w:p>
      <w:pPr>
        <w:pStyle w:val="Normal"/>
        <w:spacing w:after="120"/>
        <w:rPr/>
      </w:pPr>
      <w:r>
        <w:t>Die Untersuchung vom 19. September 2026 umfasst drei ausgewählte Einzelereignisse, deren Offline-Replay und einen gemeinsamen Live-Lauf. Im gemeinsamen Lauf markieren Autoencoder und Isolation Forest erstmals dasselbe Fenster 108, RMS erst Fenster 109. Die Autoencoder-Ausgabe liegt etwa 19,1 ms vor Isolation Forest und 615,7 ms vor RMS. Im Replay der drei Einzelereignisse markiert der Autoencoder das erste Alarmfenster einmal früher und zweimal gleichzeitig mit den Baselines. Diese Beobachtungen beschreiben wenige Ereignisse und belegen keine allgemeine Überlegenheit.</w:t>
      </w:r>
    </w:p>
    <w:p>
      <w:pPr>
        <w:pStyle w:val="Normal"/>
        <w:spacing w:after="120"/>
        <w:rPr/>
      </w:pPr>
      <w:r>
        <w:t>Der gemeinsame Prozess benötigt einen CPU-Median von 13,04 % eines logischen Kerns und maximal 174,42 MiB abgetasteten RSS. Bei 196 überprüfbaren Folgefensterankünften je Methode treten keine Fristüberschreitungen auf. Die lokale Ausführbarkeit ist damit für den beobachteten Betrieb belegt. Die Aussagekraft zur Erkennung begrenzen wenige unabhängige Ereignisse, eine Kalibrierungsaufnahme mit nur 97 Fenstern und fehlende physikalische Zeitreferenzen der Smartphoneanregung. Deren absolute Erkennungsverzögerung, F1 und bestätigte Fehlalarmrate sind deshalb nicht bestimmbar. Elektrische Leistung und Energie wurden nicht gemessen. Der Beitrag besteht in der instrumentierten Vergleichspipeline und der nachvollziehbaren Bewertung ihrer technischen Leistungsfähigkeit und empirischen Grenzen.</w:t>
      </w:r>
    </w:p>
    <w:p>
      <w:pPr>
        <w:pStyle w:val="Verzeichnisberschrift"/>
        <w:numPr>
          <w:ilvl w:val="0"/>
          <w:numId w:val="0"/>
        </w:numPr>
        <w:spacing w:before="0" w:after="160"/>
        <w:ind w:hanging="0" w:start="0"/>
        <w:rPr/>
      </w:pPr>
      <w:r>
        <w:rPr>
          <w:color w:val="000000"/>
        </w:rPr>
        <w:t>Inhaltsverzeichnis</w:t>
      </w:r>
    </w:p>
    <w:sdt>
      <w:sdtPr>
        <w:docPartObj>
          <w:docPartGallery w:val="Table of Contents"/>
          <w:docPartUnique w:val="true"/>
        </w:docPartObj>
      </w:sdtPr>
      <w:sdtContent>
        <w:p>
          <w:pPr>
            <w:pStyle w:val="TOC1"/>
            <w:tabs>
              <w:tab w:val="right" w:leader="dot" w:pos="9071"/>
            </w:tabs>
          </w:pPr>
          <w:r>
            <w:fldChar w:fldCharType="begin"/>
          </w:r>
          <w:r>
            <w:instrText xml:space="preserve"> TOC \o "1-3" \h \z \u</w:instrText>
          </w:r>
          <w:r>
            <w:fldChar w:fldCharType="separate"/>
          </w:r>
          <w:hyperlink w:anchor="__RefHeading___Toc14070_535938422">
            <w:r>
              <w:t>Erklärung</w:t>
            </w:r>
            <w:r>
              <w:tab/>
            </w:r>
            <w:r>
              <w:t>i</w:t>
            </w:r>
          </w:hyperlink>
        </w:p>
        <w:p>
          <w:pPr>
            <w:pStyle w:val="TOC1"/>
            <w:tabs>
              <w:tab w:val="right" w:leader="dot" w:pos="9071"/>
            </w:tabs>
          </w:pPr>
          <w:hyperlink w:anchor="__RefHeading___Toc42803_554761375">
            <w:r>
              <w:t>Zusammenfassung</w:t>
            </w:r>
            <w:r>
              <w:tab/>
            </w:r>
            <w:r>
              <w:t>ii</w:t>
            </w:r>
          </w:hyperlink>
        </w:p>
        <w:p>
          <w:pPr>
            <w:pStyle w:val="TOC1"/>
            <w:tabs>
              <w:tab w:val="right" w:leader="dot" w:pos="9071"/>
            </w:tabs>
          </w:pPr>
          <w:hyperlink w:anchor="__RefHeading___Toc14072_535938422">
            <w:r>
              <w:t>Abbildungsverzeichnis</w:t>
            </w:r>
            <w:r>
              <w:tab/>
            </w:r>
            <w:r>
              <w:t>v</w:t>
            </w:r>
          </w:hyperlink>
        </w:p>
        <w:p>
          <w:pPr>
            <w:pStyle w:val="TOC1"/>
            <w:tabs>
              <w:tab w:val="right" w:leader="dot" w:pos="9071"/>
            </w:tabs>
          </w:pPr>
          <w:hyperlink w:anchor="__RefHeading___Toc14074_535938422">
            <w:r>
              <w:t>Tabellenverzeichnis</w:t>
            </w:r>
            <w:r>
              <w:tab/>
            </w:r>
            <w:r>
              <w:t>vi</w:t>
            </w:r>
          </w:hyperlink>
        </w:p>
        <w:p>
          <w:pPr>
            <w:pStyle w:val="TOC1"/>
            <w:tabs>
              <w:tab w:val="right" w:leader="dot" w:pos="9071"/>
            </w:tabs>
          </w:pPr>
          <w:hyperlink w:anchor="__RefHeading___Toc14076_535938422">
            <w:r>
              <w:t>Abkürzungsverzeichnis</w:t>
            </w:r>
            <w:r>
              <w:tab/>
            </w:r>
            <w:r>
              <w:t>vii</w:t>
            </w:r>
          </w:hyperlink>
        </w:p>
        <w:p>
          <w:pPr>
            <w:pStyle w:val="TOC1"/>
            <w:tabs>
              <w:tab w:val="right" w:leader="dot" w:pos="9071"/>
            </w:tabs>
          </w:pPr>
          <w:hyperlink w:anchor="__RefHeading___Toc14078_535938422">
            <w:r>
              <w:t>1 Einleitung, Problemstellung und Zielsetzung</w:t>
            </w:r>
            <w:r>
              <w:tab/>
            </w:r>
            <w:r>
              <w:t>1</w:t>
            </w:r>
          </w:hyperlink>
        </w:p>
        <w:p>
          <w:pPr>
            <w:pStyle w:val="TOC2"/>
            <w:tabs>
              <w:tab w:val="right" w:leader="dot" w:pos="9071"/>
            </w:tabs>
          </w:pPr>
          <w:hyperlink w:anchor="__RefHeading___Toc14080_535938422">
            <w:r>
              <w:t>1.1 Ausgangssituation und Motivation</w:t>
            </w:r>
            <w:r>
              <w:tab/>
            </w:r>
            <w:r>
              <w:t>1</w:t>
            </w:r>
          </w:hyperlink>
        </w:p>
        <w:p>
          <w:pPr>
            <w:pStyle w:val="TOC2"/>
            <w:tabs>
              <w:tab w:val="right" w:leader="dot" w:pos="9071"/>
            </w:tabs>
          </w:pPr>
          <w:hyperlink w:anchor="__RefHeading___Toc14082_535938422">
            <w:r>
              <w:t>1.2 Wissenschaftliche Problemstellung</w:t>
            </w:r>
            <w:r>
              <w:tab/>
            </w:r>
            <w:r>
              <w:t>1</w:t>
            </w:r>
          </w:hyperlink>
        </w:p>
        <w:p>
          <w:pPr>
            <w:pStyle w:val="TOC2"/>
            <w:tabs>
              <w:tab w:val="right" w:leader="dot" w:pos="9071"/>
            </w:tabs>
          </w:pPr>
          <w:hyperlink w:anchor="__RefHeading___Toc14084_535938422">
            <w:r>
              <w:t>1.3 Zielsetzung der Arbeit</w:t>
            </w:r>
            <w:r>
              <w:tab/>
            </w:r>
            <w:r>
              <w:t>1</w:t>
            </w:r>
          </w:hyperlink>
        </w:p>
        <w:p>
          <w:pPr>
            <w:pStyle w:val="TOC2"/>
            <w:tabs>
              <w:tab w:val="right" w:leader="dot" w:pos="9071"/>
            </w:tabs>
          </w:pPr>
          <w:hyperlink w:anchor="__RefHeading___Toc14086_535938422">
            <w:r>
              <w:t>1.4 Forschungsfragen und Bewertungsmaßstab</w:t>
            </w:r>
            <w:r>
              <w:tab/>
            </w:r>
            <w:r>
              <w:t>2</w:t>
            </w:r>
          </w:hyperlink>
        </w:p>
        <w:p>
          <w:pPr>
            <w:pStyle w:val="TOC2"/>
            <w:tabs>
              <w:tab w:val="right" w:leader="dot" w:pos="9071"/>
            </w:tabs>
          </w:pPr>
          <w:hyperlink w:anchor="__RefHeading___Toc14088_535938422">
            <w:r>
              <w:t>1.5 Abgrenzung der Arbeit</w:t>
            </w:r>
            <w:r>
              <w:tab/>
            </w:r>
            <w:r>
              <w:t>2</w:t>
            </w:r>
          </w:hyperlink>
        </w:p>
        <w:p>
          <w:pPr>
            <w:pStyle w:val="TOC2"/>
            <w:tabs>
              <w:tab w:val="right" w:leader="dot" w:pos="9071"/>
            </w:tabs>
          </w:pPr>
          <w:hyperlink w:anchor="__RefHeading___Toc14090_535938422">
            <w:r>
              <w:t>1.6 Aufbau der Arbeit</w:t>
            </w:r>
            <w:r>
              <w:tab/>
            </w:r>
            <w:r>
              <w:t>3</w:t>
            </w:r>
          </w:hyperlink>
        </w:p>
        <w:p>
          <w:pPr>
            <w:pStyle w:val="TOC1"/>
            <w:tabs>
              <w:tab w:val="right" w:leader="dot" w:pos="9071"/>
            </w:tabs>
          </w:pPr>
          <w:hyperlink w:anchor="__RefHeading___Toc14092_535938422">
            <w:r>
              <w:t>2 Theoretische Grundlagen</w:t>
            </w:r>
            <w:r>
              <w:tab/>
            </w:r>
            <w:r>
              <w:t>4</w:t>
            </w:r>
          </w:hyperlink>
        </w:p>
        <w:p>
          <w:pPr>
            <w:pStyle w:val="TOC2"/>
            <w:tabs>
              <w:tab w:val="right" w:leader="dot" w:pos="9071"/>
            </w:tabs>
          </w:pPr>
          <w:hyperlink w:anchor="__RefHeading___Toc14094_535938422">
            <w:r>
              <w:t>2.1 Zustandsüberwachung und Anomalieerkennung</w:t>
            </w:r>
            <w:r>
              <w:tab/>
            </w:r>
            <w:r>
              <w:t>4</w:t>
            </w:r>
          </w:hyperlink>
        </w:p>
        <w:p>
          <w:pPr>
            <w:pStyle w:val="TOC2"/>
            <w:tabs>
              <w:tab w:val="right" w:leader="dot" w:pos="9071"/>
            </w:tabs>
          </w:pPr>
          <w:hyperlink w:anchor="__RefHeading___Toc14096_535938422">
            <w:r>
              <w:t>2.2 Verfahrensklassen für die Anomalieentscheidung</w:t>
            </w:r>
            <w:r>
              <w:tab/>
            </w:r>
            <w:r>
              <w:t>4</w:t>
            </w:r>
          </w:hyperlink>
        </w:p>
        <w:p>
          <w:pPr>
            <w:pStyle w:val="TOC3"/>
            <w:tabs>
              <w:tab w:val="right" w:leader="dot" w:pos="9071"/>
            </w:tabs>
          </w:pPr>
          <w:hyperlink w:anchor="__RefHeading___Toc14098_535938422">
            <w:r>
              <w:t>2.2.1 Statistische Schwellenwertverfahren</w:t>
            </w:r>
            <w:r>
              <w:tab/>
            </w:r>
            <w:r>
              <w:t>4</w:t>
            </w:r>
          </w:hyperlink>
        </w:p>
        <w:p>
          <w:pPr>
            <w:pStyle w:val="TOC3"/>
            <w:tabs>
              <w:tab w:val="right" w:leader="dot" w:pos="9071"/>
            </w:tabs>
          </w:pPr>
          <w:hyperlink w:anchor="__RefHeading___Toc14100_535938422">
            <w:r>
              <w:t>2.2.2 Klassische Verfahren im Normaldaten-Szenario</w:t>
            </w:r>
            <w:r>
              <w:tab/>
            </w:r>
            <w:r>
              <w:t>4</w:t>
            </w:r>
          </w:hyperlink>
        </w:p>
        <w:p>
          <w:pPr>
            <w:pStyle w:val="TOC3"/>
            <w:tabs>
              <w:tab w:val="right" w:leader="dot" w:pos="9071"/>
            </w:tabs>
          </w:pPr>
          <w:hyperlink w:anchor="__RefHeading___Toc14102_535938422">
            <w:r>
              <w:t>2.2.3 Autoencoder</w:t>
            </w:r>
            <w:r>
              <w:tab/>
            </w:r>
            <w:r>
              <w:t>5</w:t>
            </w:r>
          </w:hyperlink>
        </w:p>
        <w:p>
          <w:pPr>
            <w:pStyle w:val="TOC2"/>
            <w:tabs>
              <w:tab w:val="right" w:leader="dot" w:pos="9071"/>
            </w:tabs>
          </w:pPr>
          <w:hyperlink w:anchor="__RefHeading___Toc14104_535938422">
            <w:r>
              <w:t>2.3 Messdaten und Fensterbildung</w:t>
            </w:r>
            <w:r>
              <w:tab/>
            </w:r>
            <w:r>
              <w:t>5</w:t>
            </w:r>
          </w:hyperlink>
        </w:p>
        <w:p>
          <w:pPr>
            <w:pStyle w:val="TOC2"/>
            <w:tabs>
              <w:tab w:val="right" w:leader="dot" w:pos="9071"/>
            </w:tabs>
          </w:pPr>
          <w:hyperlink w:anchor="__RefHeading___Toc14106_535938422">
            <w:r>
              <w:t>2.4 Datenaufteilung und Vorverarbeitung</w:t>
            </w:r>
            <w:r>
              <w:tab/>
            </w:r>
            <w:r>
              <w:t>5</w:t>
            </w:r>
          </w:hyperlink>
        </w:p>
        <w:p>
          <w:pPr>
            <w:pStyle w:val="TOC2"/>
            <w:tabs>
              <w:tab w:val="right" w:leader="dot" w:pos="9071"/>
            </w:tabs>
          </w:pPr>
          <w:hyperlink w:anchor="__RefHeading___Toc14108_535938422">
            <w:r>
              <w:t>2.5 Schwellenwertkalibrierung</w:t>
            </w:r>
            <w:r>
              <w:tab/>
            </w:r>
            <w:r>
              <w:t>6</w:t>
            </w:r>
          </w:hyperlink>
        </w:p>
        <w:p>
          <w:pPr>
            <w:pStyle w:val="TOC2"/>
            <w:tabs>
              <w:tab w:val="right" w:leader="dot" w:pos="9071"/>
            </w:tabs>
          </w:pPr>
          <w:hyperlink w:anchor="__RefHeading___Toc14110_535938422">
            <w:r>
              <w:t>2.6 Erkennungsqualität und Aussagekraft der Evaluation</w:t>
            </w:r>
            <w:r>
              <w:tab/>
            </w:r>
            <w:r>
              <w:t>6</w:t>
            </w:r>
          </w:hyperlink>
        </w:p>
        <w:p>
          <w:pPr>
            <w:pStyle w:val="TOC2"/>
            <w:tabs>
              <w:tab w:val="right" w:leader="dot" w:pos="9071"/>
            </w:tabs>
          </w:pPr>
          <w:hyperlink w:anchor="__RefHeading___Toc14112_535938422">
            <w:r>
              <w:t>2.7 Lokale Ausführung und Zeitverhalten</w:t>
            </w:r>
            <w:r>
              <w:tab/>
            </w:r>
            <w:r>
              <w:t>7</w:t>
            </w:r>
          </w:hyperlink>
        </w:p>
        <w:p>
          <w:pPr>
            <w:pStyle w:val="TOC2"/>
            <w:tabs>
              <w:tab w:val="right" w:leader="dot" w:pos="9071"/>
            </w:tabs>
          </w:pPr>
          <w:hyperlink w:anchor="__RefHeading___Toc14114_535938422">
            <w:r>
              <w:t>2.8 Veränderte Normalbedingungen</w:t>
            </w:r>
            <w:r>
              <w:tab/>
            </w:r>
            <w:r>
              <w:t>8</w:t>
            </w:r>
          </w:hyperlink>
        </w:p>
        <w:p>
          <w:pPr>
            <w:pStyle w:val="TOC1"/>
            <w:tabs>
              <w:tab w:val="right" w:leader="dot" w:pos="9071"/>
            </w:tabs>
          </w:pPr>
          <w:hyperlink w:anchor="__RefHeading___Toc14116_535938422">
            <w:r>
              <w:t>3 Stand der Technik und verwandte Arbeiten</w:t>
            </w:r>
            <w:r>
              <w:tab/>
            </w:r>
            <w:r>
              <w:t>9</w:t>
            </w:r>
          </w:hyperlink>
        </w:p>
        <w:p>
          <w:pPr>
            <w:pStyle w:val="TOC2"/>
            <w:tabs>
              <w:tab w:val="right" w:leader="dot" w:pos="9071"/>
            </w:tabs>
          </w:pPr>
          <w:hyperlink w:anchor="__RefHeading___Toc14118_535938422">
            <w:r>
              <w:t>3.1 Datenbasis und Messbedingungen</w:t>
            </w:r>
            <w:r>
              <w:tab/>
            </w:r>
            <w:r>
              <w:t>9</w:t>
            </w:r>
          </w:hyperlink>
        </w:p>
        <w:p>
          <w:pPr>
            <w:pStyle w:val="TOC2"/>
            <w:tabs>
              <w:tab w:val="right" w:leader="dot" w:pos="9071"/>
            </w:tabs>
          </w:pPr>
          <w:hyperlink w:anchor="__RefHeading___Toc14120_535938422">
            <w:r>
              <w:t>3.2 Verfahren und Edge-Ausführung</w:t>
            </w:r>
            <w:r>
              <w:tab/>
            </w:r>
            <w:r>
              <w:t>9</w:t>
            </w:r>
          </w:hyperlink>
        </w:p>
        <w:p>
          <w:pPr>
            <w:pStyle w:val="TOC2"/>
            <w:tabs>
              <w:tab w:val="right" w:leader="dot" w:pos="9071"/>
            </w:tabs>
          </w:pPr>
          <w:hyperlink w:anchor="__RefHeading___Toc14122_535938422">
            <w:r>
              <w:t>3.3 Vergleich ausgewählter Arbeiten</w:t>
            </w:r>
            <w:r>
              <w:tab/>
            </w:r>
            <w:r>
              <w:t>10</w:t>
            </w:r>
          </w:hyperlink>
        </w:p>
        <w:p>
          <w:pPr>
            <w:pStyle w:val="TOC2"/>
            <w:tabs>
              <w:tab w:val="right" w:leader="dot" w:pos="9071"/>
            </w:tabs>
          </w:pPr>
          <w:hyperlink w:anchor="__RefHeading___Toc14124_535938422">
            <w:r>
              <w:t>3.4 Forschungslücke und Einordnung der eigenen Arbeit</w:t>
            </w:r>
            <w:r>
              <w:tab/>
            </w:r>
            <w:r>
              <w:t>10</w:t>
            </w:r>
          </w:hyperlink>
        </w:p>
        <w:p>
          <w:pPr>
            <w:pStyle w:val="TOC1"/>
            <w:tabs>
              <w:tab w:val="right" w:leader="dot" w:pos="9071"/>
            </w:tabs>
          </w:pPr>
          <w:hyperlink w:anchor="__RefHeading___Toc14126_535938422">
            <w:r>
              <w:t>4 Anforderungsanalyse</w:t>
            </w:r>
            <w:r>
              <w:tab/>
            </w:r>
            <w:r>
              <w:t>12</w:t>
            </w:r>
          </w:hyperlink>
        </w:p>
        <w:p>
          <w:pPr>
            <w:pStyle w:val="TOC2"/>
            <w:tabs>
              <w:tab w:val="right" w:leader="dot" w:pos="9071"/>
            </w:tabs>
          </w:pPr>
          <w:hyperlink w:anchor="__RefHeading___Toc14128_535938422">
            <w:r>
              <w:t>4.1 Messdaten und Vergleichsbasis</w:t>
            </w:r>
            <w:r>
              <w:tab/>
            </w:r>
            <w:r>
              <w:t>12</w:t>
            </w:r>
          </w:hyperlink>
        </w:p>
        <w:p>
          <w:pPr>
            <w:pStyle w:val="TOC2"/>
            <w:tabs>
              <w:tab w:val="right" w:leader="dot" w:pos="9071"/>
            </w:tabs>
          </w:pPr>
          <w:hyperlink w:anchor="__RefHeading___Toc14130_535938422">
            <w:r>
              <w:t>4.2 Lokale Verarbeitung und Zeitverhalten</w:t>
            </w:r>
            <w:r>
              <w:tab/>
            </w:r>
            <w:r>
              <w:t>12</w:t>
            </w:r>
          </w:hyperlink>
        </w:p>
        <w:p>
          <w:pPr>
            <w:pStyle w:val="TOC2"/>
            <w:tabs>
              <w:tab w:val="right" w:leader="dot" w:pos="9071"/>
            </w:tabs>
          </w:pPr>
          <w:hyperlink w:anchor="__RefHeading___Toc14132_535938422">
            <w:r>
              <w:t>4.3 Evaluation</w:t>
            </w:r>
            <w:r>
              <w:tab/>
            </w:r>
            <w:r>
              <w:t>13</w:t>
            </w:r>
          </w:hyperlink>
        </w:p>
        <w:p>
          <w:pPr>
            <w:pStyle w:val="TOC2"/>
            <w:tabs>
              <w:tab w:val="right" w:leader="dot" w:pos="9071"/>
            </w:tabs>
          </w:pPr>
          <w:hyperlink w:anchor="__RefHeading___Toc14134_535938422">
            <w:r>
              <w:t>4.4 Kernanforderungen und Nachweis</w:t>
            </w:r>
            <w:r>
              <w:tab/>
            </w:r>
            <w:r>
              <w:t>13</w:t>
            </w:r>
          </w:hyperlink>
        </w:p>
        <w:p>
          <w:pPr>
            <w:pStyle w:val="TOC1"/>
            <w:tabs>
              <w:tab w:val="right" w:leader="dot" w:pos="9071"/>
            </w:tabs>
          </w:pPr>
          <w:hyperlink w:anchor="__RefHeading___Toc14136_535938422">
            <w:r>
              <w:t>5 Variantenvergleich und Systementscheidung</w:t>
            </w:r>
            <w:r>
              <w:tab/>
            </w:r>
            <w:r>
              <w:t>16</w:t>
            </w:r>
          </w:hyperlink>
        </w:p>
        <w:p>
          <w:pPr>
            <w:pStyle w:val="TOC2"/>
            <w:tabs>
              <w:tab w:val="right" w:leader="dot" w:pos="9071"/>
            </w:tabs>
          </w:pPr>
          <w:hyperlink w:anchor="__RefHeading___Toc14138_535938422">
            <w:r>
              <w:t>5.1 Bewertungsrahmen und Vorgehen</w:t>
            </w:r>
            <w:r>
              <w:tab/>
            </w:r>
            <w:r>
              <w:t>16</w:t>
            </w:r>
          </w:hyperlink>
        </w:p>
        <w:p>
          <w:pPr>
            <w:pStyle w:val="TOC2"/>
            <w:tabs>
              <w:tab w:val="right" w:leader="dot" w:pos="9071"/>
            </w:tabs>
          </w:pPr>
          <w:hyperlink w:anchor="__RefHeading___Toc14140_535938422">
            <w:r>
              <w:t>5.2 Bewertung der Prüfstandsalternativen</w:t>
            </w:r>
            <w:r>
              <w:tab/>
            </w:r>
            <w:r>
              <w:t>17</w:t>
            </w:r>
          </w:hyperlink>
        </w:p>
        <w:p>
          <w:pPr>
            <w:pStyle w:val="TOC2"/>
            <w:tabs>
              <w:tab w:val="right" w:leader="dot" w:pos="9071"/>
            </w:tabs>
          </w:pPr>
          <w:hyperlink w:anchor="__RefHeading___Toc14142_535938422">
            <w:r>
              <w:t>5.3 Auswahl von Sensorik und Edge-Plattform</w:t>
            </w:r>
            <w:r>
              <w:tab/>
            </w:r>
            <w:r>
              <w:t>19</w:t>
            </w:r>
          </w:hyperlink>
        </w:p>
        <w:p>
          <w:pPr>
            <w:pStyle w:val="TOC2"/>
            <w:tabs>
              <w:tab w:val="right" w:leader="dot" w:pos="9071"/>
            </w:tabs>
          </w:pPr>
          <w:hyperlink w:anchor="__RefHeading___Toc14144_535938422">
            <w:r>
              <w:t>5.4 Datenbasis, Signalrepräsentation und Verfahren</w:t>
            </w:r>
            <w:r>
              <w:tab/>
            </w:r>
            <w:r>
              <w:t>22</w:t>
            </w:r>
          </w:hyperlink>
        </w:p>
        <w:p>
          <w:pPr>
            <w:pStyle w:val="TOC2"/>
            <w:tabs>
              <w:tab w:val="right" w:leader="dot" w:pos="9071"/>
            </w:tabs>
          </w:pPr>
          <w:hyperlink w:anchor="__RefHeading___Toc14146_535938422">
            <w:r>
              <w:t>5.5 Kriterienbasierte Bewertung der Softwarealternativen</w:t>
            </w:r>
            <w:r>
              <w:tab/>
            </w:r>
            <w:r>
              <w:t>23</w:t>
            </w:r>
          </w:hyperlink>
        </w:p>
        <w:p>
          <w:pPr>
            <w:pStyle w:val="TOC2"/>
            <w:tabs>
              <w:tab w:val="right" w:leader="dot" w:pos="9071"/>
            </w:tabs>
          </w:pPr>
          <w:hyperlink w:anchor="__RefHeading___Toc14148_535938422">
            <w:r>
              <w:t>5.6 Systementscheidung und Übergang zur Implementierung</w:t>
            </w:r>
            <w:r>
              <w:tab/>
            </w:r>
            <w:r>
              <w:t>26</w:t>
            </w:r>
          </w:hyperlink>
        </w:p>
        <w:p>
          <w:pPr>
            <w:pStyle w:val="TOC1"/>
            <w:tabs>
              <w:tab w:val="right" w:leader="dot" w:pos="9071"/>
            </w:tabs>
          </w:pPr>
          <w:hyperlink w:anchor="__RefHeading___Toc8497_3957600584">
            <w:r>
              <w:t>6 Implementierung und Versuchsdesign</w:t>
            </w:r>
            <w:r>
              <w:tab/>
            </w:r>
            <w:r>
              <w:t>27</w:t>
            </w:r>
          </w:hyperlink>
        </w:p>
        <w:p>
          <w:pPr>
            <w:pStyle w:val="TOC2"/>
            <w:tabs>
              <w:tab w:val="right" w:leader="dot" w:pos="9071"/>
            </w:tabs>
          </w:pPr>
          <w:hyperlink w:anchor="__RefHeading___Toc8499_3957600584">
            <w:r>
              <w:t>6.1 Smartphoneversuch und Untersuchungsziele</w:t>
            </w:r>
            <w:r>
              <w:tab/>
            </w:r>
            <w:r>
              <w:t>27</w:t>
            </w:r>
          </w:hyperlink>
        </w:p>
        <w:p>
          <w:pPr>
            <w:pStyle w:val="TOC2"/>
            <w:tabs>
              <w:tab w:val="right" w:leader="dot" w:pos="9071"/>
            </w:tabs>
          </w:pPr>
          <w:hyperlink w:anchor="__RefHeading___Toc8501_3957600584">
            <w:r>
              <w:t>6.2 Hardware und mechanischer Übertragungsweg</w:t>
            </w:r>
            <w:r>
              <w:tab/>
            </w:r>
            <w:r>
              <w:t>27</w:t>
            </w:r>
          </w:hyperlink>
        </w:p>
        <w:p>
          <w:pPr>
            <w:pStyle w:val="TOC2"/>
            <w:tabs>
              <w:tab w:val="right" w:leader="dot" w:pos="9071"/>
            </w:tabs>
          </w:pPr>
          <w:hyperlink w:anchor="__RefHeading___Toc8503_3957600584">
            <w:r>
              <w:t>6.3 PWM, Sensor und Zeitbasis</w:t>
            </w:r>
            <w:r>
              <w:tab/>
            </w:r>
            <w:r>
              <w:t>28</w:t>
            </w:r>
          </w:hyperlink>
        </w:p>
        <w:p>
          <w:pPr>
            <w:pStyle w:val="TOC2"/>
            <w:tabs>
              <w:tab w:val="right" w:leader="dot" w:pos="9071"/>
            </w:tabs>
          </w:pPr>
          <w:hyperlink w:anchor="__RefHeading___Toc8505_3957600584">
            <w:r>
              <w:t>6.4 Vorverarbeitung und eingefrorene Modelle</w:t>
            </w:r>
            <w:r>
              <w:tab/>
            </w:r>
            <w:r>
              <w:t>29</w:t>
            </w:r>
          </w:hyperlink>
        </w:p>
        <w:p>
          <w:pPr>
            <w:pStyle w:val="TOC2"/>
            <w:tabs>
              <w:tab w:val="right" w:leader="dot" w:pos="9071"/>
            </w:tabs>
          </w:pPr>
          <w:hyperlink w:anchor="__RefHeading___Toc8507_3957600584">
            <w:r>
              <w:t>6.5 Normaltraining, Schwellen und Exportprüfung</w:t>
            </w:r>
            <w:r>
              <w:tab/>
            </w:r>
            <w:r>
              <w:t>30</w:t>
            </w:r>
          </w:hyperlink>
        </w:p>
        <w:p>
          <w:pPr>
            <w:pStyle w:val="TOC2"/>
            <w:tabs>
              <w:tab w:val="right" w:leader="dot" w:pos="9071"/>
            </w:tabs>
          </w:pPr>
          <w:hyperlink w:anchor="__RefHeading___Toc8509_3957600584">
            <w:r>
              <w:t>6.6 Einzelbetrieb, Replay und gemeinsame Live-Auswertung</w:t>
            </w:r>
            <w:r>
              <w:tab/>
            </w:r>
            <w:r>
              <w:t>32</w:t>
            </w:r>
          </w:hyperlink>
        </w:p>
        <w:p>
          <w:pPr>
            <w:pStyle w:val="TOC2"/>
            <w:tabs>
              <w:tab w:val="right" w:leader="dot" w:pos="9071"/>
            </w:tabs>
          </w:pPr>
          <w:hyperlink w:anchor="__RefHeading___Toc8511_3957600584">
            <w:r>
              <w:t>6.7 Ablauf, Bedienmarker und Annahmen</w:t>
            </w:r>
            <w:r>
              <w:tab/>
            </w:r>
            <w:r>
              <w:t>33</w:t>
            </w:r>
          </w:hyperlink>
        </w:p>
        <w:p>
          <w:pPr>
            <w:pStyle w:val="TOC2"/>
            <w:tabs>
              <w:tab w:val="right" w:leader="dot" w:pos="9071"/>
            </w:tabs>
          </w:pPr>
          <w:hyperlink w:anchor="__RefHeading___Toc8513_3957600584">
            <w:r>
              <w:t>6.8 Dateien, Visualisierung und Nachvollziehbarkeit</w:t>
            </w:r>
            <w:r>
              <w:tab/>
            </w:r>
            <w:r>
              <w:t>34</w:t>
            </w:r>
          </w:hyperlink>
        </w:p>
        <w:p>
          <w:pPr>
            <w:pStyle w:val="TOC1"/>
            <w:tabs>
              <w:tab w:val="right" w:leader="dot" w:pos="9071"/>
            </w:tabs>
          </w:pPr>
          <w:hyperlink w:anchor="__RefHeading___Toc8515_3957600584">
            <w:r>
              <w:t>7 Evaluation</w:t>
            </w:r>
            <w:r>
              <w:tab/>
            </w:r>
            <w:r>
              <w:t>35</w:t>
            </w:r>
          </w:hyperlink>
        </w:p>
        <w:p>
          <w:pPr>
            <w:pStyle w:val="TOC2"/>
            <w:tabs>
              <w:tab w:val="right" w:leader="dot" w:pos="9071"/>
            </w:tabs>
          </w:pPr>
          <w:hyperlink w:anchor="__RefHeading___Toc8517_3957600584">
            <w:r>
              <w:t>7.1 Umfang und Auswahl der Aufnahmen</w:t>
            </w:r>
            <w:r>
              <w:tab/>
            </w:r>
            <w:r>
              <w:t>35</w:t>
            </w:r>
          </w:hyperlink>
        </w:p>
        <w:p>
          <w:pPr>
            <w:pStyle w:val="TOC2"/>
            <w:tabs>
              <w:tab w:val="right" w:leader="dot" w:pos="9071"/>
            </w:tabs>
          </w:pPr>
          <w:hyperlink w:anchor="__RefHeading___Toc8519_3957600584">
            <w:r>
              <w:t>7.2 Datenintegrität und Reproduzierbarkeit</w:t>
            </w:r>
            <w:r>
              <w:tab/>
            </w:r>
            <w:r>
              <w:t>35</w:t>
            </w:r>
          </w:hyperlink>
        </w:p>
        <w:p>
          <w:pPr>
            <w:pStyle w:val="TOC2"/>
            <w:tabs>
              <w:tab w:val="right" w:leader="dot" w:pos="9071"/>
            </w:tabs>
          </w:pPr>
          <w:hyperlink w:anchor="__RefHeading___Toc8521_3957600584">
            <w:r>
              <w:t>7.3 Einzelbetrieb und Vergleich auf identischen Replay-Fenstern</w:t>
            </w:r>
            <w:r>
              <w:tab/>
            </w:r>
            <w:r>
              <w:t>36</w:t>
            </w:r>
          </w:hyperlink>
        </w:p>
        <w:p>
          <w:pPr>
            <w:pStyle w:val="TOC2"/>
            <w:tabs>
              <w:tab w:val="right" w:leader="dot" w:pos="9071"/>
            </w:tabs>
          </w:pPr>
          <w:hyperlink w:anchor="__RefHeading___Toc8523_3957600584">
            <w:r>
              <w:t>7.4 Gemeinsamer Live-Lauf: Signal und Alarmreihenfolge</w:t>
            </w:r>
            <w:r>
              <w:tab/>
            </w:r>
            <w:r>
              <w:t>37</w:t>
            </w:r>
          </w:hyperlink>
        </w:p>
        <w:p>
          <w:pPr>
            <w:pStyle w:val="TOC2"/>
            <w:tabs>
              <w:tab w:val="right" w:leader="dot" w:pos="9071"/>
            </w:tabs>
          </w:pPr>
          <w:hyperlink w:anchor="__RefHeading___Toc8525_3957600584">
            <w:r>
              <w:t>7.5 Warum unterscheiden sich die ersten Alarme?</w:t>
            </w:r>
            <w:r>
              <w:tab/>
            </w:r>
            <w:r>
              <w:t>39</w:t>
            </w:r>
          </w:hyperlink>
        </w:p>
        <w:p>
          <w:pPr>
            <w:pStyle w:val="TOC2"/>
            <w:tabs>
              <w:tab w:val="right" w:leader="dot" w:pos="9071"/>
            </w:tabs>
          </w:pPr>
          <w:hyperlink w:anchor="__RefHeading___Toc8527_3957600584">
            <w:r>
              <w:t>7.6 Rechenaufwand und Verhalten des Raspberry Pi</w:t>
            </w:r>
            <w:r>
              <w:tab/>
            </w:r>
            <w:r>
              <w:t>40</w:t>
            </w:r>
          </w:hyperlink>
        </w:p>
        <w:p>
          <w:pPr>
            <w:pStyle w:val="TOC2"/>
            <w:tabs>
              <w:tab w:val="right" w:leader="dot" w:pos="9071"/>
            </w:tabs>
          </w:pPr>
          <w:hyperlink w:anchor="__RefHeading___Toc8531_3957600584">
            <w:r>
              <w:t>7.7 Forschungsfragen und Nachweisstand</w:t>
            </w:r>
            <w:r>
              <w:tab/>
            </w:r>
            <w:r>
              <w:t>44</w:t>
            </w:r>
          </w:hyperlink>
        </w:p>
        <w:p>
          <w:pPr>
            <w:pStyle w:val="TOC1"/>
            <w:tabs>
              <w:tab w:val="right" w:leader="dot" w:pos="9071"/>
            </w:tabs>
          </w:pPr>
          <w:hyperlink w:anchor="__RefHeading___Toc8533_3957600584">
            <w:r>
              <w:t>8 Diskussion</w:t>
            </w:r>
            <w:r>
              <w:tab/>
            </w:r>
            <w:r>
              <w:t>46</w:t>
            </w:r>
          </w:hyperlink>
        </w:p>
        <w:p>
          <w:pPr>
            <w:pStyle w:val="TOC2"/>
            <w:tabs>
              <w:tab w:val="right" w:leader="dot" w:pos="9071"/>
            </w:tabs>
          </w:pPr>
          <w:hyperlink w:anchor="__RefHeading___Toc8535_3957600584">
            <w:r>
              <w:t>8.1 Alarmverhalten und Ausgabezeitpunkte</w:t>
            </w:r>
            <w:r>
              <w:tab/>
            </w:r>
            <w:r>
              <w:t>46</w:t>
            </w:r>
          </w:hyperlink>
        </w:p>
        <w:p>
          <w:pPr>
            <w:pStyle w:val="TOC2"/>
            <w:tabs>
              <w:tab w:val="right" w:leader="dot" w:pos="9071"/>
            </w:tabs>
          </w:pPr>
          <w:hyperlink w:anchor="__RefHeading___Toc8537_3957600584">
            <w:r>
              <w:t>8.2 Schwellen, Alarmhäufigkeit und faire Bewertung</w:t>
            </w:r>
            <w:r>
              <w:tab/>
            </w:r>
            <w:r>
              <w:t>46</w:t>
            </w:r>
          </w:hyperlink>
        </w:p>
        <w:p>
          <w:pPr>
            <w:pStyle w:val="TOC2"/>
            <w:tabs>
              <w:tab w:val="right" w:leader="dot" w:pos="9071"/>
            </w:tabs>
          </w:pPr>
          <w:hyperlink w:anchor="__RefHeading___Toc8539_3957600584">
            <w:r>
              <w:t>8.3 Vergleichbarkeit und interne Gültigkeit</w:t>
            </w:r>
            <w:r>
              <w:tab/>
            </w:r>
            <w:r>
              <w:t>47</w:t>
            </w:r>
          </w:hyperlink>
        </w:p>
        <w:p>
          <w:pPr>
            <w:pStyle w:val="TOC2"/>
            <w:tabs>
              <w:tab w:val="right" w:leader="dot" w:pos="9071"/>
            </w:tabs>
          </w:pPr>
          <w:hyperlink w:anchor="__RefHeading___Toc8541_3957600584">
            <w:r>
              <w:t>8.4 Raspberry-Pi-Bedarf und Grenzen der Übertragung</w:t>
            </w:r>
            <w:r>
              <w:tab/>
            </w:r>
            <w:r>
              <w:t>47</w:t>
            </w:r>
          </w:hyperlink>
        </w:p>
        <w:p>
          <w:pPr>
            <w:pStyle w:val="TOC1"/>
            <w:tabs>
              <w:tab w:val="right" w:leader="dot" w:pos="9071"/>
            </w:tabs>
          </w:pPr>
          <w:hyperlink w:anchor="__RefHeading___Toc8543_3957600584">
            <w:r>
              <w:t>9 Ausblick</w:t>
            </w:r>
            <w:r>
              <w:tab/>
            </w:r>
            <w:r>
              <w:t>48</w:t>
            </w:r>
          </w:hyperlink>
        </w:p>
        <w:p>
          <w:pPr>
            <w:pStyle w:val="TOC1"/>
            <w:tabs>
              <w:tab w:val="right" w:leader="dot" w:pos="9071"/>
            </w:tabs>
          </w:pPr>
          <w:hyperlink w:anchor="__RefHeading___Toc8545_3957600584">
            <w:r>
              <w:t>10 Fazit</w:t>
            </w:r>
            <w:r>
              <w:tab/>
            </w:r>
            <w:r>
              <w:t>49</w:t>
            </w:r>
          </w:hyperlink>
        </w:p>
        <w:p>
          <w:pPr>
            <w:pStyle w:val="TOC1"/>
            <w:tabs>
              <w:tab w:val="right" w:leader="dot" w:pos="9071"/>
            </w:tabs>
          </w:pPr>
          <w:hyperlink w:anchor="__RefHeading___Toc8547_3957600584">
            <w:r>
              <w:t>Anhang</w:t>
            </w:r>
            <w:r>
              <w:tab/>
            </w:r>
            <w:r>
              <w:t>50</w:t>
            </w:r>
          </w:hyperlink>
        </w:p>
        <w:p>
          <w:pPr>
            <w:pStyle w:val="TOC2"/>
            <w:tabs>
              <w:tab w:val="right" w:leader="dot" w:pos="9071"/>
            </w:tabs>
          </w:pPr>
          <w:hyperlink w:anchor="__RefHeading___Toc8549_3957600584">
            <w:r>
              <w:t>Digitale Belege und Fassungszuordnung</w:t>
            </w:r>
            <w:r>
              <w:tab/>
            </w:r>
            <w:r>
              <w:t>50</w:t>
            </w:r>
          </w:hyperlink>
        </w:p>
        <w:p>
          <w:pPr>
            <w:pStyle w:val="TOC2"/>
            <w:tabs>
              <w:tab w:val="right" w:leader="dot" w:pos="9071"/>
            </w:tabs>
          </w:pPr>
          <w:hyperlink w:anchor="__RefHeading___Toc8555_3957600584">
            <w:r>
              <w:t>Lesen der aktuellen Messdateien</w:t>
            </w:r>
            <w:r>
              <w:tab/>
            </w:r>
            <w:r>
              <w:t>51</w:t>
            </w:r>
          </w:hyperlink>
        </w:p>
        <w:p>
          <w:pPr>
            <w:pStyle w:val="TOC2"/>
            <w:tabs>
              <w:tab w:val="right" w:leader="dot" w:pos="9071"/>
            </w:tabs>
          </w:pPr>
          <w:hyperlink w:anchor="__RefHeading___Toc8557_3957600584">
            <w:r>
              <w:t>KI-Unterstützung und fachliche Verantwortung</w:t>
            </w:r>
            <w:r>
              <w:tab/>
            </w:r>
            <w:r>
              <w:t>51</w:t>
            </w:r>
          </w:hyperlink>
        </w:p>
        <w:p>
          <w:pPr>
            <w:pStyle w:val="TOC1"/>
            <w:tabs>
              <w:tab w:val="right" w:leader="dot" w:pos="9071"/>
            </w:tabs>
          </w:pPr>
          <w:hyperlink w:anchor="__RefHeading___Toc14204_535938422">
            <w:r>
              <w:t>Literaturverzeichnis</w:t>
            </w:r>
            <w:r>
              <w:tab/>
            </w:r>
            <w:r>
              <w:t>52</w:t>
            </w:r>
          </w:hyperlink>
          <w:r>
            <w:fldChar w:fldCharType="end"/>
          </w:r>
        </w:p>
      </w:sdtContent>
    </w:sdt>
    <w:p>
      <w:pPr>
        <w:pStyle w:val="FrontMatterHeading"/>
        <w:numPr>
          <w:ilvl w:val="0"/>
          <w:numId w:val="0"/>
        </w:numPr>
        <w:ind w:hanging="0" w:start="0"/>
        <w:rPr/>
      </w:pPr>
      <w:r>
        <w:rPr>
          <w:color w:val="000000"/>
        </w:rPr>
        <w:br w:type="page"/>
      </w:r>
      <w:bookmarkStart w:id="5" w:name="__RefHeading___Toc14072_535938422"/>
      <w:bookmarkEnd w:id="5"/>
      <w:r>
        <w:rPr>
          <w:color w:val="000000"/>
        </w:rPr>
        <w:t>Abbildungsverzeichnis</w:t>
      </w:r>
    </w:p>
    <w:sdt>
      <w:sdtPr>
        <w:docPartObj>
          <w:docPartGallery w:val="Table of Contents"/>
          <w:docPartUnique w:val="true"/>
        </w:docPartObj>
      </w:sdtPr>
      <w:sdtContent>
        <w:p>
          <w:pPr>
            <w:pStyle w:val="TOC1"/>
            <w:tabs>
              <w:tab w:val="right" w:leader="dot" w:pos="9071"/>
            </w:tabs>
          </w:pPr>
          <w:r>
            <w:fldChar w:fldCharType="begin"/>
          </w:r>
          <w:r>
            <w:instrText xml:space="preserve"> TOC \t "Abbildungsbeschriftung,1" \h</w:instrText>
          </w:r>
          <w:r>
            <w:fldChar w:fldCharType="separate"/>
          </w:r>
          <w:hyperlink w:anchor="__RefHeading___Toc8559_3957600584">
            <w:r>
              <w:t>Abbildung 6-1: Schematischer Aufbau des Smartphoneversuchs</w:t>
            </w:r>
            <w:r>
              <w:tab/>
            </w:r>
            <w:r>
              <w:t>28</w:t>
            </w:r>
          </w:hyperlink>
        </w:p>
        <w:p>
          <w:pPr>
            <w:pStyle w:val="TOC1"/>
            <w:tabs>
              <w:tab w:val="right" w:leader="dot" w:pos="9071"/>
            </w:tabs>
          </w:pPr>
          <w:hyperlink w:anchor="__RefHeading___Toc8575_3957600584">
            <w:r>
              <w:t>Abbildung 6-2: Datenfluss des gemeinsamen Live-Vergleichs</w:t>
            </w:r>
            <w:r>
              <w:tab/>
            </w:r>
            <w:r>
              <w:t>32</w:t>
            </w:r>
          </w:hyperlink>
        </w:p>
        <w:p>
          <w:pPr>
            <w:pStyle w:val="TOC1"/>
            <w:tabs>
              <w:tab w:val="right" w:leader="dot" w:pos="9071"/>
            </w:tabs>
          </w:pPr>
          <w:hyperlink w:anchor="__RefHeading___Toc8573_3957600584">
            <w:r>
              <w:t>Abbildung 7-1: Erstes Alarmfenster im Offline-Replay</w:t>
            </w:r>
            <w:r>
              <w:tab/>
            </w:r>
            <w:r>
              <w:t>37</w:t>
            </w:r>
          </w:hyperlink>
        </w:p>
        <w:p>
          <w:pPr>
            <w:pStyle w:val="TOC1"/>
            <w:tabs>
              <w:tab w:val="right" w:leader="dot" w:pos="9071"/>
            </w:tabs>
          </w:pPr>
          <w:hyperlink w:anchor="__RefHeading___Toc8571_3957600584">
            <w:r>
              <w:t>Abbildung 7-2: Gemeinsamer Rohdaten- und Scoreverlauf</w:t>
            </w:r>
            <w:r>
              <w:tab/>
            </w:r>
            <w:r>
              <w:t>38</w:t>
            </w:r>
          </w:hyperlink>
        </w:p>
        <w:p>
          <w:pPr>
            <w:pStyle w:val="TOC1"/>
            <w:tabs>
              <w:tab w:val="right" w:leader="dot" w:pos="9071"/>
            </w:tabs>
          </w:pPr>
          <w:hyperlink w:anchor="__RefHeading___Toc8569_3957600584">
            <w:r>
              <w:t>Abbildung 7-3: Nummerierte Reihenfolge der ersten Alarmausgaben im gemeinsamen Lauf und zugehörige Fensterindizes</w:t>
            </w:r>
            <w:r>
              <w:tab/>
            </w:r>
            <w:r>
              <w:t>39</w:t>
            </w:r>
          </w:hyperlink>
        </w:p>
        <w:p>
          <w:pPr>
            <w:pStyle w:val="TOC1"/>
            <w:tabs>
              <w:tab w:val="right" w:leader="dot" w:pos="9071"/>
            </w:tabs>
          </w:pPr>
          <w:hyperlink w:anchor="__RefHeading___Toc8567_3957600584">
            <w:r>
              <w:t>Abbildung 7-4: Schwellenübergang der Fenster 107 bis 109</w:t>
            </w:r>
            <w:r>
              <w:tab/>
            </w:r>
            <w:r>
              <w:t>40</w:t>
            </w:r>
          </w:hyperlink>
        </w:p>
        <w:p>
          <w:pPr>
            <w:pStyle w:val="TOC1"/>
            <w:tabs>
              <w:tab w:val="right" w:leader="dot" w:pos="9071"/>
            </w:tabs>
          </w:pPr>
          <w:hyperlink w:anchor="__RefHeading___Toc8565_3957600584">
            <w:r>
              <w:t>Abbildung 7-5: Verarbeitungszeiten im Einzelbetrieb und im gemeinsamen Prozess</w:t>
            </w:r>
            <w:r>
              <w:tab/>
            </w:r>
            <w:r>
              <w:t>41</w:t>
            </w:r>
          </w:hyperlink>
        </w:p>
        <w:p>
          <w:pPr>
            <w:pStyle w:val="TOC1"/>
            <w:tabs>
              <w:tab w:val="right" w:leader="dot" w:pos="9071"/>
            </w:tabs>
          </w:pPr>
          <w:hyperlink w:anchor="__RefHeading___Toc8563_3957600584">
            <w:r>
              <w:t>Abbildung 7-6: CPU und RAM im Einzelbetrieb und gemeinsamen Live-Prozess</w:t>
            </w:r>
            <w:r>
              <w:tab/>
            </w:r>
            <w:r>
              <w:t>42</w:t>
            </w:r>
          </w:hyperlink>
        </w:p>
        <w:p>
          <w:pPr>
            <w:pStyle w:val="TOC1"/>
            <w:tabs>
              <w:tab w:val="right" w:leader="dot" w:pos="9071"/>
            </w:tabs>
          </w:pPr>
          <w:hyperlink w:anchor="__RefHeading___Toc8561_3957600584">
            <w:r>
              <w:t>Abbildung 7-7: Zeitlicher Ressourcenverlauf des gemeinsamen Prozesses</w:t>
            </w:r>
            <w:r>
              <w:tab/>
            </w:r>
            <w:r>
              <w:t>43</w:t>
            </w:r>
          </w:hyperlink>
          <w:r>
            <w:fldChar w:fldCharType="end"/>
          </w:r>
        </w:p>
      </w:sdtContent>
    </w:sdt>
    <w:p>
      <w:pPr>
        <w:pStyle w:val="FrontMatterHeading"/>
        <w:numPr>
          <w:ilvl w:val="0"/>
          <w:numId w:val="0"/>
        </w:numPr>
        <w:ind w:hanging="0" w:start="0"/>
        <w:rPr/>
      </w:pPr>
      <w:r>
        <w:rPr>
          <w:color w:val="000000"/>
        </w:rPr>
        <w:br w:type="page"/>
      </w:r>
      <w:bookmarkStart w:id="6" w:name="__RefHeading___Toc14074_535938422"/>
      <w:bookmarkEnd w:id="6"/>
      <w:r>
        <w:rPr>
          <w:color w:val="000000"/>
        </w:rPr>
        <w:t>Tabellenverzeichnis</w:t>
      </w:r>
    </w:p>
    <w:sdt>
      <w:sdtPr>
        <w:docPartObj>
          <w:docPartGallery w:val="Table of Contents"/>
          <w:docPartUnique w:val="true"/>
        </w:docPartObj>
      </w:sdtPr>
      <w:sdtContent>
        <w:p>
          <w:pPr>
            <w:pStyle w:val="TOC1"/>
            <w:tabs>
              <w:tab w:val="right" w:leader="dot" w:pos="9071"/>
            </w:tabs>
          </w:pPr>
          <w:r>
            <w:fldChar w:fldCharType="begin"/>
          </w:r>
          <w:r>
            <w:instrText xml:space="preserve"> TOC \t "Tabellenbeschriftung,1" \h</w:instrText>
          </w:r>
          <w:r>
            <w:fldChar w:fldCharType="separate"/>
          </w:r>
          <w:hyperlink w:anchor="__RefHeading___Toc14218_535938422">
            <w:r>
              <w:t>Tabelle 2-1: Kennzahlen der binären Anomalieerkennung</w:t>
            </w:r>
            <w:r>
              <w:tab/>
            </w:r>
            <w:r>
              <w:t>7</w:t>
            </w:r>
          </w:hyperlink>
        </w:p>
        <w:p>
          <w:pPr>
            <w:pStyle w:val="TOC1"/>
            <w:tabs>
              <w:tab w:val="right" w:leader="dot" w:pos="9071"/>
            </w:tabs>
          </w:pPr>
          <w:hyperlink w:anchor="__RefHeading___Toc14282_535938422">
            <w:r>
              <w:t>Tabelle 3-1: Ausgewählte Vorarbeiten und ihre Bedeutung für die Untersuchung</w:t>
            </w:r>
            <w:r>
              <w:tab/>
            </w:r>
            <w:r>
              <w:t>10</w:t>
            </w:r>
          </w:hyperlink>
        </w:p>
        <w:p>
          <w:pPr>
            <w:pStyle w:val="TOC1"/>
            <w:tabs>
              <w:tab w:val="right" w:leader="dot" w:pos="9071"/>
            </w:tabs>
          </w:pPr>
          <w:hyperlink w:anchor="__RefHeading___Toc14280_535938422">
            <w:r>
              <w:t>Tabelle 4-1: Anforderungen, Prioritäten und Nachweise</w:t>
            </w:r>
            <w:r>
              <w:tab/>
            </w:r>
            <w:r>
              <w:t>14</w:t>
            </w:r>
          </w:hyperlink>
        </w:p>
        <w:p>
          <w:pPr>
            <w:pStyle w:val="TOC1"/>
            <w:tabs>
              <w:tab w:val="right" w:leader="dot" w:pos="9071"/>
            </w:tabs>
          </w:pPr>
          <w:hyperlink w:anchor="__RefHeading___Toc14278_535938422">
            <w:r>
              <w:t>Tabelle 5-1: Bewertung der Prüfstandsalternativen</w:t>
            </w:r>
            <w:r>
              <w:tab/>
            </w:r>
            <w:r>
              <w:t>17</w:t>
            </w:r>
          </w:hyperlink>
        </w:p>
        <w:p>
          <w:pPr>
            <w:pStyle w:val="TOC1"/>
            <w:tabs>
              <w:tab w:val="right" w:leader="dot" w:pos="9071"/>
            </w:tabs>
          </w:pPr>
          <w:hyperlink w:anchor="__RefHeading___Toc14276_535938422">
            <w:r>
              <w:t>Tabelle 5-2: Kriterien und Gewichte für den Prüfstand</w:t>
            </w:r>
            <w:r>
              <w:tab/>
            </w:r>
            <w:r>
              <w:t>18</w:t>
            </w:r>
          </w:hyperlink>
        </w:p>
        <w:p>
          <w:pPr>
            <w:pStyle w:val="TOC1"/>
            <w:tabs>
              <w:tab w:val="right" w:leader="dot" w:pos="9071"/>
            </w:tabs>
          </w:pPr>
          <w:hyperlink w:anchor="__RefHeading___Toc14274_535938422">
            <w:r>
              <w:t>Tabelle 5-3: Gewichtete Bewertung der Prüfstandsalternativen</w:t>
            </w:r>
            <w:r>
              <w:tab/>
            </w:r>
            <w:r>
              <w:t>18</w:t>
            </w:r>
          </w:hyperlink>
        </w:p>
        <w:p>
          <w:pPr>
            <w:pStyle w:val="TOC1"/>
            <w:tabs>
              <w:tab w:val="right" w:leader="dot" w:pos="9071"/>
            </w:tabs>
          </w:pPr>
          <w:hyperlink w:anchor="__RefHeading___Toc14272_535938422">
            <w:r>
              <w:t>Tabelle 5-4: Vergleich der Sensorik und Messketten</w:t>
            </w:r>
            <w:r>
              <w:tab/>
            </w:r>
            <w:r>
              <w:t>19</w:t>
            </w:r>
          </w:hyperlink>
        </w:p>
        <w:p>
          <w:pPr>
            <w:pStyle w:val="TOC1"/>
            <w:tabs>
              <w:tab w:val="right" w:leader="dot" w:pos="9071"/>
            </w:tabs>
          </w:pPr>
          <w:hyperlink w:anchor="__RefHeading___Toc14270_535938422">
            <w:r>
              <w:t>Tabelle 5-5: Bewertung der Edge-Plattformen</w:t>
            </w:r>
            <w:r>
              <w:tab/>
            </w:r>
            <w:r>
              <w:t>20</w:t>
            </w:r>
          </w:hyperlink>
        </w:p>
        <w:p>
          <w:pPr>
            <w:pStyle w:val="TOC1"/>
            <w:tabs>
              <w:tab w:val="right" w:leader="dot" w:pos="9071"/>
            </w:tabs>
          </w:pPr>
          <w:hyperlink w:anchor="__RefHeading___Toc14268_535938422">
            <w:r>
              <w:t>Tabelle 5-6: Kriterien und Gewichte für die Edge-Plattform</w:t>
            </w:r>
            <w:r>
              <w:tab/>
            </w:r>
            <w:r>
              <w:t>20</w:t>
            </w:r>
          </w:hyperlink>
        </w:p>
        <w:p>
          <w:pPr>
            <w:pStyle w:val="TOC1"/>
            <w:tabs>
              <w:tab w:val="right" w:leader="dot" w:pos="9071"/>
            </w:tabs>
          </w:pPr>
          <w:hyperlink w:anchor="__RefHeading___Toc14266_535938422">
            <w:r>
              <w:t>Tabelle 5-7: Gewichtete Bewertung der Edge-Plattformen</w:t>
            </w:r>
            <w:r>
              <w:tab/>
            </w:r>
            <w:r>
              <w:t>21</w:t>
            </w:r>
          </w:hyperlink>
        </w:p>
        <w:p>
          <w:pPr>
            <w:pStyle w:val="TOC1"/>
            <w:tabs>
              <w:tab w:val="right" w:leader="dot" w:pos="9071"/>
            </w:tabs>
          </w:pPr>
          <w:hyperlink w:anchor="__RefHeading___Toc14264_535938422">
            <w:r>
              <w:t>Tabelle 5-8: Bewertung der Signalrepräsentationen</w:t>
            </w:r>
            <w:r>
              <w:tab/>
            </w:r>
            <w:r>
              <w:t>22</w:t>
            </w:r>
          </w:hyperlink>
        </w:p>
        <w:p>
          <w:pPr>
            <w:pStyle w:val="TOC1"/>
            <w:tabs>
              <w:tab w:val="right" w:leader="dot" w:pos="9071"/>
            </w:tabs>
          </w:pPr>
          <w:hyperlink w:anchor="__RefHeading___Toc14262_535938422">
            <w:r>
              <w:t>Tabelle 5-9: Auswahl der Anomalieverfahren</w:t>
            </w:r>
            <w:r>
              <w:tab/>
            </w:r>
            <w:r>
              <w:t>23</w:t>
            </w:r>
          </w:hyperlink>
        </w:p>
        <w:p>
          <w:pPr>
            <w:pStyle w:val="TOC1"/>
            <w:tabs>
              <w:tab w:val="right" w:leader="dot" w:pos="9071"/>
            </w:tabs>
          </w:pPr>
          <w:hyperlink w:anchor="__RefHeading___Toc14260_535938422">
            <w:r>
              <w:t>Tabelle 5-10: Kriterienbasierter Vergleich der Softwarealternativen</w:t>
            </w:r>
            <w:r>
              <w:tab/>
            </w:r>
            <w:r>
              <w:t>24</w:t>
            </w:r>
          </w:hyperlink>
        </w:p>
        <w:p>
          <w:pPr>
            <w:pStyle w:val="TOC1"/>
            <w:tabs>
              <w:tab w:val="right" w:leader="dot" w:pos="9071"/>
            </w:tabs>
          </w:pPr>
          <w:hyperlink w:anchor="__RefHeading___Toc14258_535938422">
            <w:r>
              <w:t>Tabelle 5-11: Kriterien und Gewichte für die Softwareauswahl</w:t>
            </w:r>
            <w:r>
              <w:tab/>
            </w:r>
            <w:r>
              <w:t>24</w:t>
            </w:r>
          </w:hyperlink>
        </w:p>
        <w:p>
          <w:pPr>
            <w:pStyle w:val="TOC1"/>
            <w:tabs>
              <w:tab w:val="right" w:leader="dot" w:pos="9071"/>
            </w:tabs>
          </w:pPr>
          <w:hyperlink w:anchor="__RefHeading___Toc14256_535938422">
            <w:r>
              <w:t>Tabelle 5-12: Gewichtete Bewertung der Softwarealternativen</w:t>
            </w:r>
            <w:r>
              <w:tab/>
            </w:r>
            <w:r>
              <w:t>25</w:t>
            </w:r>
          </w:hyperlink>
        </w:p>
        <w:p>
          <w:pPr>
            <w:pStyle w:val="TOC1"/>
            <w:tabs>
              <w:tab w:val="right" w:leader="dot" w:pos="9071"/>
            </w:tabs>
          </w:pPr>
          <w:hyperlink w:anchor="__RefHeading___Toc14254_535938422">
            <w:r>
              <w:t>Tabelle 5-13: Systementscheidungen und ausstehende Nachweise</w:t>
            </w:r>
            <w:r>
              <w:tab/>
            </w:r>
            <w:r>
              <w:t>26</w:t>
            </w:r>
          </w:hyperlink>
        </w:p>
        <w:p>
          <w:pPr>
            <w:pStyle w:val="TOC1"/>
            <w:tabs>
              <w:tab w:val="right" w:leader="dot" w:pos="9071"/>
            </w:tabs>
          </w:pPr>
          <w:hyperlink w:anchor="__RefHeading___Toc8617_3957600584">
            <w:r>
              <w:t>Tabelle 6-1: Hardware und Betriebszustand der Smartphoneuntersuchung</w:t>
            </w:r>
            <w:r>
              <w:tab/>
            </w:r>
            <w:r>
              <w:t>28</w:t>
            </w:r>
          </w:hyperlink>
        </w:p>
        <w:p>
          <w:pPr>
            <w:pStyle w:val="TOC1"/>
            <w:tabs>
              <w:tab w:val="right" w:leader="dot" w:pos="9071"/>
            </w:tabs>
          </w:pPr>
          <w:hyperlink w:anchor="__RefHeading___Toc8615_3957600584">
            <w:r>
              <w:t>Tabelle 6-2: Festgelegte Skalierung des aktuellen Normalprofils, gerundet</w:t>
            </w:r>
            <w:r>
              <w:tab/>
            </w:r>
            <w:r>
              <w:t>29</w:t>
            </w:r>
          </w:hyperlink>
        </w:p>
        <w:p>
          <w:pPr>
            <w:pStyle w:val="TOC1"/>
            <w:tabs>
              <w:tab w:val="right" w:leader="dot" w:pos="9071"/>
            </w:tabs>
          </w:pPr>
          <w:hyperlink w:anchor="__RefHeading___Toc8613_3957600584">
            <w:r>
              <w:t>Tabelle 6-3: Architektur des verwendeten Autoencoders</w:t>
            </w:r>
            <w:r>
              <w:tab/>
            </w:r>
            <w:r>
              <w:t>30</w:t>
            </w:r>
          </w:hyperlink>
        </w:p>
        <w:p>
          <w:pPr>
            <w:pStyle w:val="TOC1"/>
            <w:tabs>
              <w:tab w:val="right" w:leader="dot" w:pos="9071"/>
            </w:tabs>
          </w:pPr>
          <w:hyperlink w:anchor="__RefHeading___Toc8611_3957600584">
            <w:r>
              <w:t>Tabelle 6-4: Eingefrorene Schwellen der Smartphoneuntersuchung</w:t>
            </w:r>
            <w:r>
              <w:tab/>
            </w:r>
            <w:r>
              <w:t>31</w:t>
            </w:r>
          </w:hyperlink>
        </w:p>
        <w:p>
          <w:pPr>
            <w:pStyle w:val="TOC1"/>
            <w:tabs>
              <w:tab w:val="right" w:leader="dot" w:pos="9071"/>
            </w:tabs>
          </w:pPr>
          <w:hyperlink w:anchor="__RefHeading___Toc8609_3957600584">
            <w:r>
              <w:t>Tabelle 6-5: Zeitbegriffe und zulässige Interpretation</w:t>
            </w:r>
            <w:r>
              <w:tab/>
            </w:r>
            <w:r>
              <w:t>33</w:t>
            </w:r>
          </w:hyperlink>
        </w:p>
        <w:p>
          <w:pPr>
            <w:pStyle w:val="TOC1"/>
            <w:tabs>
              <w:tab w:val="right" w:leader="dot" w:pos="9071"/>
            </w:tabs>
          </w:pPr>
          <w:hyperlink w:anchor="__RefHeading___Toc8607_3957600584">
            <w:r>
              <w:t>Tabelle 6-6: Annahmen und offene Nachweise</w:t>
            </w:r>
            <w:r>
              <w:tab/>
            </w:r>
            <w:r>
              <w:t>34</w:t>
            </w:r>
          </w:hyperlink>
        </w:p>
        <w:p>
          <w:pPr>
            <w:pStyle w:val="TOC1"/>
            <w:tabs>
              <w:tab w:val="right" w:leader="dot" w:pos="9071"/>
            </w:tabs>
          </w:pPr>
          <w:hyperlink w:anchor="__RefHeading___Toc8605_3957600584">
            <w:r>
              <w:t>Tabelle 7-1: Erhaltene Anläufe und Auswertungsrolle</w:t>
            </w:r>
            <w:r>
              <w:tab/>
            </w:r>
            <w:r>
              <w:t>35</w:t>
            </w:r>
          </w:hyperlink>
        </w:p>
        <w:p>
          <w:pPr>
            <w:pStyle w:val="TOC1"/>
            <w:tabs>
              <w:tab w:val="right" w:leader="dot" w:pos="9071"/>
            </w:tabs>
          </w:pPr>
          <w:hyperlink w:anchor="__RefHeading___Toc8603_3957600584">
            <w:r>
              <w:t>Tabelle 7-2: Ausgewählte Aufnahmen und Verteilung der gültigen Fenster</w:t>
            </w:r>
            <w:r>
              <w:tab/>
            </w:r>
            <w:r>
              <w:t>36</w:t>
            </w:r>
          </w:hyperlink>
        </w:p>
        <w:p>
          <w:pPr>
            <w:pStyle w:val="TOC1"/>
            <w:tabs>
              <w:tab w:val="right" w:leader="dot" w:pos="9071"/>
            </w:tabs>
          </w:pPr>
          <w:hyperlink w:anchor="__RefHeading___Toc8601_3957600584">
            <w:r>
              <w:t>Tabelle 7-3: Replay derselben Rohfenster; erstes Alarmfenster und gesamte Alarmfenster</w:t>
            </w:r>
            <w:r>
              <w:tab/>
            </w:r>
            <w:r>
              <w:t>37</w:t>
            </w:r>
          </w:hyperlink>
        </w:p>
        <w:p>
          <w:pPr>
            <w:pStyle w:val="TOC1"/>
            <w:tabs>
              <w:tab w:val="right" w:leader="dot" w:pos="9071"/>
            </w:tabs>
          </w:pPr>
          <w:hyperlink w:anchor="__RefHeading___Toc8599_3957600584">
            <w:r>
              <w:t>Tabelle 7-4: Erste Alarme im gemeinsamen Live-Lauf</w:t>
            </w:r>
            <w:r>
              <w:tab/>
            </w:r>
            <w:r>
              <w:t>38</w:t>
            </w:r>
          </w:hyperlink>
        </w:p>
        <w:p>
          <w:pPr>
            <w:pStyle w:val="TOC1"/>
            <w:tabs>
              <w:tab w:val="right" w:leader="dot" w:pos="9071"/>
            </w:tabs>
          </w:pPr>
          <w:hyperlink w:anchor="__RefHeading___Toc8597_3957600584">
            <w:r>
              <w:t>Tabelle 7-5: Unmittelbarer Schwellenvergleich auf dem gemeinsamen Fenster 108</w:t>
            </w:r>
            <w:r>
              <w:tab/>
            </w:r>
            <w:r>
              <w:t>39</w:t>
            </w:r>
          </w:hyperlink>
        </w:p>
        <w:p>
          <w:pPr>
            <w:pStyle w:val="TOC1"/>
            <w:tabs>
              <w:tab w:val="right" w:leader="dot" w:pos="9071"/>
            </w:tabs>
          </w:pPr>
          <w:hyperlink w:anchor="__RefHeading___Toc8595_3957600584">
            <w:r>
              <w:t>Tabelle 7-6: Verarbeitungszeit im jeweiligen Auswerteraufruf; ms</w:t>
            </w:r>
            <w:r>
              <w:tab/>
            </w:r>
            <w:r>
              <w:t>41</w:t>
            </w:r>
          </w:hyperlink>
        </w:p>
        <w:p>
          <w:pPr>
            <w:pStyle w:val="TOC1"/>
            <w:tabs>
              <w:tab w:val="right" w:leader="dot" w:pos="9071"/>
            </w:tabs>
          </w:pPr>
          <w:hyperlink w:anchor="__RefHeading___Toc8593_3957600584">
            <w:r>
              <w:t>Tabelle 7-7: Prozessressourcen der ausgewählten Smartphoneaufnahmen</w:t>
            </w:r>
            <w:r>
              <w:tab/>
            </w:r>
            <w:r>
              <w:t>42</w:t>
            </w:r>
          </w:hyperlink>
        </w:p>
        <w:p>
          <w:pPr>
            <w:pStyle w:val="TOC1"/>
            <w:tabs>
              <w:tab w:val="right" w:leader="dot" w:pos="9071"/>
            </w:tabs>
          </w:pPr>
          <w:hyperlink w:anchor="__RefHeading___Toc8591_3957600584">
            <w:r>
              <w:t>Tabelle 7-8: Beantwortung der Forschungsfragen und Nachweisgrenzen</w:t>
            </w:r>
            <w:r>
              <w:tab/>
            </w:r>
            <w:r>
              <w:t>44</w:t>
            </w:r>
          </w:hyperlink>
        </w:p>
        <w:p>
          <w:pPr>
            <w:pStyle w:val="TOC1"/>
            <w:tabs>
              <w:tab w:val="right" w:leader="dot" w:pos="9071"/>
            </w:tabs>
          </w:pPr>
          <w:hyperlink w:anchor="__RefHeading___Toc8589_3957600584">
            <w:r>
              <w:t>Tabelle 7-9: Rückbindung an die Anforderungen aus Kapitel 4</w:t>
            </w:r>
            <w:r>
              <w:tab/>
            </w:r>
            <w:r>
              <w:t>45</w:t>
            </w:r>
          </w:hyperlink>
        </w:p>
        <w:p>
          <w:pPr>
            <w:pStyle w:val="TOC1"/>
            <w:tabs>
              <w:tab w:val="right" w:leader="dot" w:pos="9071"/>
            </w:tabs>
          </w:pPr>
          <w:hyperlink w:anchor="__RefHeading___Toc8587_3957600584">
            <w:r>
              <w:t>Tabelle A-1: Nachweisverzeichnis</w:t>
            </w:r>
            <w:r>
              <w:tab/>
            </w:r>
            <w:r>
              <w:t>50</w:t>
            </w:r>
          </w:hyperlink>
          <w:r>
            <w:fldChar w:fldCharType="end"/>
          </w:r>
        </w:p>
      </w:sdtContent>
    </w:sdt>
    <w:p>
      <w:pPr>
        <w:pStyle w:val="FrontMatterHeading"/>
        <w:numPr>
          <w:ilvl w:val="0"/>
          <w:numId w:val="0"/>
        </w:numPr>
        <w:ind w:hanging="0" w:start="0"/>
        <w:rPr/>
      </w:pPr>
      <w:r>
        <w:rPr>
          <w:color w:val="000000"/>
        </w:rPr>
        <w:br w:type="page"/>
      </w:r>
      <w:bookmarkStart w:id="7" w:name="__RefHeading___Toc14076_535938422"/>
      <w:bookmarkEnd w:id="7"/>
      <w:r>
        <w:rPr>
          <w:color w:val="000000"/>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5"/>
        <w:gridCol w:w="6805"/>
      </w:tblGrid>
      <w:tr>
        <w:trPr>
          <w:tblHeader w:val="true"/>
          <w:cantSplit w:val="true"/>
        </w:trPr>
        <w:tc>
          <w:tcPr>
            <w:tcW w:w="2265" w:type="dxa"/>
            <w:shd w:fill="E7EDF2" w:val="clear"/>
            <w:vAlign w:val="center"/>
            <w:tcMar>
              <w:top w:w="60" w:type="dxa"/>
              <w:bottom w:w="60" w:type="dxa"/>
              <w:left w:w="80" w:type="dxa"/>
              <w:right w:w="80" w:type="dxa"/>
            </w:tcMar>
          </w:tcPr>
          <w:p>
            <w:pPr>
              <w:pStyle w:val="Normal"/>
              <w:keepNext w:val="true"/>
              <w:keepLines/>
              <w:widowControl w:val="false"/>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Abkürzung</w:t>
            </w:r>
          </w:p>
        </w:tc>
        <w:tc>
          <w:tcPr>
            <w:tcW w:w="6805" w:type="dxa"/>
            <w:shd w:fill="E7EDF2" w:val="clear"/>
            <w:vAlign w:val="center"/>
            <w:tcMar>
              <w:top w:w="60" w:type="dxa"/>
              <w:bottom w:w="60" w:type="dxa"/>
              <w:left w:w="80" w:type="dxa"/>
              <w:right w:w="80" w:type="dxa"/>
            </w:tcMar>
          </w:tcPr>
          <w:p>
            <w:pPr>
              <w:pStyle w:val="Normal"/>
              <w:keepNext w:val="true"/>
              <w:keepLines/>
              <w:widowControl w:val="false"/>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Bedeutung</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AE</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Autoencoder</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CPU</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Central Processing Unit</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DFT</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Diskrete Fourier-Transformation</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FFT</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Fast Fourier Transform</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FPR</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False-Positive-Rate</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GPIO</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General Purpose Input/Output</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GUI</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Graphical User Interface (grafische Benutzeroberfläche)</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I²C</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Inter-Integrated Circuit</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IEPE</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Integrated Electronics Piezo-Electric</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KI</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Künstliche Intelligenz</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MCU</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Microcontroller Unit</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ML</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Machine Learning</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MSE</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Mean Squared Error</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ODR</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Output Data Rate</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PWM</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Pulsweitenmodulation</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RAM</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Random Access Memory</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RMS</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Root Mean Square</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RSS</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Resident Set Size</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SBC</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Single-Board Computer</w:t>
            </w:r>
          </w:p>
        </w:tc>
      </w:tr>
      <w:tr>
        <w:trPr>
          <w:cantSplit w:val="true"/>
        </w:trPr>
        <w:tc>
          <w:tcPr>
            <w:tcW w:w="226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SPI</w:t>
            </w:r>
          </w:p>
        </w:tc>
        <w:tc>
          <w:tcPr>
            <w:tcW w:w="6805" w:type="dxa"/>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Serial Peripheral Interface</w:t>
            </w:r>
          </w:p>
        </w:tc>
      </w:tr>
      <w:tr>
        <w:trPr>
          <w:cantSplit w:val="true"/>
        </w:trPr>
        <w:tc>
          <w:tcPr>
            <w:tcW w:w="226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TFLite</w:t>
            </w:r>
          </w:p>
        </w:tc>
        <w:tc>
          <w:tcPr>
            <w:tcW w:w="6805" w:type="dxa"/>
            <w:shd w:color="auto" w:fill="F4F6F8" w:val="clear"/>
            <w:vAlign w:val="center"/>
            <w:tcMar>
              <w:top w:w="60" w:type="dxa"/>
              <w:bottom w:w="60" w:type="dxa"/>
              <w:left w:w="80" w:type="dxa"/>
              <w:right w:w="80" w:type="dxa"/>
            </w:tcMar>
          </w:tcPr>
          <w:p>
            <w:pPr>
              <w:pStyle w:val="Normal"/>
              <w:keepNext w:val="false"/>
              <w:keepLines/>
              <w:widowControl w:val="false"/>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 Lite</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AC</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Wechselanteil nach Entfernung des Gleichanteils</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IF</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Isolation Forest</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LSB</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Least Significant Bit</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MiB</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Mebibyte (2²⁰ Byte)</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P99</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Empirisches 99. Perzentil</w:t>
            </w:r>
          </w:p>
        </w:tc>
      </w:tr>
      <w:tr>
        <w:trPr>
          <w:cantSplit w:val="true"/>
        </w:trPr>
        <w:tc>
          <w:tcPr>
            <w:tcW w:w="226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PSD</w:t>
            </w:r>
          </w:p>
        </w:tc>
        <w:tc>
          <w:tcPr>
            <w:tcW w:w="6805" w:type="dxa"/>
            <w:tcMar>
              <w:top w:w="60" w:type="dxa"/>
              <w:start w:w="108" w:type="dxa"/>
              <w:bottom w:w="60" w:type="dxa"/>
              <w:end w:w="108" w:type="dxa"/>
              <w:left w:w="80" w:type="dxa"/>
              <w:right w:w="80" w:type="dxa"/>
            </w:tcMar>
            <w:vAlign w:val="cente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Power Spectral Density (Leistungsdichtespektrum)</w:t>
            </w:r>
          </w:p>
        </w:tc>
      </w:tr>
    </w:tbl>
    <w:p>
      <w:pPr>
        <w:spacing w:before="120"/>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8" w:name="__RefHeading___Toc14078_535938422"/>
      <w:bookmarkStart w:id="9" w:name="FinalHeading_10000"/>
      <w:bookmarkStart w:id="10" w:name="_MA_TOC_006"/>
      <w:bookmarkEnd w:id="8"/>
      <w:r>
        <w:rPr>
          <w:color w:val="000000"/>
        </w:rPr>
        <w:t>Einleitung, Problemstellung und Zielsetzung</w:t>
      </w:r>
      <w:bookmarkEnd w:id="9"/>
      <w:bookmarkEnd w:id="10"/>
    </w:p>
    <w:p>
      <w:pPr>
        <w:pStyle w:val="Heading2"/>
        <w:numPr>
          <w:ilvl w:val="1"/>
          <w:numId w:val="2"/>
        </w:numPr>
        <w:jc w:val="start"/>
        <w:rPr/>
      </w:pPr>
      <w:bookmarkStart w:id="11" w:name="__RefHeading___Toc14080_535938422"/>
      <w:bookmarkStart w:id="12" w:name="FinalHeading_10001"/>
      <w:bookmarkStart w:id="13" w:name="_MA_TOC_007"/>
      <w:bookmarkEnd w:id="11"/>
      <w:r>
        <w:rPr>
          <w:color w:val="000000"/>
        </w:rPr>
        <w:t>Ausgangssituation und Motivation</w:t>
      </w:r>
      <w:bookmarkEnd w:id="12"/>
      <w:bookmarkEnd w:id="13"/>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t>Die Auswertung soll lokal in der Nähe des Sensors erfolgen. Dieses Prinzip des Edge Computing kann die Übertragung von Rohdaten und die Abhängigkeit von entfernten Rechendiensten verringern (Shi et al., 2016). Neben dem beobachteten Alarmverhalten sind deshalb der Rechen- und Speicherbedarf sowie die Verarbeitungszeit wichtig. Die vorliegende Pilotstudie untersucht diese Größen bei einer zusätzlichen äußeren Smartphoneanregung an einem laufenden Lüfteraufbau.</w:t>
      </w:r>
    </w:p>
    <w:p>
      <w:pPr>
        <w:pStyle w:val="Heading2"/>
        <w:numPr>
          <w:ilvl w:val="1"/>
          <w:numId w:val="2"/>
        </w:numPr>
        <w:jc w:val="start"/>
        <w:rPr/>
      </w:pPr>
      <w:bookmarkStart w:id="14" w:name="__RefHeading___Toc14082_535938422"/>
      <w:bookmarkStart w:id="15" w:name="FinalHeading_10002"/>
      <w:bookmarkStart w:id="16" w:name="_MA_TOC_008"/>
      <w:bookmarkEnd w:id="14"/>
      <w:r>
        <w:rPr>
          <w:color w:val="000000"/>
        </w:rPr>
        <w:t>Wissenschaftliche Problemstellung</w:t>
      </w:r>
      <w:bookmarkEnd w:id="15"/>
      <w:bookmarkEnd w:id="16"/>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7" w:name="__RefHeading___Toc14084_535938422"/>
      <w:bookmarkStart w:id="18" w:name="FinalHeading_10003"/>
      <w:bookmarkStart w:id="19" w:name="_MA_TOC_009"/>
      <w:bookmarkEnd w:id="17"/>
      <w:r>
        <w:rPr>
          <w:color w:val="000000"/>
        </w:rPr>
        <w:t>Zielsetzung der Arbeit</w:t>
      </w:r>
      <w:bookmarkEnd w:id="18"/>
      <w:bookmarkEnd w:id="19"/>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t>Der Beitrag ist eine instrumentierte Vergleichspipeline, die identische Sensoreingaben, nachvollziehbare Schwellenkalibrierung und Messungen des technischen Aufwands verbindet. Die explorative Smartphoneuntersuchung analysiert Alarmfenster und Ausgabezeitpunkte in Einzelbetrieb, Replay und gemeinsamem Live-Betrieb. Sie bewertet die technische Ausführbarkeit und legt offen, welche Aussagen durch die vorhandenen Messungen gedeckt sind. Die zusätzliche Tischanregung wird nicht als nachgewiesener Lüfter- oder Lagerschaden interpretiert.</w:t>
      </w:r>
    </w:p>
    <w:p>
      <w:pPr>
        <w:pStyle w:val="Heading2"/>
        <w:numPr>
          <w:ilvl w:val="1"/>
          <w:numId w:val="2"/>
        </w:numPr>
        <w:jc w:val="start"/>
        <w:rPr/>
      </w:pPr>
      <w:bookmarkStart w:id="20" w:name="__RefHeading___Toc14086_535938422"/>
      <w:bookmarkStart w:id="21" w:name="FinalHeading_10004"/>
      <w:bookmarkStart w:id="22" w:name="_MA_TOC_010"/>
      <w:bookmarkEnd w:id="20"/>
      <w:bookmarkEnd w:id="21"/>
      <w:bookmarkEnd w:id="22"/>
      <w:r>
        <w:t>Forschungsfragen und Bewertungsmaßstab</w:t>
      </w:r>
    </w:p>
    <w:p>
      <w:pPr>
        <w:pStyle w:val="Normal"/>
        <w:spacing w:before="0" w:after="120"/>
        <w:rPr/>
      </w:pPr>
      <w:r>
        <w:t>Zentrale Forschungsfrage: Wie lässt sich eine lokale Anomalieerkennung für dreiachsige Beschleunigungsdaten auf Edge-Hardware umsetzen, und welches Alarmverhalten, Zeitverhalten und welcher Ressourcenbedarf sind bei einer äußeren Smartphoneanregung im untersuchten Pilotaufbau beobachtbar?</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t>FF2: Wie unterscheiden sich Autoencoder, RMS und Isolation Forest bei identischen Testfenstern und einer gemeinsamen Kalibrierungsregel hinsichtlich Alarmzahl, erstem Alarmfenster und relativem Zeitpunkt der ersten Alarmausgabe?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t>FF4: In welchem Umfang sichern Datenintegrität, dokumentierter Aufbau, Ereignisreferenz und Wiederholungen die Vergleichbarkeit und Aussagekraft der beobachteten Ergebnisse ab?</w:t>
      </w:r>
    </w:p>
    <w:p>
      <w:pPr>
        <w:pStyle w:val="Normal"/>
        <w:spacing w:before="0" w:after="120"/>
        <w:rPr/>
      </w:pPr>
      <w:r>
        <w:t>Die Forschungsfragen wurden im Projektverlauf auf den hier untersuchten Smartphoneversuch ausgerichtet. Sie strukturieren eine explorative, deskriptive Evaluation und sind keine vorab registrierten statistischen Hypothesen. Training und Schwellenkalibrierung verwenden vorher aufgenommene Normaldaten; die eingefrorenen Schwellen werden nicht an den Smartphoneaufnahmen angepasst. Ohne unabhängige physikalische Ereignislabels werden weder eine höhere F1-Leistung noch eine allgemein kürzere Erkennungsverzögerung behauptet.</w:t>
      </w:r>
    </w:p>
    <w:p>
      <w:pPr>
        <w:pStyle w:val="Normal"/>
        <w:spacing w:before="0" w:after="120"/>
        <w:rPr/>
      </w:pPr>
      <w:r>
        <w:t>Als technischer Bewertungsmaßstab für FF3 gilt: Das empirische 99. Perzentil (P99) der Verarbeitungslatenz soll unter dem Fensterintervall S/fₛ liegen. Die Latenz reicht vom vollständigen Fenster bis zur verfügbaren Entscheidung. S bezeichnet die Schrittweite in Messzeitpunkten, fₛ die aus Host-Zeitstempeln ermittelte Erfassungsrate. Zusätzlich wird für jede überprüfbare Entscheidung gezählt, ob sie vor der tatsächlichen Ankunft des nächsten Fensters vorliegt. Das Kriterium ist ein technisches Ausführungsziel; P99 garantiert keine fristgerechte Ausgabe jeder Entscheidung.</w:t>
      </w:r>
    </w:p>
    <w:p>
      <w:pPr>
        <w:pStyle w:val="Heading2"/>
        <w:numPr>
          <w:ilvl w:val="1"/>
          <w:numId w:val="2"/>
        </w:numPr>
        <w:jc w:val="start"/>
        <w:rPr/>
      </w:pPr>
      <w:bookmarkStart w:id="23" w:name="__RefHeading___Toc14088_535938422"/>
      <w:bookmarkStart w:id="24" w:name="FinalHeading_10005"/>
      <w:bookmarkStart w:id="25" w:name="_MA_TOC_011"/>
      <w:bookmarkEnd w:id="23"/>
      <w:r>
        <w:rPr>
          <w:color w:val="000000"/>
        </w:rPr>
        <w:t>Abgrenzung der Arbeit</w:t>
      </w:r>
      <w:bookmarkEnd w:id="24"/>
      <w:bookmarkEnd w:id="25"/>
    </w:p>
    <w:p>
      <w:pPr>
        <w:pStyle w:val="Normal"/>
        <w:spacing w:before="0" w:after="120"/>
        <w:rPr/>
      </w:pPr>
      <w:r>
        <w:t>Die Ergebnisse gelten für den dokumentierten Smartphoneversuch am Lüfteraufbau. Untersucht wird die Reaktion auf eine zusätzliche äußere mechanische Anregung; ein realer Maschinenfehler wird nicht nachgebildet oder diagnostisch bestätigt. Die Ergebnisse erlauben weder eine gesicherte Schadensdiagnose noch eine Prognose der Restlebensdauer. Andere Systeme und industrieller Dauerbetrieb erfordern eigene Untersuchungen.</w:t>
      </w:r>
    </w:p>
    <w:p>
      <w:pPr>
        <w:pStyle w:val="Normal"/>
        <w:spacing w:before="0" w:after="120"/>
        <w:rPr/>
      </w:pPr>
      <w:r>
        <w:rPr/>
        <w:t>Der Kernversuch bewertet die lokale Inferenz eines zuvor trainierten Modells auf einer Zielplattform. Die Pipeline bleibt dabei unverändert. Eine mögliche spätere Nachkalibrierung wäre als eigener Versuch auszuwerten. Sie ist nicht Bestandteil des hier abgeschlossenen eingefrorenen Vergleichs.</w:t>
      </w:r>
    </w:p>
    <w:p>
      <w:pPr>
        <w:pStyle w:val="Normal"/>
        <w:spacing w:after="120"/>
        <w:rPr/>
      </w:pPr>
      <w:r>
        <w:t>Der untersuchte Datenstand umfasst die Smartphoneversuche vom 19. September 2026 mit dem Normalprofil vom 18. September. Der Lüfter läuft bei einer PWM-Vorgabe von 75 %. Nicht erhobene Drehzahlmessungen, eine fehlende unabhängige Zeitreferenz der Smartphonevibration und fehlende elektrische Verbrauchsmessungen begrenzen die Bewertung. Geänderte Betriebspunkte und eine Nachkalibrierung sind kein untersuchter Ergebnisgegenstand.</w:t>
      </w:r>
    </w:p>
    <w:p>
      <w:pPr>
        <w:pStyle w:val="Heading2"/>
        <w:numPr>
          <w:ilvl w:val="1"/>
          <w:numId w:val="2"/>
        </w:numPr>
        <w:jc w:val="start"/>
        <w:rPr/>
      </w:pPr>
      <w:bookmarkStart w:id="26" w:name="__RefHeading___Toc14090_535938422"/>
      <w:bookmarkStart w:id="27" w:name="FinalHeading_10006"/>
      <w:bookmarkStart w:id="28" w:name="_MA_TOC_012"/>
      <w:bookmarkEnd w:id="26"/>
      <w:r>
        <w:rPr>
          <w:color w:val="000000"/>
        </w:rPr>
        <w:t>Aufbau der Arbeit</w:t>
      </w:r>
      <w:bookmarkEnd w:id="27"/>
      <w:bookmarkEnd w:id="28"/>
    </w:p>
    <w:p>
      <w:pPr>
        <w:pStyle w:val="Normal"/>
        <w:spacing w:before="0" w:after="120"/>
        <w:rPr/>
      </w:pPr>
      <w:r>
        <w:t>Kapitel 2 und 3 erläutern Grundlagen und verwandte Arbeiten. Kapitel 4 und 5 leiten Anforderungen ab und begründen die Systemauswahl. Kapitel 6 beschreibt den Smartphoneaufbau, die Implementierung und das Versuchsprotokoll. Kapitel 7 bewertet Alarmfenster, Ausgabezeitpunkte, Ressourcen und Nachweisgrenzen. Diskussion, Ausblick und Fazit beantworten die Forschungsfragen im Rahmen der vorhandenen Evidenz. Der Anhang dokumentiert digitale Belege, Softwareumgebung und die Interpretation der Messdateien.</w:t>
      </w:r>
    </w:p>
    <w:p>
      <w:pPr>
        <w:pStyle w:val="Heading1"/>
        <w:numPr>
          <w:ilvl w:val="0"/>
          <w:numId w:val="2"/>
        </w:numPr>
        <w:jc w:val="start"/>
        <w:rPr/>
      </w:pPr>
      <w:bookmarkStart w:id="29" w:name="__RefHeading___Toc14092_535938422"/>
      <w:bookmarkStart w:id="30" w:name="FinalHeading_10007"/>
      <w:bookmarkStart w:id="31" w:name="_MA_TOC_013"/>
      <w:bookmarkEnd w:id="29"/>
      <w:r>
        <w:rPr>
          <w:color w:val="000000"/>
        </w:rPr>
        <w:t>Theoretische Grundlagen</w:t>
      </w:r>
      <w:bookmarkEnd w:id="30"/>
      <w:bookmarkEnd w:id="31"/>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2" w:name="__RefHeading___Toc14094_535938422"/>
      <w:bookmarkStart w:id="33" w:name="FinalHeading_10008"/>
      <w:bookmarkStart w:id="34" w:name="_MA_TOC_014"/>
      <w:bookmarkEnd w:id="32"/>
      <w:r>
        <w:rPr>
          <w:color w:val="000000"/>
        </w:rPr>
        <w:t>Zustandsüberwachung und Anomalieerkennung</w:t>
      </w:r>
      <w:bookmarkEnd w:id="33"/>
      <w:bookmarkEnd w:id="34"/>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5" w:name="__RefHeading___Toc14096_535938422"/>
      <w:bookmarkStart w:id="36" w:name="FinalHeading_10009"/>
      <w:bookmarkStart w:id="37" w:name="_MA_TOC_015"/>
      <w:bookmarkEnd w:id="35"/>
      <w:r>
        <w:rPr>
          <w:color w:val="000000"/>
        </w:rPr>
        <w:t>Verfahrensklassen für die Anomalieentscheidung</w:t>
      </w:r>
      <w:bookmarkEnd w:id="36"/>
      <w:bookmarkEnd w:id="37"/>
    </w:p>
    <w:p>
      <w:pPr>
        <w:pStyle w:val="Heading3"/>
        <w:numPr>
          <w:ilvl w:val="2"/>
          <w:numId w:val="2"/>
        </w:numPr>
        <w:jc w:val="start"/>
        <w:rPr/>
      </w:pPr>
      <w:bookmarkStart w:id="38" w:name="__RefHeading___Toc14098_535938422"/>
      <w:bookmarkStart w:id="39" w:name="FinalHeading_10010"/>
      <w:bookmarkStart w:id="40" w:name="_MA_TOC_016"/>
      <w:bookmarkEnd w:id="38"/>
      <w:r>
        <w:rPr>
          <w:color w:val="000000"/>
        </w:rPr>
        <w:t>Statistische Schwellenwertverfahren</w:t>
      </w:r>
      <w:bookmarkEnd w:id="39"/>
      <w:bookmarkEnd w:id="40"/>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1" w:name="__RefHeading___Toc14100_535938422"/>
      <w:bookmarkStart w:id="42" w:name="FinalHeading_10011"/>
      <w:bookmarkStart w:id="43" w:name="_MA_TOC_017"/>
      <w:bookmarkEnd w:id="41"/>
      <w:r>
        <w:rPr>
          <w:color w:val="000000"/>
        </w:rPr>
        <w:t>Klassische Verfahren im Normaldaten-Szenario</w:t>
      </w:r>
      <w:bookmarkEnd w:id="42"/>
      <w:bookmarkEnd w:id="43"/>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4" w:name="__RefHeading___Toc14102_535938422"/>
      <w:bookmarkStart w:id="45" w:name="FinalHeading_10012"/>
      <w:bookmarkStart w:id="46" w:name="_MA_TOC_018"/>
      <w:bookmarkEnd w:id="44"/>
      <w:r>
        <w:rPr>
          <w:color w:val="000000"/>
        </w:rPr>
        <w:t>Autoencoder</w:t>
      </w:r>
      <w:bookmarkEnd w:id="45"/>
      <w:bookmarkEnd w:id="46"/>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i</m:t>
            </m:r>
            <m:r>
              <m:t xml:space="preserve">=</m:t>
            </m:r>
            <m:r>
              <m:t xml:space="preserve">1</m:t>
            </m:r>
          </m:sub>
          <m:sup>
            <m:r>
              <m:t xml:space="preserve">d</m:t>
            </m:r>
          </m:sup>
          <m:e>
            <m:sSup>
              <m:e>
                <m:r>
                  <m:t xml:space="preserve">(</m:t>
                </m:r>
                <m:sSub>
                  <m:e>
                    <m:r>
                      <m:t xml:space="preserve">x</m:t>
                    </m:r>
                  </m:e>
                  <m:sub>
                    <m:r>
                      <m:t xml:space="preserve">i</m:t>
                    </m:r>
                  </m:sub>
                </m:sSub>
                <m:r>
                  <m:t xml:space="preserve">−</m:t>
                </m:r>
                <m:sSub>
                  <m:e>
                    <m:r>
                      <m:t xml:space="preserve">x̂</m:t>
                    </m:r>
                  </m:e>
                  <m:sub>
                    <m:r>
                      <m:t xml:space="preserve">i</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7" w:name="__RefHeading___Toc14104_535938422"/>
      <w:bookmarkStart w:id="48" w:name="FinalHeading_10013"/>
      <w:bookmarkStart w:id="49" w:name="_MA_TOC_019"/>
      <w:bookmarkEnd w:id="47"/>
      <w:r>
        <w:rPr>
          <w:color w:val="000000"/>
        </w:rPr>
        <w:t>Messdaten und Fensterbildung</w:t>
      </w:r>
      <w:bookmarkEnd w:id="48"/>
      <w:bookmarkEnd w:id="49"/>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50" w:name="__RefHeading___Toc14106_535938422"/>
      <w:bookmarkStart w:id="51" w:name="FinalHeading_10014"/>
      <w:bookmarkStart w:id="52" w:name="_MA_TOC_020"/>
      <w:bookmarkEnd w:id="50"/>
      <w:r>
        <w:rPr>
          <w:color w:val="000000"/>
        </w:rPr>
        <w:t>Datenaufteilung und Vorverarbeitung</w:t>
      </w:r>
      <w:bookmarkEnd w:id="51"/>
      <w:bookmarkEnd w:id="52"/>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3" w:name="__RefHeading___Toc14108_535938422"/>
      <w:bookmarkStart w:id="54" w:name="FinalHeading_10015"/>
      <w:bookmarkStart w:id="55" w:name="_MA_TOC_021"/>
      <w:bookmarkEnd w:id="53"/>
      <w:r>
        <w:rPr>
          <w:color w:val="000000"/>
        </w:rPr>
        <w:t>Schwellenwertkalibrierung</w:t>
      </w:r>
      <w:bookmarkEnd w:id="54"/>
      <w:bookmarkEnd w:id="55"/>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spacing w:after="120"/>
      </w:pPr>
      <w:r>
        <w:t>Eine einzelne Validierungsaufnahme kann zudem nur die darin enthaltenen Normalbedingungen repräsentieren. Zeitlich benachbarte Fenster ersetzen keine unabhängigen Wiederholungen. Wird dieselbe Aufnahme sowohl zur Modellüberwachung als auch zur Schwellenwahl verwendet, sind diese Entwicklungsschritte miteinander gekoppelt; die spätere Testmenge muss dennoch vollständig getrennt bleiben.</w:t>
      </w:r>
    </w:p>
    <w:p>
      <w:pPr>
        <w:pStyle w:val="Heading2"/>
        <w:numPr>
          <w:ilvl w:val="1"/>
          <w:numId w:val="2"/>
        </w:numPr>
        <w:jc w:val="start"/>
        <w:rPr/>
      </w:pPr>
      <w:bookmarkStart w:id="56" w:name="__RefHeading___Toc14110_535938422"/>
      <w:bookmarkStart w:id="57" w:name="FinalHeading_10016"/>
      <w:bookmarkStart w:id="58" w:name="_MA_TOC_022"/>
      <w:bookmarkEnd w:id="56"/>
      <w:r>
        <w:rPr>
          <w:color w:val="000000"/>
        </w:rPr>
        <w:t>Erkennungsqualität und Aussagekraft der Evaluation</w:t>
      </w:r>
      <w:bookmarkEnd w:id="57"/>
      <w:bookmarkEnd w:id="58"/>
    </w:p>
    <w:p>
      <w:pPr>
        <w:pStyle w:val="Normal"/>
        <w:spacing w:before="0" w:after="120"/>
        <w:rPr/>
      </w:pPr>
      <w:r>
        <w:t>Wenn unabhängige Referenzlabels vorliegen, bezeichnet die positive Klasse die definierte Anomalie. Die Konfusionsmatrix zählt richtig erkannte Anomalien (TP), Fehlalarme (FP), übersehene Anomalien (FN) und richtig erkannte Normalfenster (TN). Daraus ergeben sich die Kennzahlen in Tabelle 2-1 (scikit-learn developers, o. J. c). Die Definitionen erläutern den Qualitätsnachweis, der über den deskriptiven Alarmvergleich dieser Pilotstudie hinausgeht.</w:t>
      </w:r>
    </w:p>
    <w:p>
      <w:pPr>
        <w:pStyle w:val="Tabellenbeschriftung"/>
        <w:keepNext w:val="true"/>
        <w:spacing w:before="100" w:after="100"/>
        <w:rPr/>
      </w:pPr>
      <w:bookmarkStart w:id="59" w:name="__RefHeading___Toc14218_535938422"/>
      <w:bookmarkStart w:id="60" w:name="FinalCaption_10017"/>
      <w:bookmarkStart w:id="61" w:name="Table_2_1"/>
      <w:bookmarkEnd w:id="59"/>
      <w:r>
        <w:rPr/>
        <w:t>Tabelle 2-1: Kennzahlen der binären Anomalieerkennung</w:t>
      </w:r>
      <w:bookmarkEnd w:id="60"/>
      <w:bookmarkEnd w:id="6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Kennzahl</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Berechnung</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Bedeutung</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Precision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TP / (TP + FP)</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Anteil richtiger Anomalien unter allen Alarmen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Recall</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TP / (TP + FN)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Anteil erkannter Anomalien unter allen tatsächlichen Anomalien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F1-Score</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2TP / (2TP + FP + FN)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Harmonisches Mittel von Precision und Recall</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Fehlalarmrate (FPR)</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FP / (FP + TN)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Anteil falsch gemeldeter Fenster unter allen Normalfenstern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Accuracy</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(TP + TN) / (TP + TN + FP + FN)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Anteil aller richtigen Entscheidungen</w:t>
            </w:r>
          </w:p>
        </w:tc>
      </w:tr>
    </w:tbl>
    <w:p>
      <w:pPr>
        <w:pStyle w:val="Normal"/>
        <w:spacing w:before="120" w:after="120"/>
        <w:rPr/>
      </w:pPr>
      <w:r>
        <w:t>Eine hohe Accuracy kann bei ungleichen Klassenanteilen täuschen. Bei einer gelabelten Evaluation sind deshalb Konfusionsmatrix, Klassenanteile und mehrere Kennzahlen gemeinsam anzugeben. In der vorliegenden Smartphoneuntersuchung fehlen unabhängig erfasste physikalische Ereignisgrenzen. Die Bedienmarker liefern keine hinreichenden Fensterlabels für eine belastbare Konfusionsmatrix. Kapitel 7 berichtet daher Alarmzahlen und relative Alarmzeitpunkte, jedoch keine daraus abgeleiteten F1-Werte oder bestätigten Fehlalarmraten.</w:t>
      </w:r>
    </w:p>
    <w:p>
      <w:pPr>
        <w:pStyle w:val="Heading2"/>
        <w:numPr>
          <w:ilvl w:val="1"/>
          <w:numId w:val="2"/>
        </w:numPr>
        <w:jc w:val="start"/>
        <w:rPr/>
      </w:pPr>
      <w:bookmarkStart w:id="62" w:name="__RefHeading___Toc14112_535938422"/>
      <w:bookmarkStart w:id="63" w:name="FinalHeading_10018"/>
      <w:bookmarkStart w:id="64" w:name="_MA_TOC_023"/>
      <w:bookmarkEnd w:id="62"/>
      <w:r>
        <w:rPr>
          <w:color w:val="000000"/>
        </w:rPr>
        <w:t>Lokale Ausführung und Zeitverhalten</w:t>
      </w:r>
      <w:bookmarkEnd w:id="63"/>
      <w:bookmarkEnd w:id="64"/>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Davon zu unterscheiden sind das erste als auffällig markierte Fenster und der Zeitabstand zwischen den ersten Alarmausgaben mehrerer Methoden. Eine Verzögerung ab physischem Störungsbeginn setzt eine unabhängige Zeitreferenz voraus.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5" w:name="__RefHeading___Toc14114_535938422"/>
      <w:bookmarkStart w:id="66" w:name="FinalHeading_10019"/>
      <w:bookmarkStart w:id="67" w:name="_MA_TOC_024"/>
      <w:bookmarkEnd w:id="65"/>
      <w:r>
        <w:rPr>
          <w:color w:val="000000"/>
        </w:rPr>
        <w:t>Veränderte Normalbedingungen</w:t>
      </w:r>
      <w:bookmarkEnd w:id="66"/>
      <w:bookmarkEnd w:id="67"/>
    </w:p>
    <w:p>
      <w:pPr>
        <w:pStyle w:val="Normal"/>
        <w:spacing w:before="0" w:after="120"/>
        <w:rPr/>
      </w:pPr>
      <w:r>
        <w:t>Eine Änderung der Eingabeverteilung gegenüber den Referenzdaten wird hier als Verteilungsverschiebung bezeichnet. Änderungen der Montage, Sensororientierung oder des Betriebspunkts sind mögliche Ursachen; ein beobachteter Unterschied weist die Ursache allein nicht nach. Ren et al. (2021, Abschnitt IV.B) dokumentieren am Lüfteraufbau nach erneuter Anbringung eine verschobene Rekonstruktionsfehlerverteilung. Solche Veränderungen können die Gültigkeit eines zuvor kalibrierten Normalmodells einschränken.</w:t>
      </w:r>
    </w:p>
    <w:p>
      <w:pPr>
        <w:pStyle w:val="Normal"/>
        <w:spacing w:before="0" w:after="120"/>
        <w:rPr/>
      </w:pPr>
      <w:r>
        <w:t>Für den Smartphoneversuch ist die Bindung an das verwendete Normalprofil eine Gültigkeitsgrenze im Sinne von FF4. Eine systematische Variation normaler Betriebspunkte wird hier nicht ausgewertet. Soll die Pipeline später bei anderer Montage oder anderen Betriebsbedingungen eingesetzt werden, sind unabhängige Normaltests erforderlich. Eine Nachkalibrierung wäre als eigener Versuch zu untersuchen.</w:t>
      </w:r>
    </w:p>
    <w:p>
      <w:pPr>
        <w:pStyle w:val="Heading1"/>
        <w:numPr>
          <w:ilvl w:val="0"/>
          <w:numId w:val="2"/>
        </w:numPr>
        <w:jc w:val="start"/>
        <w:rPr/>
      </w:pPr>
      <w:bookmarkStart w:id="68" w:name="__RefHeading___Toc14116_535938422"/>
      <w:bookmarkStart w:id="69" w:name="FinalHeading_10020"/>
      <w:bookmarkStart w:id="70" w:name="_MA_TOC_025"/>
      <w:bookmarkStart w:id="71" w:name="_Toc239410475"/>
      <w:bookmarkEnd w:id="68"/>
      <w:r>
        <w:rPr>
          <w:color w:val="000000"/>
        </w:rPr>
        <w:t>Stand der Technik und verwandte Arbeite</w:t>
      </w:r>
      <w:r>
        <w:rPr>
          <w:rFonts w:eastAsia="Times New Roman"/>
          <w:color w:val="000000"/>
        </w:rPr>
        <w:t>n</w:t>
      </w:r>
      <w:bookmarkEnd w:id="69"/>
      <w:bookmarkEnd w:id="70"/>
      <w:bookmarkEnd w:id="71"/>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2" w:name="__RefHeading___Toc14118_535938422"/>
      <w:bookmarkStart w:id="73" w:name="FinalHeading_10021"/>
      <w:bookmarkStart w:id="74" w:name="_MA_TOC_026"/>
      <w:bookmarkStart w:id="75" w:name="_Toc239410476"/>
      <w:bookmarkEnd w:id="72"/>
      <w:r>
        <w:rPr>
          <w:color w:val="000000"/>
        </w:rPr>
        <w:t>Datenbasis</w:t>
      </w:r>
      <w:r>
        <w:rPr>
          <w:rFonts w:eastAsia="Times New Roman"/>
          <w:color w:val="000000"/>
        </w:rPr>
        <w:t xml:space="preserve"> und Messbedingungen</w:t>
      </w:r>
      <w:bookmarkEnd w:id="73"/>
      <w:bookmarkEnd w:id="74"/>
      <w:bookmarkEnd w:id="75"/>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spacing w:after="120"/>
      </w:pPr>
      <w:r>
        <w:t>Die ausgewertete Messgröße bei Pittino et al. (2020, Abschnitt 2) ist bereits ein aufbereiteter Peak-to-Peak-Vibrationskennwert, ergänzt um die Drehzahl. Die Studie verwendet damit keine unmittelbar vergleichbare dreiachsige Rohdatenrepräsentation.</w:t>
      </w:r>
    </w:p>
    <w:p>
      <w:pPr>
        <w:pStyle w:val="Normal"/>
        <w:spacing w:before="0" w:after="120"/>
        <w:rPr/>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Die Übertragbarkeit auf andere Montage- oder Betriebsbedingungen bleibt ein zusätzlicher, hier nicht empirisch abgesicherter Nachweis.</w:t>
      </w:r>
    </w:p>
    <w:p>
      <w:pPr>
        <w:pStyle w:val="Heading2"/>
        <w:numPr>
          <w:ilvl w:val="1"/>
          <w:numId w:val="2"/>
        </w:numPr>
        <w:jc w:val="start"/>
        <w:rPr/>
      </w:pPr>
      <w:bookmarkStart w:id="76" w:name="__RefHeading___Toc14120_535938422"/>
      <w:bookmarkStart w:id="77" w:name="FinalHeading_10022"/>
      <w:bookmarkStart w:id="78" w:name="_MA_TOC_027"/>
      <w:bookmarkStart w:id="79" w:name="_Toc239410477"/>
      <w:bookmarkEnd w:id="76"/>
      <w:r>
        <w:rPr>
          <w:color w:val="000000"/>
        </w:rPr>
        <w:t>Verfahren und Edge-Ausführung</w:t>
      </w:r>
      <w:bookmarkEnd w:id="77"/>
      <w:bookmarkEnd w:id="78"/>
      <w:bookmarkEnd w:id="79"/>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t>Antonini et al. (2023) beschreiben ein auf ESP32 und MicroPython beruhendes System für industrielle Einsatzbedingungen mit eingeschränkter Kommunikation. Der Sensorknoten erfasst Daten, trainiert ein Isolation-Forest-Modell lokal und übermittelt bei einer erkannten Auffälligkeit eine Meldung an ein Gateway. Unterwasserpumpen bilden die Zielanwendung. Die Studie zeigt damit einen Ansatz, bei dem neben der Inferenz auch die Modellanpassung auf dem Sensorknoten stattfindet. Für den Vergleich in dieser Arbeit ist die Trennung von Training und Inferenz wesentlich; aus den Angaben folgt keine Übertragbarkeit der Erkennungsleistung auf den eigenen Lüfteraufbau.</w:t>
      </w:r>
    </w:p>
    <w:p>
      <w:pPr>
        <w:pStyle w:val="Normal"/>
        <w:spacing w:before="0" w:after="120"/>
        <w:rPr/>
      </w:pPr>
      <w:r>
        <w:t>Die hier herangezogene Preprintfassung von Garay et al. (2026) beschreibt eine multimodale Architektur mit Vibrations-, Akustik- und Thermografiesensorik. Für den Vibrationszweig werden Normalbetrieb und gezielt erzeugte statische Unwucht an einem rotierenden Prüfstand untersucht. Verglichen werden PCA, One-Class SVM, Isolation Forest sowie Float32- und INT8-Varianten eines Autoencoders. Die Laufzeit wird zusätzlich zur Referenzplattform auf dem Cortex-M4F des Sensorknotens gemessen. Die Arbeit verdeutlicht den Bedarf, Erkennungsbewertung und Ausführungsaufwand auf die konkrete Datenrepräsentation und Zielplattform zu beziehen. Wegen anderer Eingangssignale und Versuchsanomalien lassen sich ihre Kennzahlen nicht unmittelbar auf den eigenen Lüfteraufbau übertragen.</w:t>
      </w:r>
    </w:p>
    <w:p>
      <w:pPr>
        <w:pStyle w:val="Heading2"/>
        <w:numPr>
          <w:ilvl w:val="1"/>
          <w:numId w:val="2"/>
        </w:numPr>
        <w:jc w:val="start"/>
        <w:rPr/>
      </w:pPr>
      <w:bookmarkStart w:id="80" w:name="__RefHeading___Toc14122_535938422"/>
      <w:bookmarkStart w:id="81" w:name="FinalHeading_10023"/>
      <w:bookmarkStart w:id="82" w:name="_MA_TOC_028"/>
      <w:bookmarkStart w:id="83" w:name="_Toc239410478"/>
      <w:bookmarkEnd w:id="80"/>
      <w:r>
        <w:rPr>
          <w:color w:val="000000"/>
        </w:rPr>
        <w:t>Vergleich ausgewählter Arbeiten</w:t>
      </w:r>
      <w:bookmarkEnd w:id="81"/>
      <w:bookmarkEnd w:id="82"/>
      <w:bookmarkEnd w:id="83"/>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4" w:name="__RefHeading___Toc14282_535938422"/>
      <w:bookmarkStart w:id="85" w:name="FinalCaption_10024"/>
      <w:bookmarkStart w:id="86" w:name="Table_3_1"/>
      <w:bookmarkEnd w:id="84"/>
      <w:r>
        <w:rPr>
          <w:b/>
          <w:sz w:val="21"/>
        </w:rPr>
        <w:t>Tabelle 3-1: Ausgewählte Vorarbeiten und ihre Bedeutung für die Untersuchung</w:t>
      </w:r>
      <w:bookmarkEnd w:id="85"/>
      <w:bookmarkEnd w:id="86"/>
    </w:p>
    <w:tbl>
      <w:tblPr>
        <w:tblStyle w:val="Tabellenraster"/>
        <w:tblW w:w="9071" w:type="dxa"/>
        <w:jc w:val="center"/>
        <w:tblInd w:w="0" w:type="dxa"/>
        <w:tblLayout w:type="fixed"/>
        <w:tblCellMar>
          <w:top w:w="75" w:type="dxa"/>
          <w:start w:w="85" w:type="dxa"/>
          <w:bottom w:w="75" w:type="dxa"/>
          <w:end w:w="85"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98"/>
        <w:gridCol w:w="2100"/>
        <w:gridCol w:w="2099"/>
        <w:gridCol w:w="3173"/>
      </w:tblGrid>
      <w:tr>
        <w:trPr>
          <w:tblHeader w:val="true"/>
          <w:cantSplit w:val="true"/>
        </w:trPr>
        <w:tc>
          <w:tcPr>
            <w:tcW w:w="16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Arbeit</w:t>
            </w:r>
          </w:p>
        </w:tc>
        <w:tc>
          <w:tcPr>
            <w:tcW w:w="21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Daten und Lernaufgabe</w:t>
            </w:r>
          </w:p>
        </w:tc>
        <w:tc>
          <w:tcPr>
            <w:tcW w:w="2099"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Ausführung / Messung</w:t>
            </w:r>
          </w:p>
        </w:tc>
        <w:tc>
          <w:tcPr>
            <w:tcW w:w="317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Einordnung für diese Arbeit</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Ren et al. (2021)</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Lüfter; Autoencoder und Nachlernen</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Cortex-M4; Inferenz und Online-Anpassung</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Belegt Montageempfindlichkeit; Anpassung getrennt von fester Normalreferenz bewerten</w:t>
            </w:r>
          </w:p>
        </w:tc>
      </w:tr>
      <w:tr>
        <w:trPr>
          <w:cantSplit w:val="true"/>
        </w:trPr>
        <w:tc>
          <w:tcPr>
            <w:tcW w:w="1698" w:type="dxa"/>
            <w:vAlign w:val="center"/>
            <w:tcMar>
              <w:top w:w="60" w:type="dxa"/>
              <w:bottom w:w="60" w:type="dxa"/>
              <w:left w:w="80" w:type="dxa"/>
              <w:right w:w="80" w:type="dxa"/>
            </w:tcMar>
          </w:tcPr>
          <w:p>
            <w:pPr>
              <w:spacing w:after="40" w:before="40" w:line="252" w:lineRule="auto"/>
              <w:jc w:val="left"/>
            </w:pPr>
            <w:r>
              <w:rPr>
                <w:color w:val="000000"/>
                <w:sz w:val="21"/>
              </w:rPr>
              <w:t>Antonini et al. (2023)</w:t>
            </w:r>
          </w:p>
        </w:tc>
        <w:tc>
          <w:tcPr>
            <w:tcW w:w="2100" w:type="dxa"/>
            <w:vAlign w:val="center"/>
            <w:tcMar>
              <w:top w:w="60" w:type="dxa"/>
              <w:bottom w:w="60" w:type="dxa"/>
              <w:left w:w="80" w:type="dxa"/>
              <w:right w:w="80" w:type="dxa"/>
            </w:tcMar>
          </w:tcPr>
          <w:p>
            <w:pPr>
              <w:spacing w:after="40" w:before="40" w:line="252" w:lineRule="auto"/>
              <w:jc w:val="left"/>
            </w:pPr>
            <w:r>
              <w:rPr>
                <w:color w:val="000000"/>
                <w:sz w:val="21"/>
              </w:rPr>
              <w:t>Unterwasserpumpen als Zielanwendung; lokal angepasstes Isolation-Forest-Modell</w:t>
            </w:r>
          </w:p>
        </w:tc>
        <w:tc>
          <w:tcPr>
            <w:tcW w:w="2099" w:type="dxa"/>
            <w:vAlign w:val="center"/>
            <w:tcMar>
              <w:top w:w="60" w:type="dxa"/>
              <w:bottom w:w="60" w:type="dxa"/>
              <w:left w:w="80" w:type="dxa"/>
              <w:right w:w="80" w:type="dxa"/>
            </w:tcMar>
          </w:tcPr>
          <w:p>
            <w:pPr>
              <w:spacing w:after="40" w:before="40" w:line="252" w:lineRule="auto"/>
              <w:jc w:val="left"/>
            </w:pPr>
            <w:r>
              <w:rPr>
                <w:color w:val="000000"/>
                <w:sz w:val="21"/>
              </w:rPr>
              <w:t>ESP32 mit MicroPython; lokale Erfassung, Training und Inferenz</w:t>
            </w:r>
          </w:p>
        </w:tc>
        <w:tc>
          <w:tcPr>
            <w:tcW w:w="3173" w:type="dxa"/>
            <w:vAlign w:val="center"/>
            <w:tcMar>
              <w:top w:w="60" w:type="dxa"/>
              <w:bottom w:w="60" w:type="dxa"/>
              <w:left w:w="80" w:type="dxa"/>
              <w:right w:w="80" w:type="dxa"/>
            </w:tcMar>
          </w:tcPr>
          <w:p>
            <w:pPr>
              <w:spacing w:after="40" w:before="40" w:line="252" w:lineRule="auto"/>
              <w:jc w:val="left"/>
            </w:pPr>
            <w:r>
              <w:rPr>
                <w:color w:val="000000"/>
                <w:sz w:val="21"/>
              </w:rPr>
              <w:t>Lokale Trainings-/Inferenzpipeline; keine direkte Leistungsrangfolge gegenüber dem eigenen Aufbau</w:t>
            </w:r>
          </w:p>
        </w:tc>
      </w:tr>
      <w:tr>
        <w:trPr>
          <w:cantSplit w:val="true"/>
        </w:trPr>
        <w:tc>
          <w:tcPr>
            <w:tcW w:w="1698" w:type="dxa"/>
            <w:vAlign w:val="center"/>
            <w:tcMar>
              <w:top w:w="60" w:type="dxa"/>
              <w:bottom w:w="60" w:type="dxa"/>
              <w:left w:w="80" w:type="dxa"/>
              <w:right w:w="80" w:type="dxa"/>
            </w:tcMar>
          </w:tcPr>
          <w:p>
            <w:pPr>
              <w:spacing w:after="40" w:before="40" w:line="252" w:lineRule="auto"/>
              <w:jc w:val="left"/>
            </w:pPr>
            <w:r>
              <w:rPr>
                <w:color w:val="000000"/>
                <w:sz w:val="21"/>
              </w:rPr>
              <w:t>Garay et al. (2026; Preprint)</w:t>
            </w:r>
          </w:p>
        </w:tc>
        <w:tc>
          <w:tcPr>
            <w:tcW w:w="2100" w:type="dxa"/>
            <w:vAlign w:val="center"/>
            <w:tcMar>
              <w:top w:w="60" w:type="dxa"/>
              <w:bottom w:w="60" w:type="dxa"/>
              <w:left w:w="80" w:type="dxa"/>
              <w:right w:w="80" w:type="dxa"/>
            </w:tcMar>
          </w:tcPr>
          <w:p>
            <w:pPr>
              <w:spacing w:after="40" w:before="40" w:line="252" w:lineRule="auto"/>
              <w:jc w:val="left"/>
            </w:pPr>
            <w:r>
              <w:rPr>
                <w:color w:val="000000"/>
                <w:sz w:val="21"/>
              </w:rPr>
              <w:t>Kontrollierte statische Unwucht; vier Verfahrensklassen mit zwei Autoencoder-Zahlenformaten</w:t>
            </w:r>
          </w:p>
        </w:tc>
        <w:tc>
          <w:tcPr>
            <w:tcW w:w="2099" w:type="dxa"/>
            <w:vAlign w:val="center"/>
            <w:tcMar>
              <w:top w:w="60" w:type="dxa"/>
              <w:bottom w:w="60" w:type="dxa"/>
              <w:left w:w="80" w:type="dxa"/>
              <w:right w:w="80" w:type="dxa"/>
            </w:tcMar>
          </w:tcPr>
          <w:p>
            <w:pPr>
              <w:spacing w:after="40" w:before="40" w:line="252" w:lineRule="auto"/>
              <w:jc w:val="left"/>
            </w:pPr>
            <w:r>
              <w:rPr>
                <w:color w:val="000000"/>
                <w:sz w:val="21"/>
              </w:rPr>
              <w:t>Cortex-M4F; Erkennungswerte und modellbezogener Ausführungsaufwand</w:t>
            </w:r>
          </w:p>
        </w:tc>
        <w:tc>
          <w:tcPr>
            <w:tcW w:w="3173" w:type="dxa"/>
            <w:vAlign w:val="center"/>
            <w:tcMar>
              <w:top w:w="60" w:type="dxa"/>
              <w:bottom w:w="60" w:type="dxa"/>
              <w:left w:w="80" w:type="dxa"/>
              <w:right w:w="80" w:type="dxa"/>
            </w:tcMar>
          </w:tcPr>
          <w:p>
            <w:pPr>
              <w:spacing w:after="40" w:before="40" w:line="252" w:lineRule="auto"/>
              <w:jc w:val="left"/>
            </w:pPr>
            <w:r>
              <w:rPr>
                <w:color w:val="000000"/>
                <w:sz w:val="21"/>
              </w:rPr>
              <w:t>Zielplattform und Datenrepräsentation berücksichtigen; keine direkte Rangfolge zum eigenen Aufbau</w:t>
            </w:r>
          </w:p>
        </w:tc>
      </w:tr>
    </w:tbl>
    <w:p>
      <w:pPr>
        <w:pStyle w:val="Heading2"/>
        <w:numPr>
          <w:ilvl w:val="1"/>
          <w:numId w:val="2"/>
        </w:numPr>
        <w:spacing w:before="120"/>
        <w:jc w:val="start"/>
        <w:rPr/>
      </w:pPr>
      <w:bookmarkStart w:id="87" w:name="__RefHeading___Toc14124_535938422"/>
      <w:bookmarkStart w:id="88" w:name="FinalHeading_10025"/>
      <w:bookmarkStart w:id="89" w:name="_MA_TOC_029"/>
      <w:bookmarkStart w:id="90" w:name="_Toc239410479"/>
      <w:bookmarkEnd w:id="87"/>
      <w:r>
        <w:rPr>
          <w:rFonts w:eastAsia="Times New Roman"/>
          <w:color w:val="000000"/>
        </w:rPr>
        <w:t>Forschungslücke und Einordnung der eigenen Arbeit</w:t>
      </w:r>
      <w:bookmarkEnd w:id="88"/>
      <w:bookmarkEnd w:id="89"/>
      <w:bookmarkEnd w:id="90"/>
    </w:p>
    <w:p>
      <w:pPr>
        <w:pStyle w:val="Normal"/>
        <w:spacing w:before="0" w:after="120"/>
        <w:rPr/>
      </w:pPr>
      <w:r>
        <w:t>Die Vorarbeiten zeigen, dass lokale Anomalieerkennung und die Anpassung an veränderte Messbedingungen bereits untersucht werden. Die eigene Arbeit untersucht an einer konkreten Messkette, wie sich die Alarmentscheidungen eines neuronalen Verfahrens von zwei Baselines unterscheiden und welchen technischen Aufwand die Ausführung verursacht. Sie liefert eine anwendungsbezogene explorative Vergleichsevaluation; eine allgemeine Forschungslücke oder ein grundsätzlicher Erkennungsvorteil wird daraus nicht abgeleitet.</w:t>
      </w:r>
    </w:p>
    <w:p>
      <w:pPr>
        <w:pStyle w:val="Normal"/>
        <w:spacing w:before="0" w:after="120"/>
        <w:rPr/>
      </w:pPr>
      <w:r>
        <w:t>Dafür werden gleiche Testfenster und eine gemeinsame Kalibrierungsregel für FF2 sowie Messungen am tatsächlich ausgeführten Modell für FF3 verbunden. FF4 ordnet die Nachweisgrenzen ein. Die Smartphoneuntersuchung vergleicht zuerst Einzelprozesse und anschließend dieselben Rohfenster im Replay und im gemeinsamen Live-Prozess. So wird zwischen unterschiedlichen physikalischen Anregungen, identischen Eingaben und zusätzlicher Konkurrenz um Rechenzeit unterschieden.</w:t>
      </w:r>
    </w:p>
    <w:p>
      <w:pPr>
        <w:pStyle w:val="Heading1"/>
        <w:numPr>
          <w:ilvl w:val="0"/>
          <w:numId w:val="2"/>
        </w:numPr>
        <w:jc w:val="start"/>
        <w:rPr/>
      </w:pPr>
      <w:bookmarkStart w:id="91" w:name="__RefHeading___Toc14126_535938422"/>
      <w:bookmarkStart w:id="92" w:name="FinalHeading_10026"/>
      <w:bookmarkStart w:id="93" w:name="_MA_TOC_030"/>
      <w:bookmarkStart w:id="94" w:name="_Toc239410480"/>
      <w:bookmarkEnd w:id="91"/>
      <w:r>
        <w:rPr>
          <w:color w:val="000000"/>
        </w:rPr>
        <w:t>Anforderungsanalyse</w:t>
      </w:r>
      <w:bookmarkEnd w:id="92"/>
      <w:bookmarkEnd w:id="93"/>
      <w:bookmarkEnd w:id="94"/>
    </w:p>
    <w:p>
      <w:pPr>
        <w:pStyle w:val="Normal"/>
        <w:spacing w:before="0" w:after="120"/>
        <w:rPr/>
      </w:pPr>
      <w:r>
        <w:t>Dieses Kapitel formuliert aus den Forschungsfragen, den Grundlagen und den Grenzen der Vorarbeiten überprüfbare Anforderungen an den Smartphonevergleich. Der Katalog dient der nachvollziehbaren Bewertung des im Projektverlauf konkretisierten Versuchs. Er ist kein Nachweis, dass sämtliche Kriterien vor der Datenerhebung registriert wurden. Technische Ziele werden von tatsächlich erbrachten Nachweisen getrennt.</w:t>
      </w:r>
    </w:p>
    <w:p>
      <w:pPr>
        <w:pStyle w:val="Heading2"/>
        <w:numPr>
          <w:ilvl w:val="1"/>
          <w:numId w:val="2"/>
        </w:numPr>
        <w:jc w:val="start"/>
        <w:rPr/>
      </w:pPr>
      <w:bookmarkStart w:id="95" w:name="__RefHeading___Toc14128_535938422"/>
      <w:bookmarkStart w:id="96" w:name="FinalHeading_10027"/>
      <w:bookmarkStart w:id="97" w:name="_MA_TOC_031"/>
      <w:bookmarkStart w:id="98" w:name="_Toc239410481"/>
      <w:bookmarkEnd w:id="95"/>
      <w:r>
        <w:rPr>
          <w:color w:val="000000"/>
        </w:rPr>
        <w:t>Messdaten und Vergleichsbasis</w:t>
      </w:r>
      <w:bookmarkEnd w:id="96"/>
      <w:bookmarkEnd w:id="97"/>
      <w:bookmarkEnd w:id="98"/>
    </w:p>
    <w:p>
      <w:pPr>
        <w:pStyle w:val="Normal"/>
        <w:spacing w:before="0" w:after="120"/>
        <w:rPr/>
      </w:pPr>
      <w:r>
        <w:t>Für die Untersuchung muss ein reproduzierbarer Testaufbau realisiert werden (A11). Er soll Messungen bei laufendem Lüfter ohne zusätzliche Anregung sowie mit äußerer Smartphonevibration ermöglichen. Aufbau, Anregung und Zeitreferenz müssen dokumentiert werden (A10). Ein sicherer Betrieb ist Voraussetzung für die Messläufe. Position, Auflage, Rücksetzbarkeit und Ablauf sind so festzuhalten, dass physikalische Wiederholungen überprüfbar werden.</w:t>
      </w:r>
    </w:p>
    <w:p>
      <w:pPr>
        <w:pStyle w:val="Normal"/>
        <w:spacing w:before="0" w:after="120"/>
        <w:rPr/>
      </w:pPr>
      <w:r>
        <w:t>Die Messdaten müssen die benötigten Beschleunigungskanäle mit Einheit, Zeitstempeln und Aufnahmekennung enthalten (A1). Messbereich, nutzbare Bandbreite, Signal-Rausch-Abstand und zeitliche Erfassung sind für den Aufbau zu prüfen. Für eine bestätigende Testserie wären vorab festgelegte Akzeptanzgrenzen nötig. Datenlücken, ungültige Werte und Sättigung sind zu kennzeichnen. Für jede Ereigniskennzeichnung muss erkennbar sein, ob sie eine Bedienhandlung oder einen unabhängig gemessenen physikalischen Zustand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t>Autoencoder und Baselines müssen im direkten Vergleich dieselben Testfenster verwenden (A3). Fensterlänge und Schrittweite werden gemeinsam festgelegt. Unterschiedliche Eingabedarstellungen und der Umgang mit unvollständigen Fenstern sind zu dokumentieren. Die Schwellen folgen derselben Kalibrierungsregel auf separaten Normaldaten. Eingefrorene Artefakte sichern ihre unveränderte Verwendung. Bedienmarker werden für alle Methoden gleich zugeordnet, aber nicht als unabhängig bestätigte Ereignislabels ausgegeben.</w:t>
      </w:r>
    </w:p>
    <w:p>
      <w:pPr>
        <w:pStyle w:val="Heading2"/>
        <w:numPr>
          <w:ilvl w:val="1"/>
          <w:numId w:val="2"/>
        </w:numPr>
        <w:jc w:val="start"/>
        <w:rPr/>
      </w:pPr>
      <w:bookmarkStart w:id="99" w:name="__RefHeading___Toc14130_535938422"/>
      <w:bookmarkStart w:id="100" w:name="FinalHeading_10028"/>
      <w:bookmarkStart w:id="101" w:name="_MA_TOC_032"/>
      <w:bookmarkStart w:id="102" w:name="_Toc239410482"/>
      <w:bookmarkEnd w:id="99"/>
      <w:r>
        <w:rPr>
          <w:color w:val="000000"/>
        </w:rPr>
        <w:t>Lokale Verarbeitung und Zeitverhalten</w:t>
      </w:r>
      <w:bookmarkEnd w:id="100"/>
      <w:bookmarkEnd w:id="101"/>
      <w:bookmarkEnd w:id="102"/>
    </w:p>
    <w:p>
      <w:pPr>
        <w:pStyle w:val="Normal"/>
        <w:spacing w:after="120"/>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spacing w:after="120"/>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spacing w:after="120"/>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spacing w:after="120"/>
        <w:rPr/>
      </w:pPr>
      <w:r>
        <w:t>Für FF3 werden der instrumentierte Auswerteraufruf und die Verarbeitungslatenz nach Abschnitt 2.7 getrennt betrachtet. Das technische Ziel ist P99 der Verarbeitungslatenz &lt; S/fₛ. Zusätzlich sind Anzahl und Anteil der Überschreitungen gegenüber tatsächlichen Folgefensterankünften sowie Erfassungspausen zwischen Fenstern zu berichten. Messgrenzen und ein gegebenenfalls fehlender isolierter Modellkernzeit-Nachweis müssen erkennbar bleiben.</w:t>
      </w:r>
    </w:p>
    <w:p>
      <w:pPr>
        <w:pStyle w:val="Heading2"/>
        <w:numPr>
          <w:ilvl w:val="1"/>
          <w:numId w:val="2"/>
        </w:numPr>
        <w:jc w:val="start"/>
        <w:rPr/>
      </w:pPr>
      <w:bookmarkStart w:id="103" w:name="__RefHeading___Toc14132_535938422"/>
      <w:bookmarkStart w:id="104" w:name="FinalHeading_10029"/>
      <w:bookmarkStart w:id="105" w:name="_MA_TOC_033"/>
      <w:bookmarkStart w:id="106" w:name="_Toc239410483"/>
      <w:bookmarkEnd w:id="103"/>
      <w:r>
        <w:rPr>
          <w:color w:val="000000"/>
        </w:rPr>
        <w:t>Evaluation</w:t>
      </w:r>
      <w:bookmarkEnd w:id="104"/>
      <w:bookmarkEnd w:id="105"/>
      <w:bookmarkEnd w:id="106"/>
    </w:p>
    <w:p>
      <w:pPr>
        <w:pStyle w:val="Normal"/>
        <w:spacing w:after="120"/>
        <w:rPr/>
      </w:pPr>
      <w:r>
        <w:t>Für FF2 werden Alarmzahlen, erste Alarmfenster und relative Ausgabezeitpunkte auf identischen Eingaben ausgewertet (A9). Anzahl und Auswahl der Aufnahmen sowie Ergebnisse je Aufnahme sind anzugeben. Für FF3 werden Modellgröße, CPU-Auslastung und Prozessspeicher auf derselben Zielhardware erfasst (A8). Messbedingungen sowie Software-, Code- und Modellstand müssen nachvollziehbar sein (A5). Bei einer Modellkonvertierung sind numerische Abweichungen und Entscheidungen gegenüber dem Ausgangsmodell anhand dokumentierter Prüfdaten und Akzeptanzgrenzen zu prüfen (A6). Der Einfluss einer Live-GUI wäre separat zu messen.</w:t>
      </w:r>
    </w:p>
    <w:p>
      <w:pPr>
        <w:pStyle w:val="Normal"/>
        <w:spacing w:before="0" w:after="120"/>
        <w:rPr/>
      </w:pPr>
      <w:r>
        <w:t>Für FF4 werden protokollierte Datenintegrität, physikalische Referenz, Aufbaudokumentation und unabhängige Wiederholungen geprüft (A1, A10, A11). Fehlende Nachweise werden ausgewiesen. Die Gleichheit gespeicherter Sensoreingaben belegt die Vergleichbarkeit innerhalb eines Replays, ersetzt aber weder eine Wiederholung der Anregung noch deren unabhängige zeitliche Vermessung.</w:t>
      </w:r>
    </w:p>
    <w:p>
      <w:pPr>
        <w:pStyle w:val="Heading2"/>
        <w:numPr>
          <w:ilvl w:val="1"/>
          <w:numId w:val="2"/>
        </w:numPr>
        <w:jc w:val="start"/>
        <w:rPr/>
      </w:pPr>
      <w:bookmarkStart w:id="107" w:name="__RefHeading___Toc14134_535938422"/>
      <w:bookmarkStart w:id="108" w:name="FinalHeading_10030"/>
      <w:bookmarkStart w:id="109" w:name="_MA_TOC_037"/>
      <w:bookmarkStart w:id="110" w:name="_Toc239410487"/>
      <w:bookmarkEnd w:id="107"/>
      <w:r>
        <w:rPr>
          <w:color w:val="000000"/>
        </w:rPr>
        <w:t>Kernanforderungen und Nachweis</w:t>
      </w:r>
      <w:bookmarkEnd w:id="108"/>
      <w:bookmarkEnd w:id="109"/>
      <w:bookmarkEnd w:id="110"/>
    </w:p>
    <w:p>
      <w:pPr>
        <w:pStyle w:val="Normal"/>
        <w:spacing w:after="120"/>
        <w:rPr/>
      </w:pPr>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Auswertung. MUSS bezeichnet einen erforderlichen Nachweis für den angestrebten belastbaren Vergleich; KANN bezeichnet die optionale Live-GUI. Kapitel 6 dokumentiert die Umsetzung, Kapitel 7 bewertet die Erfüllung. Offene MUSS-Nachweise werden nicht durch günstige Einzelergebnisse ersetzt und begrenzen den erreichten Pilotstatus.</w:t>
      </w:r>
    </w:p>
    <w:p>
      <w:pPr>
        <w:pStyle w:val="Tabellenbeschriftung"/>
        <w:keepNext w:val="true"/>
        <w:spacing w:before="100" w:after="100"/>
        <w:rPr/>
      </w:pPr>
      <w:bookmarkStart w:id="111" w:name="__RefHeading___Toc14280_535938422"/>
      <w:bookmarkStart w:id="112" w:name="FinalCaption_10031"/>
      <w:bookmarkStart w:id="113" w:name="Table_4_1"/>
      <w:bookmarkEnd w:id="111"/>
      <w:r>
        <w:rPr>
          <w:sz w:val="21"/>
        </w:rPr>
        <w:t>Tabelle 4-1: Anforderungen, Prioritäten und Nachweise</w:t>
      </w:r>
      <w:bookmarkEnd w:id="112"/>
      <w:bookmarkEnd w:id="11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98"/>
        <w:gridCol w:w="2100"/>
        <w:gridCol w:w="2099"/>
        <w:gridCol w:w="3173"/>
      </w:tblGrid>
      <w:tr>
        <w:trPr>
          <w:tblHeader w:val="true"/>
          <w:cantSplit w:val="true"/>
        </w:trPr>
        <w:tc>
          <w:tcPr>
            <w:tcW w:w="16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ID</w:t>
            </w:r>
          </w:p>
        </w:tc>
        <w:tc>
          <w:tcPr>
            <w:tcW w:w="21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Art /</w:t>
              <w:br/>
              <w:t>Priorität</w:t>
            </w:r>
          </w:p>
        </w:tc>
        <w:tc>
          <w:tcPr>
            <w:tcW w:w="2099"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Anforderung</w:t>
            </w:r>
          </w:p>
        </w:tc>
        <w:tc>
          <w:tcPr>
            <w:tcW w:w="317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Nachweis</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Messdaten mit überprüfter Qualität erfassen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Kanäle, Einheiten und Zeitstempel prüfen; Bandbreite, Signal-Rausch-Abstand, Sättigung und Datenlücken anhand vorab festgelegter Grenzen bewerten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A2</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Datenbasis nach Aufnahmen trennen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Ganze Aufnahmen zuordnen; Training und Kalibrierung nur mit Normaldaten; Vorverarbeitung nur an Trainingsdaten anpassen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A3</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Verfahren einheitlich vergleichen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Identische Testfenster im Replay und gemeinsamen Live-Lauf; gemeinsame Kalibrierungsregel und einheitliche Markerzuordnung</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A4</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Automatisch und lokal auswerten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Versuchslauf ohne Cloud-Dienst; Score, Schwelle und Entscheidung je gültigem Fenster; ungültige Fenster kennzeichnen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A5</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NF</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Daten und Softwarestände nachvollziehbar zuordnen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Lauf, Fenster, Code, Modell, Vorverarbeitung sowie Softwareabhängigkeiten und Versionen maschinenlesbar dokumentieren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A6</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Zielkompatibilität und ausgeführtes Modell prüfen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Modelloperationen auf der Zielhardware prüfen; bei Konvertierung Scores und Entscheidungen nach vorab festgelegten Akzeptanzgrenzen vergleichen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A7</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NF</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Technisches Latenzziel erfüllen: P99 &lt; S/fₛ</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Auswerteraufruf und Verarbeitungslatenz unterscheiden; Latenzverteilung und Überschreitungen tatsächlicher Folgefensterankünfte berichten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A8</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NF</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Ohne Speicherabbruch und wachsenden Rückstand laufen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Modellgröße, Prozessspeicher, CPU und Rückstand über dokumentierte Messdauer erfassen; Aufwärmphase und Hintergrundlast angeben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A9</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Alarmverhalten deskriptiv bewerten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Alarmzahl, erstes Alarmfenster und relative Ausgabezeit auf identischen Eingaben; Ergebnisse je Aufnahme und Grenzen ohne Ereignislabels</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A10</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Anregung und Ereignisreferenz dokumentieren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Smartphoneposition, Auflage und Vibrationsablauf festhalten; Bedienmarker von unabhängig gemessenem physikalischem Beginn und Ende trennen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A11</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Reproduzierbaren Testaufbau realisieren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Aufbau und Protokoll dokumentieren; sicheren Betrieb herstellen; Betrieb ohne und mit zusätzlicher Anregung wiederholen; Rücksetzbarkeit prüfen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A12</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w:t>
              <w:br/>
              <w:t>KANN</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Live-GUI zur Ergebnisanzeige entwickeln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Angezeigte Werte mit gespeicherten Ergebnissen abgleichen; veraltete und fehlende Daten prüfen; Zusatzaufwand messen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A13</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w:t>
              <w:br/>
              <w:t>MUSS</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Messläufe starten und geordnet beenden</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4" w:name="__RefHeading___Toc14136_535938422"/>
      <w:bookmarkStart w:id="115" w:name="FinalHeading_10032"/>
      <w:bookmarkStart w:id="116" w:name="_MA_TOC_042"/>
      <w:bookmarkStart w:id="117" w:name="_Toc239410492"/>
      <w:bookmarkStart w:id="118" w:name="_Ref219884887"/>
      <w:bookmarkEnd w:id="114"/>
      <w:r>
        <w:rPr>
          <w:color w:val="000000"/>
        </w:rPr>
        <w:t>Variantenvergleich und Systementscheidung</w:t>
      </w:r>
      <w:bookmarkEnd w:id="115"/>
      <w:bookmarkEnd w:id="116"/>
      <w:bookmarkEnd w:id="117"/>
      <w:bookmarkEnd w:id="118"/>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Normal"/>
        <w:spacing w:after="120"/>
        <w:rPr/>
      </w:pPr>
      <w:r>
        <w:t>Die folgende Darstellung rekonstruiert die Systementscheidung und die dabei festgelegten Prüfvorbehalte. Die Anforderungen aus Kapitel 4 bilden den Bewertungsrahmen des Smartphonevergleichs. Die Nutzwertmatrizen erläutern Entwurfspräferenzen und sind kein Beleg einer vorab registrierten Auswahlstudie. Ob die praktischen Nachweise im vorhandenen Datenstand erbracht wurden, bewertet Kapitel 7.</w:t>
      </w:r>
    </w:p>
    <w:p>
      <w:pPr>
        <w:pStyle w:val="Heading2"/>
        <w:numPr>
          <w:ilvl w:val="1"/>
          <w:numId w:val="2"/>
        </w:numPr>
        <w:jc w:val="start"/>
        <w:rPr/>
      </w:pPr>
      <w:bookmarkStart w:id="119" w:name="__RefHeading___Toc14138_535938422"/>
      <w:bookmarkStart w:id="120" w:name="FinalHeading_10033"/>
      <w:bookmarkStart w:id="121" w:name="_K5_Section_1"/>
      <w:bookmarkEnd w:id="119"/>
      <w:r>
        <w:rPr>
          <w:color w:val="000000"/>
        </w:rPr>
        <w:t>Bewertungsrahmen und Vorgehen</w:t>
      </w:r>
      <w:bookmarkEnd w:id="120"/>
      <w:bookmarkEnd w:id="121"/>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projektbezogen festgelegten Prüfungen zeigen die Abhängigkeit der Rangfolge von den Annahmen; sie ersetzen keine Messung. Das Vorgehen orientiert sich an der Sensitivitätsanalyse von Nutzwertmodellen (Department for Communities and Local Government, 2009, Abschnitt 6.2.14).</w:t>
      </w:r>
    </w:p>
    <w:p>
      <w:pPr>
        <w:pStyle w:val="Heading2"/>
        <w:numPr>
          <w:ilvl w:val="1"/>
          <w:numId w:val="2"/>
        </w:numPr>
        <w:jc w:val="start"/>
        <w:rPr/>
      </w:pPr>
      <w:bookmarkStart w:id="122" w:name="__RefHeading___Toc14140_535938422"/>
      <w:bookmarkStart w:id="123" w:name="FinalHeading_10034"/>
      <w:bookmarkStart w:id="124" w:name="_K5_Section_2"/>
      <w:bookmarkEnd w:id="122"/>
      <w:r>
        <w:rPr>
          <w:color w:val="000000"/>
        </w:rPr>
        <w:t>Bewertung der Prüfstandsalternativen</w:t>
      </w:r>
      <w:bookmarkEnd w:id="123"/>
      <w:bookmarkEnd w:id="124"/>
    </w:p>
    <w:p>
      <w:pPr>
        <w:pStyle w:val="Normal"/>
        <w:spacing w:before="0" w:after="120"/>
        <w:rPr/>
      </w:pPr>
      <w:r>
        <w:t>Der Prüfstand soll einen dokumentierten normalen Betrieb und eine zusätzliche äußere Anregung ermöglichen (A10, A11). Tabelle 5-1 vergleicht drei rotierende Trägersysteme hinsichtlich Kontrollierbarkeit, Zusatzaufwand und Aussagegrenzen. Diese Auswahl betrifft den Träger der Messkette. Die Wahl des Smartphones als externer Anregungsquelle wird anschließend getrennt begründet.</w:t>
      </w:r>
    </w:p>
    <w:p>
      <w:pPr>
        <w:pStyle w:val="Tabellenbeschriftung"/>
        <w:keepNext w:val="true"/>
        <w:spacing w:before="160" w:after="80"/>
        <w:jc w:val="center"/>
        <w:rPr/>
      </w:pPr>
      <w:bookmarkStart w:id="125" w:name="__RefHeading___Toc14278_535938422"/>
      <w:bookmarkStart w:id="126" w:name="FinalCaption_10035"/>
      <w:bookmarkStart w:id="127" w:name="Table_5_1"/>
      <w:bookmarkEnd w:id="125"/>
      <w:r>
        <w:rPr>
          <w:sz w:val="21"/>
        </w:rPr>
        <w:t>Tabelle 5-1: Bewertung der Prüfstandsalternativen</w:t>
      </w:r>
      <w:bookmarkEnd w:id="126"/>
      <w:bookmarkEnd w:id="12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Kontrollierbarkeit und Wiederholung</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Zusatzaufwand und Aussagegrenze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Lüfter mit PWM-Ansteuerung</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Betriebspunkte vorgebbar; Versuchszustände bei fester Montage wiederholbar zu gestalten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Wenige Antriebskomponenten; Lastvariation und Übertragbarkeit auf Industriemaschinen begrenzt</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Servomotor mit Regler</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Geregelte Drehzahl- und Bewegungsprofile; Lastvariation mit zusätzlicher Belastungseinrichtung</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Regler, mechanische Kopplung und gegebenenfalls Lastmaschine nötig; Regelung beeinflusst das Schwingungsverhalten</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Motor-/Lagerprüfstand</w:t>
            </w:r>
          </w:p>
        </w:tc>
        <w:tc>
          <w:tcPr>
            <w:tcW w:w="26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Drehzahl, Last und Lagerzustände gezielt untersuchbar</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Zusätzliche Mechanik, Messtechnik und Schutzmaßnahmen; größere Nähe zur Lagerdiagnostik</w:t>
            </w:r>
          </w:p>
        </w:tc>
      </w:tr>
    </w:tbl>
    <w:p>
      <w:pPr>
        <w:pStyle w:val="Normal"/>
        <w:spacing w:lineRule="auto" w:line="240" w:before="12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8" w:name="__RefHeading___Toc14276_535938422"/>
      <w:bookmarkStart w:id="129" w:name="FinalCaption_10036"/>
      <w:bookmarkStart w:id="130" w:name="Table_5_2"/>
      <w:bookmarkEnd w:id="128"/>
      <w:r>
        <w:rPr>
          <w:sz w:val="21"/>
        </w:rPr>
        <w:t>Tabelle 5-2: Kriterien und Gewichte für den Prüfstand</w:t>
      </w:r>
      <w:bookmarkEnd w:id="129"/>
      <w:bookmarkEnd w:id="13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Kriterium</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Gewicht</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Bewertungsmaßstab und Anforderungsbezug</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P1 Betriebspunkte einstellen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A11. 0: keine Vorgabe; 2: einzelne Stellgröße ohne unabhängige Lastregelung; 4: geregelte Drehzahl und zusätzlich Last oder Bewegung vorgebbar.</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P2 Einflüsse trennen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A10, A11. 0: Änderungen nicht zuordenbar; 2: mehrere gekoppelte Einflüsse; 4: einfache Variation bei fester Mechanik und wenigen Einflussgrößen.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P3 Aufbauaufwand</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40 %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A11. 0: im Projekt nicht realisierbar; 2: Antrieb, Regler und Kopplung aufzubauen; 4: integrierter Antrieb mit wenigen Zusatzbaugruppen.</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P4 Anwendungsnähe</w:t>
            </w:r>
          </w:p>
        </w:tc>
        <w:tc>
          <w:tcPr>
            <w:tcW w:w="2665"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10 %</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color w:val="000000"/>
                <w:sz w:val="21"/>
              </w:rPr>
              <w:t>FF1. 0: kein rotierendes System; 2: einfache rotierende Baugruppe; 4: gezielt untersuchbare Maschinen- und Lagerzustände.</w:t>
            </w:r>
          </w:p>
        </w:tc>
      </w:tr>
    </w:tbl>
    <w:p>
      <w:pPr>
        <w:pStyle w:val="Normal"/>
        <w:spacing w:lineRule="auto" w:line="240" w:before="12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1" w:name="__RefHeading___Toc14274_535938422"/>
      <w:bookmarkStart w:id="132" w:name="FinalCaption_10037"/>
      <w:bookmarkStart w:id="133" w:name="Table_5_3"/>
      <w:bookmarkEnd w:id="131"/>
      <w:r>
        <w:rPr>
          <w:sz w:val="21"/>
        </w:rPr>
        <w:t>Tabelle 5-3: Gewichtete Bewertung der Prüfstandsalternativen</w:t>
      </w:r>
      <w:bookmarkEnd w:id="132"/>
      <w:bookmarkEnd w:id="13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5"/>
        <w:gridCol w:w="1363"/>
        <w:gridCol w:w="1361"/>
        <w:gridCol w:w="1360"/>
        <w:gridCol w:w="1364"/>
        <w:gridCol w:w="1357"/>
      </w:tblGrid>
      <w:tr>
        <w:trPr>
          <w:tblHeader w:val="true"/>
          <w:cantSplit w:val="true"/>
        </w:trPr>
        <w:tc>
          <w:tcPr>
            <w:tcW w:w="22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136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P1</w:t>
            </w:r>
          </w:p>
        </w:tc>
        <w:tc>
          <w:tcPr>
            <w:tcW w:w="1361"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P2</w:t>
            </w:r>
          </w:p>
        </w:tc>
        <w:tc>
          <w:tcPr>
            <w:tcW w:w="136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P3</w:t>
            </w:r>
          </w:p>
        </w:tc>
        <w:tc>
          <w:tcPr>
            <w:tcW w:w="136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P4</w:t>
            </w:r>
          </w:p>
        </w:tc>
        <w:tc>
          <w:tcPr>
            <w:tcW w:w="135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Nutzwert</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Lüfter mit PWM</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3,30</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Servomotor mit Regler</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2,85</w:t>
            </w:r>
          </w:p>
        </w:tc>
      </w:tr>
      <w:tr>
        <w:trPr>
          <w:cantSplit w:val="true"/>
        </w:trPr>
        <w:tc>
          <w:tcPr>
            <w:tcW w:w="22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Motor-/Lagerprüfstand</w:t>
            </w:r>
          </w:p>
        </w:tc>
        <w:tc>
          <w:tcPr>
            <w:tcW w:w="1363"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w:t>
            </w:r>
          </w:p>
        </w:tc>
        <w:tc>
          <w:tcPr>
            <w:tcW w:w="1360"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w:t>
            </w:r>
          </w:p>
        </w:tc>
        <w:tc>
          <w:tcPr>
            <w:tcW w:w="1364"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2,55</w:t>
            </w:r>
          </w:p>
        </w:tc>
      </w:tr>
    </w:tbl>
    <w:p>
      <w:pPr>
        <w:pStyle w:val="Normal"/>
        <w:spacing w:lineRule="auto" w:line="240" w:before="12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t>Für den Kernversuch wird deshalb der Lüfter als Träger der Messkette gewählt. Ein Servomotor wäre bei Lastwechseln oder dynamischen Bewegungsprofilen sinnvoll, ein Motor-/Lagerprüfstand bei konkreten Lagerfehlern. Die zusätzliche Anregung erfolgt hier durch die Vibrationsfunktion eines Smartphones auf dem Tisch. Sie ermöglicht einen praktisch umsetzbaren Pilottest des Alarmverhaltens. Eine kalibrierte Anregungsstärke oder reproduzierbare Übertragungsfunktion folgt daraus nicht; ein Vergleich alternativer Vibrationsquellen wurde nicht gemessen.</w:t>
      </w:r>
    </w:p>
    <w:p>
      <w:pPr>
        <w:pStyle w:val="Normal"/>
        <w:spacing w:before="0" w:after="120"/>
        <w:rPr/>
      </w:pPr>
      <w:r>
        <w:t>Als konkrete Variante wird der ARCTIC P12 Pro PST verwendet, dessen Datenblatt PWM-Ansteuerung und ein Drehzahlsignal ausweist (ARCTIC, o. J.). Ein PWM-Tastgrad ist eine Stellgröße und kein Nachweis einer konstanten Drehzahl. Die tatsächliche Drehzahl wurde nicht erfasst. Der untersuchte Betrieb wird deshalb ausschließlich durch die dokumentierte PWM-Vorgabe von 75 % beschrieben. Kapitel 6 erläutert den Smartphoneaufbau und den Messablauf, Kapitel 7 die Befunde und Grenzen.</w:t>
      </w:r>
    </w:p>
    <w:p>
      <w:pPr>
        <w:pStyle w:val="Heading2"/>
        <w:numPr>
          <w:ilvl w:val="1"/>
          <w:numId w:val="2"/>
        </w:numPr>
        <w:jc w:val="start"/>
        <w:rPr/>
      </w:pPr>
      <w:bookmarkStart w:id="134" w:name="__RefHeading___Toc14142_535938422"/>
      <w:bookmarkStart w:id="135" w:name="FinalHeading_10038"/>
      <w:bookmarkStart w:id="136" w:name="_K5_Section_3"/>
      <w:bookmarkEnd w:id="134"/>
      <w:r>
        <w:rPr>
          <w:color w:val="000000"/>
        </w:rPr>
        <w:t>Auswahl von Sensorik und Edge-Plattform</w:t>
      </w:r>
      <w:bookmarkEnd w:id="135"/>
      <w:bookmarkEnd w:id="136"/>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7" w:name="__RefHeading___Toc14272_535938422"/>
      <w:bookmarkStart w:id="138" w:name="FinalCaption_10039"/>
      <w:bookmarkStart w:id="139" w:name="Table_5_4"/>
      <w:bookmarkEnd w:id="137"/>
      <w:r>
        <w:rPr>
          <w:sz w:val="21"/>
        </w:rPr>
        <w:t>Tabelle 5-4: Vergleich der Sensorik und Messketten</w:t>
      </w:r>
      <w:bookmarkEnd w:id="138"/>
      <w:bookmarkEnd w:id="13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Relevante Herstellerangaben</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Bewertung für den Prüfstand</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ADXL345</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Drei Achsen; ±2/4/8/16 g; I²C/SPI; FIFO</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Direkte digitale Erfassung; Bandbreite, Auflösung und Rauschen am Aufbau prüfen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ADXL355</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Drei Achsen; ±2/4/8 g; 20-Bit-ADC; typische Rauschdichte 22,5 µg/√Hz bei ±2 g</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Alternative bei höheren Anforderungen an Auflösung und Rauschen; eigene Integrationsprüfung nötig</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PCB 356A32 mit IEPE-Messkette</w:t>
            </w:r>
          </w:p>
        </w:tc>
        <w:tc>
          <w:tcPr>
            <w:tcW w:w="26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Drei Achsen; ±50 g; 100 mV/g; 1–4000 Hz innerhalb ±5 %</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Größerer spezifizierter Frequenzbereich; Konstantstromspeisung und externe A/D-Wandlung nötig</w:t>
            </w:r>
          </w:p>
        </w:tc>
      </w:tr>
    </w:tbl>
    <w:p>
      <w:pPr>
        <w:pStyle w:val="Normal"/>
        <w:spacing w:lineRule="auto" w:line="240" w:before="12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Zu prüfen sind effektive Erfassungsrate, neue Sensorwerte, Datenlücken, Sättigung und der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40" w:name="__RefHeading___Toc14270_535938422"/>
      <w:bookmarkStart w:id="141" w:name="FinalCaption_10040"/>
      <w:bookmarkStart w:id="142" w:name="Table_5_5"/>
      <w:bookmarkEnd w:id="140"/>
      <w:r>
        <w:rPr>
          <w:sz w:val="21"/>
        </w:rPr>
        <w:t>Tabelle 5-5: Bewertung der Edge-Plattformen</w:t>
      </w:r>
      <w:bookmarkEnd w:id="141"/>
      <w:bookmarkEnd w:id="14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Dokumentierter Ressourcenrahmen</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Bewertung für den Methodenvergleich</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STM32H743</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Cortex-M7 bis 480 MHz; bis 2 MB Flash und 1 MB RAM</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Hardwarenahe Umsetzung möglich; knapper Speicher und eigenständige Portierung der Pipeline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Raspberry Pi 4 Model B</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Vier Cortex-A72-Kerne mit 1,8 GHz; RAM im GB-Bereich</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Plausible Linux-Plattform für CPU-Inferenz und Messwerkzeuge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Raspberry Pi 5</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Vier Cortex-A76-Kerne mit 2,4 GHz; RAM im GB-Bereich</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Nominell größere CPU-Reserve; konkrete Latenz und Speicherbelegung bleiben zu messen</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Jetson Orin Nano Super</w:t>
            </w:r>
          </w:p>
        </w:tc>
        <w:tc>
          <w:tcPr>
            <w:tcW w:w="26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Sechs Cortex-A78AE-Kerne; 8 GB RAM; GPU-Beschleunigung</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Sinnvoll bei GPU-bedürftigen Modellen; Nutzen für den vorgesehenen CPU-Vergleich nicht belegt</w:t>
            </w:r>
          </w:p>
        </w:tc>
      </w:tr>
    </w:tbl>
    <w:p>
      <w:pPr>
        <w:pStyle w:val="Normal"/>
        <w:spacing w:lineRule="auto" w:line="240" w:before="120" w:after="120"/>
        <w:jc w:val="center"/>
        <w:rPr/>
      </w:pPr>
      <w:r>
        <w:rPr>
          <w:i/>
          <w:sz w:val="20"/>
        </w:rPr>
        <w:t>Quelle: Eigene Bewertung nach STMicroelectronics (2026), Raspberry Pi Ltd. (2026a, 2026b) und NVIDIA (o. J.).</w:t>
      </w:r>
    </w:p>
    <w:p>
      <w:pPr>
        <w:pStyle w:val="Normal"/>
        <w:spacing w:before="0" w:after="120"/>
        <w:rPr/>
      </w:pPr>
      <w:r>
        <w:t>Die Ressourcenangaben werden nicht in erwartete Inferenzzeiten umgerechnet. Die gewichtete Vorauswahl verbindet den nominellen Ressourcenrahmen mit der Integration der vollständigen Pipeline. Das Gewicht für zeitliche Kontrollierbarkeit bleibt begrenzt, weil der Bewertungsmaßstab zu FF3 ein empirisches Latenzziel und keine harte Echtzeitgarantie formuliert.</w:t>
      </w:r>
    </w:p>
    <w:p>
      <w:pPr>
        <w:pStyle w:val="Tabellenbeschriftung"/>
        <w:keepNext w:val="true"/>
        <w:spacing w:before="160" w:after="80"/>
        <w:jc w:val="center"/>
        <w:rPr/>
      </w:pPr>
      <w:bookmarkStart w:id="143" w:name="__RefHeading___Toc14268_535938422"/>
      <w:bookmarkStart w:id="144" w:name="FinalCaption_10041"/>
      <w:bookmarkStart w:id="145" w:name="Table_5_6"/>
      <w:bookmarkEnd w:id="143"/>
      <w:r>
        <w:rPr>
          <w:sz w:val="21"/>
        </w:rPr>
        <w:t>Tabelle 5-6: Kriterien und Gewichte für die Edge-Plattform</w:t>
      </w:r>
      <w:bookmarkEnd w:id="144"/>
      <w:bookmarkEnd w:id="14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Kriterium</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Gewicht</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Bewertungsmaßstab und Anforderungsbezug</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E1 Nomineller Ressourcenrahmen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A8. 0: keine plausible Reserve; 2: eingeschränkter Rahmen; 4: GB-Arbeitsspeicher und größere nominelle CPU-Reserve im Variantenfeld. Kein Laufzeitnachweis.</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E2 Integration der Gesamtpipeline</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A4–A6. 0: keine geeignete Umgebung; 2: erhebliche Anpassungen; 4: allgemeine Linux-/Python-Umgebung für Erfassung, Verfahren und Messwerkzeuge.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E3 Zeitliche Kontrollierbarkeit</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A7. 0: Ablauf kaum beeinflussbar; 2: allgemeines Betriebssystem mit schwankender Last; 4: hardwarenah planbare Ausführung. Keine Fristgarantie.</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E4 Passung zum CPU-Kernvergleich</w:t>
            </w:r>
          </w:p>
        </w:tc>
        <w:tc>
          <w:tcPr>
            <w:tcW w:w="2665"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15 %</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12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6" w:name="__RefHeading___Toc14266_535938422"/>
      <w:bookmarkStart w:id="147" w:name="FinalCaption_10042"/>
      <w:bookmarkStart w:id="148" w:name="Table_5_7"/>
      <w:bookmarkEnd w:id="146"/>
      <w:r>
        <w:rPr>
          <w:sz w:val="21"/>
        </w:rPr>
        <w:t>Tabelle 5-7: Gewichtete Bewertung der Edge-Plattformen</w:t>
      </w:r>
      <w:bookmarkEnd w:id="147"/>
      <w:bookmarkEnd w:id="14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5"/>
        <w:gridCol w:w="1363"/>
        <w:gridCol w:w="1361"/>
        <w:gridCol w:w="1360"/>
        <w:gridCol w:w="1364"/>
        <w:gridCol w:w="1357"/>
      </w:tblGrid>
      <w:tr>
        <w:trPr>
          <w:tblHeader w:val="true"/>
          <w:cantSplit w:val="true"/>
        </w:trPr>
        <w:tc>
          <w:tcPr>
            <w:tcW w:w="22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Alternative</w:t>
            </w:r>
          </w:p>
        </w:tc>
        <w:tc>
          <w:tcPr>
            <w:tcW w:w="136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E1</w:t>
            </w:r>
          </w:p>
        </w:tc>
        <w:tc>
          <w:tcPr>
            <w:tcW w:w="1361"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E2</w:t>
            </w:r>
          </w:p>
        </w:tc>
        <w:tc>
          <w:tcPr>
            <w:tcW w:w="136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E3</w:t>
            </w:r>
          </w:p>
        </w:tc>
        <w:tc>
          <w:tcPr>
            <w:tcW w:w="136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E4</w:t>
            </w:r>
          </w:p>
        </w:tc>
        <w:tc>
          <w:tcPr>
            <w:tcW w:w="135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Nutzwert</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STM32H743</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1,60</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Raspberry Pi 4</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3,35</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Raspberry Pi 5</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3,70</w:t>
            </w:r>
          </w:p>
        </w:tc>
      </w:tr>
      <w:tr>
        <w:trPr>
          <w:cantSplit w:val="true"/>
        </w:trPr>
        <w:tc>
          <w:tcPr>
            <w:tcW w:w="22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Jetson Orin Nano Super</w:t>
            </w:r>
          </w:p>
        </w:tc>
        <w:tc>
          <w:tcPr>
            <w:tcW w:w="1363"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4"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57"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3,40</w:t>
            </w:r>
          </w:p>
        </w:tc>
      </w:tr>
    </w:tbl>
    <w:p>
      <w:pPr>
        <w:pStyle w:val="Normal"/>
        <w:spacing w:lineRule="auto" w:line="240" w:before="12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9" w:name="__RefHeading___Toc14144_535938422"/>
      <w:bookmarkStart w:id="150" w:name="FinalHeading_10043"/>
      <w:bookmarkStart w:id="151" w:name="_K5_Section_4"/>
      <w:bookmarkEnd w:id="149"/>
      <w:r>
        <w:rPr>
          <w:color w:val="000000"/>
        </w:rPr>
        <w:t>Datenbasis, Signalrepräsentation und Verfahren</w:t>
      </w:r>
      <w:bookmarkEnd w:id="150"/>
      <w:bookmarkEnd w:id="151"/>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2" w:name="__RefHeading___Toc14264_535938422"/>
      <w:bookmarkStart w:id="153" w:name="FinalCaption_10044"/>
      <w:bookmarkStart w:id="154" w:name="Table_5_8"/>
      <w:bookmarkEnd w:id="152"/>
      <w:r>
        <w:rPr>
          <w:sz w:val="21"/>
        </w:rPr>
        <w:t>Tabelle 5-8: Bewertung der Signalrepräsentationen</w:t>
      </w:r>
      <w:bookmarkEnd w:id="153"/>
      <w:bookmarkEnd w:id="15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Darstellung</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Informationsgehalt und Grenze</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Vorgesehene Rolle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Dreiachsiges Zeitfenster</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Erhält Reihenfolge und Achsenbeziehungen; höhere Eingabedimension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Gemeinsame Ausgangsdaten für den Hauptvergleich</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Zeitbereichs-</w:t>
              <w:br/>
              <w:t>kennwerte</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Kompakt und interpretierbar; zeitliche Struktur wird verdichtet</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RMS als statistische Baseline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Frequenzspektrum mittels FFT</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Zeigt Frequenzanteile; abhängig von Abtastung, Fensterdauer und Fensterfunktion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color w:val="000000"/>
                <w:sz w:val="21"/>
              </w:rPr>
              <w:t>Mögliche ergänzende Analyse; kein ausgewerteter Spektralnachweis des Smartphoneversuchs</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Zeit-Frequenz-Darstellung</w:t>
            </w:r>
          </w:p>
        </w:tc>
        <w:tc>
          <w:tcPr>
            <w:tcW w:w="26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Zeigt zeitlich wechselnde Frequenzanteile; zusätzliche Parameter und Rechenaufwand</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Keine zusätzliche Variante im Kernvergleich</w:t>
            </w:r>
          </w:p>
        </w:tc>
      </w:tr>
    </w:tbl>
    <w:p>
      <w:pPr>
        <w:pStyle w:val="Normal"/>
        <w:spacing w:lineRule="auto" w:line="240" w:before="120" w:after="120"/>
        <w:jc w:val="center"/>
        <w:rPr/>
      </w:pPr>
      <w:r>
        <w:rPr>
          <w:i/>
          <w:sz w:val="20"/>
        </w:rPr>
        <w:t>Quelle: Eigene Einordnung auf Grundlage von Ruff et al. (2021) und SciPy developers (o. J. a, o. J. b).</w:t>
      </w:r>
    </w:p>
    <w:p>
      <w:pPr>
        <w:pStyle w:val="Normal"/>
        <w:spacing w:before="0" w:after="120"/>
        <w:rPr/>
      </w:pPr>
      <w:r>
        <w:t>Die Fast Fourier Transform (FFT) ist ein effizienter Algorithmus zur Berechnung der diskreten Fourier-Transformation. Sie kann ergänzend eingesetzt werden, um beobachtbare Frequenzanteile zu untersuchen. Für H gleichmäßig abgetastete Werte beträgt der Abstand der Frequenzstützstellen Δf = fₛ/H; dies allein beschreibt noch nicht die Trennbarkeit benachbarter Frequenzanteile (SciPy developers, o. J. a, o. J. b). Ein experimenteller Spektralnachweis der Smartphoneanregung ist nicht Teil der hier ausgewerteten Ergebnisse.</w:t>
      </w:r>
    </w:p>
    <w:p>
      <w:pPr>
        <w:pStyle w:val="Normal"/>
        <w:spacing w:before="0" w:after="120"/>
        <w:rPr/>
      </w:pPr>
      <w:r>
        <w:t>Eine FFT behebt weder Datenlücken noch Aliasing. Vor einer ergänzenden Spektralauswertung müssen zeitliche Regelmäßigkeit, nutzbare Sensorbandbreite und mögliche Frequenzüberlagerungen durch die Abtastung geprüft werden. Mittelwertbehandlung, Fensterfunktion und Amplitudenskalierung wären zu dokumentieren. FFT-Merkmale würden eine weitere Verfahrensvariante bilden und müssten vor ihrer Testauswertung festgelegt sowie mit ihrem Zusatzaufwand bewertet werden. Die FFT selbst liefert keine Anomalieentscheidung.</w:t>
      </w:r>
    </w:p>
    <w:p>
      <w:pPr>
        <w:pStyle w:val="Tabellenbeschriftung"/>
        <w:keepNext w:val="true"/>
        <w:spacing w:before="160" w:after="80"/>
        <w:jc w:val="center"/>
        <w:rPr/>
      </w:pPr>
      <w:bookmarkStart w:id="155" w:name="__RefHeading___Toc14262_535938422"/>
      <w:bookmarkStart w:id="156" w:name="FinalCaption_10045"/>
      <w:bookmarkStart w:id="157" w:name="Table_5_9"/>
      <w:bookmarkEnd w:id="155"/>
      <w:r>
        <w:rPr>
          <w:sz w:val="21"/>
        </w:rPr>
        <w:t>Tabelle 5-9: Auswahl der Anomalieverfahren</w:t>
      </w:r>
      <w:bookmarkEnd w:id="156"/>
      <w:bookmarkEnd w:id="15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Verfahren</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Rolle und Auswahlgrund</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Wesentliche Grenze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Autoencoder</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Neuronales Hauptverfahren; prüft den Nutzen einer erlernten multivariaten Rekonstruktion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Eine gute Trennung der Zustände ist empirisch zu prüfen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RMS mit Schwelle</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Statistische Minimalbaseline; transparente Verdichtung auf einen Kennwert</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Verwirft die zeitliche Reihenfolge</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Isolation Forest</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Klassische Lernbaseline; ergänzt den RMS um eine multivariate Bewertung</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Nutzt keine explizite zeitliche Nachbarschaft</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One-Class SVM</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Plausible Alternative zur klassischen Lernbaseline</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Zusätzliche Kernel- und Hyperparameterwahl; keine weitere Vergleichsrolle</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Überwachte Klassifikation</w:t>
            </w:r>
          </w:p>
        </w:tc>
        <w:tc>
          <w:tcPr>
            <w:tcW w:w="26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Geeignet bei repräsentativen gelabelten Fehlerklassen</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Benötigt Fehlerbeispiele im Training und passt damit nicht zum gewählten Szenario</w:t>
            </w:r>
          </w:p>
        </w:tc>
      </w:tr>
    </w:tbl>
    <w:p>
      <w:pPr>
        <w:pStyle w:val="Normal"/>
        <w:spacing w:lineRule="auto" w:line="240" w:before="12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t>Für jedes Verfahren wird die Schwelle als empirisches 99. Perzentil seiner Scores auf einer separaten normalen Validierungsaufnahme bestimmt. Größere Scores bedeuten stets eine stärkere Auffälligkeit. Die genaue Quantilsberechnung, Modellparameter und Fensterbildung sind im eingefrorenen Profil dokumentiert (A2, A3). Der Vergleich untersucht das beobachtete Alarmverhalten; ein grundsätzlicher Erkennungsvorteil des Autoencoders wird nicht vorausgesetzt.</w:t>
      </w:r>
    </w:p>
    <w:p>
      <w:pPr>
        <w:pStyle w:val="Heading2"/>
        <w:numPr>
          <w:ilvl w:val="1"/>
          <w:numId w:val="2"/>
        </w:numPr>
        <w:jc w:val="start"/>
        <w:rPr/>
      </w:pPr>
      <w:bookmarkStart w:id="158" w:name="__RefHeading___Toc14146_535938422"/>
      <w:bookmarkStart w:id="159" w:name="FinalHeading_10046"/>
      <w:bookmarkStart w:id="160" w:name="_K5_Section_5"/>
      <w:bookmarkEnd w:id="158"/>
      <w:r>
        <w:rPr>
          <w:color w:val="000000"/>
        </w:rPr>
        <w:t>Kriterienbasierte Bewertung der Softwarealternativen</w:t>
      </w:r>
      <w:bookmarkEnd w:id="159"/>
      <w:bookmarkEnd w:id="160"/>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1" w:name="__RefHeading___Toc14260_535938422"/>
      <w:bookmarkStart w:id="162" w:name="FinalCaption_10047"/>
      <w:bookmarkStart w:id="163" w:name="Table_5_10"/>
      <w:bookmarkEnd w:id="161"/>
      <w:r>
        <w:rPr>
          <w:sz w:val="21"/>
        </w:rPr>
        <w:t>Tabelle 5-10: Kriterienbasierter Vergleich der Softwarealternativen</w:t>
      </w:r>
      <w:bookmarkEnd w:id="162"/>
      <w:bookmarkEnd w:id="16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98"/>
        <w:gridCol w:w="2100"/>
        <w:gridCol w:w="2099"/>
        <w:gridCol w:w="3173"/>
      </w:tblGrid>
      <w:tr>
        <w:trPr>
          <w:tblHeader w:val="true"/>
          <w:cantSplit w:val="true"/>
        </w:trPr>
        <w:tc>
          <w:tcPr>
            <w:tcW w:w="16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Entwicklungs- und Ausführungspfad</w:t>
            </w:r>
          </w:p>
        </w:tc>
        <w:tc>
          <w:tcPr>
            <w:tcW w:w="21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Übergang zur Inferenz</w:t>
            </w:r>
          </w:p>
        </w:tc>
        <w:tc>
          <w:tcPr>
            <w:tcW w:w="2099"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Lokale Ausführung</w:t>
            </w:r>
          </w:p>
        </w:tc>
        <w:tc>
          <w:tcPr>
            <w:tcW w:w="317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Integrations- und Prüfaufwand</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TensorFlow/Keras → TFLite/LiteRT</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Dokumentierter Konverter für Keras-Modelle; .tflite-Datei</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CPU-Inferenz mit passender Laufzeit</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Modelloperationen, Paketkompatibilität und Konvertierung prüfen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PyTorch → ExecuTorch</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Modellexport und Anpassung an ein Backend; .pte-Datei</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Arm-CPU über geeignetes Backend, z. B. XNNPACK</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Export, Backend und numerische Übereinstimmung prüfen</w:t>
            </w:r>
          </w:p>
        </w:tc>
      </w:tr>
      <w:tr>
        <w:trPr>
          <w:cantSplit w:val="true"/>
        </w:trPr>
        <w:tc>
          <w:tcPr>
            <w:tcW w:w="1698"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PyTorch → ONNX Runtime</w:t>
            </w:r>
          </w:p>
        </w:tc>
        <w:tc>
          <w:tcPr>
            <w:tcW w:w="2100"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Export in das ONNX-Austauschformat</w:t>
            </w:r>
          </w:p>
        </w:tc>
        <w:tc>
          <w:tcPr>
            <w:tcW w:w="2099"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CPU-Paket für Linux ARM64</w:t>
            </w:r>
          </w:p>
        </w:tc>
        <w:tc>
          <w:tcPr>
            <w:tcW w:w="3173"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Exporter, ONNX-Operatorversionen und Laufzeit abstimmen</w:t>
            </w:r>
          </w:p>
        </w:tc>
      </w:tr>
      <w:tr>
        <w:trPr>
          <w:cantSplit w:val="true"/>
        </w:trPr>
        <w:tc>
          <w:tcPr>
            <w:tcW w:w="1698"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TensorFlow/Keras → TensorFlow direkt</w:t>
            </w:r>
          </w:p>
        </w:tc>
        <w:tc>
          <w:tcPr>
            <w:tcW w:w="2100"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Kein Wechsel des Modellformats erforderlich</w:t>
            </w:r>
          </w:p>
        </w:tc>
        <w:tc>
          <w:tcPr>
            <w:tcW w:w="2099"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TensorFlow-CPU-Paket für Linux ARM64</w:t>
            </w:r>
          </w:p>
        </w:tc>
        <w:tc>
          <w:tcPr>
            <w:tcW w:w="3173"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Paketkompatibilität und Ressourcenbedarf der vollständigen Umgebung prüfen</w:t>
            </w:r>
          </w:p>
        </w:tc>
      </w:tr>
    </w:tbl>
    <w:p>
      <w:pPr>
        <w:pStyle w:val="Normal"/>
        <w:spacing w:lineRule="auto" w:line="240" w:before="12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4" w:name="__RefHeading___Toc14258_535938422"/>
      <w:bookmarkStart w:id="165" w:name="FinalCaption_10048"/>
      <w:bookmarkStart w:id="166" w:name="Table_5_11"/>
      <w:bookmarkEnd w:id="164"/>
      <w:r>
        <w:rPr>
          <w:sz w:val="21"/>
        </w:rPr>
        <w:t>Tabelle 5-11: Kriterien und Gewichte für die Softwareauswahl</w:t>
      </w:r>
      <w:bookmarkEnd w:id="165"/>
      <w:bookmarkEnd w:id="16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Kriterium</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Gewicht</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Bewertungsmaßstab und Anforderungsbezug</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S1 Entwicklung und Inferenz trennen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30 %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A5, A8. 0: kein getrennt ladbares Modell; 2: gespeichertes Modell benötigt vollständiges Framework; 4: separates Inferenzpaket vorgesehen.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S2 Modellübergang nachvollziehen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A5, A6. 0: kein dokumentierter Weg; 2: nur teilweise dokumentiert; 4: offizieller Weg zum Speichern bzw. Exportieren und Laden.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S3 Python-Anbindung</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25 %</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A4, A5. 0: keine Anbindung; 2: eigene Brücke nötig; 4: offiziell dokumentierte Python-API.</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S4 Linux-ARM64-CPU unterstützen</w:t>
            </w:r>
          </w:p>
        </w:tc>
        <w:tc>
          <w:tcPr>
            <w:tcW w:w="2665"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20 %</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A4, A6. 0: kein dokumentierter Weg; 2: eigene Portierung nötig; 4: dokumentiertes CPU-Paket für Linux ARM64. Konkrete Versionen bleiben zu prüfen.</w:t>
            </w:r>
          </w:p>
        </w:tc>
      </w:tr>
    </w:tbl>
    <w:p>
      <w:pPr>
        <w:pStyle w:val="Normal"/>
        <w:spacing w:lineRule="auto" w:line="240" w:before="12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7" w:name="__RefHeading___Toc14256_535938422"/>
      <w:bookmarkStart w:id="168" w:name="FinalCaption_10049"/>
      <w:bookmarkStart w:id="169" w:name="Table_5_12"/>
      <w:bookmarkEnd w:id="167"/>
      <w:r>
        <w:rPr>
          <w:sz w:val="21"/>
        </w:rPr>
        <w:t>Tabelle 5-12: Gewichtete Bewertung der Softwarealternativen</w:t>
      </w:r>
      <w:bookmarkEnd w:id="168"/>
      <w:bookmarkEnd w:id="16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5"/>
        <w:gridCol w:w="1363"/>
        <w:gridCol w:w="1361"/>
        <w:gridCol w:w="1360"/>
        <w:gridCol w:w="1364"/>
        <w:gridCol w:w="1357"/>
      </w:tblGrid>
      <w:tr>
        <w:trPr>
          <w:tblHeader w:val="true"/>
          <w:cantSplit w:val="true"/>
        </w:trPr>
        <w:tc>
          <w:tcPr>
            <w:tcW w:w="22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Entwicklungs- und Ausführungspfad</w:t>
            </w:r>
          </w:p>
        </w:tc>
        <w:tc>
          <w:tcPr>
            <w:tcW w:w="136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S1</w:t>
            </w:r>
          </w:p>
        </w:tc>
        <w:tc>
          <w:tcPr>
            <w:tcW w:w="1361"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S2</w:t>
            </w:r>
          </w:p>
        </w:tc>
        <w:tc>
          <w:tcPr>
            <w:tcW w:w="136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S3</w:t>
            </w:r>
          </w:p>
        </w:tc>
        <w:tc>
          <w:tcPr>
            <w:tcW w:w="136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S4</w:t>
            </w:r>
          </w:p>
        </w:tc>
        <w:tc>
          <w:tcPr>
            <w:tcW w:w="135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Nutzwert</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TensorFlow/Keras → TFLite/LiteRT</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4,00</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PyTorch → ExecuTorch</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4,00</w:t>
            </w:r>
          </w:p>
        </w:tc>
      </w:tr>
      <w:tr>
        <w:trPr>
          <w:cantSplit w:val="true"/>
        </w:trPr>
        <w:tc>
          <w:tcPr>
            <w:tcW w:w="22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PyTorch → ONNX Runtime</w:t>
            </w:r>
          </w:p>
        </w:tc>
        <w:tc>
          <w:tcPr>
            <w:tcW w:w="1363"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1"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4,00</w:t>
            </w:r>
          </w:p>
        </w:tc>
      </w:tr>
      <w:tr>
        <w:trPr>
          <w:cantSplit w:val="true"/>
        </w:trPr>
        <w:tc>
          <w:tcPr>
            <w:tcW w:w="22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TensorFlow/Keras → TensorFlow direkt</w:t>
            </w:r>
          </w:p>
        </w:tc>
        <w:tc>
          <w:tcPr>
            <w:tcW w:w="1363"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2</w:t>
            </w:r>
          </w:p>
        </w:tc>
        <w:tc>
          <w:tcPr>
            <w:tcW w:w="1361"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0"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64"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4</w:t>
            </w:r>
          </w:p>
        </w:tc>
        <w:tc>
          <w:tcPr>
            <w:tcW w:w="1357" w:type="dxa"/>
            <w:vAlign w:val="center"/>
            <w:tcMar>
              <w:top w:w="60" w:type="dxa"/>
              <w:bottom w:w="60" w:type="dxa"/>
              <w:left w:w="80" w:type="dxa"/>
              <w:right w:w="80" w:type="dxa"/>
            </w:tcMar>
          </w:tcPr>
          <w:p>
            <w:pPr>
              <w:pStyle w:val="Normal"/>
              <w:keepNext/>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3,40</w:t>
            </w:r>
          </w:p>
        </w:tc>
      </w:tr>
    </w:tbl>
    <w:p>
      <w:pPr>
        <w:pStyle w:val="Normal"/>
        <w:spacing w:lineRule="auto" w:line="240" w:before="12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t>Der Gleichstand bleibt bei gleichen Gewichten und bei den acht einzelnen Gewichtsänderungen bestehen. Sinkt ein bisher mit vier Punkten bewertetes Kriterium einer Alternative um einen Punkt, verliert diese ihren Gleichstand an der Spitze. Die Matrix identifiziert mehrere nach den gewählten Kriterien gleich bewertete Wege. Die anschließende Festlegung auf TensorFlow/Keras mit TFLite ist eine zusätzliche, offen gelegte Entwurfsentscheidung; sie folgt nicht aus einem eindeutigen Nutzwertvorsprung.</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70" w:name="__RefHeading___Toc14148_535938422"/>
      <w:bookmarkStart w:id="171" w:name="FinalHeading_10050"/>
      <w:bookmarkStart w:id="172" w:name="_K5_Section_6"/>
      <w:bookmarkEnd w:id="170"/>
      <w:r>
        <w:rPr>
          <w:color w:val="000000"/>
        </w:rPr>
        <w:t>Systementscheidung und Übergang zur Implementierung</w:t>
      </w:r>
      <w:bookmarkEnd w:id="171"/>
      <w:bookmarkEnd w:id="172"/>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3" w:name="__RefHeading___Toc14254_535938422"/>
      <w:bookmarkStart w:id="174" w:name="FinalCaption_10051"/>
      <w:bookmarkStart w:id="175" w:name="Table_5_13"/>
      <w:bookmarkEnd w:id="173"/>
      <w:r>
        <w:rPr>
          <w:sz w:val="21"/>
        </w:rPr>
        <w:t>Tabelle 5-13: Systementscheidungen und ausstehende Nachweise</w:t>
      </w:r>
      <w:bookmarkEnd w:id="174"/>
      <w:bookmarkEnd w:id="17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Bereich</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Auswahl</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Anforderungsbezug und Nachweis</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Prüfstand</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Lüfter mit PWM; 3,30 Punkte</w:t>
            </w:r>
          </w:p>
        </w:tc>
        <w:tc>
          <w:tcPr>
            <w:tcW w:w="4424" w:type="dxa"/>
            <w:vAlign w:val="center"/>
            <w:tcMar>
              <w:top w:w="60" w:type="dxa"/>
              <w:bottom w:w="60" w:type="dxa"/>
              <w:left w:w="80" w:type="dxa"/>
              <w:right w:w="80" w:type="dxa"/>
            </w:tcMar>
          </w:tcPr>
          <w:p>
            <w:pPr>
              <w:spacing w:after="40" w:before="40" w:line="252" w:lineRule="auto"/>
              <w:jc w:val="left"/>
            </w:pPr>
            <w:r>
              <w:rPr>
                <w:color w:val="000000"/>
                <w:sz w:val="21"/>
              </w:rPr>
              <w:t>A10, A11: dokumentierte Smartphoneanregung und reproduzierbarer Aufbau</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Sensorik</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ADXL345 als Ausgangsvariante; ADXL355 als Alternative</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A1: Signalqualität und zeitliche Erfassung vor der Testserie prüfen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Edge-Plattform</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Raspberry Pi 5; 3,70 Punkte</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A4, A7, A8: vollständige Pipeline und Zeitbudget messen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Datenbasis</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Eigene reale Messläufe; Normaldaten für Training und Kalibrierung</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A2, A3, A9: getrennte Aufnahmen und gemeinsame Testbasis</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Verfahren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Autoencoder, RMS und Isolation Forest</w:t>
            </w:r>
          </w:p>
        </w:tc>
        <w:tc>
          <w:tcPr>
            <w:tcW w:w="4424" w:type="dxa"/>
            <w:vAlign w:val="center"/>
            <w:tcMar>
              <w:top w:w="60" w:type="dxa"/>
              <w:bottom w:w="60" w:type="dxa"/>
              <w:left w:w="80" w:type="dxa"/>
              <w:right w:w="80" w:type="dxa"/>
            </w:tcMar>
          </w:tcPr>
          <w:p>
            <w:pPr>
              <w:spacing w:after="40" w:before="40" w:line="252" w:lineRule="auto"/>
              <w:jc w:val="left"/>
            </w:pPr>
            <w:r>
              <w:rPr>
                <w:color w:val="000000"/>
                <w:sz w:val="21"/>
              </w:rPr>
              <w:t>A3, A9: gleiche Fenster und Kalibrierungsregel; Alarmverhalten vergleichen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FFT</w:t>
            </w:r>
          </w:p>
        </w:tc>
        <w:tc>
          <w:tcPr>
            <w:tcW w:w="2665" w:type="dxa"/>
            <w:vAlign w:val="center"/>
            <w:tcMar>
              <w:top w:w="60" w:type="dxa"/>
              <w:bottom w:w="60" w:type="dxa"/>
              <w:left w:w="80" w:type="dxa"/>
              <w:right w:w="80" w:type="dxa"/>
            </w:tcMar>
          </w:tcPr>
          <w:p>
            <w:pPr>
              <w:spacing w:after="40" w:before="40" w:line="252" w:lineRule="auto"/>
              <w:jc w:val="left"/>
            </w:pPr>
            <w:r>
              <w:rPr>
                <w:color w:val="000000"/>
                <w:sz w:val="21"/>
              </w:rPr>
              <w:t>Mögliche ergänzende Spektralanalyse; kein Ergebnisgegenstand</w:t>
            </w:r>
          </w:p>
        </w:tc>
        <w:tc>
          <w:tcPr>
            <w:tcW w:w="4424" w:type="dxa"/>
            <w:vAlign w:val="center"/>
            <w:tcMar>
              <w:top w:w="60" w:type="dxa"/>
              <w:bottom w:w="60" w:type="dxa"/>
              <w:left w:w="80" w:type="dxa"/>
              <w:right w:w="80" w:type="dxa"/>
            </w:tcMar>
          </w:tcPr>
          <w:p>
            <w:pPr>
              <w:spacing w:after="40" w:before="40" w:line="252" w:lineRule="auto"/>
              <w:jc w:val="left"/>
            </w:pPr>
            <w:r>
              <w:rPr>
                <w:color w:val="000000"/>
                <w:sz w:val="21"/>
              </w:rPr>
              <w:t>A1: nutzbare Messbandbreite vor einer zusätzlichen Frequenzauswertung prüfen</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Neuronale Software</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TensorFlow/Keras → Float32-TFLite; 4,00 Punkte, Gleichstand mit zwei Alternativen</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A5–A8: Konvertierung, Zielkompatibilität und Ressourcen prüfen</w:t>
            </w:r>
          </w:p>
        </w:tc>
      </w:tr>
      <w:tr>
        <w:trPr>
          <w:cantSplit w:val="true"/>
        </w:trPr>
        <w:tc>
          <w:tcPr>
            <w:tcW w:w="1982"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Bedienung und Ausgabe</w:t>
            </w:r>
          </w:p>
        </w:tc>
        <w:tc>
          <w:tcPr>
            <w:tcW w:w="2665"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Start/Stopp und gespeicherte Ergebnisse; Live-GUI optional</w:t>
            </w:r>
          </w:p>
        </w:tc>
        <w:tc>
          <w:tcPr>
            <w:tcW w:w="4424" w:type="dxa"/>
            <w:vAlign w:val="center"/>
            <w:tcMar>
              <w:top w:w="60" w:type="dxa"/>
              <w:bottom w:w="60" w:type="dxa"/>
              <w:left w:w="80" w:type="dxa"/>
              <w:right w:w="80" w:type="dxa"/>
            </w:tcMar>
          </w:tcPr>
          <w:p>
            <w:pPr>
              <w:pStyle w:val="Normal"/>
              <w:keepNext/>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A4, A5, A12, A13: Datenzuordnung, geordnetes Beenden und gegebenenfalls Anzeige prüfen</w:t>
            </w:r>
          </w:p>
        </w:tc>
      </w:tr>
    </w:tbl>
    <w:p>
      <w:pPr>
        <w:pStyle w:val="Normal"/>
        <w:spacing w:lineRule="auto" w:line="240" w:before="120" w:after="120"/>
        <w:jc w:val="center"/>
        <w:rPr/>
      </w:pPr>
      <w:r>
        <w:rPr>
          <w:i/>
          <w:sz w:val="20"/>
        </w:rPr>
        <w:t>Quelle: Eigene Zusammenführung der Entscheidungen aus den Abschnitten 5.2–5.5.</w:t>
      </w:r>
    </w:p>
    <w:p>
      <w:pPr>
        <w:pStyle w:val="Heading1"/>
        <w:numPr>
          <w:ilvl w:val="0"/>
          <w:numId w:val="2"/>
        </w:numPr>
        <w:jc w:val="start"/>
        <w:rPr/>
      </w:pPr>
      <w:bookmarkStart w:id="176" w:name="__RefHeading___Toc8497_3957600584"/>
      <w:bookmarkStart w:id="177" w:name="phone_heading_10000"/>
      <w:bookmarkEnd w:id="176"/>
      <w:bookmarkEnd w:id="177"/>
      <w:r>
        <w:rPr>
          <w:color w:val="000000"/>
        </w:rPr>
        <w:t>Implementierung und Versuchsdesign</w:t>
      </w:r>
    </w:p>
    <w:p>
      <w:pPr>
        <w:pStyle w:val="Heading2"/>
        <w:numPr>
          <w:ilvl w:val="1"/>
          <w:numId w:val="2"/>
        </w:numPr>
        <w:jc w:val="start"/>
        <w:rPr/>
      </w:pPr>
      <w:bookmarkStart w:id="178" w:name="__RefHeading___Toc8499_3957600584"/>
      <w:bookmarkStart w:id="179" w:name="phone_heading_10001"/>
      <w:bookmarkEnd w:id="178"/>
      <w:bookmarkEnd w:id="179"/>
      <w:r>
        <w:t>Smartphoneversuch und Untersuchungsziele</w:t>
      </w:r>
    </w:p>
    <w:p>
      <w:pPr>
        <w:pStyle w:val="Normal"/>
        <w:spacing w:after="120"/>
        <w:rPr/>
      </w:pPr>
      <w:r>
        <w:t>Die explorative Untersuchung vom 19. September 2026 verwendet eine zusätzliche mechanische Anregung durch die Vibrationsfunktion eines angerufenen Smartphones. Das Smartphone liegt auf dem Tisch; der vorgesehene Übertragungsweg führt über Tisch und Lüfteraufbau zum Beschleunigungssensor. Der Lüfter läuft mit einer PWM-Vorgabe von 75 %. Die Smartphonevibration ist eine äußere Einwirkung und kein diagnostisch bestätigter Lüfter- oder Lagerschaden.</w:t>
      </w:r>
    </w:p>
    <w:p>
      <w:pPr>
        <w:spacing w:after="120"/>
      </w:pPr>
      <w:r>
        <w:t>Bewertet werden Alarmentscheidungen, relative Ausgabezeitpunkte und technische Ausführung auf dem Raspberry Pi. Bedienhandlungen sind protokolliert, der physikalische Beginn und das Ende der Vibration jedoch nicht unabhängig gemessen. Die Untersuchung liefert deshalb deskriptive Befunde zum Alarmverhalten und keine bestätigende Prüfung der Erkennungsqualität anhand vollständiger Ereignislabels.</w:t>
      </w:r>
    </w:p>
    <w:p>
      <w:pPr>
        <w:pStyle w:val="Normal"/>
        <w:spacing w:after="120"/>
        <w:rPr/>
      </w:pPr>
      <w:r>
        <w:t>Alle Smartphoneaufnahmen verwenden das Profil standlauf_pwm75_200hz vom 18. September. Trainingsaufnahmen, Modellgewichte, Skalierungsparameter und Schwellen sind vor der Versuchsauswertung festgelegt und als Bündel erhalten. Die Artefakte bleiben in Einzelbetrieb, Replay und gemeinsamem Live-Lauf unverändert. Daten- und Quellcodebelege sind im Anhang als B1–B4 zugeordnet.</w:t>
      </w:r>
    </w:p>
    <w:p>
      <w:pPr>
        <w:pStyle w:val="Normal"/>
        <w:spacing w:after="120"/>
        <w:rPr/>
      </w:pPr>
      <w:r>
        <w:rPr/>
        <w:t>Die Untersuchung besitzt drei Ebenen: Einzelprozesse zeigen die jeweilige Methode ohne die beiden anderen Auswerter; ein Offline-Replay vergleicht alle Methoden auf denselben gespeicherten Rohfenstern; der gemeinsame Live-Lauf vergleicht zusätzlich die tatsächlichen Ausgabezeitpunkte auf einer gemeinsamen Aufnahme. Nur der letzte Modus verbindet identische aktuelle Sensoreingaben mit gleichzeitig aktiven Auswertern.</w:t>
      </w:r>
    </w:p>
    <w:p>
      <w:pPr>
        <w:pStyle w:val="Heading2"/>
        <w:numPr>
          <w:ilvl w:val="1"/>
          <w:numId w:val="2"/>
        </w:numPr>
        <w:jc w:val="start"/>
        <w:rPr/>
      </w:pPr>
      <w:bookmarkStart w:id="180" w:name="__RefHeading___Toc8501_3957600584"/>
      <w:bookmarkStart w:id="181" w:name="phone_heading_10002"/>
      <w:bookmarkEnd w:id="180"/>
      <w:r>
        <w:rPr>
          <w:color w:val="000000"/>
        </w:rPr>
        <w:t>Hardware und mechanischer Übertragungsweg</w:t>
      </w:r>
      <w:bookmarkEnd w:id="181"/>
    </w:p>
    <w:p>
      <w:pPr>
        <w:pStyle w:val="Normal"/>
        <w:spacing w:after="120"/>
        <w:rPr/>
      </w:pPr>
      <w:r>
        <w:t>Der Aufbau besteht aus einem Raspberry Pi 5, einem über I²C angeschlossenen ADXL345 und einem ARCTIC P12 Pro PST mit externer 12-V-Versorgung. Der Sensor ist am feststehenden Lüfterrahmen befestigt. Das Profilprotokoll enthält eine Bestätigung der festen Montage durch den Versuchsverantwortlichen. Eine metrische Vermessung der Orientierung oder der mechanischen Übertragungsfunktion liegt nicht vor.</w:t>
      </w:r>
    </w:p>
    <w:p>
      <w:pPr>
        <w:pStyle w:val="Normal"/>
        <w:spacing w:after="120"/>
        <w:rPr/>
      </w:pPr>
      <w:r>
        <w:t>Das Smartphone regt den Tisch an; die über den Aufbau übertragene Bewegung wird am ADXL345 erfasst. Ein Vergleich getrennter Anrufe setzt kontrollierte Smartphoneposition, Auflage, Vibrationsmuster und Umgebungsbedingungen voraus. Diese Bedingungen sind nicht unabhängig vermessen; auch das Planungsprotokoll enthält keine vollständig bestätigte Gerätebeschreibung oder Geometrie. Die Untersuchung bleibt deshalb eine Pilotstudie. Im gemeinsamen Live-Lauf ist die Gleichheit der Eingaben durch den gemeinsamen Rohdatenstrom und die Fensterhashes belegt.</w:t>
      </w:r>
    </w:p>
    <w:p>
      <w:pPr>
        <w:pStyle w:val="Normal"/>
        <w:keepNext w:val="true"/>
        <w:spacing w:before="0" w:after="0"/>
        <w:jc w:val="center"/>
        <w:rPr/>
      </w:pPr>
      <w:r>
        <w:rPr/>
        <w:drawing>
          <wp:inline distT="0" distB="0" distL="0" distR="0">
            <wp:extent cx="5760085" cy="323342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3233420"/>
                    </a:xfrm>
                    <a:prstGeom prst="rect">
                      <a:avLst/>
                    </a:prstGeom>
                    <a:noFill/>
                  </pic:spPr>
                </pic:pic>
              </a:graphicData>
            </a:graphic>
          </wp:inline>
        </w:drawing>
      </w:r>
    </w:p>
    <w:p>
      <w:pPr>
        <w:pStyle w:val="Abbildungsbeschriftung"/>
        <w:rPr/>
      </w:pPr>
      <w:bookmarkStart w:id="182" w:name="__RefHeading___Toc8559_3957600584"/>
      <w:bookmarkStart w:id="183" w:name="phone_figure_10003"/>
      <w:bookmarkEnd w:id="182"/>
      <w:r>
        <w:rPr/>
        <w:t>Abbildung 6-1: Schematischer Aufbau des Smartphoneversuchs. Die Darstellung erklärt den vorgesehenen Übertragungsweg; sie ist kein Foto und bestätigt keine nicht vermessene Geometrie. Quelle: eigene Darstellung anhand von B1.</w:t>
      </w:r>
      <w:bookmarkEnd w:id="183"/>
    </w:p>
    <w:p>
      <w:pPr>
        <w:pStyle w:val="Tabellenbeschriftung"/>
        <w:rPr/>
      </w:pPr>
      <w:bookmarkStart w:id="184" w:name="__RefHeading___Toc8617_3957600584"/>
      <w:bookmarkStart w:id="185" w:name="phone_table_10004"/>
      <w:bookmarkEnd w:id="184"/>
      <w:r>
        <w:rPr/>
        <w:t>Tabelle 6-1: Hardware und Betriebszustand der Smartphoneuntersuchung</w:t>
      </w:r>
      <w:bookmarkEnd w:id="18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Bestandteil</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Dokumentierter Stand</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Grenze des Nachweises</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Zielrechner</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Raspberry Pi 5, ARM64, vier logische Kerne</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Aussage über andere Rechner</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Lüfter</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ARCTIC P12 Pro PST, externe 12 V</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kontinuierliche Spannungs- oder Drehzahlmessung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Sensor</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ADXL345 am feststehenden Lüfterrahmen</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Orientierung und Übertragungsfunktion nicht kalibriert</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Stellanschluss</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BCM-GPIO18, physischer Pin 12; Hardware-PWM</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Rücklesung der Einstellung, keine elektrische Signalprüfung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Betriebspunkt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75 % Tastgrad bei 25 kHz</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Gleichsetzung mit 75 % Drehzahl</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Anregung</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Smartphonevibration auf dem Tisch durch Anruf</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Beginn, Ende und Amplitude nicht unabhängig gemessen</w:t>
            </w:r>
          </w:p>
        </w:tc>
      </w:tr>
      <w:tr>
        <w:trPr>
          <w:cantSplit w:val="true"/>
        </w:trPr>
        <w:tc>
          <w:tcPr>
            <w:tcW w:w="198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Vergleichseinheit</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128 aufeinanderfolgende XYZ-Punkte</w:t>
            </w:r>
          </w:p>
        </w:tc>
        <w:tc>
          <w:tcPr>
            <w:tcW w:w="442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Fenster sind innerhalb eines Ereignisses zeitlich abhängig</w:t>
            </w:r>
          </w:p>
        </w:tc>
      </w:tr>
    </w:tbl>
    <w:p>
      <w:pPr>
        <w:pStyle w:val="Heading2"/>
        <w:numPr>
          <w:ilvl w:val="1"/>
          <w:numId w:val="2"/>
        </w:numPr>
        <w:spacing w:before="120"/>
        <w:jc w:val="start"/>
        <w:rPr/>
      </w:pPr>
      <w:bookmarkStart w:id="186" w:name="__RefHeading___Toc8503_3957600584"/>
      <w:bookmarkStart w:id="187" w:name="phone_heading_10005"/>
      <w:bookmarkEnd w:id="186"/>
      <w:r>
        <w:rPr>
          <w:color w:val="000000"/>
        </w:rPr>
        <w:t>PWM, Sensor und Zeitbasis</w:t>
      </w:r>
      <w:bookmarkEnd w:id="187"/>
    </w:p>
    <w:p>
      <w:pPr>
        <w:pStyle w:val="Normal"/>
        <w:spacing w:after="120"/>
        <w:rPr/>
      </w:pPr>
      <w:r>
        <w:t>Die protokollierte Hardware-PWM besitzt eine Periode von 40.000 ns, eine Einschaltdauer von 30.000 ns und enable = 1; daraus folgen 25 kHz und 75 % Tastgrad. Diese Einstellung wird vor den Aufnahmen zurückgelesen. Die Anomalieentscheidung steuert den Lüfter nicht. Das Beenden des Smartphone-Recorders löst keinen automatischen 0-%-Befehl aus; Aufnahmeende und Beendigung des Lüfterbetriebs sind getrennte Vorgänge.</w:t>
      </w:r>
    </w:p>
    <w:p>
      <w:pPr>
        <w:pStyle w:val="Normal"/>
        <w:spacing w:after="120"/>
        <w:rPr/>
      </w:pPr>
      <w:r>
        <w:rPr/>
        <w:t>Der ADXL345 arbeitet nominell mit 200 Hz, ±2 g, voller Auflösung und FIFO-Stream-Erfassung. Der Umrechnungsfaktor beträgt 0,0039 g pro LSB. I²C-Bus 1 ist mit 100 kHz konfiguriert. Registerrücklesungen und Qualitätsmerkmale sind in run.json und den Rohjournalen enthalten. Ein CSV-Datensatz enthält einen XYZ-Messpunkt, keine drei getrennten Zeitpunkte.</w:t>
      </w:r>
    </w:p>
    <w:p>
      <w:pPr>
        <w:spacing w:after="120"/>
      </w:pPr>
      <w:r>
        <w:t>Die nominelle −3-dB-Sensorbandbreite beträgt gemäß Datenblatt die Hälfte der eingestellten Ausgaberate, hier 100 Hz. Dies bestätigt weder aliasfreie Messungen noch einen ausreichenden Signal-Rausch-Abstand am Montageort. FIFO-Stream-Erfassung unterstützt die Zuordnung neuer Messwerte; die protokollierte Hostrate ersetzt keine unabhängige Kalibrierung des Sensortakts (Analog Devices, 2022, S. 4, 21 und 32).</w:t>
      </w:r>
    </w:p>
    <w:p>
      <w:pPr>
        <w:pStyle w:val="Normal"/>
        <w:spacing w:after="120"/>
        <w:rPr/>
      </w:pPr>
      <w:r>
        <w:rPr/>
        <w:t>Die monotone Host-Uhr dokumentiert den Abschluss der Messpunktlesung, der Fensterbildung und der Entscheidung. UTC dient der Zuordnung von Bedienereignissen. Nominell dauert ein nicht überlappendes Fenster 128/200 = 0,640 s. Aus den Host-Zeitstempeln ergeben sich in den ausgewählten Aufnahmen rund 207 XYZ-Punkte pro Sekunde beziehungsweise etwa 0,617 s pro Fenster. Diese Beobachtung ist keine unabhängige Messung des internen Sensortakts; die Abweichung bleibt offengelegt. Die Fensterfüllzeit gehört zur praktischen Alarmverzögerung, nicht zur nachfolgend gemessenen reinen Verarbeitung eines bereits vollständigen Fensters.</w:t>
      </w:r>
    </w:p>
    <w:p>
      <w:pPr>
        <w:pStyle w:val="Normal"/>
        <w:spacing w:after="120"/>
        <w:rPr/>
      </w:pPr>
      <w:r>
        <w:rPr/>
        <w:t>Bei erkannten Datenlücken, Überläufen oder Sättigung wird ein Fenster nicht stillschweigend als normal gewertet. Unvollständige Reste werden gespeichert, aber nicht durch künstliche Werte zu vollständigen Fenstern ergänzt. Die begrenzte Queue umfasst vier Fenster. Im gemeinsamen Lauf wurde höchstens ein wartendes Fenster protokolliert.</w:t>
      </w:r>
    </w:p>
    <w:p>
      <w:pPr>
        <w:pStyle w:val="Heading2"/>
        <w:numPr>
          <w:ilvl w:val="1"/>
          <w:numId w:val="2"/>
        </w:numPr>
        <w:jc w:val="start"/>
        <w:rPr/>
      </w:pPr>
      <w:bookmarkStart w:id="188" w:name="__RefHeading___Toc8505_3957600584"/>
      <w:bookmarkStart w:id="189" w:name="phone_heading_10006"/>
      <w:bookmarkEnd w:id="188"/>
      <w:bookmarkEnd w:id="189"/>
      <w:r>
        <w:t>Vorverarbeitung und eingefrorene Modelle</w:t>
      </w:r>
    </w:p>
    <w:p>
      <w:pPr>
        <w:pStyle w:val="Normal"/>
        <w:spacing w:after="120"/>
        <w:rPr/>
      </w:pPr>
      <w:r>
        <w:t>Die Pipeline verarbeitet die Achsen X, Y und Z in fester Reihenfolge als Float32. Sie verwendet die auf normalen Trainingsdaten bestimmten Mittelwerte μ und Standardabweichungen σ: z = (x − μ) / σ. Der gleiche Scaler wird für alle drei Methoden eingesetzt. Vor dieser Standardisierung wird kein eigener Mittelwert je Fenster entfernt. Damit können auch Änderungen des Fenstermittelwerts gegenüber der Trainingsreferenz in die Scores eingehen. Diese Festlegung gilt unverändert für Training, Kalibrierung, Replay und Live-Auswertung.</w:t>
      </w:r>
    </w:p>
    <w:p>
      <w:pPr>
        <w:pStyle w:val="Tabellenbeschriftung"/>
        <w:rPr/>
      </w:pPr>
      <w:bookmarkStart w:id="190" w:name="__RefHeading___Toc8615_3957600584"/>
      <w:bookmarkStart w:id="191" w:name="phone_table_10007"/>
      <w:bookmarkEnd w:id="190"/>
      <w:r>
        <w:rPr/>
        <w:t>Tabelle 6-2: Festgelegte Skalierung des aktuellen Normalprofils, gerundet</w:t>
      </w:r>
      <w:bookmarkEnd w:id="19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Achse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Trainingsmittelwert μ [g]</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Trainingsstandardabweichung σ [g]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X</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w:t>
            </w:r>
            <w:r>
              <w:rPr>
                <w:b w:val="false"/>
                <w:color w:val="000000"/>
                <w:sz w:val="21"/>
              </w:rPr>
              <w:t>0,624318715</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0,028777793</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Y</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w:t>
            </w:r>
            <w:r>
              <w:rPr>
                <w:b w:val="false"/>
                <w:color w:val="000000"/>
                <w:sz w:val="21"/>
              </w:rPr>
              <w:t>0,710917289</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0,024151856</w:t>
            </w:r>
          </w:p>
        </w:tc>
      </w:tr>
      <w:tr>
        <w:trPr>
          <w:cantSplit w:val="true"/>
        </w:trPr>
        <w:tc>
          <w:tcPr>
            <w:tcW w:w="198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Z</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0,096116970</w:t>
            </w:r>
          </w:p>
        </w:tc>
        <w:tc>
          <w:tcPr>
            <w:tcW w:w="4423"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0,080470853</w:t>
            </w:r>
          </w:p>
        </w:tc>
      </w:tr>
    </w:tbl>
    <w:p>
      <w:pPr>
        <w:pStyle w:val="Normal"/>
        <w:spacing w:after="120" w:before="120"/>
        <w:rPr/>
      </w:pPr>
      <w:r>
        <w:rPr/>
        <w:t>Der RMS-Score ist die Quadratwurzel des Mittelwerts aller 384 quadrierten standardisierten Werte eines Fensters. Er ist ein dimensionsloser aggregierter Kennwert und nicht der unskalierte Beschleunigungs-RMS in g. Isolation Forest verarbeitet dieselben 384 Werte als abgeflachten Merkmalsvektor. Verwendet werden 200 Bäume, random_state = 42, max_samples = auto, contamination = auto und n_jobs = 1. Der Anomaliescore ist −score_samples; die Entscheidung folgt der separat eingefrorenen P99-Schwelle und nicht unmittelbar der eingebauten predict-Grenze von scikit-learn.</w:t>
      </w:r>
    </w:p>
    <w:p>
      <w:pPr>
        <w:pStyle w:val="Normal"/>
        <w:spacing w:after="120"/>
        <w:rPr/>
      </w:pPr>
      <w:r>
        <w:t>Der Autoencoder rekonstruiert das standardisierte 128 × 3-Fenster. Sein Score ist der mittlere quadratische Rekonstruktionsfehler über alle Zeitpunkte und Achsen. Die Architektur besitzt 507 trainierbare Parameter. Alle verdeckten Faltungsschichten verwenden ReLU, die Ausgabeschicht eine lineare Aktivierung. Faltungen und MaxPooling verwenden padding = same; die beiden UpSampling-Stufen verdoppeln jeweils die zeitliche Länge. Der TFLite-Interpreter wird mit einem Thread ausgeführt. Die Topologie ist in Tabelle 6-3 angegeben; Gewichte und Kalibrierung sind dem jeweiligen Profil zugeordnet.</w:t>
      </w:r>
    </w:p>
    <w:p>
      <w:pPr>
        <w:pStyle w:val="Tabellenbeschriftung"/>
        <w:rPr/>
      </w:pPr>
      <w:bookmarkStart w:id="192" w:name="__RefHeading___Toc8613_3957600584"/>
      <w:bookmarkStart w:id="193" w:name="phone_table_10008"/>
      <w:bookmarkEnd w:id="192"/>
      <w:r>
        <w:rPr/>
        <w:t>Tabelle 6-3: Architektur des verwendeten Autoencoders</w:t>
      </w:r>
      <w:bookmarkEnd w:id="19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2"/>
        <w:gridCol w:w="2665"/>
        <w:gridCol w:w="4424"/>
      </w:tblGrid>
      <w:tr>
        <w:trPr>
          <w:tblHeader w:val="true"/>
          <w:cantSplit w:val="true"/>
        </w:trPr>
        <w:tc>
          <w:tcPr>
            <w:tcW w:w="198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Stufe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Operation</w:t>
            </w:r>
          </w:p>
        </w:tc>
        <w:tc>
          <w:tcPr>
            <w:tcW w:w="442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color w:val="000000"/>
                <w:kern w:val="0"/>
                <w:sz w:val="21"/>
                <w:szCs w:val="22"/>
                <w:lang w:eastAsia="en-US" w:bidi="ar-SA"/>
              </w:rPr>
              <w:t>Ausgabeform ohne Batchdimension</w:t>
            </w:r>
          </w:p>
        </w:tc>
      </w:tr>
      <w:tr>
        <w:trPr>
          <w:cantSplit w:val="true"/>
        </w:trPr>
        <w:tc>
          <w:tcPr>
            <w:tcW w:w="1982"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Eingabe</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Standardisierte XYZ-Werte</w:t>
            </w:r>
          </w:p>
        </w:tc>
        <w:tc>
          <w:tcPr>
            <w:tcW w:w="4424" w:type="dxa"/>
            <w:vAlign w:val="center"/>
            <w:tcMar>
              <w:top w:w="60" w:type="dxa"/>
              <w:bottom w:w="60" w:type="dxa"/>
              <w:left w:w="80" w:type="dxa"/>
              <w:right w:w="80" w:type="dxa"/>
            </w:tcMa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128 × 3</w:t>
            </w:r>
          </w:p>
        </w:tc>
      </w:tr>
      <w:tr>
        <w:trPr>
          <w:cantSplit w:val="true"/>
        </w:trPr>
        <w:tc>
          <w:tcPr>
            <w:tcW w:w="1982"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Encoder 1</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Conv1D, 8 Filter, Kernel 5; MaxPooling 2</w:t>
            </w:r>
          </w:p>
        </w:tc>
        <w:tc>
          <w:tcPr>
            <w:tcW w:w="4424" w:type="dxa"/>
            <w:vAlign w:val="center"/>
            <w:tcMar>
              <w:top w:w="60" w:type="dxa"/>
              <w:bottom w:w="60" w:type="dxa"/>
              <w:left w:w="80" w:type="dxa"/>
              <w:right w:w="80" w:type="dxa"/>
            </w:tcMa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64 × 8</w:t>
            </w:r>
          </w:p>
        </w:tc>
      </w:tr>
      <w:tr>
        <w:trPr>
          <w:cantSplit w:val="true"/>
        </w:trPr>
        <w:tc>
          <w:tcPr>
            <w:tcW w:w="1982"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Encoder 2</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Conv1D, 4 Filter, Kernel 3; MaxPooling 2</w:t>
            </w:r>
          </w:p>
        </w:tc>
        <w:tc>
          <w:tcPr>
            <w:tcW w:w="4424" w:type="dxa"/>
            <w:vAlign w:val="center"/>
            <w:tcMar>
              <w:top w:w="60" w:type="dxa"/>
              <w:bottom w:w="60" w:type="dxa"/>
              <w:left w:w="80" w:type="dxa"/>
              <w:right w:w="80" w:type="dxa"/>
            </w:tcMa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32 × 4</w:t>
            </w:r>
          </w:p>
        </w:tc>
      </w:tr>
      <w:tr>
        <w:trPr>
          <w:cantSplit w:val="true"/>
        </w:trPr>
        <w:tc>
          <w:tcPr>
            <w:tcW w:w="1982"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Decoder 1</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Conv1D, 4 Filter, Kernel 3; Upsampling 2</w:t>
            </w:r>
          </w:p>
        </w:tc>
        <w:tc>
          <w:tcPr>
            <w:tcW w:w="4424" w:type="dxa"/>
            <w:vAlign w:val="center"/>
            <w:tcMar>
              <w:top w:w="60" w:type="dxa"/>
              <w:bottom w:w="60" w:type="dxa"/>
              <w:left w:w="80" w:type="dxa"/>
              <w:right w:w="80" w:type="dxa"/>
            </w:tcMa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64 × 4</w:t>
            </w:r>
          </w:p>
        </w:tc>
      </w:tr>
      <w:tr>
        <w:trPr>
          <w:cantSplit w:val="true"/>
        </w:trPr>
        <w:tc>
          <w:tcPr>
            <w:tcW w:w="1982"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Decoder 2</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Conv1D, 8 Filter, Kernel 3; Upsampling 2</w:t>
            </w:r>
          </w:p>
        </w:tc>
        <w:tc>
          <w:tcPr>
            <w:tcW w:w="4424" w:type="dxa"/>
            <w:vAlign w:val="center"/>
            <w:tcMar>
              <w:top w:w="60" w:type="dxa"/>
              <w:bottom w:w="60" w:type="dxa"/>
              <w:left w:w="80" w:type="dxa"/>
              <w:right w:w="80" w:type="dxa"/>
            </w:tcMar>
          </w:tcPr>
          <w:p>
            <w:pPr>
              <w:pStyle w:val="Normal"/>
              <w:keepNext w:val="tru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128 × 8</w:t>
            </w:r>
          </w:p>
        </w:tc>
      </w:tr>
      <w:tr>
        <w:trPr>
          <w:cantSplit w:val="true"/>
        </w:trPr>
        <w:tc>
          <w:tcPr>
            <w:tcW w:w="1982"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Rekonstruktion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rFonts w:eastAsia="" w:cs="Tahoma"/>
                <w:kern w:val="0"/>
                <w:sz w:val="22"/>
                <w:szCs w:val="22"/>
                <w:lang w:eastAsia="en-US" w:bidi="ar-SA"/>
              </w:rPr>
            </w:pPr>
            <w:r>
              <w:rPr>
                <w:rFonts w:eastAsia="" w:cs="Tahoma"/>
                <w:b w:val="false"/>
                <w:color w:val="000000"/>
                <w:kern w:val="0"/>
                <w:sz w:val="21"/>
                <w:szCs w:val="22"/>
                <w:lang w:eastAsia="en-US" w:bidi="ar-SA"/>
              </w:rPr>
              <w:t>Conv1D, 3 Filter, Kernel 5; linear</w:t>
            </w:r>
          </w:p>
        </w:tc>
        <w:tc>
          <w:tcPr>
            <w:tcW w:w="4424" w:type="dxa"/>
            <w:vAlign w:val="center"/>
            <w:tcMar>
              <w:top w:w="60" w:type="dxa"/>
              <w:bottom w:w="60" w:type="dxa"/>
              <w:left w:w="80" w:type="dxa"/>
              <w:right w:w="80" w:type="dxa"/>
            </w:tcMar>
          </w:tcPr>
          <w:p>
            <w:pPr>
              <w:pStyle w:val="Normal"/>
              <w:keepNext w:val="false"/>
              <w:keepLines/>
              <w:spacing w:lineRule="auto" w:line="252" w:before="40" w:after="40"/>
              <w:jc w:val="end"/>
              <w:rPr>
                <w:rFonts w:eastAsia="" w:cs="Tahoma"/>
                <w:kern w:val="0"/>
                <w:sz w:val="22"/>
                <w:szCs w:val="22"/>
                <w:lang w:eastAsia="en-US" w:bidi="ar-SA"/>
              </w:rPr>
            </w:pPr>
            <w:r>
              <w:rPr>
                <w:rFonts w:eastAsia="" w:cs="Tahoma"/>
                <w:b w:val="false"/>
                <w:color w:val="000000"/>
                <w:kern w:val="0"/>
                <w:sz w:val="21"/>
                <w:szCs w:val="22"/>
                <w:lang w:eastAsia="en-US" w:bidi="ar-SA"/>
              </w:rPr>
              <w:t>128 × 3</w:t>
            </w:r>
          </w:p>
        </w:tc>
      </w:tr>
    </w:tbl>
    <w:p>
      <w:pPr>
        <w:pStyle w:val="Heading2"/>
        <w:numPr>
          <w:ilvl w:val="1"/>
          <w:numId w:val="2"/>
        </w:numPr>
        <w:spacing w:before="120"/>
        <w:jc w:val="start"/>
        <w:rPr/>
      </w:pPr>
      <w:bookmarkStart w:id="194" w:name="__RefHeading___Toc8507_3957600584"/>
      <w:bookmarkStart w:id="195" w:name="phone_heading_10009"/>
      <w:bookmarkEnd w:id="194"/>
      <w:r>
        <w:rPr>
          <w:color w:val="000000"/>
        </w:rPr>
        <w:t>Normaltraining, Schwellen und Exportprüfung</w:t>
      </w:r>
      <w:bookmarkEnd w:id="195"/>
    </w:p>
    <w:p>
      <w:pPr>
        <w:pStyle w:val="Normal"/>
        <w:spacing w:after="120"/>
        <w:rPr/>
      </w:pPr>
      <w:r>
        <w:rPr/>
        <w:t>Das Profil wurde vor den Smartphoneversuchen aus vier normalen Aufnahmen von jeweils nominell 60 s bei 75 % PWM erstellt. Die ersten drei vollständigen Dateien dienen dem Training, die vierte der Validierung. Es entstehen 291 Trainings- und 97 Validierungsfenster. Der Scaler wird ausschließlich anhand der 37.248 XYZ-Punkte der Trainingsfenster angepasst. Die Aufteilung erfolgt nach vollständigen Aufnahmen; benachbarte Fenster derselben Datei werden nicht zufällig auf Training und Validierung verteilt.</w:t>
      </w:r>
    </w:p>
    <w:p>
      <w:pPr>
        <w:pStyle w:val="Normal"/>
        <w:spacing w:after="120"/>
        <w:rPr/>
      </w:pPr>
      <w:r>
        <w:t>Der Autoencoder wird mit Adam, Lernrate 0,001 und mittlerem quadratischem Fehler als Verlustfunktion trainiert. Batchgröße 32, maximal 100 Epochen und shuffle = True sind festgelegt. Python, NumPy und TensorFlow erhalten den Seed 42; deterministische TensorFlow-Operationen werden im Code angefordert. Das ersetzt keinen Nachweis identischer Trainingsläufe über beliebige Software- und Hardwarestände. Der Checkpoint speichert den kleinsten Validierungsverlust. EarlyStopping überwacht val_loss mit patience = 10, min_delta = 10⁻⁶ und restore_best_weights = True. Die beste dokumentierte Epoche ist 100, ein vorzeitiger Abbruch erfolgt nicht. Damit ist keine vollständige Konvergenz nachgewiesen. Die abschließenden Verluste betragen etwa 0,25145 im Training und 0,27893 in der Validierung (B2; Trainingsprotokoll des Normalprofils).</w:t>
      </w:r>
      <w:r>
        <w:rPr>
          <w:rStyle w:val="CommentReference"/>
        </w:rPr>
      </w:r>
    </w:p>
    <w:p>
      <w:pPr>
        <w:pStyle w:val="Normal"/>
        <w:spacing w:after="120"/>
        <w:rPr/>
      </w:pPr>
      <w:r>
        <w:rPr/>
        <w:t>Für jede Methode wird der Schwellenwert als 99. Perzentil der Scores der separaten normalen Validierungsaufnahme bestimmt. Verwendet wird lineare Quantilinterpolation. Bei 97 sortierten Scores entspricht die Nullbasisposition (97 − 1) · 0,99 = 95,04 einer Interpolation zwischen dem 96. und 97. geordneten Wert. Ein Alarm gilt bei Score &gt; Schwelle. Die gleiche Perzentilregel bedeutet weder gleiche numerische Scorebereiche noch garantiert gleiche Fehlalarmraten auf neuen Daten.</w:t>
      </w:r>
    </w:p>
    <w:p>
      <w:pPr>
        <w:spacing w:after="120"/>
      </w:pPr>
      <w:r>
        <w:t>Die vierte Normalaufnahme übernimmt zwei Rollen: Sie überwacht die Modellanpassung und liefert anschließend die Kalibrierungsscores. Modellwahl und Schwellenkalibrierung sind dadurch nicht vollständig unabhängig; eine Nutzung der späteren Smartphone-Testaufnahmen für diese Schritte ist nicht dokumentiert. Das P99 hängt bei 97 Werten von den beiden größten Validierungsscores ab. Die Schwelle ist daher eine nachvollziehbare Festlegung dieses Pilotprofils, aber kein statistisch abgesichertes 1-%-Fehlalarmniveau.</w:t>
      </w:r>
    </w:p>
    <w:p>
      <w:pPr>
        <w:pStyle w:val="Tabellenbeschriftung"/>
        <w:rPr/>
      </w:pPr>
      <w:bookmarkStart w:id="196" w:name="__RefHeading___Toc8611_3957600584"/>
      <w:bookmarkStart w:id="197" w:name="phone_table_10010"/>
      <w:bookmarkEnd w:id="196"/>
      <w:r>
        <w:rPr/>
        <w:t>Tabelle 6-4: Eingefrorene Schwellen der Smartphoneuntersuchung</w:t>
      </w:r>
      <w:bookmarkEnd w:id="19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Methode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Score</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Schwelle</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Autoencoder</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MSE der standardisierten Rekonstruktion</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0,477202599144</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Isolation Forest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w:t>
            </w:r>
            <w:r>
              <w:rPr>
                <w:b w:val="false"/>
                <w:color w:val="000000"/>
                <w:sz w:val="21"/>
              </w:rPr>
              <w:t>score_samples</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0,483354740160</w:t>
            </w:r>
          </w:p>
        </w:tc>
      </w:tr>
      <w:tr>
        <w:trPr>
          <w:cantSplit w:val="true"/>
        </w:trPr>
        <w:tc>
          <w:tcPr>
            <w:tcW w:w="198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RMS</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RMS der standardisierten Werte</w:t>
            </w:r>
          </w:p>
        </w:tc>
        <w:tc>
          <w:tcPr>
            <w:tcW w:w="4423"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1,296361072562</w:t>
            </w:r>
          </w:p>
        </w:tc>
      </w:tr>
    </w:tbl>
    <w:p>
      <w:pPr>
        <w:pStyle w:val="Normal"/>
        <w:spacing w:after="120" w:before="120"/>
        <w:rPr/>
      </w:pPr>
      <w:r>
        <w:rPr/>
        <w:t>Die Autoencoder-Schwelle stammt aus der eingefrorenen Keras-Validierung. Der Float32-TFLite-Export wird auf denselben 97 Validierungsfenstern geprüft: Die größte absolute Rekonstruktionsabweichung beträgt 2,623 · 10⁻⁶, die größte MSE-Abweichung 7,192 · 10⁻⁸; keine Entscheidung ändert sich. Ein Validierungsfenster liegt oberhalb der P99-Grenze. Dieser Kalibrierungsbefund ist keine unabhängig gemessene Fehlalarmrate im späteren Betrieb. Modelle und Schwellen werden nach Sichtung der Smartphoneversuche nicht optimiert.</w:t>
      </w:r>
    </w:p>
    <w:p>
      <w:pPr>
        <w:spacing w:after="120"/>
      </w:pPr>
      <w:r>
        <w:t>Die zugeordneten Artefakte umfassen 55.472 Byte für das Keras-Modell, 14.084 Byte für das Float32-TFLite-Modell, 2.955.725 Byte für Isolation Forest und 639 Byte für den Scaler. Die TFLite-Datei ist damit rund 74,6 % kleiner als die Keras-Datei. Diese Dateigrößen beziehen sich auf unterschiedliche Serialisierungsformate und beschreiben weder den Prozessspeicher noch den elektrischen Energiebedarf. Der Trainingspfad ist in src/calibrate_and_train.py, src/train_clean_autoencoder.py und src/train_autoencoder.py dokumentiert; die Ausführung und Scorerichtung sind in src/common_comparison.py sowie den beiden Smartphone-Recordern festgelegt (Repositorystand im Anhang).</w:t>
      </w:r>
    </w:p>
    <w:p>
      <w:pPr>
        <w:pStyle w:val="Heading2"/>
        <w:numPr>
          <w:ilvl w:val="1"/>
          <w:numId w:val="2"/>
        </w:numPr>
        <w:jc w:val="start"/>
        <w:rPr/>
      </w:pPr>
      <w:bookmarkStart w:id="198" w:name="__RefHeading___Toc8509_3957600584"/>
      <w:bookmarkStart w:id="199" w:name="phone_heading_10011"/>
      <w:bookmarkEnd w:id="198"/>
      <w:r>
        <w:rPr>
          <w:color w:val="000000"/>
        </w:rPr>
        <w:t>Einzelbetrieb, Replay und gemeinsame Live-Auswertung</w:t>
      </w:r>
      <w:bookmarkEnd w:id="199"/>
    </w:p>
    <w:p>
      <w:pPr>
        <w:pStyle w:val="Normal"/>
        <w:spacing w:after="120"/>
        <w:rPr/>
      </w:pPr>
      <w:r>
        <w:rPr/>
        <w:t>Im Einzelbetrieb läuft jeweils nur eine Methode im Aufnahmeprozess. Erfassung, Qualitätsprüfung, Vorverarbeitung, Entscheidung und Protokollierung gehören dennoch zum Prozess. Vor Beginn werden 20 Aufwärmfenster verarbeitet. Es läuft keine Live-GUI. Die drei ausgewählten Einzelaufnahmen enthalten unterschiedliche physikalische Anregungen; ein identisches Smartphonemodell allein macht verschiedene Anrufe nicht zu identischen Sensoreingaben.</w:t>
      </w:r>
    </w:p>
    <w:p>
      <w:pPr>
        <w:pStyle w:val="Normal"/>
        <w:spacing w:after="120"/>
        <w:rPr/>
      </w:pPr>
      <w:r>
        <w:rPr/>
        <w:t>Beim Offline-Replay werden alle drei Methoden auf die gleichen gespeicherten Rohfenster jeder Einzelaufnahme angewendet. Dadurch ist der Eingabevergleich exakt reproduzierbar. Die Reihenfolge der ersten Alarmfenster lässt sich vergleichen, die Replay-Laufzeit ist jedoch keine gemessene Live-Reaktion auf eine neue Smartphonevibration. Die erneute Auswertung erzeugt keine zusätzlichen unabhängigen physikalischen Ereignisse.</w:t>
      </w:r>
    </w:p>
    <w:p>
      <w:pPr>
        <w:pStyle w:val="Normal"/>
        <w:spacing w:after="120"/>
        <w:rPr/>
      </w:pPr>
      <w:r>
        <w:rPr/>
        <w:t>Im gemeinsamen Live-Lauf erfasst ein Sensorpfad die Rohdaten. Jedes vollständige Fenster wird an drei Worker-Threads im selben Prozess übergeben. Ein gemeinsamer Startmechanismus koordiniert die Auswertung; gleiche Startbedingungen garantieren keine identische CPU-Zuteilung. Für jedes Fenster werden Eingabehash, Dispatch-, Worker-Start- und Entscheidungszeit gespeichert. Die feste Reihenfolge der Zeilen im Journal ist nicht das Ergebnisranking. Dieses wird aus den gemessenen Entscheidungszeitpunkten berechnet.</w:t>
      </w:r>
    </w:p>
    <w:p>
      <w:pPr>
        <w:pStyle w:val="Normal"/>
        <w:keepNext w:val="true"/>
        <w:spacing w:before="0" w:after="0"/>
        <w:jc w:val="center"/>
        <w:rPr/>
      </w:pPr>
      <w:r>
        <w:rPr/>
        <w:drawing>
          <wp:inline distT="0" distB="0" distL="0" distR="0">
            <wp:extent cx="5760085" cy="240003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6"/>
                    <a:stretch>
                      <a:fillRect/>
                    </a:stretch>
                  </pic:blipFill>
                  <pic:spPr bwMode="auto">
                    <a:xfrm>
                      <a:off x="0" y="0"/>
                      <a:ext cx="5760085" cy="2400035"/>
                    </a:xfrm>
                    <a:prstGeom prst="rect">
                      <a:avLst/>
                    </a:prstGeom>
                    <a:noFill/>
                  </pic:spPr>
                </pic:pic>
              </a:graphicData>
            </a:graphic>
          </wp:inline>
        </w:drawing>
      </w:r>
    </w:p>
    <w:p>
      <w:pPr>
        <w:pStyle w:val="Abbildungsbeschriftung"/>
        <w:rPr/>
      </w:pPr>
      <w:bookmarkStart w:id="200" w:name="__RefHeading___Toc8575_3957600584"/>
      <w:bookmarkStart w:id="201" w:name="phone_figure_10012"/>
      <w:bookmarkEnd w:id="200"/>
      <w:r>
        <w:rPr/>
        <w:t>Abbildung 6-2: Datenfluss des gemeinsamen Live-Vergleichs. Alle drei Methoden erhalten dasselbe Rohfenster; ihre Verarbeitung und Ausgabezeitpunkte bleiben getrennt protokolliert. Quelle: eigene Darstellung anhand der Implementierung und Journale in B1.</w:t>
      </w:r>
      <w:bookmarkEnd w:id="201"/>
    </w:p>
    <w:p>
      <w:pPr>
        <w:pStyle w:val="Tabellenbeschriftung"/>
        <w:rPr/>
      </w:pPr>
      <w:bookmarkStart w:id="202" w:name="__RefHeading___Toc8609_3957600584"/>
      <w:bookmarkStart w:id="203" w:name="phone_table_10013"/>
      <w:bookmarkEnd w:id="202"/>
      <w:r>
        <w:rPr/>
        <w:t>Tabelle 6-5: Zeitbegriffe und zulässige Interpretation</w:t>
      </w:r>
      <w:bookmarkEnd w:id="20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Größe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Bezugspunkte</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Bedeutung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Verarbeitungszeit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Start bis Ende des jeweiligen Auswerteraufrufs</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Vorverarbeitung, Modellbewertung und Score im instrumentierten Aufruf; kein einheitlicher reiner Modellkern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Fenster-bis-Entscheidung</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Host-Abschluss des letzten Fensterpunkts bis Entscheidung</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Einschließlich Übergabe und Scheduling; ohne vorherige Fensterfüllzeit</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Alarmfenster</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Erster Fensterindex mit Score &gt; Schwelle</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Vergleich der Eingabesensitivität bei identischen Fenstern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Relative Alarmausgabe</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 Alarmausgabe einer Methode minus früheste Alarmausgabe</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Beobachteter Ausgabevorsprung im selben Live-Lauf</w:t>
            </w:r>
          </w:p>
        </w:tc>
      </w:tr>
      <w:tr>
        <w:trPr>
          <w:cantSplit w:val="true"/>
        </w:trPr>
        <w:tc>
          <w:tcPr>
            <w:tcW w:w="198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color w:val="000000"/>
                <w:sz w:val="21"/>
              </w:rPr>
              <w:t>Physische</w:t>
              <w:br/>
              <w:t>Erkennungs-</w:t>
              <w:br/>
              <w:t>verzögerung</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Entscheidung minus unabhängig gemessener Vibrationsbeginn</w:t>
            </w:r>
          </w:p>
        </w:tc>
        <w:tc>
          <w:tcPr>
            <w:tcW w:w="442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Mit den vorliegenden Bedienmarkern nicht bestimmbar</w:t>
            </w:r>
          </w:p>
        </w:tc>
      </w:tr>
    </w:tbl>
    <w:p>
      <w:pPr>
        <w:pStyle w:val="Heading2"/>
        <w:numPr>
          <w:ilvl w:val="1"/>
          <w:numId w:val="2"/>
        </w:numPr>
        <w:spacing w:before="120"/>
        <w:jc w:val="start"/>
        <w:rPr/>
      </w:pPr>
      <w:bookmarkStart w:id="204" w:name="__RefHeading___Toc8511_3957600584"/>
      <w:bookmarkStart w:id="205" w:name="phone_heading_10014"/>
      <w:bookmarkEnd w:id="204"/>
      <w:r>
        <w:rPr>
          <w:color w:val="000000"/>
        </w:rPr>
        <w:t>Ablauf, Bedienmarker und Annahmen</w:t>
      </w:r>
      <w:bookmarkEnd w:id="205"/>
    </w:p>
    <w:p>
      <w:pPr>
        <w:pStyle w:val="Normal"/>
        <w:spacing w:after="120"/>
        <w:rPr/>
      </w:pPr>
      <w:r>
        <w:t>Das Versuchsprotokoll sieht mindestens 30 s Ruhe vor der Anrufaufforderung und mindestens 15 s Nachlauf nach der gemeldeten Beendigung vor. Start, Protokollierung, Auswertung und Diagrammerstellung erfolgen skriptgestützt; die Person am Aufbau löst den Anruf manuell aus. Anläufe mit unklarer Abstimmung bleiben als solche erhalten und werden getrennt dokumentiert. Die KI-Unterstützung des Arbeitsablaufs ist im Abschnitt KI-Unterstützung und fachliche Verantwortung im Anhang offengelegt.</w:t>
      </w:r>
    </w:p>
    <w:p>
      <w:pPr>
        <w:pStyle w:val="Normal"/>
        <w:spacing w:after="120"/>
        <w:rPr/>
      </w:pPr>
      <w:r>
        <w:rPr/>
        <w:t>Der Marker call_requested bezeichnet die protokollierte Aufforderung, nicht den tatsächlichen Beginn der Smartphonevibration. Ebenso ist die Rückmeldung zum Ende keine automatische Messung des mechanischen Abklingens. Die geplanten ungefähr 5 s Vibration werden nicht als tatsächlich gemessene Dauer übernommen. Der Zeitraum zwischen den beiden Bedienmarkern umfasst auch Reaktions-, Verbindungs- und Rückmeldezeit. Die Abbildungen schattieren diesen Bedienzeitraum ausdrücklich, nicht ein verifiziertes Störungsintervall.</w:t>
      </w:r>
    </w:p>
    <w:p>
      <w:pPr>
        <w:pStyle w:val="Normal"/>
        <w:spacing w:after="120"/>
        <w:rPr/>
      </w:pPr>
      <w:r>
        <w:rPr/>
        <w:t>Fenster werden anhand ihrer Anfangs- und Endzeit in vor der Aufforderung, zwischen den Markern, nach der Rückmeldung und markerübergreifend eingeteilt. Markerübergreifende Fenster bleiben gesondert erhalten. Ohne unabhängige physische Referenz ist die Anzahl markierter Fenster eine deskriptive Alarmzahl. Elf Alarmfenster bedeuten weder elf unabhängige Störungen noch automatisch eine bessere Erkennungsquote als sechs Alarmfenster.</w:t>
      </w:r>
    </w:p>
    <w:p>
      <w:pPr>
        <w:pStyle w:val="Tabellenbeschriftung"/>
        <w:rPr/>
      </w:pPr>
      <w:bookmarkStart w:id="206" w:name="__RefHeading___Toc8607_3957600584"/>
      <w:bookmarkStart w:id="207" w:name="phone_table_10015"/>
      <w:bookmarkEnd w:id="206"/>
      <w:r>
        <w:rPr/>
        <w:t>Tabelle 6-6: Annahmen und offene Nachweise</w:t>
      </w:r>
      <w:bookmarkEnd w:id="20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Annahme / Größe</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Vorliegender Nachweis</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Konsequenz</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Gleiche Eingaben</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Gemeinsamer Rohstrom und Hash je Fenster im Live-Vergleich; identische Rohdateien im Replay</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Direkter Methodenvergleich innerhalb dieser Modi möglich</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Gleiche Anrufe im Einzelbetrieb</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unabhängige Gleichheitsmessung</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direkte Rangfolge aus getrennten Startzeiten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Übertragbarkeit des Normalprofils</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Vorheriges Normaltraining; endgültige Smartphonegeometrie nicht vollständig bestätigt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Ergebnisse bleiben auf den Pilotaufbau begrenzt</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Physischer Beginn / Ende</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Nur Bedienmarker und Nutzerrückmeldung</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absolute Fehler-Erkennungsverzögerung oder bestätigte F1-Auswertung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Elektrischer Verbrauch</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Keine Spannungs-/Strommessung</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CPU und RAM werden nicht in Watt oder Wh umgerechnet</w:t>
            </w:r>
          </w:p>
        </w:tc>
      </w:tr>
      <w:tr>
        <w:trPr>
          <w:cantSplit w:val="true"/>
        </w:trPr>
        <w:tc>
          <w:tcPr>
            <w:tcW w:w="198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Wiederholbarkeit</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Ein ausgewählter Anruf je Einzelmethode, ein gemeinsamer Lauf</w:t>
            </w:r>
          </w:p>
        </w:tc>
        <w:tc>
          <w:tcPr>
            <w:tcW w:w="442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Keine Signifikanz- oder allgemeine Zuverlässigkeitsaussage</w:t>
            </w:r>
          </w:p>
        </w:tc>
      </w:tr>
    </w:tbl>
    <w:p>
      <w:pPr>
        <w:pStyle w:val="Heading2"/>
        <w:numPr>
          <w:ilvl w:val="1"/>
          <w:numId w:val="2"/>
        </w:numPr>
        <w:spacing w:before="120"/>
        <w:jc w:val="start"/>
        <w:rPr/>
      </w:pPr>
      <w:bookmarkStart w:id="208" w:name="__RefHeading___Toc8513_3957600584"/>
      <w:bookmarkStart w:id="209" w:name="phone_heading_10016"/>
      <w:bookmarkEnd w:id="208"/>
      <w:r>
        <w:rPr>
          <w:color w:val="000000"/>
        </w:rPr>
        <w:t>Dateien, Visualisierung und Nachvollziehbarkeit</w:t>
      </w:r>
      <w:bookmarkEnd w:id="209"/>
    </w:p>
    <w:p>
      <w:pPr>
        <w:pStyle w:val="Normal"/>
        <w:spacing w:after="120"/>
        <w:rPr/>
      </w:pPr>
      <w:r>
        <w:t>Die Recorder speichern raw.csv, decisions.csv, run.json und cues.jsonl; der gemeinsame Lauf zusätzlich resources.csv. Laufdateien verknüpfen Messungen, Entscheidungen, Modellpaket sowie Sensor- und PWM-Rücklesungen. Die Auswertung nutzt abgeschlossene Journale. protocol.md dokumentiert dagegen die Versuchsplanung. Die Versuche liefen ohne Live-GUI, deren Zusatzlast nicht bestimmt wurde. Abbildungen wurden anschließend aus den gespeicherten Daten erzeugt.</w:t>
      </w:r>
    </w:p>
    <w:p>
      <w:pPr>
        <w:pStyle w:val="Heading1"/>
        <w:numPr>
          <w:ilvl w:val="0"/>
          <w:numId w:val="2"/>
        </w:numPr>
        <w:jc w:val="start"/>
        <w:rPr/>
      </w:pPr>
      <w:bookmarkStart w:id="210" w:name="__RefHeading___Toc8515_3957600584"/>
      <w:bookmarkStart w:id="211" w:name="phone_heading_10017"/>
      <w:bookmarkEnd w:id="210"/>
      <w:r>
        <w:rPr>
          <w:color w:val="000000"/>
        </w:rPr>
        <w:t>Evaluation</w:t>
      </w:r>
      <w:bookmarkEnd w:id="211"/>
    </w:p>
    <w:p>
      <w:pPr>
        <w:pStyle w:val="Heading2"/>
        <w:numPr>
          <w:ilvl w:val="1"/>
          <w:numId w:val="2"/>
        </w:numPr>
        <w:jc w:val="start"/>
        <w:rPr/>
      </w:pPr>
      <w:bookmarkStart w:id="212" w:name="__RefHeading___Toc8517_3957600584"/>
      <w:bookmarkStart w:id="213" w:name="phone_heading_10018"/>
      <w:bookmarkEnd w:id="212"/>
      <w:r>
        <w:rPr>
          <w:color w:val="000000"/>
        </w:rPr>
        <w:t>Umfang und Auswahl der Aufnahmen</w:t>
      </w:r>
      <w:bookmarkEnd w:id="213"/>
    </w:p>
    <w:p>
      <w:pPr>
        <w:pStyle w:val="Normal"/>
        <w:spacing w:after="120"/>
        <w:rPr/>
      </w:pPr>
      <w:r>
        <w:t>Die Smartphoneuntersuchung vom 19. September umfasst sechs Einzelanläufe und einen gemeinsamen Live-Lauf. Drei Einzelanläufe wurden nach protokollierten Abstimmungsproblemen durch spätere Aufnahmen ersetzt; alle bleiben im Archiv. AE03, IF02 und RMS01 bilden die ausgewählte deskriptive Auswertung. Ein formal vorab festgelegter, vollständig ergebnisunabhängiger Auswahlmechanismus ist damit nicht nachgewiesen. Die Auswahl und die geringe Ereigniszahl begrenzen die Übertragbarkeit. Auch die ausgewählten Läufe enthalten nur Bedienmarker und keine unabhängig verifizierte physikalische Ereigniszeit.</w:t>
      </w:r>
      <w:r>
        <w:rPr>
          <w:rStyle w:val="CommentReference"/>
        </w:rPr>
      </w:r>
    </w:p>
    <w:p>
      <w:pPr>
        <w:pStyle w:val="Tabellenbeschriftung"/>
        <w:rPr/>
      </w:pPr>
      <w:bookmarkStart w:id="214" w:name="__RefHeading___Toc8605_3957600584"/>
      <w:bookmarkStart w:id="215" w:name="phone_table_10019"/>
      <w:bookmarkEnd w:id="214"/>
      <w:r>
        <w:rPr/>
        <w:t>Tabelle 7-1: Erhaltene Anläufe und Auswertungsrolle</w:t>
      </w:r>
      <w:bookmarkEnd w:id="21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2098"/>
        <w:gridCol w:w="2098"/>
        <w:gridCol w:w="3174"/>
      </w:tblGrid>
      <w:tr>
        <w:trPr>
          <w:tblHeader w:val="true"/>
          <w:cantSplit w:val="true"/>
        </w:trPr>
        <w:tc>
          <w:tcPr>
            <w:tcW w:w="17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Kurzname</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Vollständige Fenster</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Alarmfenster</w:t>
            </w:r>
          </w:p>
        </w:tc>
        <w:tc>
          <w:tcPr>
            <w:tcW w:w="317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Rolle</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AE01</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170</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30</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Früher Anlauf; möglicher zu früher Anruf, wiederholt</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AE02</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158</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12</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Erneuter Abstimmungsversuch; ein ungültiges Fenster, wiederholt</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AE03</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184</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11</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Ausgewählter Autoencoder-Einzelprozess</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IF01</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154</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7</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Anrufkoordination unklar/verpasst, wiederholt</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IF02</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196</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6</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Ausgewählter Isolation-Forest-Einzelprozess</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RMS01</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234</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6</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Ausgewählter RMS-Einzelprozess</w:t>
            </w:r>
          </w:p>
        </w:tc>
      </w:tr>
      <w:tr>
        <w:trPr>
          <w:cantSplit w:val="true"/>
        </w:trPr>
        <w:tc>
          <w:tcPr>
            <w:tcW w:w="1700"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Gemeinsam01</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197 je Methode</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AE 11 / IF 7 / RMS 6</w:t>
            </w:r>
          </w:p>
        </w:tc>
        <w:tc>
          <w:tcPr>
            <w:tcW w:w="3174"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Gemeinsamer Live-Vergleich</w:t>
            </w:r>
          </w:p>
        </w:tc>
      </w:tr>
    </w:tbl>
    <w:p>
      <w:pPr>
        <w:pStyle w:val="Normal"/>
        <w:spacing w:after="120" w:before="120"/>
        <w:rPr/>
      </w:pPr>
      <w:r>
        <w:rPr/>
        <w:t>Technische Funktionsprüfungen im Ordner technical_checks sind nicht Teil dieser Ergebnisstichprobe. AE03, IF02 und RMS01 entsprechen den vollständigen Ordnernamen autoencoder_awaiting_call_03, isolation_forest_awaiting_call_02 und rms_awaiting_call_01. Gemeinsam01 liegt unter joint_trials/all_methods_01. Diese Zuordnung verhindert die Verwechslung von Wiederholungsanläufen und ausgewerteten Aufnahmen.</w:t>
      </w:r>
    </w:p>
    <w:p>
      <w:pPr>
        <w:pStyle w:val="Heading2"/>
        <w:numPr>
          <w:ilvl w:val="1"/>
          <w:numId w:val="2"/>
        </w:numPr>
        <w:jc w:val="start"/>
        <w:rPr/>
      </w:pPr>
      <w:bookmarkStart w:id="216" w:name="__RefHeading___Toc8519_3957600584"/>
      <w:bookmarkStart w:id="217" w:name="phone_heading_10020"/>
      <w:bookmarkEnd w:id="216"/>
      <w:r>
        <w:rPr>
          <w:color w:val="000000"/>
        </w:rPr>
        <w:t>Datenintegrität und Reproduzierbarkeit</w:t>
      </w:r>
      <w:bookmarkEnd w:id="217"/>
    </w:p>
    <w:p>
      <w:pPr>
        <w:pStyle w:val="Normal"/>
        <w:spacing w:after="120"/>
        <w:rPr/>
      </w:pPr>
      <w:r>
        <w:rPr/>
        <w:t>Die drei ausgewählten Einzelaufnahmen enthalten zusammen 78.843 XYZ-Punkte, 614 vollständige Fenster und 251 gespeicherte Restpunkte. Der gemeinsame Lauf enthält 25.270 XYZ-Punkte, 197 vollständige Fenster und 54 Restpunkte. Damit liegen 811 verschiedene vollständige Rohfenster der vier ausgewählten Aufnahmen vor. Der gemeinsame Lauf erzeugt daraus 591 Entscheidungen; zusammen mit den 614 Einzelentscheidungen sind es 1.205 ursprüngliche Live-Entscheidungen. Diese Anzahl ist keine Zahl unabhängiger Versuche.</w:t>
      </w:r>
    </w:p>
    <w:p>
      <w:pPr>
        <w:pStyle w:val="Normal"/>
        <w:spacing w:after="120"/>
        <w:rPr/>
      </w:pPr>
      <w:r>
        <w:rPr/>
        <w:t>In diesen vier Aufnahmen wurden keine ungültigen Modellfenster, verworfenen Fenster, Gap- oder Overrun-Ereignisse und keine Sättigungsflags protokolliert. Im gemeinsamen Lauf verblieben nach Abschluss keine vollständigen unverarbeiteten Fenster. Solche Nullbefunde belegen die protokollierte Integrität, nicht die Abwesenheit aller denkbaren unbekannten Messfehler.</w:t>
      </w:r>
    </w:p>
    <w:p>
      <w:pPr>
        <w:pStyle w:val="Normal"/>
        <w:spacing w:after="120"/>
        <w:rPr/>
      </w:pPr>
      <w:r>
        <w:rPr/>
        <w:t>Alle 614 ursprünglichen Einzelentscheidungen lassen sich beim Replay exakt reproduzieren; die größte Scoreabweichung beträgt 0. Auch die 591 Entscheidungen des gemeinsamen Laufs wurden aus denselben Rohfenstern exakt reproduziert. Für alle 197 gemeinsamen Fenster stimmen die Eingabehashes der drei Methoden überein. Zusätzlich wurden vor dem gemeinsamen Lauf 1.842 Auswertungen der drei Methoden auf den 614 gespeicherten Einzelfenstern abgeglichen. Diese Softwareprüfungen bestätigen Konsistenz, nicht zusätzliche unabhängige Erkennungsereignisse.</w:t>
      </w:r>
    </w:p>
    <w:p>
      <w:pPr>
        <w:pStyle w:val="Tabellenbeschriftung"/>
        <w:rPr/>
      </w:pPr>
      <w:bookmarkStart w:id="218" w:name="__RefHeading___Toc8603_3957600584"/>
      <w:bookmarkStart w:id="219" w:name="phone_table_10021"/>
      <w:bookmarkEnd w:id="218"/>
      <w:r>
        <w:rPr/>
        <w:t>Tabelle 7-2: Ausgewählte Aufnahmen und Verteilung der gültigen Fenster</w:t>
      </w:r>
      <w:bookmarkEnd w:id="21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7"/>
        <w:gridCol w:w="1417"/>
        <w:gridCol w:w="1702"/>
        <w:gridCol w:w="1813"/>
        <w:gridCol w:w="1872"/>
      </w:tblGrid>
      <w:tr>
        <w:trPr>
          <w:tblHeader w:val="true"/>
          <w:cantSplit w:val="true"/>
        </w:trPr>
        <w:tc>
          <w:tcPr>
            <w:tcW w:w="226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Aufnahme</w:t>
            </w:r>
          </w:p>
        </w:tc>
        <w:tc>
          <w:tcPr>
            <w:tcW w:w="141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Rohpunkte / Rest</w:t>
            </w:r>
          </w:p>
        </w:tc>
        <w:tc>
          <w:tcPr>
            <w:tcW w:w="170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Vor Marker</w:t>
            </w:r>
          </w:p>
        </w:tc>
        <w:tc>
          <w:tcPr>
            <w:tcW w:w="181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Zwischen Markern</w:t>
            </w:r>
          </w:p>
        </w:tc>
        <w:tc>
          <w:tcPr>
            <w:tcW w:w="187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Nach Marker / übergreifend</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AE03</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23.617 / 65</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83</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52</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47 / 2</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IF02</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25.170 / 82</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76</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59</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59 / 2</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RMS01</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30.056 / 104</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83</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109</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40 / 2</w:t>
            </w:r>
          </w:p>
        </w:tc>
      </w:tr>
      <w:tr>
        <w:trPr>
          <w:cantSplit w:val="true"/>
        </w:trPr>
        <w:tc>
          <w:tcPr>
            <w:tcW w:w="2267"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Gemeinsam01</w:t>
            </w:r>
          </w:p>
        </w:tc>
        <w:tc>
          <w:tcPr>
            <w:tcW w:w="1417"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25.270 / 54</w:t>
            </w:r>
          </w:p>
        </w:tc>
        <w:tc>
          <w:tcPr>
            <w:tcW w:w="1702"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77</w:t>
            </w:r>
          </w:p>
        </w:tc>
        <w:tc>
          <w:tcPr>
            <w:tcW w:w="1813"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79</w:t>
            </w:r>
          </w:p>
        </w:tc>
        <w:tc>
          <w:tcPr>
            <w:tcW w:w="1872"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39 / 2</w:t>
            </w:r>
          </w:p>
        </w:tc>
      </w:tr>
    </w:tbl>
    <w:p>
      <w:pPr>
        <w:pStyle w:val="Heading2"/>
        <w:numPr>
          <w:ilvl w:val="1"/>
          <w:numId w:val="2"/>
        </w:numPr>
        <w:spacing w:before="120"/>
        <w:jc w:val="start"/>
        <w:rPr/>
      </w:pPr>
      <w:bookmarkStart w:id="220" w:name="__RefHeading___Toc8521_3957600584"/>
      <w:bookmarkStart w:id="221" w:name="phone_heading_10022"/>
      <w:bookmarkEnd w:id="220"/>
      <w:r>
        <w:rPr>
          <w:color w:val="000000"/>
        </w:rPr>
        <w:t>Einzelbetrieb und Vergleich auf identischen Replay-Fenstern</w:t>
      </w:r>
      <w:bookmarkEnd w:id="221"/>
    </w:p>
    <w:p>
      <w:pPr>
        <w:pStyle w:val="Normal"/>
        <w:spacing w:after="120"/>
        <w:rPr/>
      </w:pPr>
      <w:r>
        <w:rPr/>
        <w:t>Im ausgewählten Einzelbetrieb markiert der Autoencoder elf Fenster, Isolation Forest sechs und RMS sechs. Die Alarme liegen jeweils vollständig zwischen den Bedienmarkern. Vor der Anrufaufforderung und nach der Enderückmeldung treten in diesen ausgewählten Läufen keine Alarme auf. Weil Anrufe und Zeitverläufe voneinander abweichen, sind diese Zahlen allein weder ein Geschwindigkeitsranking noch eine faire Erkennungsquote.</w:t>
      </w:r>
    </w:p>
    <w:p>
      <w:pPr>
        <w:pStyle w:val="Normal"/>
        <w:spacing w:after="120"/>
        <w:rPr/>
      </w:pPr>
      <w:r>
        <w:rPr/>
        <w:t>Der Offline-Vergleich wertet deshalb jede dieser drei Rohaufnahmen mit allen drei eingefrorenen Methoden aus. Auf AE03 markieren alle Methoden erstmals Fenster 97. Auf IF02 markiert der Autoencoder Fenster 93, die beiden Baselines erst Fenster 94. Auf RMS01 beginnen alle drei bei Fenster 155. Der Autoencoder ist somit in diesen drei Aufnahmen nie später im ersten Alarmfenster, einmal früher und zweimal gleichauf. Die drei Befunde stammen von drei verschiedenen Anrufen; zusätzliche Verallgemeinerung erfordert mehr unabhängige Wiederholungen.</w:t>
      </w:r>
    </w:p>
    <w:p>
      <w:pPr>
        <w:pStyle w:val="Tabellenbeschriftung"/>
        <w:rPr/>
      </w:pPr>
      <w:bookmarkStart w:id="222" w:name="__RefHeading___Toc8601_3957600584"/>
      <w:bookmarkStart w:id="223" w:name="phone_table_10023"/>
      <w:bookmarkEnd w:id="222"/>
      <w:r>
        <w:rPr/>
        <w:t>Tabelle 7-3: Replay derselben Rohfenster; erstes Alarmfenster und gesamte Alarmfenster</w:t>
      </w:r>
      <w:bookmarkEnd w:id="22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2098"/>
        <w:gridCol w:w="2098"/>
        <w:gridCol w:w="3174"/>
      </w:tblGrid>
      <w:tr>
        <w:trPr>
          <w:tblHeader w:val="true"/>
          <w:cantSplit w:val="true"/>
        </w:trPr>
        <w:tc>
          <w:tcPr>
            <w:tcW w:w="17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Aufnahme</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Autoencoder</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Isolation Forest</w:t>
            </w:r>
          </w:p>
        </w:tc>
        <w:tc>
          <w:tcPr>
            <w:tcW w:w="317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RMS</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AE03</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97; 11 Alarme</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97; 6 Alarme</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97; 8 Alarme</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IF02</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93; 9 Alarme</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94; 6 Alarme</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erstes 94; 6 Alarme</w:t>
            </w:r>
          </w:p>
        </w:tc>
      </w:tr>
      <w:tr>
        <w:trPr>
          <w:cantSplit w:val="true"/>
        </w:trPr>
        <w:tc>
          <w:tcPr>
            <w:tcW w:w="1700"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RMS01</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erstes 155; 9 Alarme</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erstes 155; 6 Alarme</w:t>
            </w:r>
          </w:p>
        </w:tc>
        <w:tc>
          <w:tcPr>
            <w:tcW w:w="3174"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erstes 155; 6 Alarme</w:t>
            </w:r>
          </w:p>
        </w:tc>
      </w:tr>
    </w:tbl>
    <w:p>
      <w:pPr>
        <w:pStyle w:val="Normal"/>
        <w:keepNext w:val="true"/>
        <w:spacing w:before="120" w:after="0"/>
        <w:jc w:val="center"/>
        <w:rPr/>
      </w:pPr>
      <w:r>
        <w:rPr/>
        <w:drawing>
          <wp:inline distT="0" distB="0" distL="0" distR="0">
            <wp:extent cx="5760085" cy="2805430"/>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7"/>
                    <a:stretch>
                      <a:fillRect/>
                    </a:stretch>
                  </pic:blipFill>
                  <pic:spPr bwMode="auto">
                    <a:xfrm>
                      <a:off x="0" y="0"/>
                      <a:ext cx="5760085" cy="2805430"/>
                    </a:xfrm>
                    <a:prstGeom prst="rect">
                      <a:avLst/>
                    </a:prstGeom>
                    <a:noFill/>
                  </pic:spPr>
                </pic:pic>
              </a:graphicData>
            </a:graphic>
          </wp:inline>
        </w:drawing>
      </w:r>
    </w:p>
    <w:p>
      <w:pPr>
        <w:pStyle w:val="Abbildungsbeschriftung"/>
        <w:rPr/>
      </w:pPr>
      <w:bookmarkStart w:id="224" w:name="__RefHeading___Toc8573_3957600584"/>
      <w:bookmarkStart w:id="225" w:name="phone_figure_10024"/>
      <w:bookmarkEnd w:id="224"/>
      <w:r>
        <w:rPr/>
        <w:t>Abbildung 7-1: Erstes Alarmfenster im Offline-Replay. Die Zahlen an den Punkten sind Fensterindizes; die vertikale Achse zeigt den Abstand zum frühesten Alarmfenster derselben Aufnahme. Eine Null bedeutet Gleichstand auf Fensterebene, keine gleichzeitig gemessene Live-Ausgabe. Quelle: B1, replay_v1/summary.json.</w:t>
      </w:r>
      <w:bookmarkEnd w:id="225"/>
    </w:p>
    <w:p>
      <w:pPr>
        <w:pStyle w:val="Heading2"/>
        <w:numPr>
          <w:ilvl w:val="1"/>
          <w:numId w:val="2"/>
        </w:numPr>
        <w:jc w:val="start"/>
        <w:rPr/>
      </w:pPr>
      <w:bookmarkStart w:id="226" w:name="__RefHeading___Toc8523_3957600584"/>
      <w:bookmarkStart w:id="227" w:name="phone_heading_10025"/>
      <w:bookmarkEnd w:id="226"/>
      <w:r>
        <w:rPr>
          <w:color w:val="000000"/>
        </w:rPr>
        <w:t>Gemeinsamer Live-Lauf: Signal und Alarmreihenfolge</w:t>
      </w:r>
      <w:bookmarkEnd w:id="227"/>
    </w:p>
    <w:p>
      <w:pPr>
        <w:pStyle w:val="Normal"/>
        <w:spacing w:after="120"/>
        <w:rPr/>
      </w:pPr>
      <w:r>
        <w:rPr/>
        <w:t>Im gemeinsamen Lauf erhalten alle Methoden dieselben 197 Fenster. Die Anrufaufforderung liegt 48,019 s, die protokollierte Enderückmeldung 97,322 s nach dem Aufnahmestart. Dazwischen befinden sich 79 vollständige Fenster. Der Autoencoder markiert elf, Isolation Forest sieben und RMS sechs davon. In den 77 Fenstern vor der Aufforderung, den 39 Fenstern nach der Rückmeldung und den zwei markerübergreifenden Fenstern gibt es bei keiner Methode einen Alarm. Diese Nullwerte beschreiben die gespeicherte Folge, nicht eine nachgewiesene allgemeine Fehlalarmrate von 0 %.</w:t>
      </w:r>
    </w:p>
    <w:p>
      <w:pPr>
        <w:pStyle w:val="Normal"/>
        <w:keepNext w:val="true"/>
        <w:spacing w:before="0" w:after="0"/>
        <w:jc w:val="center"/>
        <w:rPr/>
      </w:pPr>
      <w:r>
        <w:rPr/>
        <w:drawing>
          <wp:inline distT="0" distB="0" distL="0" distR="0">
            <wp:extent cx="5760085" cy="456247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8"/>
                    <a:stretch>
                      <a:fillRect/>
                    </a:stretch>
                  </pic:blipFill>
                  <pic:spPr bwMode="auto">
                    <a:xfrm>
                      <a:off x="0" y="0"/>
                      <a:ext cx="5760085" cy="4562475"/>
                    </a:xfrm>
                    <a:prstGeom prst="rect">
                      <a:avLst/>
                    </a:prstGeom>
                    <a:noFill/>
                  </pic:spPr>
                </pic:pic>
              </a:graphicData>
            </a:graphic>
          </wp:inline>
        </w:drawing>
      </w:r>
    </w:p>
    <w:p>
      <w:pPr>
        <w:pStyle w:val="Abbildungsbeschriftung"/>
        <w:rPr/>
      </w:pPr>
      <w:bookmarkStart w:id="228" w:name="__RefHeading___Toc8571_3957600584"/>
      <w:bookmarkStart w:id="229" w:name="phone_figure_10026"/>
      <w:bookmarkEnd w:id="228"/>
      <w:r>
        <w:rPr/>
        <w:t>Abbildung 7-2: Gemeinsamer Rohdaten- und Scoreverlauf. Graue Bereiche liegen zwischen den Bedienmarkern, nicht zwischen unabhängig gemessenem Vibrationsbeginn und -ende. Die Scoreachse ist logarithmisch und auf die jeweilige Schwelle normiert; der Wert 1 kennzeichnet die Alarmgrenze. Quelle: B1, Gemeinsam01.</w:t>
      </w:r>
      <w:bookmarkEnd w:id="229"/>
    </w:p>
    <w:p>
      <w:pPr>
        <w:pStyle w:val="Tabellenbeschriftung"/>
        <w:rPr/>
      </w:pPr>
      <w:bookmarkStart w:id="230" w:name="__RefHeading___Toc8599_3957600584"/>
      <w:bookmarkStart w:id="231" w:name="phone_table_10027"/>
      <w:bookmarkEnd w:id="230"/>
      <w:r>
        <w:rPr/>
        <w:t>Tabelle 7-4: Erste Alarme im gemeinsamen Live-Lauf</w:t>
      </w:r>
      <w:bookmarkEnd w:id="23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7"/>
        <w:gridCol w:w="1417"/>
        <w:gridCol w:w="1702"/>
        <w:gridCol w:w="1813"/>
        <w:gridCol w:w="1872"/>
      </w:tblGrid>
      <w:tr>
        <w:trPr>
          <w:tblHeader w:val="true"/>
          <w:cantSplit w:val="true"/>
        </w:trPr>
        <w:tc>
          <w:tcPr>
            <w:tcW w:w="226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Methode</w:t>
            </w:r>
          </w:p>
        </w:tc>
        <w:tc>
          <w:tcPr>
            <w:tcW w:w="141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Erstes Alarmfenster</w:t>
            </w:r>
          </w:p>
        </w:tc>
        <w:tc>
          <w:tcPr>
            <w:tcW w:w="170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Rang des Fensters</w:t>
            </w:r>
          </w:p>
        </w:tc>
        <w:tc>
          <w:tcPr>
            <w:tcW w:w="181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Rang der Ausgabe</w:t>
            </w:r>
          </w:p>
        </w:tc>
        <w:tc>
          <w:tcPr>
            <w:tcW w:w="187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Abstand zur ersten Ausgabe [ms]</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Autoencoder</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108</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1, gleichauf mit IF</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0,000</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Isolation Forest</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108</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1, gleichauf mit AE</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19,061</w:t>
            </w:r>
          </w:p>
        </w:tc>
      </w:tr>
      <w:tr>
        <w:trPr>
          <w:cantSplit w:val="true"/>
        </w:trPr>
        <w:tc>
          <w:tcPr>
            <w:tcW w:w="2267"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RMS</w:t>
            </w:r>
          </w:p>
        </w:tc>
        <w:tc>
          <w:tcPr>
            <w:tcW w:w="1417"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109</w:t>
            </w:r>
          </w:p>
        </w:tc>
        <w:tc>
          <w:tcPr>
            <w:tcW w:w="1702"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2</w:t>
            </w:r>
          </w:p>
        </w:tc>
        <w:tc>
          <w:tcPr>
            <w:tcW w:w="1813"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3</w:t>
            </w:r>
          </w:p>
        </w:tc>
        <w:tc>
          <w:tcPr>
            <w:tcW w:w="1872"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615,659</w:t>
            </w:r>
          </w:p>
        </w:tc>
      </w:tr>
    </w:tbl>
    <w:p>
      <w:pPr>
        <w:pStyle w:val="Normal"/>
        <w:spacing w:after="120" w:before="120"/>
        <w:rPr/>
      </w:pPr>
      <w:r>
        <w:rPr/>
        <w:t>Der Autoencoder und Isolation Forest überschreiten ihre Schwelle erstmals auf demselben Fenster 108. Die Autoencoder-Entscheidung liegt um 19,061 ms früher vor. RMS benötigt wesentlich weniger Rechenzeit, markiert dieses Fenster aber noch nicht als auffällig. Seine erste Alarmausgabe erfolgt für Fenster 109 und damit 615,659 ms nach derjenigen des Autoencoders. Die Trennung zwischen erstem Alarmfenster und Ausgabezeitpunkt ist entscheidend: Das spätere RMS-Ergebnis entsteht hier nicht durch langsame RMS-Berechnung, sondern überwiegend durch die spätere Schwellenüberschreitung.</w:t>
      </w:r>
    </w:p>
    <w:p>
      <w:pPr>
        <w:pStyle w:val="Normal"/>
        <w:keepNext w:val="true"/>
        <w:spacing w:before="0" w:after="0"/>
        <w:jc w:val="center"/>
        <w:rPr/>
      </w:pPr>
      <w:r>
        <w:rPr/>
        <w:drawing>
          <wp:inline distT="0" distB="0" distL="0" distR="0">
            <wp:extent cx="5760085" cy="2687320"/>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9"/>
                    <a:stretch>
                      <a:fillRect/>
                    </a:stretch>
                  </pic:blipFill>
                  <pic:spPr bwMode="auto">
                    <a:xfrm>
                      <a:off x="0" y="0"/>
                      <a:ext cx="5760085" cy="2687320"/>
                    </a:xfrm>
                    <a:prstGeom prst="rect">
                      <a:avLst/>
                    </a:prstGeom>
                    <a:noFill/>
                  </pic:spPr>
                </pic:pic>
              </a:graphicData>
            </a:graphic>
          </wp:inline>
        </w:drawing>
      </w:r>
    </w:p>
    <w:p>
      <w:pPr>
        <w:pStyle w:val="Abbildungsbeschriftung"/>
        <w:rPr/>
      </w:pPr>
      <w:bookmarkStart w:id="232" w:name="__RefHeading___Toc8569_3957600584"/>
      <w:bookmarkStart w:id="233" w:name="phone_figure_10028"/>
      <w:bookmarkEnd w:id="232"/>
      <w:r>
        <w:rPr/>
        <w:t>Abbildung 7-3: Nummerierte Reihenfolge der ersten Alarmausgaben im gemeinsamen Lauf und zugehörige Fensterindizes. Null ist der Zeitpunkt des ersten Autoencoder-Alarms, nicht der physische Störungsbeginn. AE und IF sind auf Fensterebene gleichauf; die Ausgabezeitpunkte unterscheiden sich. Quelle: B1, Entscheidungen von Gemeinsam01.</w:t>
      </w:r>
      <w:bookmarkEnd w:id="233"/>
    </w:p>
    <w:p>
      <w:pPr>
        <w:pStyle w:val="Normal"/>
        <w:spacing w:after="120"/>
        <w:rPr/>
      </w:pPr>
      <w:r>
        <w:rPr/>
        <w:t>Die relative Zeitdifferenz wird aus der monotonen Uhr berechnet: Δtₘ = (tₘ,erste Alarmausgabe − minₖ tₖ,erste Alarmausgabe) / 10⁶ in Millisekunden. Dabei werden die tatsächlichen Entscheidungszeitpunkte verwendet, nicht die Reihenfolge der Methodenliste oder der CSV-Zeilen. Die Daten belegen den Ausgabevorsprung des Autoencoders für diesen Lauf. Eine absolute Reaktionszeit ab Beginn der Smartphonevibration ist mangels unabhängiger Referenz nicht bestimmbar.</w:t>
      </w:r>
    </w:p>
    <w:p>
      <w:pPr>
        <w:pStyle w:val="Heading2"/>
        <w:numPr>
          <w:ilvl w:val="1"/>
          <w:numId w:val="2"/>
        </w:numPr>
        <w:jc w:val="start"/>
        <w:rPr/>
      </w:pPr>
      <w:bookmarkStart w:id="234" w:name="__RefHeading___Toc8525_3957600584"/>
      <w:bookmarkStart w:id="235" w:name="phone_heading_10029"/>
      <w:bookmarkEnd w:id="234"/>
      <w:r>
        <w:rPr>
          <w:color w:val="000000"/>
        </w:rPr>
        <w:t>Warum unterscheiden sich die ersten Alarme?</w:t>
      </w:r>
      <w:bookmarkEnd w:id="235"/>
    </w:p>
    <w:p>
      <w:pPr>
        <w:pStyle w:val="Tabellenbeschriftung"/>
        <w:rPr/>
      </w:pPr>
      <w:bookmarkStart w:id="236" w:name="__RefHeading___Toc8597_3957600584"/>
      <w:bookmarkStart w:id="237" w:name="phone_table_10030"/>
      <w:bookmarkEnd w:id="236"/>
      <w:r>
        <w:rPr/>
        <w:t>Tabelle 7-5: Unmittelbarer Schwellenvergleich auf dem gemeinsamen Fenster 108</w:t>
      </w:r>
      <w:bookmarkEnd w:id="23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2098"/>
        <w:gridCol w:w="2098"/>
        <w:gridCol w:w="3174"/>
      </w:tblGrid>
      <w:tr>
        <w:trPr>
          <w:tblHeader w:val="true"/>
          <w:cantSplit w:val="true"/>
        </w:trPr>
        <w:tc>
          <w:tcPr>
            <w:tcW w:w="17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Methode</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Score</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Eingefrorene Schwelle</w:t>
            </w:r>
          </w:p>
        </w:tc>
        <w:tc>
          <w:tcPr>
            <w:tcW w:w="317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Entscheidung</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Autoencoder</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1,631938754</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0,477202599</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Alarm</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Isolation Forest</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0,484321113</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0,483354740</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Alarm</w:t>
            </w:r>
          </w:p>
        </w:tc>
      </w:tr>
      <w:tr>
        <w:trPr>
          <w:cantSplit w:val="true"/>
        </w:trPr>
        <w:tc>
          <w:tcPr>
            <w:tcW w:w="1700"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RMS</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1,282930084</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1,296361073</w:t>
            </w:r>
          </w:p>
        </w:tc>
        <w:tc>
          <w:tcPr>
            <w:tcW w:w="3174"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Normal</w:t>
            </w:r>
          </w:p>
        </w:tc>
      </w:tr>
    </w:tbl>
    <w:p>
      <w:pPr>
        <w:pStyle w:val="Normal"/>
        <w:spacing w:after="120" w:before="120"/>
        <w:rPr/>
      </w:pPr>
      <w:r>
        <w:rPr/>
        <w:t>Auf Fenster 108 liegt der Autoencoder-Fehler deutlich oberhalb seiner Normalgrenze. Isolation Forest liegt nur knapp darüber. RMS liegt knapp darunter und überschreitet seine Schwelle erst in Fenster 109 mit einem Score von etwa 1,97525. Fenster 107 ist noch bei allen drei Methoden unauffällig. Die Werte erklären die protokollierte Rangfolge direkt und ohne eine nachträgliche Anpassung der Schwellen.</w:t>
      </w:r>
    </w:p>
    <w:p>
      <w:pPr>
        <w:pStyle w:val="Normal"/>
        <w:keepNext w:val="true"/>
        <w:spacing w:before="0" w:after="0"/>
        <w:jc w:val="center"/>
        <w:rPr/>
      </w:pPr>
      <w:r>
        <w:rPr/>
        <w:drawing>
          <wp:inline distT="0" distB="0" distL="0" distR="0">
            <wp:extent cx="5760085" cy="2725420"/>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5760085" cy="2725420"/>
                    </a:xfrm>
                    <a:prstGeom prst="rect">
                      <a:avLst/>
                    </a:prstGeom>
                    <a:noFill/>
                  </pic:spPr>
                </pic:pic>
              </a:graphicData>
            </a:graphic>
          </wp:inline>
        </w:drawing>
      </w:r>
    </w:p>
    <w:p>
      <w:pPr>
        <w:pStyle w:val="Abbildungsbeschriftung"/>
        <w:rPr/>
      </w:pPr>
      <w:bookmarkStart w:id="238" w:name="__RefHeading___Toc8567_3957600584"/>
      <w:bookmarkStart w:id="239" w:name="phone_figure_10031"/>
      <w:bookmarkEnd w:id="238"/>
      <w:r>
        <w:rPr/>
        <w:t>Abbildung 7-4: Schwellenübergang der Fenster 107 bis 109. Die Normierung erleichtert das Ablesen der jeweiligen Grenzüberschreitung; die Quotienten sind weder Wahrscheinlichkeiten noch untereinander kalibrierte Störungsschweregrade. Quelle: B1, Gemeinsam01.</w:t>
      </w:r>
      <w:bookmarkEnd w:id="239"/>
    </w:p>
    <w:p>
      <w:pPr>
        <w:pStyle w:val="Normal"/>
        <w:spacing w:after="120"/>
        <w:rPr/>
      </w:pPr>
      <w:r>
        <w:t>Als mögliche Erklärung nutzt der Autoencoder Unterschiede im standardisierten Fenster, die ein einzelner aggregierter quadratischer Abweichungskennwert nicht getrennt darstellt. Der vorliegende Vergleich isoliert jedoch weder die zeitliche Repräsentation noch einen einzelnen Einflussfaktor. Unterschiede der Scorefunktion, der trainierten Modelle und der kleinen Kalibrierungsstichprobe können gemeinsam zur beobachteten Schwellenüberschreitung beitragen. Eine kausale Erklärung benötigt gesonderte kontrollierte Vergleiche.</w:t>
      </w:r>
    </w:p>
    <w:p>
      <w:pPr>
        <w:pStyle w:val="Normal"/>
        <w:spacing w:after="120"/>
        <w:rPr/>
      </w:pPr>
      <w:r>
        <w:rPr/>
        <w:t>Die Verarbeitung des ersten Alarmfensters dauert beim Autoencoder etwa 2,789 ms und beim Isolation Forest etwa 21,733 ms. Der Ausgabeabstand von 19,061 ms entsteht im selben gemeinsam gestarteten Fenster und ist mit diesem Aufwandsunterschied vereinbar; Scheduling und weitere Übergaben sind ebenfalls enthalten. RMS benötigt im ersten eigenen Alarmfenster nur etwa 0,183 ms. Rechenzeit und frühzeitige Anomalieausgabe sind somit unterschiedliche Bewertungskriterien.</w:t>
      </w:r>
    </w:p>
    <w:p>
      <w:pPr>
        <w:pStyle w:val="Heading2"/>
        <w:numPr>
          <w:ilvl w:val="1"/>
          <w:numId w:val="2"/>
        </w:numPr>
        <w:jc w:val="start"/>
        <w:rPr/>
      </w:pPr>
      <w:bookmarkStart w:id="240" w:name="__RefHeading___Toc8527_3957600584"/>
      <w:bookmarkStart w:id="241" w:name="phone_heading_10032"/>
      <w:bookmarkEnd w:id="240"/>
      <w:r>
        <w:rPr>
          <w:color w:val="000000"/>
        </w:rPr>
        <w:t>Rechenaufwand und Verhalten des Raspberry Pi</w:t>
      </w:r>
      <w:bookmarkEnd w:id="241"/>
    </w:p>
    <w:p>
      <w:pPr>
        <w:pStyle w:val="Normal"/>
        <w:spacing w:after="120"/>
        <w:rPr/>
      </w:pPr>
      <w:r>
        <w:t>Die Ressourcenmessung bezieht sich auf den jeweils ausgeführten Smartphone-Recorder. Einzelprozesse und gemeinsamer Prozess unterscheiden sich in aktiven Methoden, geladenen Bibliotheken und Konkurrenz um Rechenzeit. Identische Hardware bedeutet daher keine identischen CPU-, RAM- oder Latenzwerte. Die folgenden Ergebnisse bleiben den jeweiligen Prozessgrenzen und Messdefinitionen zugeordnet.</w:t>
      </w:r>
    </w:p>
    <w:p>
      <w:pPr>
        <w:pStyle w:val="Tabellenbeschriftung"/>
        <w:rPr/>
      </w:pPr>
      <w:bookmarkStart w:id="242" w:name="__RefHeading___Toc8595_3957600584"/>
      <w:bookmarkStart w:id="243" w:name="phone_table_10033"/>
      <w:bookmarkEnd w:id="242"/>
      <w:r>
        <w:rPr/>
        <w:t>Tabelle 7-6: Verarbeitungszeit im jeweiligen Auswerteraufruf; ms</w:t>
      </w:r>
      <w:bookmarkEnd w:id="24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67"/>
        <w:gridCol w:w="1417"/>
        <w:gridCol w:w="1702"/>
        <w:gridCol w:w="1813"/>
        <w:gridCol w:w="1872"/>
      </w:tblGrid>
      <w:tr>
        <w:trPr>
          <w:tblHeader w:val="true"/>
          <w:cantSplit w:val="true"/>
        </w:trPr>
        <w:tc>
          <w:tcPr>
            <w:tcW w:w="226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Methode</w:t>
            </w:r>
          </w:p>
        </w:tc>
        <w:tc>
          <w:tcPr>
            <w:tcW w:w="1417"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Einzelbetrieb Median</w:t>
            </w:r>
          </w:p>
        </w:tc>
        <w:tc>
          <w:tcPr>
            <w:tcW w:w="170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Einzelbetrieb P95</w:t>
            </w:r>
          </w:p>
        </w:tc>
        <w:tc>
          <w:tcPr>
            <w:tcW w:w="181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Gemeinsam Median</w:t>
            </w:r>
          </w:p>
        </w:tc>
        <w:tc>
          <w:tcPr>
            <w:tcW w:w="1872"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Gemeinsam P95</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Autoencoder</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0,459</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0,585</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2,040</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5,571</w:t>
            </w:r>
          </w:p>
        </w:tc>
      </w:tr>
      <w:tr>
        <w:trPr>
          <w:cantSplit w:val="true"/>
        </w:trPr>
        <w:tc>
          <w:tcPr>
            <w:tcW w:w="2267"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Isolation Forest</w:t>
            </w:r>
          </w:p>
        </w:tc>
        <w:tc>
          <w:tcPr>
            <w:tcW w:w="1417"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23,429</w:t>
            </w:r>
          </w:p>
        </w:tc>
        <w:tc>
          <w:tcPr>
            <w:tcW w:w="170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32,061</w:t>
            </w:r>
          </w:p>
        </w:tc>
        <w:tc>
          <w:tcPr>
            <w:tcW w:w="1813"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23,237</w:t>
            </w:r>
          </w:p>
        </w:tc>
        <w:tc>
          <w:tcPr>
            <w:tcW w:w="1872"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31,527</w:t>
            </w:r>
          </w:p>
        </w:tc>
      </w:tr>
      <w:tr>
        <w:trPr>
          <w:cantSplit w:val="true"/>
        </w:trPr>
        <w:tc>
          <w:tcPr>
            <w:tcW w:w="2267"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RMS</w:t>
            </w:r>
          </w:p>
        </w:tc>
        <w:tc>
          <w:tcPr>
            <w:tcW w:w="1417"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0,285</w:t>
            </w:r>
          </w:p>
        </w:tc>
        <w:tc>
          <w:tcPr>
            <w:tcW w:w="1702"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0,352</w:t>
            </w:r>
          </w:p>
        </w:tc>
        <w:tc>
          <w:tcPr>
            <w:tcW w:w="1813"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0,264</w:t>
            </w:r>
          </w:p>
        </w:tc>
        <w:tc>
          <w:tcPr>
            <w:tcW w:w="1872"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0,317</w:t>
            </w:r>
          </w:p>
        </w:tc>
      </w:tr>
    </w:tbl>
    <w:p>
      <w:pPr>
        <w:pStyle w:val="Normal"/>
        <w:keepNext w:val="true"/>
        <w:spacing w:before="120" w:after="0"/>
        <w:jc w:val="center"/>
        <w:rPr/>
      </w:pPr>
      <w:r>
        <w:rPr/>
        <w:drawing>
          <wp:inline distT="0" distB="0" distL="0" distR="0">
            <wp:extent cx="5760085" cy="2884805"/>
            <wp:effectExtent l="0" t="0" r="0" b="0"/>
            <wp:docPr id="8"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title=""/>
                    <pic:cNvPicPr>
                      <a:picLocks noChangeAspect="1" noChangeArrowheads="1"/>
                    </pic:cNvPicPr>
                  </pic:nvPicPr>
                  <pic:blipFill>
                    <a:blip r:embed="rId21"/>
                    <a:stretch>
                      <a:fillRect/>
                    </a:stretch>
                  </pic:blipFill>
                  <pic:spPr bwMode="auto">
                    <a:xfrm>
                      <a:off x="0" y="0"/>
                      <a:ext cx="5760085" cy="2884805"/>
                    </a:xfrm>
                    <a:prstGeom prst="rect">
                      <a:avLst/>
                    </a:prstGeom>
                    <a:noFill/>
                  </pic:spPr>
                </pic:pic>
              </a:graphicData>
            </a:graphic>
          </wp:inline>
        </w:drawing>
      </w:r>
    </w:p>
    <w:p>
      <w:pPr>
        <w:pStyle w:val="Abbildungsbeschriftung"/>
        <w:rPr/>
      </w:pPr>
      <w:bookmarkStart w:id="244" w:name="__RefHeading___Toc8565_3957600584"/>
      <w:bookmarkStart w:id="245" w:name="phone_figure_10034"/>
      <w:bookmarkEnd w:id="244"/>
      <w:r>
        <w:rPr/>
        <w:t>Abbildung 7-5: Verarbeitungszeiten im Einzelbetrieb und im gemeinsamen Prozess. Symbole zeigen Median, rechte Striche P95; die Zeitachse ist logarithmisch. Erfasst wird der instrumentierte Auswerteraufruf einschließlich seiner Vorverarbeitung, nicht eine einheitlich isolierte Modellkernzeit. Quelle: B1, ausgewählte decisions.csv.</w:t>
      </w:r>
      <w:bookmarkEnd w:id="245"/>
    </w:p>
    <w:p>
      <w:pPr>
        <w:pStyle w:val="Normal"/>
        <w:spacing w:after="120"/>
        <w:rPr/>
      </w:pPr>
      <w:r>
        <w:rPr/>
        <w:t>Der Isolation Forest benötigt in beiden Modi die meiste Verarbeitungszeit. RMS ist am schnellsten berechnet. Der Autoencoder liegt dazwischen; seine gemessene Zeit steigt im gemeinsamen Prozess. Diese Beobachtung ist mit zusätzlicher Konkurrenz und anderem Scheduling vereinbar, ist aber ohne kontrollierte Wiederholungsmatrix keine isolierte Ursache-Wirkungs-Messung. Die Einzelaufnahmen unterscheiden sich außerdem in Dauer und Ereignisverlauf.</w:t>
      </w:r>
    </w:p>
    <w:p>
      <w:pPr>
        <w:pStyle w:val="Normal"/>
        <w:spacing w:after="120"/>
        <w:rPr/>
      </w:pPr>
      <w:r>
        <w:rPr/>
        <w:t>Die CPU-Kennzahl ist der Median der im jeweiligen Lauf protokollierten Prozessmessungen; 100 % entsprechen einem logischen Kern. Sie umfasst den gesamten Aufnahmeprozess einschließlich Erfassung und Protokollierung. Der RSS-Wert ist der größte während der protokollierten Fenster abgetastete residente Prozessspeicher. Er ist weder der gesamte RAM des Raspberry Pi noch zwingend der höchste Wert während Import, Modellstart oder Prozesslebensdauer. Ein Punkt zwischen zwei Messproben kann unbemerkt bleiben.</w:t>
      </w:r>
    </w:p>
    <w:p>
      <w:pPr>
        <w:pStyle w:val="Tabellenbeschriftung"/>
        <w:rPr/>
      </w:pPr>
      <w:bookmarkStart w:id="246" w:name="__RefHeading___Toc8593_3957600584"/>
      <w:bookmarkStart w:id="247" w:name="phone_table_10035"/>
      <w:bookmarkEnd w:id="246"/>
      <w:r>
        <w:rPr/>
        <w:t>Tabelle 7-7: Prozessressourcen der ausgewählten Smartphoneaufnahmen</w:t>
      </w:r>
      <w:bookmarkEnd w:id="24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2098"/>
        <w:gridCol w:w="2098"/>
        <w:gridCol w:w="3174"/>
      </w:tblGrid>
      <w:tr>
        <w:trPr>
          <w:tblHeader w:val="true"/>
          <w:cantSplit w:val="true"/>
        </w:trPr>
        <w:tc>
          <w:tcPr>
            <w:tcW w:w="1700"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Betriebsart</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CPU-Median [% eines Kerns]</w:t>
            </w:r>
          </w:p>
        </w:tc>
        <w:tc>
          <w:tcPr>
            <w:tcW w:w="2098"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Größter abgetasteter RSS [MiB]</w:t>
            </w:r>
          </w:p>
        </w:tc>
        <w:tc>
          <w:tcPr>
            <w:tcW w:w="3174"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Umfang</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Autoencoder allein</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9,72</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48,80</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184 Fenster</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Isolation Forest allein</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12,98</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167,11</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196 Fenster</w:t>
            </w:r>
          </w:p>
        </w:tc>
      </w:tr>
      <w:tr>
        <w:trPr>
          <w:cantSplit w:val="true"/>
        </w:trPr>
        <w:tc>
          <w:tcPr>
            <w:tcW w:w="1700"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RMS allein</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9,69</w:t>
            </w:r>
          </w:p>
        </w:tc>
        <w:tc>
          <w:tcPr>
            <w:tcW w:w="2098" w:type="dxa"/>
            <w:vAlign w:val="center"/>
            <w:tcMar>
              <w:top w:w="60" w:type="dxa"/>
              <w:bottom w:w="60" w:type="dxa"/>
              <w:left w:w="80" w:type="dxa"/>
              <w:right w:w="80" w:type="dxa"/>
            </w:tcMar>
          </w:tcPr>
          <w:p>
            <w:pPr>
              <w:pStyle w:val="Normal"/>
              <w:keepNext w:val="true"/>
              <w:keepLines/>
              <w:spacing w:lineRule="auto" w:line="252" w:before="40" w:after="40"/>
              <w:jc w:val="end"/>
              <w:rPr>
                <w:sz w:val="22"/>
              </w:rPr>
            </w:pPr>
            <w:r>
              <w:rPr>
                <w:b w:val="false"/>
                <w:color w:val="000000"/>
                <w:sz w:val="21"/>
              </w:rPr>
              <w:t>39,31</w:t>
            </w:r>
          </w:p>
        </w:tc>
        <w:tc>
          <w:tcPr>
            <w:tcW w:w="3174"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234 Fenster</w:t>
            </w:r>
          </w:p>
        </w:tc>
      </w:tr>
      <w:tr>
        <w:trPr>
          <w:cantSplit w:val="true"/>
        </w:trPr>
        <w:tc>
          <w:tcPr>
            <w:tcW w:w="1700"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Alle drei gemeinsam</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13,04</w:t>
            </w:r>
          </w:p>
        </w:tc>
        <w:tc>
          <w:tcPr>
            <w:tcW w:w="2098" w:type="dxa"/>
            <w:vAlign w:val="center"/>
            <w:tcMar>
              <w:top w:w="60" w:type="dxa"/>
              <w:bottom w:w="60" w:type="dxa"/>
              <w:left w:w="80" w:type="dxa"/>
              <w:right w:w="80" w:type="dxa"/>
            </w:tcMar>
          </w:tcPr>
          <w:p>
            <w:pPr>
              <w:pStyle w:val="Normal"/>
              <w:keepNext w:val="false"/>
              <w:keepLines/>
              <w:spacing w:lineRule="auto" w:line="252" w:before="40" w:after="40"/>
              <w:jc w:val="end"/>
              <w:rPr>
                <w:sz w:val="22"/>
              </w:rPr>
            </w:pPr>
            <w:r>
              <w:rPr>
                <w:b w:val="false"/>
                <w:color w:val="000000"/>
                <w:sz w:val="21"/>
              </w:rPr>
              <w:t>174,42</w:t>
            </w:r>
          </w:p>
        </w:tc>
        <w:tc>
          <w:tcPr>
            <w:tcW w:w="3174"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197 gemeinsame Fenster</w:t>
            </w:r>
          </w:p>
        </w:tc>
      </w:tr>
    </w:tbl>
    <w:p>
      <w:pPr>
        <w:pStyle w:val="Normal"/>
        <w:keepNext w:val="true"/>
        <w:spacing w:before="120" w:after="0"/>
        <w:jc w:val="center"/>
        <w:rPr/>
      </w:pPr>
      <w:r>
        <w:rPr/>
        <w:drawing>
          <wp:inline distT="0" distB="0" distL="0" distR="0">
            <wp:extent cx="5760085" cy="3044825"/>
            <wp:effectExtent l="0" t="0" r="0" b="0"/>
            <wp:docPr id="9"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title=""/>
                    <pic:cNvPicPr>
                      <a:picLocks noChangeAspect="1" noChangeArrowheads="1"/>
                    </pic:cNvPicPr>
                  </pic:nvPicPr>
                  <pic:blipFill>
                    <a:blip r:embed="rId22"/>
                    <a:stretch>
                      <a:fillRect/>
                    </a:stretch>
                  </pic:blipFill>
                  <pic:spPr bwMode="auto">
                    <a:xfrm>
                      <a:off x="0" y="0"/>
                      <a:ext cx="5760085" cy="3044825"/>
                    </a:xfrm>
                    <a:prstGeom prst="rect">
                      <a:avLst/>
                    </a:prstGeom>
                    <a:noFill/>
                  </pic:spPr>
                </pic:pic>
              </a:graphicData>
            </a:graphic>
          </wp:inline>
        </w:drawing>
      </w:r>
    </w:p>
    <w:p>
      <w:pPr>
        <w:pStyle w:val="Abbildungsbeschriftung"/>
        <w:rPr/>
      </w:pPr>
      <w:bookmarkStart w:id="248" w:name="__RefHeading___Toc8563_3957600584"/>
      <w:bookmarkStart w:id="249" w:name="phone_figure_10036"/>
      <w:bookmarkEnd w:id="248"/>
      <w:r>
        <w:rPr/>
        <w:t>Abbildung 7-6: CPU und RAM im Einzelbetrieb und gemeinsamen Live-Prozess. Es handelt sich um Prozessmessungen mit unterschiedlichen Laufdauern; die gemeinsame Auslastung darf nicht pro Methode aufgeteilt oder aus den Einzelwerten addiert werden. Quelle: B1, decisions.csv und resources.csv.</w:t>
      </w:r>
      <w:bookmarkEnd w:id="249"/>
    </w:p>
    <w:p>
      <w:pPr>
        <w:pStyle w:val="Normal"/>
        <w:spacing w:after="120"/>
        <w:rPr/>
      </w:pPr>
      <w:r>
        <w:rPr/>
        <w:t>Die gemeinsame Speichernutzung liegt in diesem Lauf etwas oberhalb des Isolation-Forest-Einzelprozesses, nicht bei der Summe aller Einzelprozesse. Im gemeinsamen Prozess werden Teile der Erfassung, Laufzeitumgebung und geladenen Bibliotheken geteilt. Eine genaue Zuordnung einzelner Speicheranteile wurde nicht instrumentiert. Die Ergebnisse zeigen im untersuchten Umfang eine Ausführung ohne protokollierten Fensterrückstand oder Datenverlust; sie sind kein unbegrenzter Dauerbetriebsnachweis.</w:t>
      </w:r>
    </w:p>
    <w:p>
      <w:pPr>
        <w:pStyle w:val="Normal"/>
        <w:spacing w:after="120"/>
        <w:rPr/>
      </w:pPr>
      <w:r>
        <w:t>Im gemeinsamen Lauf beträgt das empirische P99 der Zeit vom Host-Abschluss des letzten Fensterpunkts bis zur Entscheidung 9,156 ms für AE, 45,008 ms für IF und 8,793 ms für RMS. Die Maxima sind 12,205 ms, 83,893 ms und 11,455 ms. Die protokollierte Erfassungsrate von 207,298 XYZ-Punkten/s ergibt für das Kriterium aus Abschnitt 1.4 ein Fensterbudget von 617,468 ms; der nominelle Wert 640 ms ist eine Konfigurationsangabe. Zusätzlich lassen sich 196 tatsächliche Folgefensterankünfte je Methode prüfen. Ihre Intervalle liegen zwischen 613,663 und 621,993 ms. Keine der jeweils 196 Entscheidungen erfolgt nach der nächsten Fensterankunft. Das letzte Fenster besitzt kein Folgefenster und bleibt aus diesem Nenner ausgeschlossen. Damit ist das technische Latenzziel im beobachteten Lauf erfüllt; eine harte Echtzeitgarantie folgt daraus nicht. Fensterfüllzeit und physische Erkennungsverzögerung sind davon getrennt (B1, run.json und decisions.csv).</w:t>
      </w:r>
    </w:p>
    <w:p>
      <w:pPr>
        <w:pStyle w:val="Normal"/>
        <w:keepNext w:val="true"/>
        <w:spacing w:before="0" w:after="0"/>
        <w:jc w:val="center"/>
        <w:rPr/>
      </w:pPr>
      <w:r>
        <w:rPr/>
        <w:drawing>
          <wp:inline distT="0" distB="0" distL="0" distR="0">
            <wp:extent cx="5760085" cy="4562475"/>
            <wp:effectExtent l="0" t="0" r="0" b="0"/>
            <wp:docPr id="10"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title=""/>
                    <pic:cNvPicPr>
                      <a:picLocks noChangeAspect="1" noChangeArrowheads="1"/>
                    </pic:cNvPicPr>
                  </pic:nvPicPr>
                  <pic:blipFill>
                    <a:blip r:embed="rId23"/>
                    <a:stretch>
                      <a:fillRect/>
                    </a:stretch>
                  </pic:blipFill>
                  <pic:spPr bwMode="auto">
                    <a:xfrm>
                      <a:off x="0" y="0"/>
                      <a:ext cx="5760085" cy="4562475"/>
                    </a:xfrm>
                    <a:prstGeom prst="rect">
                      <a:avLst/>
                    </a:prstGeom>
                    <a:noFill/>
                  </pic:spPr>
                </pic:pic>
              </a:graphicData>
            </a:graphic>
          </wp:inline>
        </w:drawing>
      </w:r>
    </w:p>
    <w:p>
      <w:pPr>
        <w:pStyle w:val="Abbildungsbeschriftung"/>
        <w:rPr/>
      </w:pPr>
      <w:bookmarkStart w:id="250" w:name="__RefHeading___Toc8561_3957600584"/>
      <w:bookmarkStart w:id="251" w:name="phone_figure_10037"/>
      <w:bookmarkEnd w:id="250"/>
      <w:r>
        <w:rPr/>
        <w:t>Abbildung 7-7: Zeitlicher Ressourcenverlauf des gemeinsamen Prozesses. Grau: Zeitraum zwischen Bedienmarkern. Temperatur und CPU-Takt sind zusätzliche Betriebsdiagnosen, keine Leistungs- oder Energiemessung. Quelle: B1, Gemeinsam01/resources.csv.</w:t>
      </w:r>
      <w:bookmarkEnd w:id="251"/>
    </w:p>
    <w:p>
      <w:pPr>
        <w:pStyle w:val="Normal"/>
        <w:spacing w:after="120"/>
        <w:rPr/>
      </w:pPr>
      <w:r>
        <w:rPr/>
        <w:t>Im gemeinsamen Lauf wurden Temperaturen von 52,35 bis 60,60 °C und CPU-Frequenzen von 1,5 bis 2,4 GHz protokolliert. Über die ausgewählten Einzelprozesse reichen die Temperaturproben von 51,80 bis 61,15 °C. Aus wechselnder CPU-Frequenz allein folgt kein Nachweis thermischer Drosselung. Für diese Reihe liegt keine vollständige unabhängige Drosselungsanalyse vor. Ein unauffälliger kurzer Versuch schließt spätere Temperatur- oder Speicherprobleme nicht aus.</w:t>
      </w:r>
    </w:p>
    <w:p>
      <w:pPr>
        <w:pStyle w:val="Normal"/>
        <w:spacing w:after="120"/>
        <w:rPr/>
      </w:pPr>
      <w:r>
        <w:rPr/>
        <w:t>Unter Verbrauch wird in dieser Auswertung ausschließlich der beobachtete Rechen- und Speicherbedarf verstanden. Elektrische Leistung in Watt, Stromaufnahme und Energie in Wh wurden nicht gemessen. CPU-Auslastung ist kein hinreichender Ersatz dafür. Auch die externe 12-V-Lüfterversorgung gehört nicht automatisch zum erfassten Raspberry-Pi-Prozessbedarf. Eine Aussage wie „der Autoencoder verbraucht weniger elektrische Energie“ wird deshalb nicht aus diesen Daten abgeleitet.</w:t>
      </w:r>
    </w:p>
    <w:p>
      <w:pPr>
        <w:pStyle w:val="Heading2"/>
        <w:numPr>
          <w:ilvl w:val="1"/>
          <w:numId w:val="2"/>
        </w:numPr>
        <w:jc w:val="start"/>
        <w:rPr/>
      </w:pPr>
      <w:bookmarkStart w:id="254" w:name="__RefHeading___Toc8531_3957600584"/>
      <w:bookmarkStart w:id="255" w:name="phone_heading_10039"/>
      <w:bookmarkEnd w:id="254"/>
      <w:r>
        <w:rPr>
          <w:color w:val="000000"/>
        </w:rPr>
        <w:t>Forschungsfragen und Nachweisstand</w:t>
      </w:r>
      <w:bookmarkEnd w:id="255"/>
    </w:p>
    <w:p>
      <w:pPr>
        <w:pStyle w:val="Tabellenbeschriftung"/>
        <w:rPr/>
      </w:pPr>
      <w:bookmarkStart w:id="256" w:name="__RefHeading___Toc8591_3957600584"/>
      <w:bookmarkStart w:id="257" w:name="phone_table_10040"/>
      <w:bookmarkEnd w:id="256"/>
      <w:bookmarkEnd w:id="257"/>
      <w:r>
        <w:t>Tabelle 7-8: Beantwortung der Forschungsfragen und Nachweisgrenzen</w:t>
      </w:r>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Gegenstand</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Beobachtung</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Bewertung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FF1: technische Auswahl</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Raspberry Pi, ADXL345 und drei lokale Verfahren umgesetzt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Technische Eignung im Pilotbetrieb gezeigt; vollständige Messqualität bleibt offen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FF2: Alarmverhalten</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Gemeinsam: AE/IF erstmals Fenster 108, RMS 109; AE-Ausgabe 19,1 ms vor IF und 615,7 ms vor RMS</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Deskriptiver Ausgabevorsprung in einem gemeinsamen Ereignis; kein allgemeiner Qualitätsnachweis</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FF3: Zeitbudget und Ressourcen</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P99 unter 617,468 ms; je Methode 0/196 Überschreitungen der Folgefensterankunft; CPU 13,04 %, RSS 174,42 MiB gemeinsam</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Technisches Latenzziel im beobachteten Lauf erfüllt; keine harte Echtzeit- oder Dauerbetriebsgarantie</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FF4: Aussagekraft</w:t>
            </w:r>
          </w:p>
        </w:tc>
        <w:tc>
          <w:tcPr>
            <w:tcW w:w="2665" w:type="dxa"/>
            <w:vAlign w:val="center"/>
            <w:tcMar>
              <w:top w:w="60" w:type="dxa"/>
              <w:bottom w:w="60" w:type="dxa"/>
              <w:left w:w="80" w:type="dxa"/>
              <w:right w:w="80" w:type="dxa"/>
            </w:tcMar>
          </w:tcPr>
          <w:p>
            <w:pPr>
              <w:spacing w:after="40" w:before="40" w:line="252" w:lineRule="auto"/>
              <w:jc w:val="left"/>
            </w:pPr>
            <w:r>
              <w:rPr>
                <w:color w:val="000000"/>
                <w:sz w:val="21"/>
              </w:rPr>
              <w:t>Gleiche Fensterhashes und reproduzierte Entscheidungen; physikalische Ereignisreferenz und Wiederholungen begrenzt</w:t>
            </w:r>
          </w:p>
        </w:tc>
        <w:tc>
          <w:tcPr>
            <w:tcW w:w="4423" w:type="dxa"/>
            <w:vAlign w:val="center"/>
            <w:tcMar>
              <w:top w:w="60" w:type="dxa"/>
              <w:bottom w:w="60" w:type="dxa"/>
              <w:left w:w="80" w:type="dxa"/>
              <w:right w:w="80" w:type="dxa"/>
            </w:tcMar>
          </w:tcPr>
          <w:p>
            <w:pPr>
              <w:spacing w:after="40" w:before="40" w:line="252" w:lineRule="auto"/>
              <w:jc w:val="left"/>
            </w:pPr>
            <w:r>
              <w:rPr>
                <w:color w:val="000000"/>
                <w:sz w:val="21"/>
              </w:rPr>
              <w:t>Technische Vergleichbarkeit belegt; F1, bestätigte Fehlalarmrate und absolute Erkennungsverzögerung nicht bestimmbar</w:t>
            </w:r>
          </w:p>
        </w:tc>
      </w:tr>
    </w:tbl>
    <w:p>
      <w:pPr>
        <w:pStyle w:val="Normal"/>
        <w:spacing w:after="120" w:before="120"/>
        <w:rPr/>
      </w:pPr>
      <w:r>
        <w:t>Nachvollziehbarkeit, gleiche Eingaben, Datentrennung und Ressourcenmessung werden durch Dateien, Hashes und getrennte Vergleichsmodi gestützt. Vollständig verifizierte Messqualität, Drehzahl, physikalische Referenz und reproduzierbare Anregung bleiben teilweise offen. Die Bewertung bezieht sich auf den in Kapitel 4 offengelegten Rahmen der explorativen Studie. Sie ist kein nachträglicher Nachweis einer vorab registrierten bestätigenden Untersuchung.</w:t>
      </w:r>
    </w:p>
    <w:p>
      <w:pPr>
        <w:pStyle w:val="Tabellenbeschriftung"/>
        <w:rPr/>
      </w:pPr>
      <w:bookmarkStart w:id="258" w:name="__RefHeading___Toc8589_3957600584"/>
      <w:bookmarkStart w:id="259" w:name="phone_table_10041"/>
      <w:bookmarkEnd w:id="258"/>
      <w:bookmarkEnd w:id="259"/>
      <w:r>
        <w:t>Tabelle 7-9: Rückbindung an die Anforderungen aus Kapitel 4</w:t>
      </w:r>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2665"/>
        <w:gridCol w:w="4423"/>
      </w:tblGrid>
      <w:tr>
        <w:trPr>
          <w:tblHeader w:val="true"/>
          <w:cantSplit w:val="true"/>
        </w:trPr>
        <w:tc>
          <w:tcPr>
            <w:tcW w:w="198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Anforderung</w:t>
            </w:r>
          </w:p>
        </w:tc>
        <w:tc>
          <w:tcPr>
            <w:tcW w:w="266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Stand der Smartphoneuntersuchung</w:t>
            </w:r>
          </w:p>
        </w:tc>
        <w:tc>
          <w:tcPr>
            <w:tcW w:w="442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Abgrenzung / Nachweis</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A1 Messqualität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Teilnachweis</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Integritätsflags geprüft; Bandbreite, Signal-Rausch-Abstand und Sensortakt nicht vollständig unabhängig abgesichert</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A2 Datentrennung</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Im dokumentierten Umfang erfüllt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Drei normale Trainingsdateien, eine getrennte normale Validierungsdatei, spätere Smartphoneaufnahmen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A3 Einheitlicher Vergleich</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Im direkten Eingabevergleich erfüllt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Identische Rohfenster im Replay und gemeinsamen Live-Lauf; gleiche P99-Regel und Markerzuordnung</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A4 Lokale Auswertung</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Im dokumentierten Umfang erfüllt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Entscheidungen lokal auf dem Pi; kein Cloud-Dienst für die Inferenz</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A5 Nachvollziehbarkeit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Im dokumentierten Umfang erfüllt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Laufkennungen, Rohdaten, Bündel-/Dateihashes und Softwareprovenienz vorhanden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A6 Modellkompatibilität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Im dokumentierten Umfang erfüllt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Keras-/TFLite-Prüfung und exakte Reproduktion der Live-Entscheidungen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A7 Latenzziel</w:t>
            </w:r>
          </w:p>
        </w:tc>
        <w:tc>
          <w:tcPr>
            <w:tcW w:w="2665" w:type="dxa"/>
            <w:vAlign w:val="center"/>
            <w:tcMar>
              <w:top w:w="60" w:type="dxa"/>
              <w:bottom w:w="60" w:type="dxa"/>
              <w:left w:w="80" w:type="dxa"/>
              <w:right w:w="80" w:type="dxa"/>
            </w:tcMar>
          </w:tcPr>
          <w:p>
            <w:pPr>
              <w:spacing w:after="40" w:before="40" w:line="252" w:lineRule="auto"/>
              <w:jc w:val="left"/>
            </w:pPr>
            <w:r>
              <w:rPr>
                <w:color w:val="000000"/>
                <w:sz w:val="21"/>
              </w:rPr>
              <w:t>Im beobachteten Lauf erfüllt</w:t>
            </w:r>
          </w:p>
        </w:tc>
        <w:tc>
          <w:tcPr>
            <w:tcW w:w="4423" w:type="dxa"/>
            <w:vAlign w:val="center"/>
            <w:tcMar>
              <w:top w:w="60" w:type="dxa"/>
              <w:bottom w:w="60" w:type="dxa"/>
              <w:left w:w="80" w:type="dxa"/>
              <w:right w:w="80" w:type="dxa"/>
            </w:tcMar>
          </w:tcPr>
          <w:p>
            <w:pPr>
              <w:spacing w:after="40" w:before="40" w:line="252" w:lineRule="auto"/>
              <w:jc w:val="left"/>
            </w:pPr>
            <w:r>
              <w:rPr>
                <w:color w:val="000000"/>
                <w:sz w:val="21"/>
              </w:rPr>
              <w:t>P99 unter dem laufbezogenen Fensterbudget; je Methode 0/196 Überschreitungen gegenüber tatsächlichen Folgefenstern</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A8 Speicher und Rückstand</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Teilnachweis</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Kurze Läufe ohne protokollierten Abbruch/Rückstand; kein Dauerbetriebs- oder vollständig kontrollierter Lastnachweis</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A9 Alarmverhalten</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Deskriptiv ausgewertet</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Alarmzahlen, erste Fenster und relative Ausgabezeitpunkte berichtet; keine Konfusionsmatrix ohne unabhängige Referenz</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color w:val="000000"/>
                <w:sz w:val="21"/>
              </w:rPr>
              <w:t>A10 Anregung und Referenz</w:t>
            </w:r>
          </w:p>
        </w:tc>
        <w:tc>
          <w:tcPr>
            <w:tcW w:w="2665" w:type="dxa"/>
            <w:vAlign w:val="center"/>
            <w:tcMar>
              <w:top w:w="60" w:type="dxa"/>
              <w:bottom w:w="60" w:type="dxa"/>
              <w:left w:w="80" w:type="dxa"/>
              <w:right w:w="80" w:type="dxa"/>
            </w:tcMar>
          </w:tcPr>
          <w:p>
            <w:pPr>
              <w:spacing w:after="40" w:before="40" w:line="252" w:lineRule="auto"/>
              <w:jc w:val="left"/>
            </w:pPr>
            <w:r>
              <w:rPr>
                <w:color w:val="000000"/>
                <w:sz w:val="21"/>
              </w:rPr>
              <w:t>Teilnachweis</w:t>
            </w:r>
          </w:p>
        </w:tc>
        <w:tc>
          <w:tcPr>
            <w:tcW w:w="4423" w:type="dxa"/>
            <w:vAlign w:val="center"/>
            <w:tcMar>
              <w:top w:w="60" w:type="dxa"/>
              <w:bottom w:w="60" w:type="dxa"/>
              <w:left w:w="80" w:type="dxa"/>
              <w:right w:w="80" w:type="dxa"/>
            </w:tcMar>
          </w:tcPr>
          <w:p>
            <w:pPr>
              <w:spacing w:after="40" w:before="40" w:line="252" w:lineRule="auto"/>
              <w:jc w:val="left"/>
            </w:pPr>
            <w:r>
              <w:rPr>
                <w:color w:val="000000"/>
                <w:sz w:val="21"/>
              </w:rPr>
              <w:t>Bedienmarker vorhanden; physikalischer Beginn und Ende sowie finale Smartphonegeometrie nicht unabhängig bestätigt</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A11 Reproduzierbarkeit</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Teilnachweis</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Protokoll und Daten erhalten; Smartphonegeometrie und Wiederholungsgleichheit nicht vollständig bestätigt</w:t>
            </w:r>
          </w:p>
        </w:tc>
      </w:tr>
      <w:tr>
        <w:trPr>
          <w:cantSplit w:val="true"/>
        </w:trPr>
        <w:tc>
          <w:tcPr>
            <w:tcW w:w="198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A12 Live-GUI</w:t>
            </w:r>
          </w:p>
        </w:tc>
        <w:tc>
          <w:tcPr>
            <w:tcW w:w="2665"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Nicht Gegenstand dieser Messung</w:t>
            </w:r>
          </w:p>
        </w:tc>
        <w:tc>
          <w:tcPr>
            <w:tcW w:w="4423" w:type="dxa"/>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val="false"/>
                <w:color w:val="000000"/>
                <w:sz w:val="21"/>
              </w:rPr>
              <w:t>GUI vorhanden, Aufnahme ohne GUI; Zusatzaufwand nicht bestimmt</w:t>
            </w:r>
          </w:p>
        </w:tc>
      </w:tr>
      <w:tr>
        <w:trPr>
          <w:cantSplit w:val="true"/>
        </w:trPr>
        <w:tc>
          <w:tcPr>
            <w:tcW w:w="198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A13 Geordnetes Starten/Stoppen</w:t>
            </w:r>
          </w:p>
        </w:tc>
        <w:tc>
          <w:tcPr>
            <w:tcW w:w="2665"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Im dokumentierten Umfang erfüllt</w:t>
            </w:r>
          </w:p>
        </w:tc>
        <w:tc>
          <w:tcPr>
            <w:tcW w:w="4423" w:type="dxa"/>
            <w:vAlign w:val="center"/>
            <w:tcMar>
              <w:top w:w="60" w:type="dxa"/>
              <w:bottom w:w="60" w:type="dxa"/>
              <w:left w:w="80" w:type="dxa"/>
              <w:right w:w="80" w:type="dxa"/>
            </w:tcMar>
          </w:tcPr>
          <w:p>
            <w:pPr>
              <w:pStyle w:val="Normal"/>
              <w:keepNext w:val="false"/>
              <w:keepLines/>
              <w:spacing w:lineRule="auto" w:line="252" w:before="40" w:after="40"/>
              <w:jc w:val="left"/>
              <w:rPr>
                <w:sz w:val="22"/>
              </w:rPr>
            </w:pPr>
            <w:r>
              <w:rPr>
                <w:b w:val="false"/>
                <w:color w:val="000000"/>
                <w:sz w:val="21"/>
              </w:rPr>
              <w:t>Abgeschlossene Journale, gespeicherte Reste und keine verbliebenen vollständigen Fenster</w:t>
            </w:r>
          </w:p>
        </w:tc>
      </w:tr>
    </w:tbl>
    <w:p>
      <w:pPr>
        <w:pStyle w:val="Heading1"/>
        <w:numPr>
          <w:ilvl w:val="0"/>
          <w:numId w:val="2"/>
        </w:numPr>
        <w:spacing w:before="120"/>
        <w:jc w:val="start"/>
        <w:rPr/>
      </w:pPr>
      <w:bookmarkStart w:id="260" w:name="__RefHeading___Toc8533_3957600584"/>
      <w:bookmarkStart w:id="261" w:name="phone_heading_10042"/>
      <w:bookmarkEnd w:id="260"/>
      <w:r>
        <w:rPr>
          <w:color w:val="000000"/>
        </w:rPr>
        <w:t>Diskussion</w:t>
      </w:r>
      <w:bookmarkEnd w:id="261"/>
    </w:p>
    <w:p>
      <w:pPr>
        <w:pStyle w:val="Heading2"/>
        <w:numPr>
          <w:ilvl w:val="1"/>
          <w:numId w:val="2"/>
        </w:numPr>
        <w:jc w:val="start"/>
        <w:rPr/>
      </w:pPr>
      <w:bookmarkStart w:id="262" w:name="__RefHeading___Toc8535_3957600584"/>
      <w:bookmarkStart w:id="263" w:name="phone_heading_10043"/>
      <w:bookmarkEnd w:id="262"/>
      <w:bookmarkEnd w:id="263"/>
      <w:r>
        <w:t>Alarmverhalten und Ausgabezeitpunkte</w:t>
      </w:r>
    </w:p>
    <w:p>
      <w:pPr>
        <w:pStyle w:val="Normal"/>
        <w:spacing w:after="120"/>
        <w:rPr/>
      </w:pPr>
      <w:r>
        <w:t>Der Smartphoneversuch zeigt eine Reaktion aller drei Verfahren auf den aufgezeichneten Verlauf: In den ausgewählten Läufen treten Alarme zwischen den Bedienmarkern auf. Die gemeinsame Aufnahme erlaubt dabei einen Vergleich auf exakt denselben Rohfenstern. Ohne unabhängige physikalische Zeitreferenz lässt sich jedoch nicht jedes markierte Fenster eindeutig der Vibration, ihrem Nachschwingen oder einer sonstigen Abweichung zuordnen. Die Alarmzahlen sind deshalb kein Ersatz für Precision, Recall oder F1.</w:t>
      </w:r>
    </w:p>
    <w:p>
      <w:pPr>
        <w:pStyle w:val="Normal"/>
        <w:spacing w:after="120"/>
        <w:rPr/>
      </w:pPr>
      <w:r>
        <w:t>Im gemeinsamen Ereignis markieren AE und IF erstmals dasselbe Fenster, die AE-Ausgabe liegt jedoch rund 19,1 ms früher vor. RMS berechnet seinen Score schneller, überschreitet seine Schwelle aber erst im Folgefenster. Im Replay der drei weiteren ausgewählten Ereignisse beginnt der AE einmal ein Fenster früher als die Baselines und zweimal im selben Fenster. Die Angaben beschreiben die beobachtete Ausgabe- und Schwellenreihenfolge. Sie belegen weder eine höhere ereignisbezogene Erkennungsquote noch eine kürzere absolute Verzögerung ab physikalischem Beginn.</w:t>
      </w:r>
    </w:p>
    <w:p>
      <w:pPr>
        <w:pStyle w:val="Heading2"/>
        <w:numPr>
          <w:ilvl w:val="1"/>
          <w:numId w:val="2"/>
        </w:numPr>
        <w:jc w:val="start"/>
        <w:rPr/>
      </w:pPr>
      <w:bookmarkStart w:id="264" w:name="__RefHeading___Toc8537_3957600584"/>
      <w:bookmarkStart w:id="265" w:name="phone_heading_10044"/>
      <w:bookmarkEnd w:id="264"/>
      <w:r>
        <w:rPr>
          <w:color w:val="000000"/>
        </w:rPr>
        <w:t>Schwellen, Alarmhäufigkeit und faire Bewertung</w:t>
      </w:r>
      <w:bookmarkEnd w:id="265"/>
    </w:p>
    <w:p>
      <w:pPr>
        <w:pStyle w:val="Normal"/>
        <w:spacing w:after="120"/>
        <w:rPr/>
      </w:pPr>
      <w:r>
        <w:t>Die Autoencoder-MSE gehört zum standardisierten Eingaberaum und zur Rekonstruktionsfehlerverteilung des trainierten Modells. Ein hoher Score zeigt eine Abweichung von dieser Referenz; er identifiziert keine bestimmte physikalische Ursache. Beabsichtigte Anregung, veränderte Orientierung und Änderungen normaler Betriebsbedingungen können ähnliche Auswirkungen haben. Das Beibehalten der eingefrorenen Schwellen sichert den Vergleich innerhalb einer Reihe; eine spätere Rekalibrierung wäre eine eigenständige Untersuchung.</w:t>
      </w:r>
    </w:p>
    <w:p>
      <w:pPr>
        <w:pStyle w:val="Normal"/>
        <w:spacing w:after="120"/>
        <w:rPr/>
      </w:pPr>
      <w:r>
        <w:rPr/>
        <w:t>Die Normierung Score/Schwelle macht den Grenzübertritt sichtbar, gleicht aber die Verteilungen der drei Methoden nicht an. Ein Verhältnis von 3 beim Autoencoder ist nicht dreimal so viel physische Störung wie ein Verhältnis von 1 beim Isolation Forest. Die gemeinsame P99-Regel ist ein nachvollziehbarer Kalibrierungsansatz, garantiert aber bei kleinen und zeitlich abhängigen Normaldaten keine identische Sensitivität oder Spezifität im Test.</w:t>
      </w:r>
    </w:p>
    <w:p>
      <w:pPr>
        <w:spacing w:after="120"/>
      </w:pPr>
      <w:r>
        <w:t>Die Kalibrierung ist eine wesentliche Unsicherheitsquelle des frühen Alarmvergleichs. Nur eine Normalaufnahme liefert die 97 P99-Scores, und dieselbe Aufnahme dient der Modellüberwachung. Besonders beim Isolation Forest in Fenster 108 liegt der Score knapp oberhalb der Grenze. Eine andere unabhängige Kalibrierungsstichprobe könnte die relative Alarmreihenfolge verändern. Dies ist eine plausible Unsicherheit, keine im vorliegenden Datensatz nachgewiesene Ursache. Für eine faire Bewertung bei vergleichbarer Spezifität wäre zusätzlich eine unabhängige Schätzung der Fehlalarmraten erforderlich.</w:t>
      </w:r>
    </w:p>
    <w:p>
      <w:pPr>
        <w:pStyle w:val="Normal"/>
        <w:spacing w:after="120"/>
        <w:rPr/>
      </w:pPr>
      <w:r>
        <w:rPr/>
        <w:t>Mehr Alarmfenster können längere Empfindlichkeit, Nachschwingen oder Fehlalarme bedeuten. Ohne unabhängige Ereignisreferenz lässt sich dies nicht vollständig trennen. Ebenso ist „kein Alarm außerhalb der Bedienmarker“ ein nützlicher Kontrollbefund, aber kein statistischer Nachweis einer Fehlalarmrate von null. Alarmfenster desselben Anrufs dürfen nicht als unabhängige erfolgreiche Wiederholungen gezählt werden.</w:t>
      </w:r>
    </w:p>
    <w:p>
      <w:pPr>
        <w:pStyle w:val="Heading2"/>
        <w:numPr>
          <w:ilvl w:val="1"/>
          <w:numId w:val="2"/>
        </w:numPr>
        <w:jc w:val="start"/>
        <w:rPr/>
      </w:pPr>
      <w:bookmarkStart w:id="266" w:name="__RefHeading___Toc8539_3957600584"/>
      <w:bookmarkStart w:id="267" w:name="phone_heading_10045"/>
      <w:bookmarkEnd w:id="266"/>
      <w:r>
        <w:rPr>
          <w:color w:val="000000"/>
        </w:rPr>
        <w:t>Vergleichbarkeit und interne Gültigkeit</w:t>
      </w:r>
      <w:bookmarkEnd w:id="267"/>
    </w:p>
    <w:p>
      <w:pPr>
        <w:pStyle w:val="Normal"/>
        <w:spacing w:after="120"/>
        <w:rPr/>
      </w:pPr>
      <w:r>
        <w:rPr/>
        <w:t>Der gemeinsame Live-Lauf ist für die Rangfolge im konkreten Ereignis am aussagekräftigsten, weil alle Methoden dieselben Rohfenster erhalten. Er beantwortet jedoch nicht den isolierten Ressourcenbedarf jedes Verfahrens. Die Einzelprozesse helfen bei dieser zweiten Frage, sind aber aufgrund unterschiedlicher Eingaben, Laufdauern und fehlender Wiederholungsmatrix nur deskriptiv vergleichbar. Replay trennt die Wirkung der Eingabedaten von unterschiedlichen Anrufen, ersetzt aber keine physikalische Wiederholung.</w:t>
      </w:r>
    </w:p>
    <w:p>
      <w:pPr>
        <w:pStyle w:val="Normal"/>
        <w:spacing w:after="120"/>
        <w:rPr/>
      </w:pPr>
      <w:r>
        <w:rPr/>
        <w:t>Weitere Unsicherheit entsteht durch die Kopplung Smartphone–Tisch–Aufbau–Sensor. Position, Unterlage und Vibrationsmuster wurden nicht unabhängig quantifiziert. Das aktuelle Normalprofil ist setupbezogen; eine Änderung des mechanischen Wegs kann bereits die Normalverteilung verschieben. Die fehlende vollständige Bestätigung der finalen Smartphonegeometrie und der Entwicklungsstatus der Messkette werden deshalb nicht durch einen positiven Einzelbefund aufgehoben.</w:t>
      </w:r>
    </w:p>
    <w:p>
      <w:pPr>
        <w:pStyle w:val="Normal"/>
        <w:spacing w:after="120"/>
        <w:rPr/>
      </w:pPr>
      <w:r>
        <w:t>Nominelle Sensorrate, Host-Zeitstempel und physikalischer Ereignisbeginn sind unterschiedliche Größen. Die zeitliche Lage einer Anregung innerhalb des rund 0,617-s-Fensters beeinflusst, wann ein auffälliges vollständiges Fenster verfügbar wird. Eine kurze Modellberechnung garantiert deshalb keine ebenso kurze Ende-zu-Ende-Erkennung. Gleichzeitige Worker-Starts beseitigen weder Betriebssystem-Scheduling noch Konkurrenz in Python und nativen Bibliotheken. Die 811 Rohfenster der ausgewählten Aufnahmen repräsentieren vier physikalische Ereignisse; die zusätzlichen Replay-Entscheidungen erhöhen diese Ereigniszahl nicht.</w:t>
      </w:r>
    </w:p>
    <w:p>
      <w:pPr>
        <w:pStyle w:val="Heading2"/>
        <w:numPr>
          <w:ilvl w:val="1"/>
          <w:numId w:val="2"/>
        </w:numPr>
        <w:jc w:val="start"/>
        <w:rPr/>
      </w:pPr>
      <w:bookmarkStart w:id="268" w:name="__RefHeading___Toc8541_3957600584"/>
      <w:bookmarkStart w:id="269" w:name="phone_heading_10046"/>
      <w:bookmarkEnd w:id="268"/>
      <w:r>
        <w:rPr>
          <w:color w:val="000000"/>
        </w:rPr>
        <w:t>Raspberry-Pi-Bedarf und Grenzen der Übertragung</w:t>
      </w:r>
      <w:bookmarkEnd w:id="269"/>
    </w:p>
    <w:p>
      <w:pPr>
        <w:pStyle w:val="Normal"/>
        <w:spacing w:after="120"/>
        <w:rPr/>
      </w:pPr>
      <w:r>
        <w:t>Im beobachteten Einzelbetrieb benötigt RMS den geringsten Rechenaufwand und Prozessspeicher, Isolation Forest den höchsten. Der Autoencoder liegt dazwischen. Die Rangfolge gilt für die instrumentierten Prozesse und Laufdauern. Die Verfahrenswahl erfordert zusätzlich eine belastbare Erkennungsbewertung und abgesicherte Messqualität.</w:t>
      </w:r>
    </w:p>
    <w:p>
      <w:pPr>
        <w:pStyle w:val="Normal"/>
        <w:spacing w:after="120"/>
        <w:rPr/>
      </w:pPr>
      <w:r>
        <w:t>Die gemeinsame Ausführung hält die beobachteten Fensterfristen ein. Dies garantiert weder Dauerbetrieb noch Eignung unter anderer Systemlast. Der Raspberry Pi 5 besitzt wesentlich mehr Ressourcen als ein typischer Mikrocontroller; eine Übertragung auf STM32-Hardware erfordert Portierung und erneute Messung.</w:t>
      </w:r>
    </w:p>
    <w:p>
      <w:pPr>
        <w:pStyle w:val="Heading1"/>
        <w:numPr>
          <w:ilvl w:val="0"/>
          <w:numId w:val="2"/>
        </w:numPr>
        <w:jc w:val="start"/>
        <w:rPr/>
      </w:pPr>
      <w:bookmarkStart w:id="270" w:name="__RefHeading___Toc8543_3957600584"/>
      <w:bookmarkStart w:id="271" w:name="phone_heading_10047"/>
      <w:bookmarkEnd w:id="270"/>
      <w:r>
        <w:rPr>
          <w:color w:val="000000"/>
        </w:rPr>
        <w:t>Ausblick</w:t>
      </w:r>
      <w:bookmarkEnd w:id="271"/>
    </w:p>
    <w:p>
      <w:pPr>
        <w:pStyle w:val="Normal"/>
        <w:spacing w:after="120"/>
        <w:rPr/>
      </w:pPr>
      <w:r>
        <w:rPr/>
        <w:t>Für eine belastbare Fortsetzung ist zuerst die physische Referenz zu verbessern. Vibrationsbeginn und -ende sollten mit einer unabhängigen, zeitlich zugeordneten Referenz erfasst werden. Smartphoneposition, Auflage und Anregungsmuster sind fest zu dokumentieren. Ein automatisiertes reproduzierbares Vibrationssignal wäre für Wiederholungen geeigneter als nur die manuelle Bestätigung eines Anrufs. Es bleibt dabei zu prüfen, welche reale Fehlerklasse durch eine äußere Tischanregung tatsächlich repräsentiert wird.</w:t>
      </w:r>
    </w:p>
    <w:p>
      <w:pPr>
        <w:pStyle w:val="Normal"/>
        <w:spacing w:after="120"/>
        <w:rPr/>
      </w:pPr>
      <w:r>
        <w:rPr/>
        <w:t>Danach sind mehrere unabhängige Ereignisse und längere Normalaufnahmen mit unverändert eingefrorenen Modellen nötig. Die Auswertung sollte vorab festlegen, wie ein Ereignis als erkannt gilt, wie Nachschwingen behandelt wird und welche Zeitabweichung akzeptiert wird. Eine Train-/Validierungs-/Testtrennung nach vollständigen Aufnahmen bleibt notwendig. Erst mit solchen Daten sind Erkennungsquote, Fehlalarmrate und Erkennungsverzögerung mit sinnvoller Unsicherheit vergleichbar.</w:t>
      </w:r>
    </w:p>
    <w:p>
      <w:pPr>
        <w:pStyle w:val="Normal"/>
        <w:spacing w:after="120"/>
        <w:rPr/>
      </w:pPr>
      <w:r>
        <w:rPr/>
        <w:t>Für den Raspberry-Pi-Vergleich sollten alle Methoden wiederholt auf denselben gespeicherten Daten in getrennten Prozessen laufen, ergänzt um gemeinsame Live-Versuche. Reihenfolge, Warmup, Messdauer, CPU-Konfiguration und Hintergrundlast sind festzulegen beziehungsweise zu rotieren. GUI-Last und Modellstart sind bei Bedarf getrennt zu messen. Elektrische Leistung erfordert eine zusätzliche Spannungs-/Strommessung mit klarer Systemgrenze; erst dann sind Energie pro Fenster oder Energie pro erkanntem Ereignis sinnvoll bestimmbar.</w:t>
      </w:r>
    </w:p>
    <w:p>
      <w:pPr>
        <w:pStyle w:val="Normal"/>
        <w:spacing w:after="120"/>
        <w:rPr/>
      </w:pPr>
      <w:r>
        <w:t>Eine Fortsetzung sollte alle drei Verfahren mit vorab festgelegten Endpunkten, unabhängiger Ereignisreferenz und zusätzlichen Normalaufnahmen vergleichen. Dabei sind Modellwahl, Schwellenkalibrierung und Test möglichst auf getrennte vollständige Aufnahmen zu verteilen. Die Wahl einer Methode für den Einsatz ergibt sich aus Erkennungsqualität, Fehlalarmen, Zeitverhalten und Ressourcenbedarf. Die Untersuchung eines bevorzugten Modells muss ebenso negative wie positive Ergebnisse zulassen.</w:t>
      </w:r>
    </w:p>
    <w:p>
      <w:pPr>
        <w:pStyle w:val="Heading1"/>
        <w:numPr>
          <w:ilvl w:val="0"/>
          <w:numId w:val="2"/>
        </w:numPr>
        <w:jc w:val="start"/>
        <w:rPr/>
      </w:pPr>
      <w:bookmarkStart w:id="272" w:name="__RefHeading___Toc8545_3957600584"/>
      <w:bookmarkStart w:id="273" w:name="phone_heading_10048"/>
      <w:bookmarkEnd w:id="272"/>
      <w:r>
        <w:rPr>
          <w:color w:val="000000"/>
        </w:rPr>
        <w:t>Fazit</w:t>
      </w:r>
      <w:bookmarkEnd w:id="273"/>
    </w:p>
    <w:p>
      <w:pPr>
        <w:pStyle w:val="Normal"/>
        <w:spacing w:after="120"/>
        <w:rPr/>
      </w:pPr>
      <w:r>
        <w:t>Die Arbeit realisiert eine lokal ausführbare und nachvollziehbar instrumentierte Vergleichspipeline für RMS, Isolation Forest und einen Float32-TFLite-Autoencoder auf dem Raspberry Pi 5. Die explorative Smartphoneuntersuchung verbindet Einzelbetrieb, Replay und gemeinsamen Live-Betrieb. Identische Rohfenster, eingefrorene Artefakte und reproduzierte Entscheidungen ermöglichen einen transparenten Vergleich. Datenerfassung und Inferenz funktionieren im untersuchten Umfang; vollständige Messqualität und langfristige Wiederholbarkeit bleiben teilweise offen.</w:t>
      </w:r>
    </w:p>
    <w:p>
      <w:pPr>
        <w:pStyle w:val="Normal"/>
        <w:spacing w:after="120"/>
        <w:rPr/>
      </w:pPr>
      <w:r>
        <w:t>Für FF2 zeigt sich im gemeinsamen Ereignis ein früherer AE-Ausgabezeitpunkt: etwa 19,1 ms gegenüber IF bei gleichem ersten Alarmfenster 108 und 615,7 ms gegenüber RMS, das erst Fenster 109 markiert. Im Replay der drei ausgewählten Einzelereignisse beginnt der AE einmal früher und zweimal gleichzeitig mit den Baselines. Diese Beobachtungen beschreiben den untersuchten Datenstand. Ohne unabhängige physikalische Ereignislabels lassen sich weder F1 und bestätigte Fehlalarmrate noch die absolute Erkennungsverzögerung bestimmen.</w:t>
      </w:r>
    </w:p>
    <w:p>
      <w:pPr>
        <w:pStyle w:val="Normal"/>
        <w:spacing w:after="120"/>
        <w:rPr/>
      </w:pPr>
      <w:r>
        <w:t>Für FF3 erreicht der gemeinsame Live-Prozess einen CPU-Median von 13,04 % eines logischen Kerns und maximal 174,42 MiB abgetasteten RSS. Je Methode liegen alle 196 überprüfbaren Entscheidungen vor der nächsten Fensterankunft. Auch das P99-Latenzziel wird im beobachteten Lauf erfüllt. RMS benötigt den geringsten berechnungsbezogenen Aufwand; Isolation Forest den höchsten in den ausgewählten Einzelprozessen. Elektrischer Energiebedarf, andere Hardwareplattformen und Dauerbetrieb wurden nicht nachgewiesen.</w:t>
      </w:r>
    </w:p>
    <w:p>
      <w:pPr>
        <w:pStyle w:val="Normal"/>
        <w:spacing w:after="120"/>
        <w:rPr/>
      </w:pPr>
      <w:r>
        <w:t>FF1 wird durch die begründete Systemauswahl und ihre dokumentierte Umsetzung beantwortet. Für FF4 belegen Journale, Hashes und Replay die technische Vergleichbarkeit auf identischen Eingaben; die kleine Kalibrierungsbasis, unvollständig vermessene Anregung und geringe Zahl unabhängiger Ereignisse begrenzen weitergehende Aussagen. Der wissenschaftliche Beitrag liegt in der überprüfbaren Trennung von Alarmverhalten, Ausgabezeitpunkt und technischem Aufwand. Eine allgemeine Überlegenheit oder zuverlässige Defekterkennung ist daraus nicht ableitbar.</w:t>
      </w:r>
    </w:p>
    <w:p>
      <w:pPr>
        <w:pStyle w:val="Heading1"/>
        <w:numPr>
          <w:ilvl w:val="0"/>
          <w:numId w:val="0"/>
        </w:numPr>
        <w:ind w:hanging="0" w:start="0"/>
        <w:jc w:val="start"/>
        <w:rPr/>
      </w:pPr>
      <w:bookmarkStart w:id="274" w:name="__RefHeading___Toc8547_3957600584"/>
      <w:bookmarkStart w:id="275" w:name="phone_heading_10049"/>
      <w:bookmarkEnd w:id="274"/>
      <w:r>
        <w:rPr>
          <w:color w:val="000000"/>
        </w:rPr>
        <w:t>Anhang</w:t>
      </w:r>
      <w:bookmarkEnd w:id="275"/>
    </w:p>
    <w:p>
      <w:pPr>
        <w:pStyle w:val="Heading2"/>
        <w:numPr>
          <w:ilvl w:val="0"/>
          <w:numId w:val="0"/>
        </w:numPr>
        <w:ind w:hanging="0" w:start="0"/>
        <w:jc w:val="start"/>
        <w:rPr/>
      </w:pPr>
      <w:bookmarkStart w:id="276" w:name="__RefHeading___Toc8549_3957600584"/>
      <w:bookmarkStart w:id="277" w:name="phone_heading_10050"/>
      <w:bookmarkEnd w:id="276"/>
      <w:r>
        <w:rPr>
          <w:color w:val="000000"/>
        </w:rPr>
        <w:t>Digitale Belege und Fassungszuordnung</w:t>
      </w:r>
      <w:bookmarkEnd w:id="277"/>
    </w:p>
    <w:p>
      <w:pPr>
        <w:pStyle w:val="Normal"/>
        <w:spacing w:after="120"/>
        <w:jc w:val="left"/>
        <w:rPr/>
      </w:pPr>
      <w:r>
        <w:t>Die digitalen Belege beziehen sich auf das Repository Thomas-mu/MA, Branch main, Commit fa5cbd906d2d562a2dd12f1d31d617e6cd44b0dc vom 19. September 2026. Zitierbarer Stand: https://github.com/Thomas-mu/MA/tree/fa5cbd906d2d562a2dd12f1d31d617e6cd44b0dc. Tabelle A-1 ordnet die Smartphoneaufnahmen, das Normalprofil und die Implementierung zu. Die Pfade sind relativ zum Repositorystamm zu lesen. Die zusätzlich berichteten Fristzählungen sind aus B1/joint_trials/all_methods_01/decisions.csv abgeleitet. Der Commit fixiert Daten- und Quellcodestand, nicht spätere redaktionelle Änderungen dieses Berichts.</w:t>
      </w:r>
    </w:p>
    <w:p>
      <w:pPr>
        <w:pStyle w:val="Tabellenbeschriftung"/>
        <w:rPr/>
      </w:pPr>
      <w:bookmarkStart w:id="278" w:name="__RefHeading___Toc8587_3957600584"/>
      <w:bookmarkStart w:id="279" w:name="phone_table_10051"/>
      <w:bookmarkEnd w:id="278"/>
      <w:r>
        <w:rPr/>
        <w:t>Tabelle A-1: Nachweisverzeichnis</w:t>
      </w:r>
      <w:bookmarkEnd w:id="27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3"/>
        <w:gridCol w:w="2835"/>
        <w:gridCol w:w="5443"/>
      </w:tblGrid>
      <w:tr>
        <w:trPr>
          <w:tblHeader w:val="true"/>
          <w:cantSplit w:val="true"/>
        </w:trPr>
        <w:tc>
          <w:tcPr>
            <w:tcW w:w="79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sz w:val="22"/>
              </w:rPr>
            </w:pPr>
            <w:r>
              <w:rPr>
                <w:b/>
                <w:color w:val="000000"/>
                <w:sz w:val="21"/>
              </w:rPr>
              <w:t>ID</w:t>
            </w:r>
          </w:p>
        </w:tc>
        <w:tc>
          <w:tcPr>
            <w:tcW w:w="2835"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b/>
                <w:color w:val="000000"/>
                <w:sz w:val="21"/>
              </w:rPr>
              <w:t>Inhalt</w:t>
            </w:r>
          </w:p>
        </w:tc>
        <w:tc>
          <w:tcPr>
            <w:tcW w:w="5443" w:type="dxa"/>
            <w:shd w:fill="E7EDF2" w:val="clear"/>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b/>
                <w:color w:val="000000"/>
                <w:sz w:val="21"/>
              </w:rPr>
              <w:t>Projektpfad</w:t>
            </w:r>
          </w:p>
        </w:tc>
      </w:tr>
      <w:tr>
        <w:trPr>
          <w:cantSplit w:val="true"/>
        </w:trPr>
        <w:tc>
          <w:tcPr>
            <w:tcW w:w="79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B1</w:t>
            </w:r>
          </w:p>
        </w:tc>
        <w:tc>
          <w:tcPr>
            <w:tcW w:w="283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Smartphoneversuche: Bündel, Einzelaufnahmen, Replay und gemeinsamer Live-Lauf</w:t>
            </w:r>
          </w:p>
        </w:tc>
        <w:tc>
          <w:tcPr>
            <w:tcW w:w="544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results/​phone_​vibration_​pilot_​20260919/​</w:t>
            </w:r>
          </w:p>
        </w:tc>
      </w:tr>
      <w:tr>
        <w:trPr>
          <w:cantSplit w:val="true"/>
        </w:trPr>
        <w:tc>
          <w:tcPr>
            <w:tcW w:w="79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B2</w:t>
            </w:r>
          </w:p>
        </w:tc>
        <w:tc>
          <w:tcPr>
            <w:tcW w:w="283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Normalprofil, Aufnahmetrennung, Trainings- und Exportnachweise</w:t>
            </w:r>
          </w:p>
        </w:tc>
        <w:tc>
          <w:tcPr>
            <w:tcW w:w="544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profiles/​standlauf_​pwm75_​200hz/​</w:t>
            </w:r>
          </w:p>
        </w:tc>
      </w:tr>
      <w:tr>
        <w:trPr>
          <w:cantSplit w:val="true"/>
        </w:trPr>
        <w:tc>
          <w:tcPr>
            <w:tcW w:w="79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B3</w:t>
            </w:r>
          </w:p>
        </w:tc>
        <w:tc>
          <w:tcPr>
            <w:tcW w:w="283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Einzel- und gemeinsamer Smartphone-Recorder</w:t>
            </w:r>
          </w:p>
        </w:tc>
        <w:tc>
          <w:tcPr>
            <w:tcW w:w="544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src/​phone_​vibration_​experiment.py</w:t>
              <w:br/>
              <w:t>src/​joint_​phone_​vibration_​experiment.py</w:t>
            </w:r>
          </w:p>
        </w:tc>
      </w:tr>
      <w:tr>
        <w:trPr>
          <w:cantSplit w:val="true"/>
        </w:trPr>
        <w:tc>
          <w:tcPr>
            <w:tcW w:w="79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B4</w:t>
            </w:r>
          </w:p>
        </w:tc>
        <w:tc>
          <w:tcPr>
            <w:tcW w:w="2835"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Gemeinsame Auswertung, Training und Sensortreiber</w:t>
            </w:r>
          </w:p>
        </w:tc>
        <w:tc>
          <w:tcPr>
            <w:tcW w:w="5443" w:type="dxa"/>
            <w:vAlign w:val="center"/>
            <w:tcMar>
              <w:top w:w="60" w:type="dxa"/>
              <w:bottom w:w="60" w:type="dxa"/>
              <w:left w:w="80" w:type="dxa"/>
              <w:right w:w="80" w:type="dxa"/>
            </w:tcMar>
          </w:tcPr>
          <w:p>
            <w:pPr>
              <w:pStyle w:val="Normal"/>
              <w:keepNext w:val="true"/>
              <w:keepLines/>
              <w:spacing w:lineRule="auto" w:line="252" w:before="40" w:after="40"/>
              <w:jc w:val="left"/>
              <w:rPr>
                <w:rFonts w:eastAsia="" w:cs="Tahoma"/>
                <w:kern w:val="0"/>
                <w:sz w:val="22"/>
                <w:szCs w:val="22"/>
                <w:lang w:eastAsia="en-US" w:bidi="ar-SA"/>
              </w:rPr>
            </w:pPr>
            <w:r>
              <w:rPr>
                <w:color w:val="000000"/>
                <w:sz w:val="21"/>
              </w:rPr>
              <w:t>src/​common_​comparison.py</w:t>
              <w:br/>
              <w:t>src/​calibrate_​and_​train.py</w:t>
              <w:br/>
              <w:t>src/​train_​clean_​autoencoder.py</w:t>
              <w:br/>
              <w:t>src/​train_​autoencoder.py</w:t>
              <w:br/>
              <w:t>src/​adxl345.py</w:t>
            </w:r>
          </w:p>
        </w:tc>
      </w:tr>
    </w:tbl>
    <w:p>
      <w:pPr>
        <w:pStyle w:val="Normal"/>
        <w:spacing w:after="120" w:before="120"/>
        <w:jc w:val="left"/>
        <w:rPr/>
      </w:pPr>
      <w:r>
        <w:t>Das eingefrorene Bündel der Smartphoneuntersuchung besitzt den in Laufdateien und Replay zugeordneten SHA-256-Wert dbfad8529b642d1e4c74119b3865b0600c3a7668198328e1112707c7502b2eb1. Der SHA-256-Wert der gemeinsamen Rohdatei lautet 241d333071ad320bc2f1282b5722a30f54fd06ae968ecc2a9250056eb93a1074. Die vollständigen Artefaktmanifeste liegen in B1. Hashes sichern die Zuordnung von Dateien und Modellständen; sie bestätigen nicht die physikalische Gültigkeit der Messanordnung.</w:t>
      </w:r>
    </w:p>
    <w:p>
      <w:pPr>
        <w:pStyle w:val="Normal"/>
        <w:spacing w:after="120"/>
        <w:rPr/>
      </w:pPr>
      <w:r>
        <w:t>Die Rohdaten und eingefrorenen Modellartefakte bilden die Primärbelege der eigenen Messungen. Daraus erzeugte Tabellen, Abbildungen und Präsentationen sind abgeleitete Darstellungen und keine zusätzlichen Versuche. Angaben aus Herstellerunterlagen, wissenschaftlicher Literatur und Softwaredokumentation sind davon getrennt im Literaturverzeichnis nachgewiesen.</w:t>
      </w:r>
    </w:p>
    <w:p>
      <w:pPr>
        <w:pStyle w:val="Normal"/>
        <w:spacing w:after="120"/>
        <w:rPr/>
      </w:pPr>
      <w:r>
        <w:rPr/>
        <w:t>Umgebung der dokumentierten Ausführung: Raspberry Pi 5 mit vier logischen Kernen, 64-Bit-Linux und Python 3.13.5. Die Laufdateien der Smartphoneaufnahme nennen NumPy 2.5.1, scikit-learn 1.9.0, ai-edge-litert 2.1.6 und psutil 7.2.2. Der Trainingsprofil-Snapshot stammt aus einer separat erfassten Umgebung und nennt unter anderem NumPy 2.5.2 und TensorFlow 2.21.0. Die jeweilige Provenienzdatei hat Vorrang vor einer pauschalen Gleichsetzung aller Softwarestände. Die Hardwareauswahl ist davon unberührt.</w:t>
      </w:r>
    </w:p>
    <w:p>
      <w:pPr>
        <w:pStyle w:val="Heading2"/>
        <w:numPr>
          <w:ilvl w:val="0"/>
          <w:numId w:val="0"/>
        </w:numPr>
        <w:ind w:hanging="0" w:start="0"/>
        <w:jc w:val="start"/>
        <w:rPr/>
      </w:pPr>
      <w:bookmarkStart w:id="294" w:name="__RefHeading___Toc8555_3957600584"/>
      <w:bookmarkStart w:id="295" w:name="phone_heading_10059"/>
      <w:bookmarkEnd w:id="294"/>
      <w:r>
        <w:rPr>
          <w:color w:val="000000"/>
        </w:rPr>
        <w:t>Lesen der aktuellen Messdateien</w:t>
      </w:r>
      <w:bookmarkEnd w:id="295"/>
    </w:p>
    <w:p>
      <w:pPr>
        <w:pStyle w:val="Normal"/>
        <w:spacing w:after="120"/>
        <w:rPr/>
      </w:pPr>
      <w:r>
        <w:t>raw.csv enthält sample_index, window_index, monotone und UTC-Hostzeit, x_g, y_g, z_g und Qualitätsmerkmale. Ein vollständiges Modellfenster besteht aus 128 aufeinanderfolgenden XYZ-Punkten desselben Laufs. Ausgewertet werden die vollständigen Fenster der gesamten nach Warmup gestarteten Aufnahme. Restpunkte bleiben dokumentiert und werden nicht durch künstliche Werte zu zusätzlichen Fenstern ergänzt.</w:t>
      </w:r>
    </w:p>
    <w:p>
      <w:pPr>
        <w:pStyle w:val="Normal"/>
        <w:spacing w:after="120"/>
        <w:rPr/>
      </w:pPr>
      <w:r>
        <w:rPr/>
        <w:t>decisions.csv ordnet Score, eingefrorene Schwelle, Entscheidung und Fehlerstatus dem Fenster zu. Im gemeinsamen Lauf kommen method, input_sha256, dispatch_ns, worker_start_ns und decision_ns hinzu. window_to_decision_ms verwendet den Host-Abschluss des letzten Fensterpunkts. resources.csv gehört zum gemeinsamen Prozess, nicht zu einer isolierten Methode. CPU-Prozente, RSS, Temperatur und Takt sind Messproben des beobachteten Prozesses und Systems.</w:t>
      </w:r>
    </w:p>
    <w:p>
      <w:pPr>
        <w:pStyle w:val="Normal"/>
        <w:spacing w:after="120"/>
        <w:rPr/>
      </w:pPr>
      <w:r>
        <w:rPr/>
        <w:t>cues.jsonl speichert die Bedienereignisse; run.json beschreibt Laufstatus, Sensor, PWM und Erfassungsintegrität. Eine Null oder ein fehlender Wert für true_detection_delay_ms, detection_rate beziehungsweise false_alarm_rate bedeutet nicht null Millisekunden oder null Prozent, sondern einen nicht bestimmbaren Nachweis. UTC-Einträge sind keine nachträglich erfundenen physikalischen Ereignisgrenzen. Bilder und Präsentationsansichten sind Ergebnisdarstellungen, keine zusätzlichen Messungen.</w:t>
      </w:r>
    </w:p>
    <w:p>
      <w:pPr>
        <w:pStyle w:val="Heading2"/>
        <w:numPr>
          <w:ilvl w:val="0"/>
          <w:numId w:val="0"/>
        </w:numPr>
        <w:ind w:hanging="0" w:start="0"/>
        <w:jc w:val="start"/>
        <w:rPr/>
      </w:pPr>
      <w:bookmarkStart w:id="296" w:name="__RefHeading___Toc8557_3957600584"/>
      <w:bookmarkStart w:id="297" w:name="phone_heading_10060"/>
      <w:bookmarkEnd w:id="296"/>
      <w:r>
        <w:rPr>
          <w:color w:val="000000"/>
        </w:rPr>
        <w:t>KI-Unterstützung und fachliche Verantwortung</w:t>
      </w:r>
      <w:bookmarkEnd w:id="297"/>
    </w:p>
    <w:p>
      <w:pPr>
        <w:pStyle w:val="Normal"/>
        <w:spacing w:after="120"/>
        <w:rPr/>
      </w:pPr>
      <w:r>
        <w:t>Codex von OpenAI unterstützte Softwareentwicklung, Fehlersuche, Auswertung, Grafikaufbereitung, Quellenprüfung sowie Formulierung, Überarbeitung und Formatprüfung einschließlich generierter Textpassagen. Physische Einrichtung und protokollierte Sichtbeobachtungen beruhen auf Angaben des Versuchsverantwortlichen. KI-Ausgaben ersetzen weder wissenschaftliche Quellen noch Messnachweise.</w:t>
      </w:r>
    </w:p>
    <w:p>
      <w:pPr>
        <w:pStyle w:val="Normal"/>
        <w:spacing w:after="120"/>
        <w:rPr/>
      </w:pPr>
      <w:r>
        <w:t>Die fachliche Verantwortung für Versuchsangaben, Quellenverwendung und Schlussfolgerungen sowie die wahrheitsgemäße Angabe der Hilfsmittel verbleiben beim Verfasser. Die hier vorgenommene Eingrenzung auf den Smartphoneversuch ist eine redaktionelle Festlegung des Untersuchungsumfangs; sie macht die Evaluation nicht zu einer vorab registrierten Studie.</w:t>
      </w:r>
    </w:p>
    <w:p>
      <w:pPr>
        <w:pStyle w:val="Heading1"/>
        <w:numPr>
          <w:ilvl w:val="0"/>
          <w:numId w:val="0"/>
        </w:numPr>
        <w:ind w:hanging="0" w:start="0"/>
        <w:rPr/>
      </w:pPr>
      <w:bookmarkStart w:id="298" w:name="__RefHeading___Toc14204_535938422"/>
      <w:bookmarkStart w:id="299" w:name="FinalHeading_10102"/>
      <w:bookmarkEnd w:id="298"/>
      <w:r>
        <w:rPr>
          <w:color w:val="000000"/>
        </w:rPr>
        <w:t>Literaturverzeichnis</w:t>
      </w:r>
      <w:bookmarkEnd w:id="299"/>
    </w:p>
    <w:p>
      <w:pPr>
        <w:pStyle w:val="LiteratureEntry"/>
        <w:rPr/>
      </w:pPr>
      <w:r>
        <w:t>Analog Devices (2022). ADXL345: 3-Axis, ±2 g/±4 g/±8 g/±16 g Digital Accelerometer. Datenblatt, Revision G, Mai 2022. https://www.analog.com/media/en/technical-documentation/data-sheets/adxl345.pdf (Abruf: 12.09.2026).</w:t>
      </w:r>
    </w:p>
    <w:p>
      <w:pPr>
        <w:pStyle w:val="LiteratureEntry"/>
        <w:rPr/>
      </w:pPr>
      <w:r>
        <w:t>Analog Devices (2025). ADXL354/ADXL355: Low Noise, Low Drift, Low Power, 3-Axis MEMS Accelerometers. Datenblatt, Revision D, Juni 2025. https://www.analog.com/media/en/technical-documentation/data-sheets/adxl354_adxl355.pdf (Abruf: 12.09.2026).</w:t>
      </w:r>
    </w:p>
    <w:p>
      <w:pPr>
        <w:pStyle w:val="LiteratureEntry"/>
        <w:rPr/>
      </w:pPr>
      <w:r>
        <w:t>Antonini, M., Pincheira, M., Vecchio, M., &amp; Antonelli, F. (2023). An Adaptable and Unsupervised TinyML Anomaly Detection System for Extreme Industrial Environments. Sensors, 23(4), 2344. https://doi.org/10.3390/s23042344 (Abruf: 12.09.2026).</w:t>
      </w:r>
    </w:p>
    <w:p>
      <w:pPr>
        <w:pStyle w:val="LiteratureEntry"/>
        <w:rPr/>
      </w:pPr>
      <w:r>
        <w:t>ARCTIC (o. J.). Specifications: P12 Pro PST. Technisches Datenblatt. https://www.arctic.de/media/2c/de/c6/1750758983/Spec_Sheet_P12_Pro_PST_EN.pdf (Abruf: 12.09.2026).</w:t>
      </w:r>
    </w:p>
    <w:p>
      <w:pPr>
        <w:pStyle w:val="LiteratureEntry"/>
        <w:rPr/>
      </w:pPr>
      <w:r>
        <w:t>Buttazzo, G. C. (2011). Hard Real-Time Computing Systems: Predictable Scheduling Algorithms and Applications (3. Aufl.). Springer. https://doi.org/10.1007/978-1-4614-0676-1 (Abruf: 12.09.2026).</w:t>
      </w:r>
    </w:p>
    <w:p>
      <w:pPr>
        <w:pStyle w:val="LiteratureEntry"/>
        <w:rPr/>
      </w:pPr>
      <w:r>
        <w:t>Chandola, V., Banerjee, A., &amp; Kumar, V. (2009). Anomaly Detection: A Survey. ACM Computing Surveys, 41(3), Artikel 15, 1–58. https://doi.org/10.1145/1541880.1541882 (Abruf: 12.09.2026).</w:t>
      </w:r>
    </w:p>
    <w:p>
      <w:pPr>
        <w:pStyle w:val="LiteratureEntry"/>
        <w:rPr/>
      </w:pPr>
      <w:r>
        <w:t>Department for Communities and Local Government (2009). Multi-criteria analysis: a manual. London. ISBN 978-1-4098-1023-0. https://www.gov.uk/government/publications/multi-criteria-analysis-manual-for-making-government-policy (Abruf: 12.09.2026).</w:t>
      </w:r>
    </w:p>
    <w:p>
      <w:pPr>
        <w:pStyle w:val="LiteratureEntry"/>
        <w:rPr/>
      </w:pPr>
      <w:r>
        <w:t>Garay, C. E., Miranda Bonomi, F. A., Mansilla, G. N., Fagre, M., Guzmán, S. G., Ritorto, P. A., Perez, F. I., &amp; Katz, M. (2026). A Multimodal TinyML-Based Predictive Maintenance Architecture for Industrial IoT in the 6G Era [Preprint, Version 1, 17.06.2026; nicht begutachtet]. Preprints.org. https://www.preprints.org/manuscript/202606.1304 (Abruf: 19.09.2026).</w:t>
      </w:r>
    </w:p>
    <w:p>
      <w:pPr>
        <w:pStyle w:val="LiteratureEntry"/>
        <w:rPr/>
      </w:pPr>
      <w:r>
        <w:t>Goodfellow, I., Bengio, Y., &amp; Courville, A. (2016). Deep Learning. MIT Press. Kapitel 14: Autoencoders. https://www.deeplearningbook.org/contents/autoencoders.html (Abruf: 19.09.2026).</w:t>
      </w:r>
    </w:p>
    <w:p>
      <w:pPr>
        <w:pStyle w:val="LiteratureEntry"/>
        <w:rPr/>
      </w:pPr>
      <w:r>
        <w:t>Google (2026a). Convert TensorFlow models. LiteRT-Dokumentation, aktualisiert am 28.05.2026. https://developers.google.com/edge/litert/conversion/tensorflow/convert_tf (Abruf: 19.09.2026).</w:t>
      </w:r>
    </w:p>
    <w:p>
      <w:pPr>
        <w:pStyle w:val="LiteratureEntry"/>
        <w:rPr/>
      </w:pPr>
      <w:r>
        <w:t>Google (2026b). Post-training quantization. LiteRT-Dokumentation, aktualisiert am 28.05.2026. https://developers.google.com/edge/litert/conversion/tensorflow/quantization/post_training_quantization (Abruf: 19.09.2026).</w:t>
      </w:r>
    </w:p>
    <w:p>
      <w:pPr>
        <w:pStyle w:val="LiteratureEntry"/>
        <w:rPr/>
      </w:pPr>
      <w:r>
        <w:t>Google (2026c). Quickstart for Linux-based devices with Python. LiteRT-Dokumentation, aktualisiert am 28.05.2026. https://developers.google.com/edge/litert/microcontrollers/python (Abruf: 19.09.2026).</w:t>
      </w:r>
    </w:p>
    <w:p>
      <w:pPr>
        <w:pStyle w:val="LiteratureEntry"/>
        <w:rPr/>
      </w:pPr>
      <w:r>
        <w:t>Google (2026d). Install TensorFlow with pip. TensorFlow-Dokumentation, aktualisiert am 12.03.2026. https://www.tensorflow.org/install/pip (Abruf: 19.09.2026).</w:t>
      </w:r>
    </w:p>
    <w:p>
      <w:pPr>
        <w:pStyle w:val="LiteratureEntry"/>
        <w:rPr/>
      </w:pPr>
      <w:r>
        <w:t>Jardine, A. K. S., Lin, D., &amp; Banjevic, D. (2006). A review on machinery diagnostics and prognostics implementing condition-based maintenance. Mechanical Systems and Signal Processing, 20(7), 1483–1510. https://doi.org/10.1016/j.ymssp.2005.09.012 (Abruf: 12.09.2026).</w:t>
      </w:r>
    </w:p>
    <w:p>
      <w:pPr>
        <w:pStyle w:val="LiteratureEntry"/>
        <w:rPr/>
      </w:pPr>
      <w:r>
        <w:t>Kaufman, S., Rosset, S., Perlich, C., &amp; Stitelman, O. (2012). Leakage in data mining: Formulation, detection, and avoidance. ACM Transactions on Knowledge Discovery from Data, 6(4), Artikel 15. https://doi.org/10.1145/2382577.2382579 (Abruf: 12.09.2026).</w:t>
      </w:r>
    </w:p>
    <w:p>
      <w:pPr>
        <w:pStyle w:val="LiteratureEntry"/>
        <w:rPr/>
      </w:pPr>
      <w:r>
        <w:t>Knap, P., Jachymczyk, U., &amp; Lalik, K. (2026). Leakage-Safe, Reproducible Benchmarking for Vibration-Based Fault Diagnosis. PHM Society European Conference, 9(1), 1–8. https://doi.org/10.36001/phme.2026.v9i1.4924 (Abruf: 12.09.2026).</w:t>
      </w:r>
    </w:p>
    <w:p>
      <w:pPr>
        <w:pStyle w:val="LiteratureEntry"/>
        <w:rPr/>
      </w:pPr>
      <w:r>
        <w:t>Lessmeier, C., Kimotho, J. K., Zimmer, D., &amp; Sextro, W. (2016). Condition Monitoring of Bearing Damage in Electromechanical Drive Systems by Using Motor Current Signals of Electric Motors: A Benchmark Data Set for Data-Driven Classification. PHM Society European Conference, 3(1). https://doi.org/10.36001/phme.2016.v3i1.1577.</w:t>
      </w:r>
    </w:p>
    <w:p>
      <w:pPr>
        <w:pStyle w:val="LiteratureEntry"/>
        <w:rPr/>
      </w:pPr>
      <w:r>
        <w:t>Liu, F. T., Ting, K. M., &amp; Zhou, Z.-H. (2008). Isolation Forest. Proceedings of the Eighth IEEE International Conference on Data Mining, 413–422. https://doi.org/10.1109/ICDM.2008.17 (Abruf: 12.09.2026).</w:t>
      </w:r>
    </w:p>
    <w:p>
      <w:pPr>
        <w:pStyle w:val="LiteratureEntry"/>
        <w:rPr/>
      </w:pPr>
      <w:r>
        <w:t>NASA (2023). 6.8 Decision Analysis. Webfassung des NASA Systems Engineering Handbook. https://www.nasa.gov/reference/6-8-decision-analysis/ (Abruf: 12.09.2026).</w:t>
      </w:r>
    </w:p>
    <w:p>
      <w:pPr>
        <w:pStyle w:val="LiteratureEntry"/>
        <w:rPr/>
      </w:pPr>
      <w:r>
        <w:t>NVIDIA (o. J.). Jetson Orin Nano Super Developer Kit. Technische Spezifikationen. https://www.nvidia.com/de-de/autonomous-machines/embedded-systems/jetson-orin/nano-super-developer-kit/ (Abruf: 12.09.2026).</w:t>
      </w:r>
    </w:p>
    <w:p>
      <w:pPr>
        <w:pStyle w:val="LiteratureEntry"/>
        <w:rPr/>
      </w:pPr>
      <w:r>
        <w:t>ONNX Runtime developers (o. J.). Python. ONNX Runtime-Dokumentation zur Installation und Ausführung. https://onnxruntime.ai/docs/get-started/with-python.html (Abruf: 12.09.2026).</w:t>
      </w:r>
    </w:p>
    <w:p>
      <w:pPr>
        <w:pStyle w:val="LiteratureEntry"/>
        <w:rPr/>
      </w:pPr>
      <w:r>
        <w:t>Oriental Motor (o. J.). Servo Motor Features Overview. https://www.orientalmotor.com/servo-motors/technology/servo-motor-features.html (Abruf: 12.09.2026).</w:t>
      </w:r>
    </w:p>
    <w:p>
      <w:pPr>
        <w:pStyle w:val="LiteratureEntry"/>
        <w:rPr/>
      </w:pPr>
      <w:r>
        <w:t>PCB Piezotronics (o. J.). Model 356A32: Triaxial Accelerometer. Technische Spezifikationen. https://www.pcb.com/products?m=356a32 (Abruf: 12.09.2026).</w:t>
      </w:r>
    </w:p>
    <w:p>
      <w:pPr>
        <w:pStyle w:val="LiteratureEntry"/>
        <w:rPr/>
      </w:pPr>
      <w:r>
        <w:t>Pittino, F., Puggl, M., Moldaschl, T., &amp; Hirschl, C. (2020). Automatic Anomaly Detection on In-Production Manufacturing Machines Using Statistical Learning Methods. Sensors, 20(8), 2344. https://doi.org/10.3390/s20082344 (Abruf: 12.09.2026).</w:t>
      </w:r>
    </w:p>
    <w:p>
      <w:pPr>
        <w:pStyle w:val="LiteratureEntry"/>
        <w:rPr/>
      </w:pPr>
      <w:r>
        <w:t>PyTorch (o. J.). ExecuTorch Documentation. Dokumentation zum Modellexport und zur lokalen Ausführung. https://docs.pytorch.org/executorch/stable/index.html (Abruf: 12.09.2026).</w:t>
      </w:r>
    </w:p>
    <w:p>
      <w:pPr>
        <w:pStyle w:val="LiteratureEntry"/>
        <w:rPr/>
      </w:pPr>
      <w:r>
        <w:t>Randall, R. B., &amp; Antoni, J. (2011). Rolling element bearing diagnostics—A tutorial. Mechanical Systems and Signal Processing, 25(2), 485–520. https://doi.org/10.1016/j.ymssp.2010.07.017 (Abruf: 12.09.2026).</w:t>
      </w:r>
    </w:p>
    <w:p>
      <w:pPr>
        <w:pStyle w:val="LiteratureEntry"/>
        <w:rPr/>
      </w:pPr>
      <w:r>
        <w:t>Raspberry Pi Ltd. (2026a). Raspberry Pi 4 Model B. Product Brief, April 2026. https://pip-assets.raspberrypi.com/categories/545-raspberry-pi-4-model-b/documents/RP-008344-DS-1-raspberry-pi-4-product-brief (Abruf: 19.09.2026).</w:t>
      </w:r>
    </w:p>
    <w:p>
      <w:pPr>
        <w:pStyle w:val="LiteratureEntry"/>
        <w:rPr/>
      </w:pPr>
      <w:r>
        <w:t>Raspberry Pi Ltd. (2026b). Raspberry Pi 5. Product Brief, April 2026. https://datasheets.raspberrypi.com/rpi5/raspberry-pi-5-product-brief.pdf (Abruf: 19.09.2026).</w:t>
      </w:r>
    </w:p>
    <w:p>
      <w:pPr>
        <w:pStyle w:val="LiteratureEntry"/>
        <w:rPr/>
      </w:pPr>
      <w:r>
        <w:t>Ren, H., Anicic, D., &amp; Runkler, T. A. (2021). TinyOL: TinyML with Online-Learning on Microcontrollers. International Joint Conference on Neural Networks, 1–8. https://doi.org/10.1109/IJCNN52387.2021.9533927 (Abruf: 12.09.2026).</w:t>
      </w:r>
    </w:p>
    <w:p>
      <w:pPr>
        <w:pStyle w:val="LiteratureEntry"/>
        <w:rPr/>
      </w:pPr>
      <w:r>
        <w:t>Ruff, L., Kauffmann, J. R., Vandermeulen, R. A., Montavon, G., Samek, W., Kloft, M., Dietterich, T. G., &amp; Müller, K.-R. (2021). A Unifying Review of Deep and Shallow Anomaly Detection. Proceedings of the IEEE, 109(5), 756–795. https://doi.org/10.1109/JPROC.2021.3052449 (Abruf: 12.09.2026).</w:t>
      </w:r>
    </w:p>
    <w:p>
      <w:pPr>
        <w:pStyle w:val="LiteratureEntry"/>
        <w:rPr/>
      </w:pPr>
      <w:r>
        <w:t>scikit-learn developers (o. J. a). Common pitfalls and recommended practices. Benutzerhandbuch. https://scikit-learn.org/stable/common_pitfalls.html (Abruf: 12.09.2026).</w:t>
      </w:r>
    </w:p>
    <w:p>
      <w:pPr>
        <w:pStyle w:val="LiteratureEntry"/>
        <w:rPr/>
      </w:pPr>
      <w:r>
        <w:t>scikit-learn developers (o. J. b). Cross-validation: evaluating estimator performance. Insbesondere Aufteilung gruppierter Daten. https://scikit-learn.org/stable/modules/cross_validation.html (Abruf: 12.09.2026).</w:t>
      </w:r>
    </w:p>
    <w:p>
      <w:pPr>
        <w:pStyle w:val="LiteratureEntry"/>
        <w:rPr/>
      </w:pPr>
      <w:r>
        <w:t>scikit-learn developers (o. J. c). Metrics and scoring: quantifying the quality of predictions. https://scikit-learn.org/stable/modules/model_evaluation.html (Abruf: 12.09.2026).</w:t>
      </w:r>
    </w:p>
    <w:p>
      <w:pPr>
        <w:pStyle w:val="LiteratureEntry"/>
        <w:rPr/>
      </w:pPr>
      <w:r>
        <w:t>scikit-learn developers (o. J. d). IsolationForest. API-Dokumentation. https://scikit-learn.org/stable/modules/generated/sklearn.ensemble.IsolationForest.html (Abruf: 12.09.2026).</w:t>
      </w:r>
    </w:p>
    <w:p>
      <w:pPr>
        <w:pStyle w:val="LiteratureEntry"/>
        <w:rPr/>
      </w:pPr>
      <w:r>
        <w:t>SciPy developers (o. J. a). Discrete Fourier Transforms (scipy.fft). SciPy-Benutzerhandbuch. https://docs.scipy.org/doc/scipy/tutorial/fft.html (Abruf: 12.09.2026).</w:t>
      </w:r>
    </w:p>
    <w:p>
      <w:pPr>
        <w:pStyle w:val="LiteratureEntry"/>
        <w:rPr/>
      </w:pPr>
      <w:r>
        <w:t>SciPy developers (o. J. b). Signal Processing (scipy.signal), Abschnitt Spectral Analysis. SciPy-Benutzerhandbuch. https://docs.scipy.org/doc/scipy/tutorial/signal.html#spectral-analysis (Abruf: 12.09.2026).</w:t>
      </w:r>
    </w:p>
    <w:p>
      <w:pPr>
        <w:pStyle w:val="LiteratureEntry"/>
        <w:rPr/>
      </w:pPr>
      <w:r>
        <w:t>Shi, W., Cao, J., Zhang, Q., Li, Y., &amp; Xu, L. (2016). Edge Computing: Vision and Challenges. IEEE Internet of Things Journal, 3(5), 637–646. https://doi.org/10.1109/JIOT.2016.2579198 (Abruf: 12.09.2026).</w:t>
      </w:r>
    </w:p>
    <w:p>
      <w:pPr>
        <w:pStyle w:val="LiteratureEntry"/>
        <w:rPr/>
      </w:pPr>
      <w:r>
        <w:t>STMicroelectronics (2026). STM32H742xI/G STM32H743xI/G: 32-bit Arm Cortex-M7 480 MHz MCUs, up to 2 MB flash, up to 1 MB RAM, 46 com. and analog interfaces. Datenblatt DS12110, Revision 11, Januar 2026. https://www.st.com/resource/en/datasheet/stm32h743vi.pdf (Abruf: 19.09.2026).</w:t>
      </w:r>
    </w:p>
    <w:p>
      <w:pPr>
        <w:pStyle w:val="LiteratureEntry"/>
        <w:keepLines/>
        <w:spacing w:lineRule="auto" w:line="252" w:before="0" w:after="140"/>
        <w:ind w:hanging="283" w:start="283"/>
        <w:jc w:val="start"/>
        <w:rPr/>
      </w:pPr>
      <w:r>
        <w:t>Universität Paderborn, Lehrstuhl Konstruktions- und Antriebstechnik (o. J.). Bearing Data Center. Beschreibung des Lagerprüfstands und des Datensatzes. https://mb.uni-paderborn.de/en/kat/research/bearing-datacenter (Abruf: 12.09.2026).</w:t>
      </w:r>
    </w:p>
    <w:sectPr>
      <w:headerReference w:type="even" r:id="rId64"/>
      <w:headerReference w:type="default" r:id="rId65"/>
      <w:headerReference w:type="first" r:id="rId66"/>
      <w:footerReference w:type="even" r:id="rId67"/>
      <w:footerReference w:type="default" r:id="rId68"/>
      <w:footerReference w:type="first" r:id="rId69"/>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53</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color w:val="000000"/>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val="00000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color w:val="000000"/>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 w:asciiTheme="majorHAnsi" w:cstheme="majorBidi" w:eastAsiaTheme="majorEastAsia" w:hAnsiTheme="majorHAnsi"/>
      <w:i/>
      <w:iCs/>
      <w:color w:val="000000"/>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val="000000"/>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 w:asciiTheme="majorHAnsi" w:cstheme="majorBidi" w:eastAsiaTheme="majorEastAsia" w:hAnsiTheme="majorHAnsi"/>
      <w:i/>
      <w:iCs/>
      <w:color w:val="000000"/>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
    <w:name w:val="Endnote Characters"/>
    <w:uiPriority w:val="99"/>
    <w:semiHidden/>
    <w:unhideWhenUsed/>
    <w:qFormat/>
    <w:rsid w:val="00fe18a3"/>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
    <w:name w:val="Footnote Characters"/>
    <w:uiPriority w:val="99"/>
    <w:semiHidden/>
    <w:unhideWhenUsed/>
    <w:qFormat/>
    <w:rsid w:val="00fe18a3"/>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color w:val="000000"/>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 w:asciiTheme="majorHAnsi" w:cstheme="majorBidi" w:eastAsiaTheme="majorEastAsia" w:hAnsiTheme="majorHAnsi"/>
      <w:color w:val="000000"/>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suppressAutoHyphens w:val="true"/>
      <w:bidi w:val="0"/>
      <w:spacing w:lineRule="auto" w:line="240" w:before="0" w:after="0"/>
      <w:jc w:val="start"/>
    </w:pPr>
    <w:rPr>
      <w:rFonts w:ascii="Corbel" w:hAnsi="Corbel" w:eastAsia="" w:cs=""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suppressAutoHyphens w:val="true"/>
      <w:bidi w:val="0"/>
      <w:spacing w:lineRule="auto" w:line="240" w:before="0" w:after="0"/>
      <w:jc w:val="start"/>
    </w:pPr>
    <w:rPr>
      <w:rFonts w:ascii="Calibri" w:hAnsi="Calibri" w:eastAsia="" w:cs=""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suppressAutoHyphens w:val="true"/>
      <w:bidi w:val="0"/>
      <w:spacing w:lineRule="auto" w:line="240" w:before="0" w:after="40"/>
      <w:jc w:val="start"/>
    </w:pPr>
    <w:rPr>
      <w:rFonts w:ascii="Times New Roman" w:hAnsi="Times New Roman" w:eastAsia="" w:cs="" w:cstheme="minorBidi" w:eastAsiaTheme="minorEastAsia"/>
      <w:b/>
      <w:color w:val="auto"/>
      <w:kern w:val="0"/>
      <w:sz w:val="23"/>
      <w:szCs w:val="22"/>
      <w:lang w:val="en-US" w:eastAsia="en-US" w:bidi="ar-SA"/>
    </w:rPr>
  </w:style>
  <w:style w:type="paragraph" w:styleId="TOCManual2" w:customStyle="1">
    <w:name w:val="TOCManual2"/>
    <w:qFormat/>
    <w:rsid w:val="00d47502"/>
    <w:pPr>
      <w:widowControl/>
      <w:suppressAutoHyphens w:val="true"/>
      <w:bidi w:val="0"/>
      <w:spacing w:lineRule="auto" w:line="240" w:before="0" w:after="40"/>
      <w:ind w:start="340"/>
      <w:jc w:val="start"/>
    </w:pPr>
    <w:rPr>
      <w:rFonts w:ascii="Times New Roman" w:hAnsi="Times New Roman" w:eastAsia="" w:cs="" w:cstheme="minorBidi" w:eastAsiaTheme="minorEastAsia"/>
      <w:color w:val="auto"/>
      <w:kern w:val="0"/>
      <w:sz w:val="22"/>
      <w:szCs w:val="22"/>
      <w:lang w:val="en-US" w:eastAsia="en-US" w:bidi="ar-SA"/>
    </w:rPr>
  </w:style>
  <w:style w:type="paragraph" w:styleId="TOCManual3" w:customStyle="1">
    <w:name w:val="TOCManual3"/>
    <w:qFormat/>
    <w:rsid w:val="00d47502"/>
    <w:pPr>
      <w:widowControl/>
      <w:suppressAutoHyphens w:val="true"/>
      <w:bidi w:val="0"/>
      <w:spacing w:lineRule="auto" w:line="240" w:before="0" w:after="40"/>
      <w:ind w:start="680"/>
      <w:jc w:val="start"/>
    </w:pPr>
    <w:rPr>
      <w:rFonts w:ascii="Times New Roman" w:hAnsi="Times New Roman" w:eastAsia="" w:cs=""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yperlink" Target="https://www.analog.com/media/en/technical-documentation/data-sheets/adxl345.pdf" TargetMode="External"/><Relationship Id="rId25" Type="http://schemas.openxmlformats.org/officeDocument/2006/relationships/hyperlink" Target="https://www.analog.com/media/en/technical-documentation/data-sheets/adxl354_adxl355.pdf" TargetMode="External"/><Relationship Id="rId26" Type="http://schemas.openxmlformats.org/officeDocument/2006/relationships/hyperlink" Target="https://doi.org/10.3390/s23042344" TargetMode="External"/><Relationship Id="rId27" Type="http://schemas.openxmlformats.org/officeDocument/2006/relationships/hyperlink" Target="https://www.arctic.de/media/2c/de/c6/1750758983/Spec_Sheet_P12_Pro_PST_EN.pdf" TargetMode="External"/><Relationship Id="rId28" Type="http://schemas.openxmlformats.org/officeDocument/2006/relationships/hyperlink" Target="https://doi.org/10.1007/978-1-4614-0676-1" TargetMode="External"/><Relationship Id="rId29" Type="http://schemas.openxmlformats.org/officeDocument/2006/relationships/hyperlink" Target="https://doi.org/10.1145/1541880.1541882" TargetMode="External"/><Relationship Id="rId30" Type="http://schemas.openxmlformats.org/officeDocument/2006/relationships/hyperlink" Target="https://www.gov.uk/government/publications/multi-criteria-analysis-manual-for-making-government-policy" TargetMode="External"/><Relationship Id="rId31" Type="http://schemas.openxmlformats.org/officeDocument/2006/relationships/hyperlink" Target="https://doi.org/10.3390/s26144536" TargetMode="External"/><Relationship Id="rId32" Type="http://schemas.openxmlformats.org/officeDocument/2006/relationships/hyperlink" Target="https://www.deeplearningbook.org/" TargetMode="External"/><Relationship Id="rId33" Type="http://schemas.openxmlformats.org/officeDocument/2006/relationships/hyperlink" Target="https://developers.google.com/edge/litert/conversion/tensorflow/convert_tf" TargetMode="External"/><Relationship Id="rId34" Type="http://schemas.openxmlformats.org/officeDocument/2006/relationships/hyperlink" Target="https://developers.google.com/edge/litert/conversion/tensorflow/quantization/post_training_quantization" TargetMode="External"/><Relationship Id="rId35" Type="http://schemas.openxmlformats.org/officeDocument/2006/relationships/hyperlink" Target="https://developers.google.com/edge/litert/microcontrollers/python" TargetMode="External"/><Relationship Id="rId36" Type="http://schemas.openxmlformats.org/officeDocument/2006/relationships/hyperlink" Target="https://developers.google.com/edge/api/tflite/python/tf/lite/Interpreter" TargetMode="External"/><Relationship Id="rId37" Type="http://schemas.openxmlformats.org/officeDocument/2006/relationships/hyperlink" Target="https://www.tensorflow.org/install/pip" TargetMode="External"/><Relationship Id="rId38" Type="http://schemas.openxmlformats.org/officeDocument/2006/relationships/hyperlink" Target="https://doi.org/10.1016/j.ymssp.2005.09.012" TargetMode="External"/><Relationship Id="rId39" Type="http://schemas.openxmlformats.org/officeDocument/2006/relationships/hyperlink" Target="https://doi.org/10.1145/2382577.2382579" TargetMode="External"/><Relationship Id="rId40" Type="http://schemas.openxmlformats.org/officeDocument/2006/relationships/hyperlink" Target="https://doi.org/10.36001/phme.2026.v9i1.4924" TargetMode="External"/><Relationship Id="rId41" Type="http://schemas.openxmlformats.org/officeDocument/2006/relationships/hyperlink" Target="https://doi.org/10.1109/ICDM.2008.17" TargetMode="External"/><Relationship Id="rId42" Type="http://schemas.openxmlformats.org/officeDocument/2006/relationships/hyperlink" Target="https://www.nasa.gov/reference/6-8-decision-analysis/" TargetMode="External"/><Relationship Id="rId43" Type="http://schemas.openxmlformats.org/officeDocument/2006/relationships/hyperlink" Target="https://www.nvidia.com/de-de/autonomous-machines/embedded-systems/jetson-orin/nano-super-developer-kit/" TargetMode="External"/><Relationship Id="rId44" Type="http://schemas.openxmlformats.org/officeDocument/2006/relationships/hyperlink" Target="https://onnxruntime.ai/docs/get-started/with-python.html" TargetMode="External"/><Relationship Id="rId45" Type="http://schemas.openxmlformats.org/officeDocument/2006/relationships/hyperlink" Target="https://www.orientalmotor.com/servo-motors/technology/servo-motor-features.html" TargetMode="External"/><Relationship Id="rId46" Type="http://schemas.openxmlformats.org/officeDocument/2006/relationships/hyperlink" Target="https://www.pcb.com/products?m=356a32" TargetMode="External"/><Relationship Id="rId47" Type="http://schemas.openxmlformats.org/officeDocument/2006/relationships/hyperlink" Target="https://doi.org/10.3390/s20082344" TargetMode="External"/><Relationship Id="rId48" Type="http://schemas.openxmlformats.org/officeDocument/2006/relationships/hyperlink" Target="https://docs.pytorch.org/executorch/stable/index.html" TargetMode="External"/><Relationship Id="rId49" Type="http://schemas.openxmlformats.org/officeDocument/2006/relationships/hyperlink" Target="https://doi.org/10.1016/j.ymssp.2010.07.017" TargetMode="External"/><Relationship Id="rId50" Type="http://schemas.openxmlformats.org/officeDocument/2006/relationships/hyperlink" Target="https://www.raspberrypi.com/products/raspberry-pi-5/" TargetMode="External"/><Relationship Id="rId51" Type="http://schemas.openxmlformats.org/officeDocument/2006/relationships/hyperlink" Target="https://datasheets.raspberrypi.com/rpi5/raspberry-pi-5-product-brief.pdf" TargetMode="External"/><Relationship Id="rId52" Type="http://schemas.openxmlformats.org/officeDocument/2006/relationships/hyperlink" Target="https://pip-assets.raspberrypi.com/categories/545-raspberry-pi-4-model-b/documents/RP-008344-DS-1-raspberry-pi-4-product-brief" TargetMode="External"/><Relationship Id="rId53" Type="http://schemas.openxmlformats.org/officeDocument/2006/relationships/hyperlink" Target="https://doi.org/10.1109/IJCNN52387.2021.9533927" TargetMode="External"/><Relationship Id="rId54" Type="http://schemas.openxmlformats.org/officeDocument/2006/relationships/hyperlink" Target="https://doi.org/10.1109/JPROC.2021.3052449" TargetMode="External"/><Relationship Id="rId55" Type="http://schemas.openxmlformats.org/officeDocument/2006/relationships/hyperlink" Target="https://scikit-learn.org/stable/common_pitfalls.html" TargetMode="External"/><Relationship Id="rId56" Type="http://schemas.openxmlformats.org/officeDocument/2006/relationships/hyperlink" Target="https://scikit-learn.org/stable/modules/cross_validation.html" TargetMode="External"/><Relationship Id="rId57" Type="http://schemas.openxmlformats.org/officeDocument/2006/relationships/hyperlink" Target="https://scikit-learn.org/stable/modules/model_evaluation.html" TargetMode="External"/><Relationship Id="rId58" Type="http://schemas.openxmlformats.org/officeDocument/2006/relationships/hyperlink" Target="https://scikit-learn.org/stable/modules/generated/sklearn.ensemble.IsolationForest.html" TargetMode="External"/><Relationship Id="rId59" Type="http://schemas.openxmlformats.org/officeDocument/2006/relationships/hyperlink" Target="https://docs.scipy.org/doc/scipy/tutorial/fft.html" TargetMode="External"/><Relationship Id="rId60" Type="http://schemas.openxmlformats.org/officeDocument/2006/relationships/hyperlink" Target="https://doi.org/10.1109/JIOT.2016.2579198" TargetMode="External"/><Relationship Id="rId61" Type="http://schemas.openxmlformats.org/officeDocument/2006/relationships/hyperlink" Target="https://www.st.com/resource/en/application_note/an4936-migrating-applications-from-stm32f7-to-stm32h743h753-mcus-stmicroelectronics.pdf" TargetMode="External"/><Relationship Id="rId62" Type="http://schemas.openxmlformats.org/officeDocument/2006/relationships/hyperlink" Target="https://www.st.com/en/microcontrollers-microprocessors/stm32h743-753.html" TargetMode="External"/><Relationship Id="rId63" Type="http://schemas.openxmlformats.org/officeDocument/2006/relationships/hyperlink" Target="https://mb.uni-paderborn.de/en/kat/research/bearing-datacenter" TargetMode="External"/><Relationship Id="rId64" Type="http://schemas.openxmlformats.org/officeDocument/2006/relationships/header" Target="header7.xml"/><Relationship Id="rId65" Type="http://schemas.openxmlformats.org/officeDocument/2006/relationships/header" Target="header8.xml"/><Relationship Id="rId66" Type="http://schemas.openxmlformats.org/officeDocument/2006/relationships/header" Target="header9.xml"/><Relationship Id="rId67" Type="http://schemas.openxmlformats.org/officeDocument/2006/relationships/footer" Target="footer7.xml"/><Relationship Id="rId68" Type="http://schemas.openxmlformats.org/officeDocument/2006/relationships/footer" Target="footer8.xml"/><Relationship Id="rId69" Type="http://schemas.openxmlformats.org/officeDocument/2006/relationships/footer" Target="footer9.xml"/><Relationship Id="rId70" Type="http://schemas.openxmlformats.org/officeDocument/2006/relationships/numbering" Target="numbering.xml"/><Relationship Id="rId71" Type="http://schemas.openxmlformats.org/officeDocument/2006/relationships/fontTable" Target="fontTable.xml"/><Relationship Id="rId72" Type="http://schemas.openxmlformats.org/officeDocument/2006/relationships/settings" Target="settings.xml"/><Relationship Id="rId73" Type="http://schemas.openxmlformats.org/officeDocument/2006/relationships/theme" Target="theme/theme1.xml"/><Relationship Id="rId74"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63</Pages>
  <Words>15948</Words>
  <Characters>115963</Characters>
  <CharactersWithSpaces>130991</CharactersWithSpaces>
  <Paragraphs>1448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Auf den Smartphoneversuch eingegrenzte Berichtsfassung; deskriptive Evaluation.</dc:description>
  <dc:language>en-US</dc:language>
  <cp:lastModifiedBy/>
  <cp:lastPrinted>2026-01-21T09:57:00Z</cp:lastPrinted>
  <dcterms:modified xsi:type="dcterms:W3CDTF">2026-09-19T14:43:02Z</dcterms:modified>
  <cp:revision>11</cp:revision>
  <dc:subject>Explorative Smartphone-Vibrationsstudie: Alarmverhalten, lokale Ausführung und Ressourcen</dc:subject>
  <dc:title>KI-basierte Anomalieerkennung auf ressourcenbeschränkter Edge-Hardware</dc:title>
</cp:coreProperties>
</file>

<file path=docProps/custom.xml><?xml version="1.0" encoding="utf-8"?>
<Properties xmlns="http://schemas.openxmlformats.org/officeDocument/2006/custom-properties" xmlns:vt="http://schemas.openxmlformats.org/officeDocument/2006/docPropsVTypes"/>
</file>