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7</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14</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18</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18</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19</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20</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21</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21</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22</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23</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24</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25</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26</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26</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28</w:t>
      </w:r>
      <w:r>
        <w:fldChar w:fldCharType="end"/>
      </w:r>
    </w:p>
    <w:p>
      <w:pPr>
        <w:pStyle w:val="Verzeichnis1"/>
        <w:tabs>
          <w:tab w:val="right" w:leader="dot" w:pos="9070"/>
        </w:tabs>
        <w:spacing w:after="70" w:line="240" w:lineRule="auto"/>
        <w:ind w:left="0"/>
      </w:pPr>
      <w:hyperlink w:anchor="Table_6_1">
        <w:r>
          <w:rPr>
            <w:sz w:val="22"/>
          </w:rPr>
          <w:t xml:space="preserve">Tabelle 6-1: Prüfstandangaben und noch offene Randbedingungen</w:t>
        </w:r>
      </w:hyperlink>
      <w:r>
        <w:tab/>
      </w:r>
      <w:r>
        <w:fldChar w:fldCharType="begin"/>
      </w:r>
      <w:r>
        <w:instrText xml:space="preserve"> PAGEREF Table_6_1 \h </w:instrText>
      </w:r>
      <w:r>
        <w:fldChar w:fldCharType="separate"/>
      </w:r>
      <w:r>
        <w:t>30</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31</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32</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34</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36</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i</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ii</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iii</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iv</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vi</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1</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1</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1</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2</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2</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3</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3</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4</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4</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4</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4</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5</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5</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5</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6</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6</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7</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8</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8</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9</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9</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9</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10</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11</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12</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12</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13</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13</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14</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16</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16</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17</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20</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22</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24</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27</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29</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29</w:t>
          </w:r>
          <w:r>
            <w:fldChar w:fldCharType="end"/>
          </w:r>
        </w:p>
        <w:p>
          <w:pPr>
            <w:pStyle w:val="Verzeichnis2"/>
            <w:tabs>
              <w:tab w:val="right" w:leader="dot" w:pos="9070"/>
            </w:tabs>
            <w:spacing w:after="70" w:line="240" w:lineRule="auto"/>
            <w:ind w:left="220"/>
          </w:pPr>
          <w:hyperlink w:anchor="Implementation_8">
            <w:r>
              <w:rPr>
                <w:sz w:val="22"/>
              </w:rPr>
              <w:t xml:space="preserve">6.2 Softwarestruktur und Datenfluss</w:t>
            </w:r>
          </w:hyperlink>
          <w:r>
            <w:tab/>
          </w:r>
          <w:r>
            <w:fldChar w:fldCharType="begin"/>
          </w:r>
          <w:r>
            <w:instrText xml:space="preserve"> PAGEREF Implementation_8 \h </w:instrText>
          </w:r>
          <w:r>
            <w:fldChar w:fldCharType="separate"/>
          </w:r>
          <w:r>
            <w:t>30</w:t>
          </w:r>
          <w:r>
            <w:fldChar w:fldCharType="end"/>
          </w:r>
        </w:p>
        <w:p>
          <w:pPr>
            <w:pStyle w:val="Verzeichnis2"/>
            <w:tabs>
              <w:tab w:val="right" w:leader="dot" w:pos="9070"/>
            </w:tabs>
            <w:spacing w:after="70" w:line="240" w:lineRule="auto"/>
            <w:ind w:left="220"/>
          </w:pPr>
          <w:hyperlink w:anchor="Implementation_13">
            <w:r>
              <w:rPr>
                <w:sz w:val="22"/>
              </w:rPr>
              <w:t xml:space="preserve">6.3 Korrigierte Sensorerfassung und Rohdatenprotokoll</w:t>
            </w:r>
          </w:hyperlink>
          <w:r>
            <w:tab/>
          </w:r>
          <w:r>
            <w:fldChar w:fldCharType="begin"/>
          </w:r>
          <w:r>
            <w:instrText xml:space="preserve"> PAGEREF Implementation_13 \h </w:instrText>
          </w:r>
          <w:r>
            <w:fldChar w:fldCharType="separate"/>
          </w:r>
          <w:r>
            <w:t>31</w:t>
          </w:r>
          <w:r>
            <w:fldChar w:fldCharType="end"/>
          </w:r>
        </w:p>
        <w:p>
          <w:pPr>
            <w:pStyle w:val="Verzeichnis2"/>
            <w:tabs>
              <w:tab w:val="right" w:leader="dot" w:pos="9070"/>
            </w:tabs>
            <w:spacing w:after="70" w:line="240" w:lineRule="auto"/>
            <w:ind w:left="220"/>
          </w:pPr>
          <w:hyperlink w:anchor="Implementation_21">
            <w:r>
              <w:rPr>
                <w:sz w:val="22"/>
              </w:rPr>
              <w:t xml:space="preserve">6.4 Datenaufteilung, Modelle und Schwellen</w:t>
            </w:r>
          </w:hyperlink>
          <w:r>
            <w:tab/>
          </w:r>
          <w:r>
            <w:fldChar w:fldCharType="begin"/>
          </w:r>
          <w:r>
            <w:instrText xml:space="preserve"> PAGEREF Implementation_21 \h </w:instrText>
          </w:r>
          <w:r>
            <w:fldChar w:fldCharType="separate"/>
          </w:r>
          <w:r>
            <w:t>33</w:t>
          </w:r>
          <w:r>
            <w:fldChar w:fldCharType="end"/>
          </w:r>
        </w:p>
        <w:p>
          <w:pPr>
            <w:pStyle w:val="Verzeichnis2"/>
            <w:tabs>
              <w:tab w:val="right" w:leader="dot" w:pos="9070"/>
            </w:tabs>
            <w:spacing w:after="70" w:line="240" w:lineRule="auto"/>
            <w:ind w:left="220"/>
          </w:pPr>
          <w:hyperlink w:anchor="Implementation_31">
            <w:r>
              <w:rPr>
                <w:sz w:val="22"/>
              </w:rPr>
              <w:t xml:space="preserve">6.5 Liveverarbeitung und Ressourceninstrumentierung</w:t>
            </w:r>
          </w:hyperlink>
          <w:r>
            <w:tab/>
          </w:r>
          <w:r>
            <w:fldChar w:fldCharType="begin"/>
          </w:r>
          <w:r>
            <w:instrText xml:space="preserve"> PAGEREF Implementation_31 \h </w:instrText>
          </w:r>
          <w:r>
            <w:fldChar w:fldCharType="separate"/>
          </w:r>
          <w:r>
            <w:t>35</w:t>
          </w:r>
          <w:r>
            <w:fldChar w:fldCharType="end"/>
          </w:r>
        </w:p>
        <w:p>
          <w:pPr>
            <w:pStyle w:val="Verzeichnis2"/>
            <w:tabs>
              <w:tab w:val="right" w:leader="dot" w:pos="9070"/>
            </w:tabs>
            <w:spacing w:after="70" w:line="240" w:lineRule="auto"/>
            <w:ind w:left="220"/>
          </w:pPr>
          <w:hyperlink w:anchor="Implementation_36">
            <w:r>
              <w:rPr>
                <w:sz w:val="22"/>
              </w:rPr>
              <w:t xml:space="preserve">6.6 Technische Prüfbelege und deren Grenzen</w:t>
            </w:r>
          </w:hyperlink>
          <w:r>
            <w:tab/>
          </w:r>
          <w:r>
            <w:fldChar w:fldCharType="begin"/>
          </w:r>
          <w:r>
            <w:instrText xml:space="preserve"> PAGEREF Implementation_36 \h </w:instrText>
          </w:r>
          <w:r>
            <w:fldChar w:fldCharType="separate"/>
          </w:r>
          <w:r>
            <w:t>35</w:t>
          </w:r>
          <w:r>
            <w:fldChar w:fldCharType="end"/>
          </w:r>
        </w:p>
        <w:p>
          <w:pPr>
            <w:pStyle w:val="Verzeichnis2"/>
            <w:tabs>
              <w:tab w:val="right" w:leader="dot" w:pos="9070"/>
            </w:tabs>
            <w:spacing w:after="70" w:line="240" w:lineRule="auto"/>
            <w:ind w:left="220"/>
          </w:pPr>
          <w:hyperlink w:anchor="Implementation_41">
            <w:r>
              <w:rPr>
                <w:sz w:val="22"/>
              </w:rPr>
              <w:t xml:space="preserve">6.7 Kontrollierte Pilotfolge und Vorbereitung der Evaluation</w:t>
            </w:r>
          </w:hyperlink>
          <w:r>
            <w:tab/>
          </w:r>
          <w:r>
            <w:fldChar w:fldCharType="begin"/>
          </w:r>
          <w:r>
            <w:instrText xml:space="preserve"> PAGEREF Implementation_41 \h </w:instrText>
          </w:r>
          <w:r>
            <w:fldChar w:fldCharType="separate"/>
          </w:r>
          <w:r>
            <w:t>36</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38</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39</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40</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41</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i</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iv</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in Kapitel 5 gewählte Prüfstand wird deshalb als vorhandener Aufbau weiter untersucht. Die vollständige mechanische Dokumentation steht noch aus.</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Bei der erneuten Prozess- und Geräteprüfung war kein laufender Erfassungs- oder Lüftersteuerungsprozess erkennbar. Das PWM-Subsystem enthielt eine Periodendauer von 40.000 ns, eine Tastzeit von 10.000 ns und einen aktivierten Kanal. Daraus ergeben sich rechnerisch 25 kHz und 25 % gespeicherter Tastgrad. GPIO18 war zunächst der PWM-Funktion zugeordnet und wurde bei einer späteren Abfrage als normaler Ausgang auf Low gelesen. Die Ursache dieser Änderung ist nicht belegt. Die gespeicherten PWM-Werte allein weisen deshalb weder ein aktuelles elektrisches PWM-Signal am Anschluss noch einen früheren Betriebspunkt nach. Im untersuchten Arbeitsdurchlauf wurden keine PWM- oder Pinänderungen ausgelöst.</w:t>
      </w:r>
    </w:p>
    <w:p>
      <w:pPr>
        <w:pStyle w:val="Beschriftung"/>
        <w:keepNext/>
      </w:pPr>
      <w:bookmarkStart w:id="98" w:name="Table_6_1"/>
      <w:r>
        <w:rPr>
          <w:sz w:val="22"/>
        </w:rPr>
        <w:t xml:space="preserve">Tabelle 6-1: Prüfstandangaben und noch offene Randbedingungen</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Noch zu dokumentieren</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w:t>
            </w:r>
          </w:p>
        </w:tc>
        <w:tc>
          <w:tcPr>
            <w:tcW w:w="3570" w:type="dxa"/>
          </w:tcPr>
          <w:p>
            <w:pPr>
              <w:keepNext/>
              <w:spacing w:before="20" w:after="20" w:line="252" w:lineRule="auto"/>
            </w:pPr>
            <w:r>
              <w:rPr>
                <w:sz w:val="21"/>
              </w:rPr>
              <w:t xml:space="preserve">Mechanische Kopplung zwischen Sensor und Prüfstand</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Laut Nutzer aufgebaut, angeschlossen und zuvor funktionsfähig</w:t>
            </w:r>
          </w:p>
        </w:tc>
        <w:tc>
          <w:tcPr>
            <w:tcW w:w="3570" w:type="dxa"/>
          </w:tcPr>
          <w:p>
            <w:pPr>
              <w:keepNext/>
              <w:spacing w:before="20" w:after="20" w:line="252" w:lineRule="auto"/>
            </w:pPr>
            <w:r>
              <w:rPr>
                <w:sz w:val="21"/>
              </w:rPr>
              <w:t xml:space="preserve">Befestigungsmittel, Montageort, Achsausrichtung, Lüfterbefestigung und Unterlage</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w:t>
            </w:r>
          </w:p>
        </w:tc>
        <w:tc>
          <w:tcPr>
            <w:tcW w:w="3350" w:type="dxa"/>
          </w:tcPr>
          <w:p>
            <w:pPr>
              <w:keepNext/>
              <w:spacing w:before="20" w:after="20" w:line="252" w:lineRule="auto"/>
            </w:pPr>
            <w:r>
              <w:rPr>
                <w:sz w:val="21"/>
              </w:rPr>
              <w:t xml:space="preserve">Aktuell gespeicherte 25 % bei 25 kHz; später abweichende Pinbelegung</w:t>
            </w:r>
          </w:p>
        </w:tc>
        <w:tc>
          <w:tcPr>
            <w:tcW w:w="3570" w:type="dxa"/>
          </w:tcPr>
          <w:p>
            <w:pPr>
              <w:keepNext/>
              <w:spacing w:before="20" w:after="20" w:line="252" w:lineRule="auto"/>
            </w:pPr>
            <w:r>
              <w:rPr>
                <w:sz w:val="21"/>
              </w:rPr>
              <w:t xml:space="preserve">Frühere Halbierung, tatsächliche Signalführung und Abschaltart</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Kein bestätigter Tachonachweis des Prüflüfters</w:t>
            </w:r>
          </w:p>
        </w:tc>
        <w:tc>
          <w:tcPr>
            <w:tcW w:w="3570" w:type="dxa"/>
          </w:tcPr>
          <w:p>
            <w:pPr>
              <w:spacing w:before="20" w:after="20" w:line="252" w:lineRule="auto"/>
            </w:pPr>
            <w:r>
              <w:rPr>
                <w:sz w:val="21"/>
              </w:rPr>
              <w:t xml:space="preserve">GPIO, Beschaltung, Pull-up-Spannung und Impulse je Umdrehung</w:t>
            </w:r>
          </w:p>
        </w:tc>
      </w:tr>
    </w:tbl>
    <w:p>
      <w:pPr>
        <w:spacing w:after="120" w:line="300" w:lineRule="auto" w:before="120"/>
        <w:widowControl/>
      </w:pPr>
      <w:r>
        <w:t xml:space="preserve">PWM und Drehzahl werden als unterschiedliche Größen geführt. Ein unter hwmon auslesbarer Drehzahlwert des Pi-Kühlers wird dem Prüflüfter nicht zugeordnet. Ohne bestätigten Tachokanal oder eine andere dokumentierte Drehzahlmessung bleibt das Drehzahlfeld leer beziehungsweise maschinenlesbar null. Diese Einschränkung betrifft die Zuordnung von Spektralanteilen zu Drehfrequenz und Harmonischen sowie die Kontrolle des Betriebspunktes nach A10 und A11.</w:t>
      </w:r>
    </w:p>
    <w:p>
      <w:pPr>
        <w:pStyle w:val="berschrift2"/>
        <w:numPr>
          <w:ilvl w:val="1"/>
          <w:numId w:val="1"/>
        </w:numPr>
        <w:ind w:left="576" w:hanging="576"/>
      </w:pPr>
      <w:bookmarkStart w:id="99" w:name="Implementation_8"/>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pStyle w:val="berschrift2"/>
        <w:numPr>
          <w:ilvl w:val="1"/>
          <w:numId w:val="1"/>
        </w:numPr>
        <w:ind w:left="576" w:hanging="576"/>
      </w:pPr>
      <w:bookmarkStart w:id="101" w:name="Implementation_13"/>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200 Hz</w:t>
            </w:r>
          </w:p>
        </w:tc>
        <w:tc>
          <w:tcPr>
            <w:tcW w:w="3570" w:type="dxa"/>
          </w:tcPr>
          <w:p>
            <w:pPr>
              <w:keepNext/>
              <w:spacing w:before="20" w:after="20" w:line="252" w:lineRule="auto"/>
            </w:pPr>
            <w:r>
              <w:rPr>
                <w:sz w:val="21"/>
              </w:rPr>
              <w:t xml:space="preserve">Technischer Ausgangspunkt für die vorhandene I²C-Konfiguration;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werden geprüft; ausreichende Reserve gegen Sättigung benötigt Betriebsdaten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1"/>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1"/>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externe PWM-Vorgabe, ohne dadurch einen Ausgang zu setzen. Ein zukünftiger Steuerungszugriff muss mit konkretem Tastgrad und Aufnahmebeginn angekündigt werden.</w:t>
      </w:r>
    </w:p>
    <w:p>
      <w:pPr>
        <w:pStyle w:val="berschrift2"/>
        <w:numPr>
          <w:ilvl w:val="1"/>
          <w:numId w:val="1"/>
        </w:numPr>
        <w:ind w:left="576" w:hanging="576"/>
      </w:pPr>
      <w:bookmarkStart w:id="106" w:name="Implementation_36"/>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spacing w:before="20" w:after="20" w:line="252" w:lineRule="auto"/>
            </w:pPr>
            <w:r>
              <w:rPr>
                <w:sz w:val="21"/>
              </w:rPr>
              <w:t xml:space="preserve">Kurzer Livepilot und Ressourcen-Replay</w:t>
            </w:r>
          </w:p>
        </w:tc>
        <w:tc>
          <w:tcPr>
            <w:tcW w:w="3350" w:type="dxa"/>
          </w:tcPr>
          <w:p>
            <w:pPr>
              <w:spacing w:before="20" w:after="20" w:line="252" w:lineRule="auto"/>
            </w:pPr>
            <w:r>
              <w:rPr>
                <w:sz w:val="21"/>
              </w:rPr>
              <w:t xml:space="preserve">Technische Ausführung und Zeitinstrumentierung auf dem Pi geprüft</w:t>
            </w:r>
          </w:p>
        </w:tc>
        <w:tc>
          <w:tcPr>
            <w:tcW w:w="3570" w:type="dxa"/>
          </w:tcPr>
          <w:p>
            <w:pPr>
              <w:spacing w:before="20" w:after="20" w:line="252" w:lineRule="auto"/>
            </w:pPr>
            <w:r>
              <w:rPr>
                <w:sz w:val="21"/>
              </w:rPr>
              <w:t xml:space="preserve">Kein abschließender Langzeit-, GUI- oder H2-Nachweis</w:t>
            </w:r>
          </w:p>
        </w:tc>
      </w:tr>
    </w:tbl>
    <w:p>
      <w:pPr>
        <w:spacing w:after="120" w:line="300" w:lineRule="auto" w:before="120"/>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1"/>
      <w:r>
        <w:t xml:space="preserve">Kontrollierte Pilotfolge und Vorbereitung der Evaluation</w:t>
      </w:r>
      <w:bookmarkEnd w:id="108"/>
    </w:p>
    <w:p>
      <w:pPr>
        <w:spacing w:after="120" w:line="300" w:lineRule="auto"/>
        <w:widowControl/>
      </w:pPr>
      <w:r>
        <w:t xml:space="preserve">Die nächste Messung beginnt erst nach der Bestätigung eines vollständig stillstehenden Lüfters und unveränderter Montage. Die geplante 30-s-Stillstandsaufnahme verwendet die korrigierte FIFO-Erfassung und erhält den Zweck pilot. Sie bildet eine Hintergrundreferenz für die Messkettenprüfung und wird nicht als Normaltraining des laufenden Lüfters verwendet. Anschließend wird eine Betriebsmessung mit konkret geklärter PWM, eindeutig benannter Zuständigkeit für das Einschalten und bestätigter Bereitschaft angekündigt. Während jeder Aufnahme bleiben Montage und Betriebspunkt unverändert.</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