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w:t>
      </w:r>
      <w:r>
        <w:fldChar w:fldCharType="end"/>
      </w:r>
    </w:p>
    <w:p>
      <w:pPr>
        <w:pStyle w:val="Verzeichnis1"/>
        <w:tabs>
          <w:tab w:val="right" w:leader="dot" w:pos="9070"/>
        </w:tabs>
        <w:spacing w:after="70" w:line="240" w:lineRule="auto"/>
        <w:ind w:left="0"/>
      </w:pPr>
      <w:hyperlink w:anchor="Table_6_1">
        <w:r>
          <w:rPr>
            <w:sz w:val="22"/>
          </w:rPr>
          <w:t xml:space="preserve">Tabelle 6-1: Prüfstandangaben und noch offene Randbedingungen</w:t>
        </w:r>
      </w:hyperlink>
      <w:r>
        <w:tab/>
      </w:r>
      <w:r>
        <w:fldChar w:fldCharType="begin"/>
      </w:r>
      <w:r>
        <w:instrText xml:space="preserve"> PAGEREF Table_6_1 \h </w:instrText>
      </w:r>
      <w:r>
        <w:fldChar w:fldCharType="separate"/>
      </w:r>
      <w:r>
        <w:t>?</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w:t>
          </w:r>
          <w:r>
            <w:fldChar w:fldCharType="end"/>
          </w:r>
        </w:p>
        <w:p>
          <w:pPr>
            <w:pStyle w:val="Verzeichnis2"/>
            <w:tabs>
              <w:tab w:val="right" w:leader="dot" w:pos="9070"/>
            </w:tabs>
            <w:spacing w:after="70" w:line="240" w:lineRule="auto"/>
            <w:ind w:left="220"/>
          </w:pPr>
          <w:hyperlink w:anchor="Implementation_10">
            <w:r>
              <w:rPr>
                <w:sz w:val="22"/>
              </w:rPr>
              <w:t xml:space="preserve">6.2 Softwarestruktur und Datenfluss</w:t>
            </w:r>
          </w:hyperlink>
          <w:r>
            <w:tab/>
          </w:r>
          <w:r>
            <w:fldChar w:fldCharType="begin"/>
          </w:r>
          <w:r>
            <w:instrText xml:space="preserve"> PAGEREF Implementation_10 \h </w:instrText>
          </w:r>
          <w:r>
            <w:fldChar w:fldCharType="separate"/>
          </w:r>
          <w:r>
            <w:t>?</w:t>
          </w:r>
          <w:r>
            <w:fldChar w:fldCharType="end"/>
          </w:r>
        </w:p>
        <w:p>
          <w:pPr>
            <w:pStyle w:val="Verzeichnis2"/>
            <w:tabs>
              <w:tab w:val="right" w:leader="dot" w:pos="9070"/>
            </w:tabs>
            <w:spacing w:after="70" w:line="240" w:lineRule="auto"/>
            <w:ind w:left="220"/>
          </w:pPr>
          <w:hyperlink w:anchor="Implementation_16">
            <w:r>
              <w:rPr>
                <w:sz w:val="22"/>
              </w:rPr>
              <w:t xml:space="preserve">6.3 Korrigierte Sensorerfassung und Rohdatenprotokoll</w:t>
            </w:r>
          </w:hyperlink>
          <w:r>
            <w:tab/>
          </w:r>
          <w:r>
            <w:fldChar w:fldCharType="begin"/>
          </w:r>
          <w:r>
            <w:instrText xml:space="preserve"> PAGEREF Implementation_16 \h </w:instrText>
          </w:r>
          <w:r>
            <w:fldChar w:fldCharType="separate"/>
          </w:r>
          <w:r>
            <w:t>?</w:t>
          </w:r>
          <w:r>
            <w:fldChar w:fldCharType="end"/>
          </w:r>
        </w:p>
        <w:p>
          <w:pPr>
            <w:pStyle w:val="Verzeichnis2"/>
            <w:tabs>
              <w:tab w:val="right" w:leader="dot" w:pos="9070"/>
            </w:tabs>
            <w:spacing w:after="70" w:line="240" w:lineRule="auto"/>
            <w:ind w:left="220"/>
          </w:pPr>
          <w:hyperlink w:anchor="Implementation_24">
            <w:r>
              <w:rPr>
                <w:sz w:val="22"/>
              </w:rPr>
              <w:t xml:space="preserve">6.4 Datenaufteilung, Modelle und Schwellen</w:t>
            </w:r>
          </w:hyperlink>
          <w:r>
            <w:tab/>
          </w:r>
          <w:r>
            <w:fldChar w:fldCharType="begin"/>
          </w:r>
          <w:r>
            <w:instrText xml:space="preserve"> PAGEREF Implementation_24 \h </w:instrText>
          </w:r>
          <w:r>
            <w:fldChar w:fldCharType="separate"/>
          </w:r>
          <w:r>
            <w:t>?</w:t>
          </w:r>
          <w:r>
            <w:fldChar w:fldCharType="end"/>
          </w:r>
        </w:p>
        <w:p>
          <w:pPr>
            <w:pStyle w:val="Verzeichnis2"/>
            <w:tabs>
              <w:tab w:val="right" w:leader="dot" w:pos="9070"/>
            </w:tabs>
            <w:spacing w:after="70" w:line="240" w:lineRule="auto"/>
            <w:ind w:left="220"/>
          </w:pPr>
          <w:hyperlink w:anchor="Implementation_34">
            <w:r>
              <w:rPr>
                <w:sz w:val="22"/>
              </w:rPr>
              <w:t xml:space="preserve">6.5 Liveverarbeitung und Ressourceninstrumentierung</w:t>
            </w:r>
          </w:hyperlink>
          <w:r>
            <w:tab/>
          </w:r>
          <w:r>
            <w:fldChar w:fldCharType="begin"/>
          </w:r>
          <w:r>
            <w:instrText xml:space="preserve"> PAGEREF Implementation_34 \h </w:instrText>
          </w:r>
          <w:r>
            <w:fldChar w:fldCharType="separate"/>
          </w:r>
          <w:r>
            <w:t>?</w:t>
          </w:r>
          <w:r>
            <w:fldChar w:fldCharType="end"/>
          </w:r>
        </w:p>
        <w:p>
          <w:pPr>
            <w:pStyle w:val="Verzeichnis2"/>
            <w:tabs>
              <w:tab w:val="right" w:leader="dot" w:pos="9070"/>
            </w:tabs>
            <w:spacing w:after="70" w:line="240" w:lineRule="auto"/>
            <w:ind w:left="220"/>
          </w:pPr>
          <w:hyperlink w:anchor="Implementation_39">
            <w:r>
              <w:rPr>
                <w:sz w:val="22"/>
              </w:rPr>
              <w:t xml:space="preserve">6.6 Technische Prüfbelege und deren Grenzen</w:t>
            </w:r>
          </w:hyperlink>
          <w:r>
            <w:tab/>
          </w:r>
          <w:r>
            <w:fldChar w:fldCharType="begin"/>
          </w:r>
          <w:r>
            <w:instrText xml:space="preserve"> PAGEREF Implementation_39 \h </w:instrText>
          </w:r>
          <w:r>
            <w:fldChar w:fldCharType="separate"/>
          </w:r>
          <w:r>
            <w:t>?</w:t>
          </w:r>
          <w:r>
            <w:fldChar w:fldCharType="end"/>
          </w:r>
        </w:p>
        <w:p>
          <w:pPr>
            <w:pStyle w:val="Verzeichnis2"/>
            <w:tabs>
              <w:tab w:val="right" w:leader="dot" w:pos="9070"/>
            </w:tabs>
            <w:spacing w:after="70" w:line="240" w:lineRule="auto"/>
            <w:ind w:left="220"/>
          </w:pPr>
          <w:hyperlink w:anchor="Implementation_45">
            <w:r>
              <w:rPr>
                <w:sz w:val="22"/>
              </w:rPr>
              <w:t xml:space="preserve">6.7 Kontrollierte Pilotfolge und Vorbereitung der Evaluation</w:t>
            </w:r>
          </w:hyperlink>
          <w:r>
            <w:tab/>
          </w:r>
          <w:r>
            <w:fldChar w:fldCharType="begin"/>
          </w:r>
          <w:r>
            <w:instrText xml:space="preserve"> PAGEREF Implementation_45 \h </w:instrText>
          </w:r>
          <w:r>
            <w:fldChar w:fldCharType="separate"/>
          </w:r>
          <w:r>
            <w:t>?</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Nutzer identifiziert den Lüfter als ARCTIC P12 Pro PST mit 120 mm und nennt eine vom Pi getrennte externe 12-V-Versorgung. Der ADXL345 ist nach seiner Angabe in Lüfternähe befestigt; Jumperkabel und ein Adapter verbinden die Steuerung mit GPIO18. Der in Kapitel 5 gewählte Prüfstand wird deshalb als vorhandener Aufbau weiter untersucht. Die vollständige mechanische Dokumentation steht noch aus.</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In der ersten Fortsetzung wurden ausschließlich Zustände ausgelesen. Die damals gespeicherten 25 % bei 25 kHz belegen weder einen früheren Betriebspunkt noch ein elektrisches PWM-Signal, da die Pin-Funktion zwischen Abfragen wechselte. Später meldete der Nutzer den Start mit pinctrl set 18 op dh und beobachtete volle Leistung. Damit galt die zuvor angefragte Stillstandsbedingung nicht mehr. Die beobachtete volle Leistung ist keine gemessene Drehzahl oder elektrische Leistung. Der tatsächliche Zeitpunkt des Nutzerbefehls ist unbekannt. Zugleich wurde die softwareseitige Steuerung für die vereinbarten Prüfungen ausdrücklich übertragen.</w:t>
      </w:r>
    </w:p>
    <w:p>
      <w:pPr>
        <w:spacing w:after="120" w:line="300" w:lineRule="auto"/>
        <w:widowControl/>
      </w:pPr>
      <w:r>
        <w:t xml:space="preserve">Der Steueranschluss ist GPIO18 am physischen Pin 12 der Pi-Stiftleiste; der physische Pin 18 gehört dagegen zu GPIO24. Der gemeldete Nutzerbefehl wählt GPIO18 als normalen Digitalausgang auf High. Für Zwischenwerte wird der bereits konfigurierte Hardware-PWM-Kanal 2 des RP1-Controllers pwmchip0 verwendet. Dazu gehört auf GPIO18 die Funktion a3 mit der Anzeige PWM0_CHAN2. Die Vorgabe beträgt 25 kHz. Gespeicherter Tastgrad, Pin-Funktion, Signal am Lüfter und mechanische Drehzahl werden getrennt bewertet.</w:t>
      </w:r>
    </w:p>
    <w:p>
      <w:pPr>
        <w:spacing w:after="120" w:line="300" w:lineRule="auto"/>
        <w:widowControl/>
      </w:pPr>
      <w:r>
        <w:t xml:space="preserve">Vor der angekündigten Abschaltung war kein konkurrierender Erfassungs- oder Steuerprozess erkennbar. Anschließend wurden 0 % über den vorhandenen PWM-Kanal eingestellt und die PWM-Pinfunktion hergestellt. Die Rücklesung bestätigte 0 ns Tastzeit bei 40.000 ns Periode, einen aktivierten Kanal und GPIO18 in Funktion a3 mit Low-Pegel. Nach zehn Sekunden Wartezeit blieb dieser ausgelesene Zustand unverändert. Den vollständigen Stillstand bestätigte anschließend der Nutzer als Sichtbeobachtung. Die genaue Befehlsfolge und Protokollierungszeiten stehen in steuerungsuebernahme_20260909.md und im Journal results/fan_control_20260909/control_events.jsonl. Diese Zeiten dokumentieren die Protokollierung der Nutzerangaben und nicht deren tatsächlichen Ausführungszeitpunkt. Die ursprünglichen Messjournale bleiben unverändert.</w:t>
      </w:r>
    </w:p>
    <w:p>
      <w:pPr>
        <w:pStyle w:val="Beschriftung"/>
        <w:keepNext/>
      </w:pPr>
      <w:bookmarkStart w:id="98" w:name="Table_6_1"/>
      <w:r>
        <w:rPr>
          <w:sz w:val="22"/>
        </w:rPr>
        <w:t xml:space="preserve">Tabelle 6-1: Prüfstandangaben und noch offene Randbedingungen</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Noch zu dokumentieren</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w:t>
            </w:r>
          </w:p>
        </w:tc>
        <w:tc>
          <w:tcPr>
            <w:tcW w:w="3570" w:type="dxa"/>
          </w:tcPr>
          <w:p>
            <w:pPr>
              <w:keepNext/>
              <w:spacing w:before="20" w:after="20" w:line="252" w:lineRule="auto"/>
            </w:pPr>
            <w:r>
              <w:rPr>
                <w:sz w:val="21"/>
              </w:rPr>
              <w:t xml:space="preserve">Mechanische Kopplung zwischen Sensor und Prüfstand</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Laut Nutzer ARCTIC P12 Pro PST, externe 12 V, ADXL345 in Lüfternähe befestigt</w:t>
            </w:r>
          </w:p>
        </w:tc>
        <w:tc>
          <w:tcPr>
            <w:tcW w:w="3570" w:type="dxa"/>
          </w:tcPr>
          <w:p>
            <w:pPr>
              <w:keepNext/>
              <w:spacing w:before="20" w:after="20" w:line="252" w:lineRule="auto"/>
            </w:pPr>
            <w:r>
              <w:rPr>
                <w:sz w:val="21"/>
              </w:rPr>
              <w:t xml:space="preserve">Befestigungsmittel, genaue Montagefläche, Achsausrichtung, Lüfterbefestigung, Unterlage und unveränderte Montage</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 und Pinzuordnung</w:t>
            </w:r>
          </w:p>
        </w:tc>
        <w:tc>
          <w:tcPr>
            <w:tcW w:w="3350" w:type="dxa"/>
          </w:tcPr>
          <w:p>
            <w:pPr>
              <w:keepNext/>
              <w:spacing w:before="20" w:after="20" w:line="252" w:lineRule="auto"/>
            </w:pPr>
            <w:r>
              <w:rPr>
                <w:sz w:val="21"/>
              </w:rPr>
              <w:t xml:space="preserve">0 % bei 25 kHz zurückgelesen; GPIO18 = physischer Pin 12, Funktion a3; Stillstand visuell bestätigt; nächster Sollwert laut Nutzer 25 %</w:t>
            </w:r>
          </w:p>
        </w:tc>
        <w:tc>
          <w:tcPr>
            <w:tcW w:w="3570" w:type="dxa"/>
          </w:tcPr>
          <w:p>
            <w:pPr>
              <w:keepNext/>
              <w:spacing w:before="20" w:after="20" w:line="252" w:lineRule="auto"/>
            </w:pPr>
            <w:r>
              <w:rPr>
                <w:sz w:val="21"/>
              </w:rPr>
              <w:t xml:space="preserve">Frühere Halbierung und elektrischer Signalverlauf; der neue 25-%-Betriebspunkt wurde noch nicht angefahren</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Nutzer nennt GPIO18 auch als Tacho; dies widerspricht der geprüften Zuordnung als Steuerausgang</w:t>
            </w:r>
          </w:p>
        </w:tc>
        <w:tc>
          <w:tcPr>
            <w:tcW w:w="3570" w:type="dxa"/>
          </w:tcPr>
          <w:p>
            <w:pPr>
              <w:spacing w:before="20" w:after="20" w:line="252" w:lineRule="auto"/>
            </w:pPr>
            <w:r>
              <w:rPr>
                <w:sz w:val="21"/>
              </w:rPr>
              <w:t xml:space="preserve">Tatsächliche Steckerzuordnung, separater Tachokanal, Beschaltung, Pull-up-Spannung und Impulse je Umdrehung</w:t>
            </w:r>
          </w:p>
        </w:tc>
      </w:tr>
    </w:tbl>
    <w:p>
      <w:pPr>
        <w:spacing w:after="120" w:line="300" w:lineRule="auto" w:before="120"/>
        <w:widowControl/>
      </w:pPr>
      <w:r>
        <w:t xml:space="preserve">PWM und Drehzahl werden als unterschiedliche Größen geführt. Die zusätzliche Angabe GPIO18 auf die Tachofrage ist wegen des belegten PWM-Ausgangs keine bestätigte Tachozuordnung. Das Herstellerdatenblatt des P12 Pro PST unterscheidet Pin 4 des Lüftersteckers als PWM-Eingang und Pin 3 als Tachoausgang (ARCTIC, o. J.); diese Steckernummern sind wiederum keine GPIO- oder Stiftleistennummern des Pi. Die tatsächliche Verbindung durch den vorhandenen Adapter muss daher beschrieben werden. Ein unter hwmon auslesbarer Drehzahlwert des Pi-Kühlers wird dem Prüflüfter nicht zugeordnet. Ohne bestätigten Tachokanal oder eine andere dokumentierte Drehzahlmessung bleibt das Drehzahlfeld leer beziehungsweise maschinenlesbar null. Diese Einschränkung betrifft die Zuordnung von Spektralanteilen zu Drehfrequenz und Harmonischen sowie die Kontrolle des Betriebspunktes nach A10 und A11.</w:t>
      </w:r>
    </w:p>
    <w:p>
      <w:pPr>
        <w:pStyle w:val="berschrift2"/>
        <w:numPr>
          <w:ilvl w:val="1"/>
          <w:numId w:val="1"/>
        </w:numPr>
        <w:ind w:left="576" w:hanging="576"/>
      </w:pPr>
      <w:bookmarkStart w:id="99" w:name="Implementation_10"/>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fan_pwm.py</w:t>
            </w:r>
          </w:p>
        </w:tc>
        <w:tc>
          <w:tcPr>
            <w:tcW w:w="3200" w:type="dxa"/>
          </w:tcPr>
          <w:p>
            <w:pPr>
              <w:keepNext/>
              <w:spacing w:before="20" w:after="20" w:line="252" w:lineRule="auto"/>
            </w:pPr>
            <w:r>
              <w:rPr>
                <w:sz w:val="21"/>
              </w:rPr>
              <w:t xml:space="preserve">Vorhandenen Hardware-PWM-Kanal prüfen und explizite Stellbefehle ausführen</w:t>
            </w:r>
          </w:p>
        </w:tc>
        <w:tc>
          <w:tcPr>
            <w:tcW w:w="3420" w:type="dxa"/>
          </w:tcPr>
          <w:p>
            <w:pPr>
              <w:keepNext/>
              <w:spacing w:before="20" w:after="20" w:line="252" w:lineRule="auto"/>
            </w:pPr>
            <w:r>
              <w:rPr>
                <w:sz w:val="21"/>
              </w:rPr>
              <w:t xml:space="preserve">Steuerjournal, Rücklesung von PWM und Pin-Funktion</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spacing w:after="120" w:line="300" w:lineRule="auto"/>
        <w:widowControl/>
      </w:pPr>
      <w:r>
        <w:t xml:space="preserve">Das Modul fan_pwm.py verwendet die Python-Standardbibliothek und greift direkt auf den vorhandenen Kernel-PWM-Kanal zu. Die zusätzliche Bibliothek rpi_hardware_pwm ist dafür nicht erforderlich. Vor Zugriffen werden RP1-Gerätezuordnung, Kanal, Periode und Polarität geprüft. Ein exklusiver Prozess-Lock koordiniert Programme, die diesen Steuerweg verwenden. Beim Öffnen des Steuerkontexts wird der vorhandene Zustand gelesen; beim Schließen wird der Lock freigegeben. Beide Schritte ändern die PWM nicht. Stellbefehle erfolgen ausschließlich durch ausdrückliche Methodenaufrufe und werden mit Rücklesung protokolliert. Die bestehenden Programme live_monitor.py und live_tflite_fan_control.py verwenden diesen gemeinsamen Steuerweg über FanController. Dieser Entwicklungsadapter setzt beim Start die gewählte Vorgabe und fordert beim Beenden ausdrücklich 0 % mit aktiviertem PWM-Kanal an. Auch bei Fehlern während der Aufnahme oder beim Beenden der Erfassung werden die 0-%-Anforderung und die Freigabe der Sperre versucht. Die übrigen Abschlussarbeiten erhalten dabei ihre eigenen Fehlerpfade. Ein nicht bestätigter Stellbefehl führt zu einem Fehlerstatus; daraus wird kein Stillstand abgeleitet. Die GUI wird erst am Programmeinstieg eingerichtet, damit der Aktuator ohne grafische Sitzung importierbar bleibt. Diese Softwarepfade wurden mit hardwarefreien Tests geprüft. Auf dem realen Pi wurde der neue Steuerweg bisher ausschließlich zum Lesen und Prüfen der bereits gesetzten 0-%-Vorgabe verwendet; ein Stellbefehl über dieses Modul wurde dort noch nicht ausgeführt.</w:t>
      </w:r>
    </w:p>
    <w:p>
      <w:pPr>
        <w:pStyle w:val="berschrift2"/>
        <w:numPr>
          <w:ilvl w:val="1"/>
          <w:numId w:val="1"/>
        </w:numPr>
        <w:ind w:left="576" w:hanging="576"/>
      </w:pPr>
      <w:bookmarkStart w:id="101" w:name="Implementation_16"/>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200 Hz</w:t>
            </w:r>
          </w:p>
        </w:tc>
        <w:tc>
          <w:tcPr>
            <w:tcW w:w="3570" w:type="dxa"/>
          </w:tcPr>
          <w:p>
            <w:pPr>
              <w:keepNext/>
              <w:spacing w:before="20" w:after="20" w:line="252" w:lineRule="auto"/>
            </w:pPr>
            <w:r>
              <w:rPr>
                <w:sz w:val="21"/>
              </w:rPr>
              <w:t xml:space="preserve">Technischer Ausgangspunkt für die vorhandene I²C-Konfiguration;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werden geprüft; ausreichende Reserve gegen Sättigung benötigt Betriebsdaten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4"/>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4"/>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separat eingestellte PWM-Vorgabe, ohne dadurch einen Ausgang zu setzen. Seit der ausdrücklichen Übertragung übernimmt die Softwaresteuerung die angekündigten Zustandswechsel des Prüfstandes. Zwischenwerte werden über den vorhandenen Hardware-PWM-Kanal eingestellt. Konkreter Tastgrad, Einlaufphase und Aufnahmebeginn werden vor dem jeweiligen Versuch benannt. Während der Aufnahme bleibt der Steuerkontext geöffnet und hält seinen Lock; Sollwert und Pin-Funktion können ohne Stellbefehl zurückgelesen werden. Das Ende dieses Kontexts schaltet den Lüfter nicht automatisch um. Es erfolgen keine erkennungsabhängigen Zustandsänderungen. Direkte pinctrl- oder sysfs-Zugriffe fremder Programme beachten den Lock nicht zwangsläufig. Vor jedem Hardwarelauf werden deshalb konkurrierende Steuerungs- und Erfassungsprozesse erneut geprüft; eine einmalige Prozessprüfung schließt spätere Fremdzugriffe nicht aus.</w:t>
      </w:r>
    </w:p>
    <w:p>
      <w:pPr>
        <w:pStyle w:val="berschrift2"/>
        <w:numPr>
          <w:ilvl w:val="1"/>
          <w:numId w:val="1"/>
        </w:numPr>
        <w:ind w:left="576" w:hanging="576"/>
      </w:pPr>
      <w:bookmarkStart w:id="106" w:name="Implementation_39"/>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keepNext/>
              <w:spacing w:before="20" w:after="20" w:line="252" w:lineRule="auto"/>
            </w:pPr>
            <w:r>
              <w:rPr>
                <w:sz w:val="21"/>
              </w:rPr>
              <w:t xml:space="preserve">Kurzer Livepilot und Ressourcen-Replay</w:t>
            </w:r>
          </w:p>
        </w:tc>
        <w:tc>
          <w:tcPr>
            <w:tcW w:w="3350" w:type="dxa"/>
          </w:tcPr>
          <w:p>
            <w:pPr>
              <w:keepNext/>
              <w:spacing w:before="20" w:after="20" w:line="252" w:lineRule="auto"/>
            </w:pPr>
            <w:r>
              <w:rPr>
                <w:sz w:val="21"/>
              </w:rPr>
              <w:t xml:space="preserve">Technische Ausführung und Zeitinstrumentierung auf dem Pi geprüft</w:t>
            </w:r>
          </w:p>
        </w:tc>
        <w:tc>
          <w:tcPr>
            <w:tcW w:w="3570" w:type="dxa"/>
          </w:tcPr>
          <w:p>
            <w:pPr>
              <w:keepNext/>
              <w:spacing w:before="20" w:after="20" w:line="252" w:lineRule="auto"/>
            </w:pPr>
            <w:r>
              <w:rPr>
                <w:sz w:val="21"/>
              </w:rPr>
              <w:t xml:space="preserve">Kein abschließender Langzeit-, GUI- oder H2-Nachweis</w:t>
            </w:r>
          </w:p>
        </w:tc>
      </w:tr>
      <w:tr>
        <w:trPr>
          <w:cantSplit/>
        </w:trPr>
        <w:tc>
          <w:tcPr>
            <w:tcW w:w="2150" w:type="dxa"/>
          </w:tcPr>
          <w:p>
            <w:pPr>
              <w:keepNext/>
              <w:spacing w:before="20" w:after="20" w:line="252" w:lineRule="auto"/>
            </w:pPr>
            <w:r>
              <w:rPr>
                <w:sz w:val="21"/>
              </w:rPr>
              <w:t xml:space="preserve">Übernahme der Lüftersteuerung</w:t>
            </w:r>
          </w:p>
        </w:tc>
        <w:tc>
          <w:tcPr>
            <w:tcW w:w="3350" w:type="dxa"/>
          </w:tcPr>
          <w:p>
            <w:pPr>
              <w:keepNext/>
              <w:spacing w:before="20" w:after="20" w:line="252" w:lineRule="auto"/>
            </w:pPr>
            <w:r>
              <w:rPr>
                <w:sz w:val="21"/>
              </w:rPr>
              <w:t xml:space="preserve">GPIO18/physischer Pin 12 und RP1-Kanal geprüft; 0 % bei 25 kHz mit Funktion a3 gesetzt; Stillstand danach vom Nutzer visuell bestätigt</w:t>
            </w:r>
          </w:p>
        </w:tc>
        <w:tc>
          <w:tcPr>
            <w:tcW w:w="3570" w:type="dxa"/>
          </w:tcPr>
          <w:p>
            <w:pPr>
              <w:keepNext/>
              <w:spacing w:before="20" w:after="20" w:line="252" w:lineRule="auto"/>
            </w:pPr>
            <w:r>
              <w:rPr>
                <w:sz w:val="21"/>
              </w:rPr>
              <w:t xml:space="preserve">Keine gemessene Drehzahl oder elektrische Signalform; Montage und Tachozuordnung noch zu klären</w:t>
            </w:r>
          </w:p>
        </w:tc>
      </w:tr>
      <w:tr>
        <w:trPr>
          <w:cantSplit/>
        </w:trPr>
        <w:tc>
          <w:tcPr>
            <w:tcW w:w="2150" w:type="dxa"/>
          </w:tcPr>
          <w:p>
            <w:pPr>
              <w:spacing w:before="20" w:after="20" w:line="252" w:lineRule="auto"/>
            </w:pPr>
            <w:r>
              <w:rPr>
                <w:sz w:val="21"/>
              </w:rPr>
              <w:t xml:space="preserve">Wiederverwendbarer PWM-Steuerweg</w:t>
            </w:r>
          </w:p>
        </w:tc>
        <w:tc>
          <w:tcPr>
            <w:tcW w:w="3350" w:type="dxa"/>
          </w:tcPr>
          <w:p>
            <w:pPr>
              <w:spacing w:before="20" w:after="20" w:line="252" w:lineRule="auto"/>
            </w:pPr>
            <w:r>
              <w:rPr>
                <w:sz w:val="21"/>
              </w:rPr>
              <w:t xml:space="preserve">28 Backend- und 24 Adapterprüfungen bestanden; vorhandene 0-%-Vorgabe mit neuem Modul auf dem Pi ausschließlich lesend geprüft</w:t>
            </w:r>
          </w:p>
        </w:tc>
        <w:tc>
          <w:tcPr>
            <w:tcW w:w="3570" w:type="dxa"/>
          </w:tcPr>
          <w:p>
            <w:pPr>
              <w:spacing w:before="20" w:after="20" w:line="252" w:lineRule="auto"/>
            </w:pPr>
            <w:r>
              <w:rPr>
                <w:sz w:val="21"/>
              </w:rPr>
              <w:t xml:space="preserve">Kein realer Stellbefehl mit dem neuen Modul; Testnachweis ersetzt keine Signal- oder Drehzahlmessung</w:t>
            </w:r>
          </w:p>
        </w:tc>
      </w:tr>
    </w:tbl>
    <w:p>
      <w:pPr>
        <w:spacing w:after="120" w:line="300" w:lineRule="auto" w:before="120"/>
        <w:widowControl/>
      </w:pPr>
      <w:r>
        <w:t xml:space="preserve">Die abschließende Regression nach Integration der PWM-Steuerung umfasst 113 bestandene Tests und zwölf Untertests. Der Bericht liegt unter results/fan_control_20260909/software_tests_final_v5.xml. Die neuen Steuerungsprüfungen verwenden temporäre Dateisystemmodelle und nachgebildete Pinrückmeldungen; sie erzeugen am Prüfstand kein PWM-Signal.</w:t>
      </w:r>
    </w:p>
    <w:p>
      <w:pPr>
        <w:spacing w:after="120" w:line="300" w:lineRule="auto"/>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5"/>
      <w:r>
        <w:t xml:space="preserve">Kontrollierte Pilotfolge und Vorbereitung der Evaluation</w:t>
      </w:r>
      <w:bookmarkEnd w:id="108"/>
    </w:p>
    <w:p>
      <w:pPr>
        <w:spacing w:after="120" w:line="300" w:lineRule="auto"/>
        <w:widowControl/>
      </w:pPr>
      <w:r>
        <w:t xml:space="preserve">Die nächste Messung beginnt erst bei vollständig stillstehendem Lüfter und geklärter, unveränderter Montage. Der Nutzer hat den Stillstand nach der softwareseitigen 0-%-Vorgabe visuell bestätigt; konkrete Befestigung und Steckerzuordnung sind noch offen. Die geplante 30-s-Stillstandsaufnahme verwendet die korrigierte FIFO-Erfassung und erhält den Zweck pilot. Sie bildet eine Hintergrundreferenz für die Messkettenprüfung und wird nicht als Normaltraining des laufenden Lüfters verwendet. Anschließend wird die Betriebsmessung mit dem vom Nutzer ausdrücklich gewünschten Sollwert von 25 % und bestätigter Bereitschaft angekündigt. Dieser neu festgelegte Sollwert ist keine Ableitung aus der früheren Halbierung. Das Einschalten und Einstellen übernimmt die Softwaresteuerung. Als vorläufige Einlaufphase sind 30 s vorgesehen; die verstrichene Zeit allein beweist keinen stabilen Lauf. Während jeder Aufnahme bleiben Montage und Betriebspunkt unverändert. Der neue Betriebspunkt wurde bis zum Stand dieses Kapitels noch nicht angefahren.</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 Der detaillierte Ablauf und die offenen Entscheidungen sind in versuchsplan_kontrolliert_20260909.md dokumentiert.</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