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7</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10</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14</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18</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18</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19</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20</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21</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21</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22</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23</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24</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25</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26</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26</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28</w:t>
      </w:r>
      <w:r>
        <w:fldChar w:fldCharType="end"/>
      </w:r>
    </w:p>
    <w:p>
      <w:pPr>
        <w:pStyle w:val="Verzeichnis1"/>
        <w:tabs>
          <w:tab w:val="right" w:leader="dot" w:pos="9070"/>
        </w:tabs>
        <w:spacing w:after="70" w:line="240" w:lineRule="auto"/>
        <w:ind w:left="0"/>
      </w:pPr>
      <w:hyperlink w:anchor="Table_6_1">
        <w:r>
          <w:rPr>
            <w:sz w:val="22"/>
          </w:rPr>
          <w:t xml:space="preserve">Tabelle 6-1: Prüfstandangaben und noch offene Randbedingungen</w:t>
        </w:r>
      </w:hyperlink>
      <w:r>
        <w:tab/>
      </w:r>
      <w:r>
        <w:fldChar w:fldCharType="begin"/>
      </w:r>
      <w:r>
        <w:instrText xml:space="preserve"> PAGEREF Table_6_1 \h </w:instrText>
      </w:r>
      <w:r>
        <w:fldChar w:fldCharType="separate"/>
      </w:r>
      <w:r>
        <w:t>30</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32</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33</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35</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38</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i</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ii</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iii</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iv</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vi</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1</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1</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1</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2</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2</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3</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3</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4</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4</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4</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4</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5</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5</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5</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6</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6</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7</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8</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8</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9</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9</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9</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10</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11</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12</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12</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13</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13</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14</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16</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16</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17</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20</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22</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24</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27</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29</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29</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31</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33</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34</w:t>
          </w:r>
          <w:r>
            <w:fldChar w:fldCharType="end"/>
          </w:r>
        </w:p>
        <w:p>
          <w:pPr>
            <w:pStyle w:val="Verzeichnis2"/>
            <w:tabs>
              <w:tab w:val="right" w:leader="dot" w:pos="9070"/>
            </w:tabs>
            <w:spacing w:after="70" w:line="240" w:lineRule="auto"/>
            <w:ind w:left="220"/>
          </w:pPr>
          <w:hyperlink w:anchor="Implementation_34">
            <w:r>
              <w:rPr>
                <w:sz w:val="22"/>
              </w:rPr>
              <w:t xml:space="preserve">6.5 Liveverarbeitung und Ressourceninstrumentierung</w:t>
            </w:r>
          </w:hyperlink>
          <w:r>
            <w:tab/>
          </w:r>
          <w:r>
            <w:fldChar w:fldCharType="begin"/>
          </w:r>
          <w:r>
            <w:instrText xml:space="preserve"> PAGEREF Implementation_34 \h </w:instrText>
          </w:r>
          <w:r>
            <w:fldChar w:fldCharType="separate"/>
          </w:r>
          <w:r>
            <w:t>36</w:t>
          </w:r>
          <w:r>
            <w:fldChar w:fldCharType="end"/>
          </w:r>
        </w:p>
        <w:p>
          <w:pPr>
            <w:pStyle w:val="Verzeichnis2"/>
            <w:tabs>
              <w:tab w:val="right" w:leader="dot" w:pos="9070"/>
            </w:tabs>
            <w:spacing w:after="70" w:line="240" w:lineRule="auto"/>
            <w:ind w:left="220"/>
          </w:pPr>
          <w:hyperlink w:anchor="Implementation_39">
            <w:r>
              <w:rPr>
                <w:sz w:val="22"/>
              </w:rPr>
              <w:t xml:space="preserve">6.6 Technische Prüfbelege und deren Grenzen</w:t>
            </w:r>
          </w:hyperlink>
          <w:r>
            <w:tab/>
          </w:r>
          <w:r>
            <w:fldChar w:fldCharType="begin"/>
          </w:r>
          <w:r>
            <w:instrText xml:space="preserve"> PAGEREF Implementation_39 \h </w:instrText>
          </w:r>
          <w:r>
            <w:fldChar w:fldCharType="separate"/>
          </w:r>
          <w:r>
            <w:t>37</w:t>
          </w:r>
          <w:r>
            <w:fldChar w:fldCharType="end"/>
          </w:r>
        </w:p>
        <w:p>
          <w:pPr>
            <w:pStyle w:val="Verzeichnis2"/>
            <w:tabs>
              <w:tab w:val="right" w:leader="dot" w:pos="9070"/>
            </w:tabs>
            <w:spacing w:after="70" w:line="240" w:lineRule="auto"/>
            <w:ind w:left="220"/>
          </w:pPr>
          <w:hyperlink w:anchor="Implementation_45">
            <w:r>
              <w:rPr>
                <w:sz w:val="22"/>
              </w:rPr>
              <w:t xml:space="preserve">6.7 Kontrollierte Pilotfolge und Vorbereitung der Evaluation</w:t>
            </w:r>
          </w:hyperlink>
          <w:r>
            <w:tab/>
          </w:r>
          <w:r>
            <w:fldChar w:fldCharType="begin"/>
          </w:r>
          <w:r>
            <w:instrText xml:space="preserve"> PAGEREF Implementation_45 \h </w:instrText>
          </w:r>
          <w:r>
            <w:fldChar w:fldCharType="separate"/>
          </w:r>
          <w:r>
            <w:t>39</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41</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42</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43</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44</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i</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iv</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Der ADXL345 ist nach seiner Angabe in Lüfternähe befestigt; Jumperkabel und ein Adapter verbinden die Steuerung mit GPIO18. Der in Kapitel 5 gewählte Prüfstand wird deshalb als vorhandener Aufbau weiter untersucht. Die vollständige mechanische Dokumentation steht noch aus.</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Diese Zeiten dokumentieren die Protokollierung der Nutzerangaben und nicht deren tatsächlichen Ausführungszeitpunkt. Die ursprünglichen Messjournale bleiben unverändert.</w:t>
      </w:r>
    </w:p>
    <w:p>
      <w:pPr>
        <w:pStyle w:val="Beschriftung"/>
        <w:keepNext/>
      </w:pPr>
      <w:bookmarkStart w:id="98" w:name="Table_6_1"/>
      <w:r>
        <w:rPr>
          <w:sz w:val="22"/>
        </w:rPr>
        <w:t xml:space="preserve">Tabelle 6-1: Prüfstandangaben und noch offene Randbedingungen</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Noch zu dokumentieren</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w:t>
            </w:r>
          </w:p>
        </w:tc>
        <w:tc>
          <w:tcPr>
            <w:tcW w:w="3570" w:type="dxa"/>
          </w:tcPr>
          <w:p>
            <w:pPr>
              <w:keepNext/>
              <w:spacing w:before="20" w:after="20" w:line="252" w:lineRule="auto"/>
            </w:pPr>
            <w:r>
              <w:rPr>
                <w:sz w:val="21"/>
              </w:rPr>
              <w:t xml:space="preserve">Mechanische Kopplung zwischen Sensor und Prüfstand</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Laut Nutzer ARCTIC P12 Pro PST, externe 12 V, ADXL345 in Lüfternähe befestigt</w:t>
            </w:r>
          </w:p>
        </w:tc>
        <w:tc>
          <w:tcPr>
            <w:tcW w:w="3570" w:type="dxa"/>
          </w:tcPr>
          <w:p>
            <w:pPr>
              <w:keepNext/>
              <w:spacing w:before="20" w:after="20" w:line="252" w:lineRule="auto"/>
            </w:pPr>
            <w:r>
              <w:rPr>
                <w:sz w:val="21"/>
              </w:rPr>
              <w:t xml:space="preserve">Befestigungsmittel, genaue Montagefläche, Achsausrichtung, Lüfterbefestigung, Unterlage und unveränderte Montage</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0 % bei 25 kHz zurückgelesen; GPIO18 = physischer Pin 12, Funktion a3; Stillstand visuell bestätigt; nächster Sollwert laut Nutzer 25 %</w:t>
            </w:r>
          </w:p>
        </w:tc>
        <w:tc>
          <w:tcPr>
            <w:tcW w:w="3570" w:type="dxa"/>
          </w:tcPr>
          <w:p>
            <w:pPr>
              <w:keepNext/>
              <w:spacing w:before="20" w:after="20" w:line="252" w:lineRule="auto"/>
            </w:pPr>
            <w:r>
              <w:rPr>
                <w:sz w:val="21"/>
              </w:rPr>
              <w:t xml:space="preserve">Frühere Halbierung und elektrischer Signalverlauf; der neue 25-%-Betriebspunkt wurde noch nicht angefahren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Nutzer nennt GPIO18 auch als Tacho; dies widerspricht der geprüften Zuordnung als Steuerausgang</w:t>
            </w:r>
          </w:p>
        </w:tc>
        <w:tc>
          <w:tcPr>
            <w:tcW w:w="3570" w:type="dxa"/>
          </w:tcPr>
          <w:p>
            <w:pPr>
              <w:spacing w:before="20" w:after="20" w:line="252" w:lineRule="auto"/>
            </w:pPr>
            <w:r>
              <w:rPr>
                <w:sz w:val="21"/>
              </w:rPr>
              <w:t xml:space="preserve">Tatsächliche Steckerzuordnung, separater Tachokanal, Beschaltung, Pull-up-Spannung und Impulse je Umdrehung</w:t>
            </w:r>
          </w:p>
        </w:tc>
      </w:tr>
    </w:tbl>
    <w:p>
      <w:pPr>
        <w:spacing w:after="120" w:line="300" w:lineRule="auto" w:before="120"/>
        <w:widowControl/>
      </w:pPr>
      <w:r>
        <w:t xml:space="preserve">PWM und Drehzahl werden als unterschiedliche Größen geführt. Die zusätzliche Angabe GPIO18 auf die Tachofrage ist wegen des belegten PWM-Ausgangs keine bestätigte Tachozuordnung. Das Herstellerdatenblatt des P12 Pro PST unterscheidet Pin 4 des Lüftersteckers als PWM-Eingang und Pin 3 als Tachoausgang (ARCTIC, o. J.); diese Steckernummern sind wiederum keine GPIO- oder Stiftleistennummern des Pi. Die tatsächliche Verbindung durch den vorhandenen Adapter muss daher beschrieben werden. Ein unter hwmon auslesbarer Drehzahlwert des Pi-Kühlers wird dem Prüflüfter nicht zugeordnet. Ohne bestätigten Tachokanal oder eine andere dokumentierte Drehzahlmessung bleibt das Drehzahlfeld leer beziehungsweise maschinenlesbar null. Diese Einschränkung betrifft die Zuordnung von Spektralanteilen zu Drehfrequenz und Harmonischen sowie die Kontrolle des Betriebspunktes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Aufnahmefehlern wird seine Sperre freigegeben. Ein nicht bestätigter Stellbefehl führt zu einem Fehlerstatus; daraus wird kein Stillstand abgeleitet. Die GUI wird erst am Programmeinstieg eingerichtet, damit der Aktuator ohne grafische Sitzung importierbar bleibt. Diese Softwarepfade wurden mit hardwarefreien Tests geprüft. Auf dem realen Pi wurde der neue Steuerweg bisher ausschließlich zum Lesen und Prüfen der bereits gesetzten 0-%-Vorgabe verwendet; ein Stellbefehl über dieses Modul wurde dort noch nicht ausgeführt.</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4"/>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39"/>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Montage und Tachozuordnung noch zu klären</w:t>
            </w:r>
          </w:p>
        </w:tc>
      </w:tr>
      <w:tr>
        <w:trPr>
          <w:cantSplit/>
        </w:trPr>
        <w:tc>
          <w:tcPr>
            <w:tcW w:w="2150" w:type="dxa"/>
          </w:tcPr>
          <w:p>
            <w:pPr>
              <w:spacing w:before="20" w:after="20" w:line="252" w:lineRule="auto"/>
            </w:pPr>
            <w:r>
              <w:rPr>
                <w:sz w:val="21"/>
              </w:rPr>
              <w:t xml:space="preserve">Wiederverwendbarer PWM-Steuerweg</w:t>
            </w:r>
          </w:p>
        </w:tc>
        <w:tc>
          <w:tcPr>
            <w:tcW w:w="3350" w:type="dxa"/>
          </w:tcPr>
          <w:p>
            <w:pPr>
              <w:spacing w:before="20" w:after="20" w:line="252" w:lineRule="auto"/>
            </w:pPr>
            <w:r>
              <w:rPr>
                <w:sz w:val="21"/>
              </w:rPr>
              <w:t xml:space="preserve">28 Backend- und 17 Adapterprüfungen bestanden; vorhandene 0-%-Vorgabe mit neuem Modul auf dem Pi ausschließlich lesend geprüft</w:t>
            </w:r>
          </w:p>
        </w:tc>
        <w:tc>
          <w:tcPr>
            <w:tcW w:w="3570" w:type="dxa"/>
          </w:tcPr>
          <w:p>
            <w:pPr>
              <w:spacing w:before="20" w:after="20" w:line="252" w:lineRule="auto"/>
            </w:pPr>
            <w:r>
              <w:rPr>
                <w:sz w:val="21"/>
              </w:rPr>
              <w:t xml:space="preserve">Kein realer Stellbefehl mit dem neuen Modul; Testnachweis ersetzt keine Signal- oder Drehzahlmessung</w:t>
            </w:r>
          </w:p>
        </w:tc>
      </w:tr>
    </w:tbl>
    <w:p>
      <w:pPr>
        <w:spacing w:after="120" w:line="300" w:lineRule="auto" w:before="120"/>
        <w:widowControl/>
      </w:pPr>
      <w:r>
        <w:t xml:space="preserve">Die abschließende Regression nach Integration der PWM-Steuerung umfasst 106 bestandene Tests und zwölf Untertests. Der Bericht liegt unter results/fan_control_20260909/software_tests_final_v3.xml. Die neuen Steuerungsprüfungen verwenden temporäre Dateisystemmodelle und nachgebildete Pinrückmeldungen; sie erzeugen am Prüfstand kein PWM-Signal.</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5"/>
      <w:r>
        <w:t xml:space="preserve">Kontrollierte Pilotfolge und Vorbereitung der Evaluation</w:t>
      </w:r>
      <w:bookmarkEnd w:id="108"/>
    </w:p>
    <w:p>
      <w:pPr>
        <w:spacing w:after="120" w:line="300" w:lineRule="auto"/>
        <w:widowControl/>
      </w:pPr>
      <w:r>
        <w:t xml:space="preserve">Die nächste Messung beginnt erst bei vollständig stillstehendem Lüfter und geklärter, unveränderter Montage. Der Nutzer hat den Stillstand nach der softwareseitigen 0-%-Vorgabe visuell bestätigt; konkrete Befestigung und Steckerzuordnung sind noch offen. Die geplante 30-s-Stillstandsaufnahme verwendet die korrigierte FIFO-Erfassung und erhält den Zweck pilot. Sie bildet eine Hintergrundreferenz für die Messkettenprüfung und wird nicht als Normaltraining des laufenden Lüfters verwendet. Anschließend wird die Betriebsmessung mit dem vom Nutzer ausdrücklich gewünschten Sollwert von 25 % und bestätigter Bereitschaft angekündigt. Dieser neu festgelegte Sollwert ist keine Ableitung aus der früheren Halbierung. Das Einschalten und Einstellen übernimmt die Softwaresteuerung. Als vorläufige Einlaufphase sind 30 s vorgesehen; die verstrichene Zeit allein beweist keinen stabilen Lauf. Während jeder Aufnahme bleiben Montage und Betriebspunkt unverändert. Der neue Betriebspunkt wurde bis zum Stand dieses Kapitels noch nicht angefahren.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