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w:t>
      </w:r>
      <w:r>
        <w:fldChar w:fldCharType="end"/>
      </w:r>
    </w:p>
    <w:p>
      <w:pPr>
        <w:pStyle w:val="Verzeichnis1"/>
        <w:tabs>
          <w:tab w:val="right" w:leader="dot" w:pos="9070"/>
        </w:tabs>
        <w:spacing w:after="70" w:line="240" w:lineRule="auto"/>
        <w:ind w:left="0"/>
      </w:pPr>
      <w:hyperlink w:anchor="Table_6_1">
        <w:r>
          <w:rPr>
            <w:sz w:val="22"/>
          </w:rPr>
          <w:t xml:space="preserve">Tabelle 6-1: Bestätigte Prüfstandangaben und Grenzen der Nachweise</w:t>
        </w:r>
      </w:hyperlink>
      <w:r>
        <w:tab/>
      </w:r>
      <w:r>
        <w:fldChar w:fldCharType="begin"/>
      </w:r>
      <w:r>
        <w:instrText xml:space="preserve"> PAGEREF Table_6_1 \h </w:instrText>
      </w:r>
      <w:r>
        <w:fldChar w:fldCharType="separate"/>
      </w:r>
      <w:r>
        <w:t>?</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w:t>
          </w:r>
          <w:r>
            <w:fldChar w:fldCharType="end"/>
          </w:r>
        </w:p>
        <w:p>
          <w:pPr>
            <w:pStyle w:val="Verzeichnis2"/>
            <w:tabs>
              <w:tab w:val="right" w:leader="dot" w:pos="9070"/>
            </w:tabs>
            <w:spacing w:after="70" w:line="240" w:lineRule="auto"/>
            <w:ind w:left="220"/>
          </w:pPr>
          <w:hyperlink w:anchor="Implementation_34">
            <w:r>
              <w:rPr>
                <w:sz w:val="22"/>
              </w:rPr>
              <w:t xml:space="preserve">6.5 Liveverarbeitung und Ressourceninstrumentierung</w:t>
            </w:r>
          </w:hyperlink>
          <w:r>
            <w:tab/>
          </w:r>
          <w:r>
            <w:fldChar w:fldCharType="begin"/>
          </w:r>
          <w:r>
            <w:instrText xml:space="preserve"> PAGEREF Implementation_34 \h </w:instrText>
          </w:r>
          <w:r>
            <w:fldChar w:fldCharType="separate"/>
          </w:r>
          <w:r>
            <w:t>?</w:t>
          </w:r>
          <w:r>
            <w:fldChar w:fldCharType="end"/>
          </w:r>
        </w:p>
        <w:p>
          <w:pPr>
            <w:pStyle w:val="Verzeichnis2"/>
            <w:tabs>
              <w:tab w:val="right" w:leader="dot" w:pos="9070"/>
            </w:tabs>
            <w:spacing w:after="70" w:line="240" w:lineRule="auto"/>
            <w:ind w:left="220"/>
          </w:pPr>
          <w:hyperlink w:anchor="Implementation_39">
            <w:r>
              <w:rPr>
                <w:sz w:val="22"/>
              </w:rPr>
              <w:t xml:space="preserve">6.6 Technische Prüfbelege und deren Grenzen</w:t>
            </w:r>
          </w:hyperlink>
          <w:r>
            <w:tab/>
          </w:r>
          <w:r>
            <w:fldChar w:fldCharType="begin"/>
          </w:r>
          <w:r>
            <w:instrText xml:space="preserve"> PAGEREF Implementation_39 \h </w:instrText>
          </w:r>
          <w:r>
            <w:fldChar w:fldCharType="separate"/>
          </w:r>
          <w:r>
            <w:t>?</w:t>
          </w:r>
          <w:r>
            <w:fldChar w:fldCharType="end"/>
          </w:r>
        </w:p>
        <w:p>
          <w:pPr>
            <w:pStyle w:val="Verzeichnis2"/>
            <w:tabs>
              <w:tab w:val="right" w:leader="dot" w:pos="9070"/>
            </w:tabs>
            <w:spacing w:after="70" w:line="240" w:lineRule="auto"/>
            <w:ind w:left="220"/>
          </w:pPr>
          <w:hyperlink w:anchor="Implementation_45">
            <w:r>
              <w:rPr>
                <w:sz w:val="22"/>
              </w:rPr>
              <w:t xml:space="preserve">6.7 Kontrollierte Pilotfolge und Vorbereitung der Evaluation</w:t>
            </w:r>
          </w:hyperlink>
          <w:r>
            <w:tab/>
          </w:r>
          <w:r>
            <w:fldChar w:fldCharType="begin"/>
          </w:r>
          <w:r>
            <w:instrText xml:space="preserve"> PAGEREF Implementation_45 \h </w:instrText>
          </w:r>
          <w:r>
            <w:fldChar w:fldCharType="separate"/>
          </w:r>
          <w:r>
            <w:t>?</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In der abschließenden Hardwareklärung bestätigt der Nutzer GPIO18 als Steueranschluss des Lüfters und den ADXL345 mit vorgesehener I²C-Beschaltung an einer Ecke des Lüfterrahmens. Damit ist der Montageort zur Erfassung der dort auftretenden Vibrationen festgelegt. Diese beiden Hardwarepunkte gelten als geklärte Randbedingungen des vorhandenen Prüfstands. Aus der Montagebeschreibung allein wird noch keine ausreichende Signalqualität abgeleitet.</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 Zeiten der Nutzerangaben bezeichnen deren Protokollierung; sie bestimmen nicht rückwirkend den Ausführungszeitpunkt eines Nutzerbefehls. Die ursprünglichen Messjournale bleiben unverändert.</w:t>
      </w:r>
    </w:p>
    <w:p>
      <w:pPr>
        <w:pStyle w:val="Beschriftung"/>
        <w:keepNext/>
      </w:pPr>
      <w:bookmarkStart w:id="98" w:name="Table_6_1"/>
      <w:r>
        <w:rPr>
          <w:sz w:val="22"/>
        </w:rPr>
        <w:t xml:space="preserve">Tabelle 6-1: Bestätigte Prüfstandangaben und Grenzen der Nachweise</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Einordnung und Aussagegrenze</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 vorgesehene I²C-Beschaltung vom Nutzer bestätigt</w:t>
            </w:r>
          </w:p>
        </w:tc>
        <w:tc>
          <w:tcPr>
            <w:tcW w:w="3570" w:type="dxa"/>
          </w:tcPr>
          <w:p>
            <w:pPr>
              <w:keepNext/>
              <w:spacing w:before="20" w:after="20" w:line="252" w:lineRule="auto"/>
            </w:pPr>
            <w:r>
              <w:rPr>
                <w:sz w:val="21"/>
              </w:rPr>
              <w:t xml:space="preserve">Sensoranschluss als feste Randbedingung übernommen</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ARCTIC P12 Pro PST, externe 12 V; ADXL345 laut Nutzer an einer Ecke des Lüfterrahmens befestigt</w:t>
            </w:r>
          </w:p>
        </w:tc>
        <w:tc>
          <w:tcPr>
            <w:tcW w:w="3570" w:type="dxa"/>
          </w:tcPr>
          <w:p>
            <w:pPr>
              <w:keepNext/>
              <w:spacing w:before="20" w:after="20" w:line="252" w:lineRule="auto"/>
            </w:pPr>
            <w:r>
              <w:rPr>
                <w:sz w:val="21"/>
              </w:rPr>
              <w:t xml:space="preserve">Montageort bestätigt; Eignung der erfassten Vibrationen wird anhand der Pilotdaten geprüft</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Nicht zeitgleich protokolliert: 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0 % bei 25 kHz zurückgelesen; GPIO18 = physischer Pin 12, Funktion a3; Stillstand visuell bestätigt; nächster Sollwert laut Nutzer 25 %</w:t>
            </w:r>
          </w:p>
        </w:tc>
        <w:tc>
          <w:tcPr>
            <w:tcW w:w="3570" w:type="dxa"/>
          </w:tcPr>
          <w:p>
            <w:pPr>
              <w:keepNext/>
              <w:spacing w:before="20" w:after="20" w:line="252" w:lineRule="auto"/>
            </w:pPr>
            <w:r>
              <w:rPr>
                <w:sz w:val="21"/>
              </w:rPr>
              <w:t xml:space="preserve">Frühere Halbierung und elektrischer Signalverlauf; der neue 25-%-Betriebspunkt wurde noch nicht angefahren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GPIO18 abschließend als Steueranschluss bestätigt; keine unabhängige Drehzahlmessung vorhanden</w:t>
            </w:r>
          </w:p>
        </w:tc>
        <w:tc>
          <w:tcPr>
            <w:tcW w:w="3570" w:type="dxa"/>
          </w:tcPr>
          <w:p>
            <w:pPr>
              <w:spacing w:before="20" w:after="20" w:line="252" w:lineRule="auto"/>
            </w:pPr>
            <w:r>
              <w:rPr>
                <w:sz w:val="21"/>
              </w:rPr>
              <w:t xml:space="preserve">PWM-Vorgabe ist keine Drehzahl; Drehzahlfeld bleibt ungemessen</w:t>
            </w:r>
          </w:p>
        </w:tc>
      </w:tr>
    </w:tbl>
    <w:p>
      <w:pPr>
        <w:spacing w:after="120" w:line="300" w:lineRule="auto" w:before="120"/>
        <w:widowControl/>
      </w:pPr>
      <w:r>
        <w:t xml:space="preserve">PWM und Drehzahl werden als unterschiedliche Größen geführt. Die abschließende Nutzerklärung bestätigt GPIO18 als Steueranschluss und beendet die zuvor offene Zuordnung. Sie ist kein Nachweis eines separaten Tachoeingangs. Das Herstellerdatenblatt des P12 Pro PST unterscheidet am Lüfterstecker PWM-Eingang und Tachoausgang (ARCTIC, o. J.). Für den dokumentierten Stand liegt keine unabhängige Drehzahlmessung des Prüflüfters vor; das Drehzahlfeld bleibt deshalb leer beziehungsweise maschinenlesbar null. Ein unter hwmon auslesbarer Drehzahlwert des Pi-Kühlers wird dem Prüflüfter nicht zugeordnet. Die beiden bestätigten Hardwarepunkte werden nicht erneut als offene Aufbauaufgaben behandelt. Die fehlende Drehzahlmessung begrenzt weiterhin die Zuordnung von Spektralanteilen zu Drehfrequenz und Harmonischen sowie den Nachweis einer konstanten Drehzahl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Auch die TFLite-Oberfläche aktiviert ihren interaktiven Grafikmodus erst beim Start des Hauptprogramms; ihr Import verändert den Grafikmodus einer vorherigen FFT-Auswertung nicht. Diese Softwarepfade wurden mit hardwarefreien Tests geprüft. Auf dem realen Pi wurde der neue Steuerweg bisher ausschließlich zum Lesen und Prüfen der bereits gesetzten 0-%-Vorgabe verwendet; ein Stellbefehl über dieses Modul wurde dort noch nicht ausgeführt.</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200 Hz</w:t>
            </w:r>
          </w:p>
        </w:tc>
        <w:tc>
          <w:tcPr>
            <w:tcW w:w="3570" w:type="dxa"/>
          </w:tcPr>
          <w:p>
            <w:pPr>
              <w:keepNext/>
              <w:spacing w:before="20" w:after="20" w:line="252" w:lineRule="auto"/>
            </w:pPr>
            <w:r>
              <w:rPr>
                <w:sz w:val="21"/>
              </w:rPr>
              <w:t xml:space="preserve">Technischer Ausgangspunkt für die vorhandene I²C-Konfiguration;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werden geprüft; ausreichende Reserve gegen Sättigung benötigt Betriebsdaten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4"/>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39"/>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Steueranschluss und Montageort abschließend vom Nutzer bestätigt</w:t>
            </w:r>
          </w:p>
        </w:tc>
      </w:tr>
      <w:tr>
        <w:trPr>
          <w:cantSplit/>
        </w:trPr>
        <w:tc>
          <w:tcPr>
            <w:tcW w:w="2150" w:type="dxa"/>
          </w:tcPr>
          <w:p>
            <w:pPr>
              <w:spacing w:before="20" w:after="20" w:line="252" w:lineRule="auto"/>
            </w:pPr>
            <w:r>
              <w:rPr>
                <w:sz w:val="21"/>
              </w:rPr>
              <w:t xml:space="preserve">Wiederverwendbarer PWM-Steuerweg</w:t>
            </w:r>
          </w:p>
        </w:tc>
        <w:tc>
          <w:tcPr>
            <w:tcW w:w="3350" w:type="dxa"/>
          </w:tcPr>
          <w:p>
            <w:pPr>
              <w:spacing w:before="20" w:after="20" w:line="252" w:lineRule="auto"/>
            </w:pPr>
            <w:r>
              <w:rPr>
                <w:sz w:val="21"/>
              </w:rPr>
              <w:t xml:space="preserve">28 Backend- und 24 Adapterprüfungen bestanden; vorhandene 0-%-Vorgabe mit neuem Modul auf dem Pi ausschließlich lesend geprüft</w:t>
            </w:r>
          </w:p>
        </w:tc>
        <w:tc>
          <w:tcPr>
            <w:tcW w:w="3570" w:type="dxa"/>
          </w:tcPr>
          <w:p>
            <w:pPr>
              <w:spacing w:before="20" w:after="20" w:line="252" w:lineRule="auto"/>
            </w:pPr>
            <w:r>
              <w:rPr>
                <w:sz w:val="21"/>
              </w:rPr>
              <w:t xml:space="preserve">Kein realer Stellbefehl mit dem neuen Modul; Testnachweis ersetzt keine Signal- oder Drehzahlmessung</w:t>
            </w:r>
          </w:p>
        </w:tc>
      </w:tr>
    </w:tbl>
    <w:p>
      <w:pPr>
        <w:spacing w:after="120" w:line="300" w:lineRule="auto" w:before="120"/>
        <w:widowControl/>
      </w:pPr>
      <w:r>
        <w:t xml:space="preserve">Nach Integration der PWM-Steuerung bestanden 113 Tests und zwölf Untertests. Die anschließende Prüfung der FFT-Eingangskontrolle erweiterte diesen Umfang auf 192 bestandene Tests und zwölf Untertests; davon entfallen 81 Tests auf FFT-Skalierung und Aufnahmeprüfung. Der aktuelle Bericht liegt unter results/hardware_confirmation_20260909/software_tests_final.xml. Die Steuerungsprüfungen verwenden temporäre Dateisystemmodelle und nachgebildete Pinrückmeldungen; die FFT-Prüfungen verwenden künstliche Zahlenfolgen. Diese Tests erzeugen weder Sensormessungen noch ein PWM-Signal am Prüfstand.</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5"/>
      <w:r>
        <w:t xml:space="preserve">Kontrollierte Pilotfolge und Vorbereitung der Evaluation</w:t>
      </w:r>
      <w:bookmarkEnd w:id="108"/>
    </w:p>
    <w:p>
      <w:pPr>
        <w:spacing w:after="120" w:line="300" w:lineRule="auto"/>
        <w:widowControl/>
      </w:pPr>
      <w:r>
        <w:t xml:space="preserve">Der Nutzer hat den Stillstand nach der softwareseitigen 0-%-Vorgabe visuell bestätigt. Mit der abschließenden Hardwareklärung sind GPIO18 als Steueranschluss und die Sensorbefestigung an einer Ecke des Lüfterrahmens festgelegt. Die nächste Messung verwendet diesen Aufbau; während der angekündigten Aufnahme bleiben Montage und Lüfterzustand unverändert. Zum Berichtsstand ist die Hardwarebeschreibung abgeschlossen. Die kontrollierte Messfolge steht weiterhin aus und wird vor ihrer Ausführung angekündigt. Die geplante 30-s-Stillstandsaufnahme verwendet die korrigierte FIFO-Erfassung und erhält den Zweck pilot. Sie bildet eine Hintergrundreferenz für die Messkettenprüfung und wird nicht als Normaltraining des laufenden Lüfters verwendet. Anschließend wird die Betriebsmessung mit dem vom Nutzer ausdrücklich gewünschten Sollwert von 25 % und bestätigter Bereitschaft angekündigt. Dieser neu festgelegte Sollwert ist keine Ableitung aus der früheren Halbierung. Das Einschalten und Einstellen übernimmt die Softwaresteuerung. Als vorläufige Einlaufphase sind 30 s vorgesehen; die verstrichene Zeit allein beweist keinen stabilen Lauf. Während jeder Aufnahme bleiben Montage und Betriebspunkt unverändert. Der neue Betriebspunkt wurde bis zum Stand dieses Kapitels noch nicht angefahren.</w:t>
      </w:r>
    </w:p>
    <w:p>
      <w:pPr>
        <w:spacing w:after="120" w:line="300" w:lineRule="auto"/>
        <w:widowControl/>
      </w:pPr>
      <w:r>
        <w:t xml:space="preserve">Vor der FFT-Auswertung prüft die Software sämtliche benötigten Spalten, ausdrücklich bekannte fehlerfreie Qualitätsflags und alle endlichen Achswerte einschließlich eines nicht verwendeten Segmentrestes. Die Samplefolge muss lückenlos bei null beginnen; die Anzahl muss mit dem Aufnahmemanifest übereinstimmen. Host-Nanosekunden werden als ganze Zahlen ohne Zwischenkonvertierung in Gleitkommazahlen gelesen. Zusätzlich werden Zeitreihenfolge, FIFO-Zeitkapazität, positive endliche ODR und ganzzahlige Segmentlänge geprüft. Ungültige Eingaben werden vor dem Anlegen des Ergebnisordners zurückgewiesen. Diese Korrektur verhindert, dass unbekannte Qualitätsangaben als fehlerfreie Messung gelten oder ungültige Schlusswerte bereits geschriebene Teilergebnisse hinterlassen.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