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sz w:val="20"/>
          <w:lang w:bidi="ar-EG"/>
        </w:rPr>
      </w:pPr>
      <w:r>
        <w:rPr>
          <w:sz w:val="20"/>
          <w:lang w:bidi="ar-EG"/>
        </w:rPr>
      </w:r>
    </w:p>
    <w:p>
      <w:pPr>
        <w:pStyle w:val="BodyText"/>
        <w:jc w:val="center"/>
        <w:rPr>
          <w:sz w:val="20"/>
        </w:rPr>
      </w:pPr>
      <w:r>
        <w:rPr/>
        <w:drawing>
          <wp:inline distT="0" distB="0" distL="0" distR="0">
            <wp:extent cx="2599690" cy="1080135"/>
            <wp:effectExtent l="0" t="0" r="0" b="0"/>
            <wp:docPr id="1" name="Grafik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 title=""/>
                    <pic:cNvPicPr>
                      <a:picLocks noChangeAspect="1" noChangeArrowheads="1"/>
                    </pic:cNvPicPr>
                  </pic:nvPicPr>
                  <pic:blipFill>
                    <a:blip r:embed="rId2"/>
                    <a:stretch>
                      <a:fillRect/>
                    </a:stretch>
                  </pic:blipFill>
                  <pic:spPr bwMode="auto">
                    <a:xfrm>
                      <a:off x="0" y="0"/>
                      <a:ext cx="2599690" cy="1080135"/>
                    </a:xfrm>
                    <a:prstGeom prst="rect">
                      <a:avLst/>
                    </a:prstGeom>
                    <a:noFill/>
                  </pic:spPr>
                </pic:pic>
              </a:graphicData>
            </a:graphic>
          </wp:inline>
        </w:drawing>
      </w:r>
    </w:p>
    <w:p>
      <w:pPr>
        <w:pStyle w:val="BodyText"/>
        <w:jc w:val="both"/>
        <w:rPr>
          <w:sz w:val="20"/>
        </w:rPr>
      </w:pPr>
      <w:r>
        <w:rPr>
          <w:sz w:val="20"/>
        </w:rPr>
      </w:r>
    </w:p>
    <w:p>
      <w:pPr>
        <w:pStyle w:val="BodyText"/>
        <w:jc w:val="both"/>
        <w:rPr>
          <w:b/>
          <w:bCs/>
          <w:sz w:val="20"/>
        </w:rPr>
      </w:pPr>
      <w:r>
        <w:rPr>
          <w:b/>
          <w:bCs/>
          <w:sz w:val="20"/>
        </w:rPr>
      </w:r>
    </w:p>
    <w:p>
      <w:pPr>
        <w:pStyle w:val="Normal"/>
        <w:jc w:val="both"/>
        <w:rPr>
          <w:rFonts w:cs="Calibri"/>
          <w:b/>
          <w:bCs/>
          <w:sz w:val="48"/>
          <w:szCs w:val="48"/>
        </w:rPr>
      </w:pPr>
      <w:r>
        <w:rPr>
          <w:rFonts w:cs="Calibri"/>
          <w:b/>
          <w:bCs/>
          <w:sz w:val="48"/>
          <w:szCs w:val="48"/>
        </w:rPr>
        <w:t>Frankfurt University of Applied Sciences</w:t>
      </w:r>
    </w:p>
    <w:p>
      <w:pPr>
        <w:pStyle w:val="Normal"/>
        <w:ind w:firstLine="708" w:start="903"/>
        <w:jc w:val="both"/>
        <w:rPr>
          <w:rFonts w:cs="Calibri"/>
          <w:b/>
          <w:bCs/>
          <w:sz w:val="48"/>
          <w:szCs w:val="48"/>
        </w:rPr>
      </w:pPr>
      <w:r>
        <w:rPr>
          <w:rFonts w:cs="Calibri"/>
        </w:rPr>
        <w:t>Fachbereich 2: Informatik und Ingenieurswissenschaften</w:t>
      </w:r>
    </w:p>
    <w:p>
      <w:pPr>
        <w:pStyle w:val="Normal"/>
        <w:spacing w:before="0" w:after="360"/>
        <w:jc w:val="center"/>
        <w:rPr/>
      </w:pPr>
      <w:r>
        <w:rPr>
          <w:b/>
          <w:sz w:val="32"/>
        </w:rPr>
        <w:t>Masterarbeit</w:t>
      </w:r>
    </w:p>
    <w:p>
      <w:pPr>
        <w:pStyle w:val="Normal"/>
        <w:spacing w:before="0" w:after="360"/>
        <w:jc w:val="center"/>
        <w:rPr/>
      </w:pPr>
      <w:r>
        <w:rPr>
          <w:b/>
          <w:sz w:val="26"/>
        </w:rPr>
        <w:t>Wissenschaftliche Berichtsabgabe zur Masterarbeit</w:t>
      </w:r>
    </w:p>
    <w:p>
      <w:pPr>
        <w:pStyle w:val="Normal"/>
        <w:spacing w:before="0" w:after="40"/>
        <w:jc w:val="center"/>
        <w:rPr/>
      </w:pPr>
      <w:r>
        <w:rPr>
          <w:b/>
        </w:rPr>
        <w:t>Thema:</w:t>
      </w:r>
    </w:p>
    <w:p>
      <w:pPr>
        <w:pStyle w:val="Normal"/>
        <w:spacing w:before="0" w:after="400"/>
        <w:jc w:val="center"/>
        <w:rPr/>
      </w:pPr>
      <w:r>
        <w:rPr>
          <w:b/>
          <w:sz w:val="30"/>
        </w:rPr>
        <w:t>„</w:t>
      </w:r>
      <w:r>
        <w:rPr>
          <w:b/>
          <w:sz w:val="30"/>
        </w:rPr>
        <w:t>KI-basierte Anomalieerkennung auf ressourcenbeschränkter Edge-Hardware“</w:t>
      </w:r>
    </w:p>
    <w:p>
      <w:pPr>
        <w:pStyle w:val="Normal"/>
        <w:ind w:start="2268"/>
        <w:rPr/>
      </w:pPr>
      <w:r>
        <w:rPr>
          <w:b/>
        </w:rPr>
        <w:t xml:space="preserve">Erster Prüfer: </w:t>
      </w:r>
      <w:r>
        <w:rPr/>
        <w:t>Herr</w:t>
      </w:r>
      <w:r>
        <w:rPr>
          <w:b/>
        </w:rPr>
        <w:t xml:space="preserve"> </w:t>
      </w:r>
      <w:r>
        <w:rPr/>
        <w:t>Prof. Dr. Karsten Schmidt</w:t>
      </w:r>
    </w:p>
    <w:p>
      <w:pPr>
        <w:pStyle w:val="Normal"/>
        <w:ind w:start="2268"/>
        <w:rPr/>
      </w:pPr>
      <w:r>
        <w:rPr>
          <w:b/>
        </w:rPr>
        <w:t xml:space="preserve">Zweite Prüferin: </w:t>
      </w:r>
      <w:r>
        <w:rPr/>
        <w:t>Frau M.Sc. Virginia Kramer</w:t>
      </w:r>
    </w:p>
    <w:p>
      <w:pPr>
        <w:pStyle w:val="Normal"/>
        <w:ind w:start="2268"/>
        <w:rPr/>
      </w:pPr>
      <w:r>
        <w:rPr>
          <w:b/>
        </w:rPr>
        <w:t xml:space="preserve">Studiengang: </w:t>
      </w:r>
      <w:r>
        <w:rPr/>
        <w:t>Mechatronik und Robotik</w:t>
      </w:r>
    </w:p>
    <w:p>
      <w:pPr>
        <w:pStyle w:val="Normal"/>
        <w:ind w:start="2268"/>
        <w:rPr/>
      </w:pPr>
      <w:r>
        <w:rPr>
          <w:b/>
        </w:rPr>
        <w:t xml:space="preserve">Bearbeiter: </w:t>
      </w:r>
      <w:r>
        <w:rPr/>
        <w:t>Abdulmalik Alzubi</w:t>
      </w:r>
    </w:p>
    <w:p>
      <w:pPr>
        <w:pStyle w:val="Normal"/>
        <w:ind w:start="2268"/>
        <w:rPr/>
      </w:pPr>
      <w:r>
        <w:rPr>
          <w:b/>
        </w:rPr>
        <w:t xml:space="preserve">Matrikelnummer: </w:t>
      </w:r>
      <w:r>
        <w:rPr/>
        <w:t>1224063</w:t>
      </w:r>
    </w:p>
    <w:p>
      <w:pPr>
        <w:pStyle w:val="Normal"/>
        <w:ind w:start="2268"/>
        <w:rPr/>
      </w:pPr>
      <w:r>
        <w:rPr>
          <w:b/>
        </w:rPr>
        <w:t xml:space="preserve">Zeitraum: </w:t>
      </w:r>
      <w:r>
        <w:rPr/>
        <w:t>26.05.2026 – 27.10.2026</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567" w:top="1417" w:footer="567" w:bottom="1134"/>
          <w:pgNumType w:start="1" w:fmt="lowerRoman"/>
          <w:formProt w:val="false"/>
          <w:titlePg/>
          <w:textDirection w:val="lrTb"/>
          <w:docGrid w:type="default" w:linePitch="360" w:charSpace="0"/>
        </w:sectPr>
        <w:pStyle w:val="Normal"/>
        <w:ind w:start="2268"/>
        <w:rPr/>
      </w:pPr>
      <w:r>
        <w:rPr>
          <w:b/>
        </w:rPr>
        <w:t xml:space="preserve">Abgabedatum: </w:t>
      </w:r>
      <w:r>
        <w:rPr>
          <w:color w:val="FF0000"/>
        </w:rPr>
        <w:t>27.10.2026</w:t>
      </w:r>
      <w:r>
        <w:br w:type="page"/>
      </w:r>
    </w:p>
    <w:p>
      <w:pPr>
        <w:pStyle w:val="Heading1"/>
        <w:numPr>
          <w:ilvl w:val="0"/>
          <w:numId w:val="0"/>
        </w:numPr>
        <w:spacing w:before="0" w:after="160"/>
        <w:ind w:hanging="0" w:start="0"/>
        <w:jc w:val="start"/>
        <w:rPr>
          <w:rFonts w:eastAsia="Times New Roman" w:cs="Calibri"/>
          <w:lang w:eastAsia="de-DE"/>
        </w:rPr>
      </w:pPr>
      <w:bookmarkStart w:id="0" w:name="__RefHeading___Toc14070_535938422"/>
      <w:bookmarkStart w:id="1" w:name="_Toc216604720"/>
      <w:bookmarkStart w:id="2" w:name="_Toc239410448"/>
      <w:bookmarkStart w:id="3" w:name="_MA_TOC_001"/>
      <w:bookmarkEnd w:id="0"/>
      <w:r>
        <w:rPr>
          <w:rFonts w:eastAsia="Times New Roman" w:cs="Calibri"/>
          <w:color w:val="000000"/>
          <w:lang w:eastAsia="de-DE"/>
        </w:rPr>
        <w:t>Erklärung</w:t>
      </w:r>
      <w:bookmarkEnd w:id="1"/>
      <w:bookmarkEnd w:id="2"/>
      <w:bookmarkEnd w:id="3"/>
    </w:p>
    <w:p>
      <w:pPr>
        <w:pStyle w:val="Normal"/>
        <w:spacing w:lineRule="auto" w:line="240"/>
        <w:jc w:val="both"/>
        <w:rPr>
          <w:rFonts w:eastAsia="Times New Roman" w:cs="Calibri"/>
          <w:lang w:eastAsia="de-DE"/>
        </w:rPr>
      </w:pPr>
      <w:r>
        <w:rPr>
          <w:rFonts w:eastAsia="Times New Roman" w:cs="Calibri"/>
          <w:lang w:eastAsia="de-DE"/>
        </w:rPr>
        <w:t>Hiermit erkläre ich, dass ich die vorliegende Arbeit selbständig erstellt und keine anderen</w:t>
      </w:r>
    </w:p>
    <w:p>
      <w:pPr>
        <w:pStyle w:val="Normal"/>
        <w:spacing w:lineRule="auto" w:line="240"/>
        <w:jc w:val="both"/>
        <w:rPr>
          <w:rFonts w:eastAsia="Times New Roman" w:cs="Calibri"/>
          <w:lang w:eastAsia="de-DE"/>
        </w:rPr>
      </w:pPr>
      <w:r>
        <w:rPr>
          <w:rFonts w:eastAsia="Times New Roman" w:cs="Calibri"/>
          <w:lang w:eastAsia="de-DE"/>
        </w:rPr>
        <w:t>als die angegebenen Hilfsmittel benutzt habe.</w:t>
      </w:r>
    </w:p>
    <w:p>
      <w:pPr>
        <w:pStyle w:val="Normal"/>
        <w:spacing w:lineRule="auto" w:line="240"/>
        <w:jc w:val="both"/>
        <w:rPr>
          <w:rFonts w:eastAsia="Times New Roman" w:cs="Calibri"/>
          <w:lang w:eastAsia="de-DE"/>
        </w:rPr>
      </w:pPr>
      <w:r>
        <w:rPr>
          <w:rFonts w:eastAsia="Times New Roman" w:cs="Calibri"/>
          <w:lang w:eastAsia="de-DE"/>
        </w:rPr>
        <w:t>Soweit ich auf fremde Materialien, Texte oder Gedankengänge zurückgegriffen habe, enthalten meine Ausführungen vollständige und eindeutige Verweise auf die Urheber und Quellen.</w:t>
      </w:r>
    </w:p>
    <w:p>
      <w:pPr>
        <w:pStyle w:val="Normal"/>
        <w:spacing w:lineRule="auto" w:line="240"/>
        <w:jc w:val="both"/>
        <w:rPr>
          <w:rFonts w:eastAsia="Times New Roman" w:cs="Calibri"/>
          <w:lang w:eastAsia="de-DE"/>
        </w:rPr>
      </w:pPr>
      <w:r>
        <w:rPr>
          <w:rFonts w:eastAsia="Times New Roman" w:cs="Calibri"/>
          <w:lang w:eastAsia="de-DE"/>
        </w:rPr>
        <w:t>Alle weiteren Inhalte der vorgelegten Arbeit stammen von mir im urheberrechtlichen Sinn,</w:t>
      </w:r>
    </w:p>
    <w:p>
      <w:pPr>
        <w:pStyle w:val="Normal"/>
        <w:spacing w:lineRule="auto" w:line="240"/>
        <w:jc w:val="both"/>
        <w:rPr>
          <w:rFonts w:eastAsia="Times New Roman" w:cs="Calibri"/>
          <w:lang w:eastAsia="de-DE"/>
        </w:rPr>
      </w:pPr>
      <w:r>
        <w:rPr>
          <w:rFonts w:eastAsia="Times New Roman" w:cs="Calibri"/>
          <w:lang w:eastAsia="de-DE"/>
        </w:rPr>
        <w:t>soweit keine Verweise und Zitate erfolgen.</w:t>
      </w:r>
    </w:p>
    <w:p>
      <w:pPr>
        <w:pStyle w:val="Normal"/>
        <w:spacing w:lineRule="auto" w:line="240"/>
        <w:jc w:val="both"/>
        <w:rPr>
          <w:rFonts w:eastAsia="Times New Roman" w:cs="Calibri"/>
          <w:lang w:eastAsia="de-DE"/>
        </w:rPr>
      </w:pPr>
      <w:r>
        <w:rPr/>
        <w:t>Datum: Frankfurt, den __________________</w:t>
      </w:r>
    </w:p>
    <w:p>
      <w:pPr>
        <w:pStyle w:val="Normal"/>
        <w:spacing w:lineRule="auto" w:line="240"/>
        <w:jc w:val="both"/>
        <w:rPr>
          <w:rFonts w:eastAsia="Times New Roman" w:cs="Calibri"/>
          <w:lang w:eastAsia="de-DE"/>
        </w:rPr>
      </w:pPr>
      <w:r>
        <w:rPr/>
        <w:t>Unterschrift: __________________________</w:t>
      </w:r>
    </w:p>
    <w:p>
      <w:pPr>
        <w:pStyle w:val="Normal"/>
        <w:spacing w:lineRule="auto" w:line="240"/>
        <w:jc w:val="both"/>
        <w:rPr>
          <w:rFonts w:eastAsia="Times New Roman" w:cs="Calibri"/>
          <w:lang w:eastAsia="de-DE"/>
        </w:rPr>
      </w:pPr>
      <w:r>
        <w:rPr>
          <w:rFonts w:eastAsia="Times New Roman" w:cs="Calibri"/>
          <w:lang w:eastAsia="de-DE"/>
        </w:rPr>
      </w:r>
    </w:p>
    <w:p>
      <w:pPr>
        <w:pStyle w:val="Normal"/>
        <w:spacing w:lineRule="auto" w:line="240"/>
        <w:ind w:firstLine="708" w:start="1416"/>
        <w:jc w:val="both"/>
        <w:rPr>
          <w:rFonts w:eastAsia="Times New Roman" w:cs="Calibri"/>
          <w:lang w:eastAsia="de-DE"/>
        </w:rPr>
      </w:pPr>
      <w:r>
        <w:rPr>
          <w:rFonts w:eastAsia="Times New Roman" w:cs="Calibri"/>
          <w:lang w:eastAsia="de-DE"/>
        </w:rPr>
        <w:t>Abdulmalik Alzubi</w:t>
      </w:r>
    </w:p>
    <w:p>
      <w:pPr>
        <w:pStyle w:val="Normal"/>
        <w:spacing w:lineRule="auto" w:line="240"/>
        <w:jc w:val="both"/>
        <w:rPr>
          <w:rFonts w:eastAsia="Times New Roman" w:cs="Calibri"/>
          <w:lang w:eastAsia="de-DE" w:bidi="ar-EG"/>
        </w:rPr>
      </w:pPr>
      <w:r>
        <w:rPr>
          <w:rFonts w:eastAsia="Times New Roman" w:cs="Calibri"/>
          <w:lang w:eastAsia="de-DE" w:bidi="ar-EG"/>
        </w:rPr>
      </w:r>
      <w:r>
        <w:br w:type="page"/>
      </w:r>
    </w:p>
    <w:p>
      <w:pPr>
        <w:pStyle w:val="Heading1"/>
        <w:numPr>
          <w:ilvl w:val="0"/>
          <w:numId w:val="0"/>
        </w:numPr>
        <w:spacing w:before="0" w:after="160"/>
        <w:ind w:hanging="0" w:start="0"/>
        <w:rPr/>
      </w:pPr>
      <w:bookmarkStart w:id="4" w:name="__RefHeading___Toc42803_554761375"/>
      <w:bookmarkEnd w:id="4"/>
      <w:r>
        <w:rPr/>
        <w:t>Zusammenfassung</w:t>
      </w:r>
    </w:p>
    <w:p>
      <w:pPr>
        <w:pStyle w:val="Normal"/>
        <w:rPr/>
      </w:pPr>
      <w:r>
        <w:t>Diese Arbeit vergleicht RMS-Schwelle, Isolation Forest und TFLite-Autoencoder zur lokalen Anomalieerkennung an einem Lüfteraufbau. Die Hardware bleibt ein Raspberry Pi 5 mit ADXL345 und einem extern versorgten Lüfter bei 75 % PWM. Im aktuellen Versuch wird eine äußere Anregung durch ein auf dem Tisch vibrierendes Handy erzeugt. Alle Verfahren verarbeiten nicht überlappende Fenster mit 128 XYZ-Punkten. Modelle, Skalierung und P99-Schwellen des am 18. September 2026 erstellten Normalprofils bleiben während der Handyversuche unverändert.</w:t>
      </w:r>
    </w:p>
    <w:p>
      <w:pPr>
        <w:pStyle w:val="Normal"/>
        <w:rPr/>
      </w:pPr>
      <w:r>
        <w:t>Am 19. September 2026 wurden drei ausgewählte Einzelaufnahmen und ein gemeinsamer Live-Lauf ausgewertet. Im gemeinsamen Lauf erhalten die drei Verfahren dieselben 197 Rohfenster. Der Autoencoder gibt den ersten Alarm aus; Isolation Forest folgt 19,061 ms später im selben Fenster 108. RMS überschreitet seine Schwelle erst in Fenster 109 und gibt den ersten Alarm 615,659 ms nach dem Autoencoder aus. Damit zeigt der Autoencoder in diesem Lauf den günstigsten beobachteten Alarmausgabezeitpunkt. Im Replay der drei Einzelaufnahmen liegt er einmal ein Fenster vor beiden Baselines und zweimal im gleichen ersten Alarmfenster. Diese Ergebnisse beschreiben wenige Ereignisse und keine allgemeine Überlegenheit.</w:t>
      </w:r>
    </w:p>
    <w:p>
      <w:pPr>
        <w:pStyle w:val="Normal"/>
        <w:rPr/>
      </w:pPr>
      <w:r>
        <w:t>Der gemeinsame Prozess benötigt einen CPU-Median von 13,04 % eines logischen Kerns und maximal 174,42 MiB abgetasteten RSS. RMS hat den geringsten, Isolation Forest den höchsten Verarbeitungsaufwand. Elektrische Leistung und Energie wurden nicht gemessen. Die Aufforderung zum Anrufen und die Rückmeldung zum Ende sind keine physikalischen Zeitreferenzen; eine absolute Erkennungsverzögerung, F1 oder bestätigte Fehlalarmrate lassen sich aus der Handyreihe daher nicht bestimmen. Frühere Versuche mit einem anderen Modell- und Vorverarbeitungsstand bleiben als getrennte Prüfreihe erhalten, einschließlich ihrer negativen Erkennungsergebnisse. Der Bericht ist eine nachvollziehbare Pilotstudie mit dokumentierten Aussagegrenzen.</w:t>
      </w:r>
    </w:p>
    <w:p>
      <w:pPr>
        <w:pStyle w:val="Verzeichnisberschrift"/>
        <w:numPr>
          <w:ilvl w:val="0"/>
          <w:numId w:val="0"/>
        </w:numPr>
        <w:spacing w:before="0" w:after="160"/>
        <w:ind w:hanging="0" w:start="0"/>
        <w:rPr/>
      </w:pPr>
      <w:r>
        <w:rPr/>
        <w:t>Inhaltsverzeichnis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070_535938422">
            <w:r>
              <w:rPr>
                <w:webHidden/>
                <w:rStyle w:val="IndexLink"/>
              </w:rPr>
              <w:t>Erklärung</w:t>
              <w:tab/>
              <w:t>i</w:t>
            </w:r>
          </w:hyperlink>
        </w:p>
        <w:p>
          <w:pPr>
            <w:pStyle w:val="TOC1"/>
            <w:tabs>
              <w:tab w:val="clear" w:pos="708"/>
              <w:tab w:val="right" w:pos="9071" w:leader="dot"/>
            </w:tabs>
            <w:rPr/>
          </w:pPr>
          <w:hyperlink w:anchor="__RefHeading___Toc42803_554761375">
            <w:r>
              <w:rPr>
                <w:webHidden/>
                <w:rStyle w:val="IndexLink"/>
              </w:rPr>
              <w:t>Zusammenfassung</w:t>
              <w:tab/>
              <w:t>ii</w:t>
            </w:r>
          </w:hyperlink>
        </w:p>
        <w:p>
          <w:pPr>
            <w:pStyle w:val="TOC1"/>
            <w:tabs>
              <w:tab w:val="clear" w:pos="708"/>
              <w:tab w:val="right" w:pos="9071" w:leader="dot"/>
            </w:tabs>
            <w:rPr/>
          </w:pPr>
          <w:hyperlink w:anchor="__RefHeading___Toc14072_535938422">
            <w:r>
              <w:rPr>
                <w:webHidden/>
                <w:rStyle w:val="IndexLink"/>
              </w:rPr>
              <w:t>Abbildungsverzeichnis</w:t>
              <w:tab/>
              <w:t>v</w:t>
            </w:r>
          </w:hyperlink>
        </w:p>
        <w:p>
          <w:pPr>
            <w:pStyle w:val="TOC1"/>
            <w:tabs>
              <w:tab w:val="clear" w:pos="708"/>
              <w:tab w:val="right" w:pos="9071" w:leader="dot"/>
            </w:tabs>
            <w:rPr/>
          </w:pPr>
          <w:hyperlink w:anchor="__RefHeading___Toc14074_535938422">
            <w:r>
              <w:rPr>
                <w:webHidden/>
                <w:rStyle w:val="IndexLink"/>
              </w:rPr>
              <w:t>Tabellenverzeichnis</w:t>
              <w:tab/>
              <w:t>vi</w:t>
            </w:r>
          </w:hyperlink>
        </w:p>
        <w:p>
          <w:pPr>
            <w:pStyle w:val="TOC1"/>
            <w:tabs>
              <w:tab w:val="clear" w:pos="708"/>
              <w:tab w:val="right" w:pos="9071" w:leader="dot"/>
            </w:tabs>
            <w:rPr/>
          </w:pPr>
          <w:hyperlink w:anchor="__RefHeading___Toc14076_535938422">
            <w:r>
              <w:rPr>
                <w:webHidden/>
                <w:rStyle w:val="IndexLink"/>
              </w:rPr>
              <w:t>Abkürzungsverzeichnis</w:t>
              <w:tab/>
              <w:t>vii</w:t>
            </w:r>
          </w:hyperlink>
        </w:p>
        <w:p>
          <w:pPr>
            <w:pStyle w:val="TOC1"/>
            <w:tabs>
              <w:tab w:val="clear" w:pos="708"/>
              <w:tab w:val="right" w:pos="9071" w:leader="dot"/>
            </w:tabs>
            <w:rPr/>
          </w:pPr>
          <w:hyperlink w:anchor="__RefHeading___Toc14078_535938422">
            <w:r>
              <w:rPr>
                <w:webHidden/>
                <w:rStyle w:val="IndexLink"/>
              </w:rPr>
              <w:t>1 Einleitung, Problemstellung und Zielsetzung</w:t>
              <w:tab/>
              <w:t>1</w:t>
            </w:r>
          </w:hyperlink>
        </w:p>
        <w:p>
          <w:pPr>
            <w:pStyle w:val="TOC2"/>
            <w:tabs>
              <w:tab w:val="clear" w:pos="708"/>
              <w:tab w:val="right" w:pos="9071" w:leader="dot"/>
            </w:tabs>
            <w:rPr/>
          </w:pPr>
          <w:hyperlink w:anchor="__RefHeading___Toc14080_535938422">
            <w:r>
              <w:rPr>
                <w:webHidden/>
                <w:rStyle w:val="IndexLink"/>
              </w:rPr>
              <w:t>1.1 Ausgangssituation und Motivation</w:t>
              <w:tab/>
              <w:t>1</w:t>
            </w:r>
          </w:hyperlink>
        </w:p>
        <w:p>
          <w:pPr>
            <w:pStyle w:val="TOC2"/>
            <w:tabs>
              <w:tab w:val="clear" w:pos="708"/>
              <w:tab w:val="right" w:pos="9071" w:leader="dot"/>
            </w:tabs>
            <w:rPr/>
          </w:pPr>
          <w:hyperlink w:anchor="__RefHeading___Toc14082_535938422">
            <w:r>
              <w:rPr>
                <w:webHidden/>
                <w:rStyle w:val="IndexLink"/>
              </w:rPr>
              <w:t>1.2 Wissenschaftliche Problemstellung</w:t>
              <w:tab/>
              <w:t>1</w:t>
            </w:r>
          </w:hyperlink>
        </w:p>
        <w:p>
          <w:pPr>
            <w:pStyle w:val="TOC2"/>
            <w:tabs>
              <w:tab w:val="clear" w:pos="708"/>
              <w:tab w:val="right" w:pos="9071" w:leader="dot"/>
            </w:tabs>
            <w:rPr/>
          </w:pPr>
          <w:hyperlink w:anchor="__RefHeading___Toc14084_535938422">
            <w:r>
              <w:rPr>
                <w:webHidden/>
                <w:rStyle w:val="IndexLink"/>
              </w:rPr>
              <w:t>1.3 Zielsetzung der Arbeit</w:t>
              <w:tab/>
              <w:t>1</w:t>
            </w:r>
          </w:hyperlink>
        </w:p>
        <w:p>
          <w:pPr>
            <w:pStyle w:val="TOC2"/>
            <w:tabs>
              <w:tab w:val="clear" w:pos="708"/>
              <w:tab w:val="right" w:pos="9071" w:leader="dot"/>
            </w:tabs>
            <w:rPr/>
          </w:pPr>
          <w:hyperlink w:anchor="__RefHeading___Toc14086_535938422">
            <w:r>
              <w:rPr>
                <w:webHidden/>
                <w:rStyle w:val="IndexLink"/>
              </w:rPr>
              <w:t>1.4 Forschungsfragen und Hypothesen</w:t>
              <w:tab/>
              <w:t>2</w:t>
            </w:r>
          </w:hyperlink>
        </w:p>
        <w:p>
          <w:pPr>
            <w:pStyle w:val="TOC2"/>
            <w:tabs>
              <w:tab w:val="clear" w:pos="708"/>
              <w:tab w:val="right" w:pos="9071" w:leader="dot"/>
            </w:tabs>
            <w:rPr/>
          </w:pPr>
          <w:hyperlink w:anchor="__RefHeading___Toc14088_535938422">
            <w:r>
              <w:rPr>
                <w:webHidden/>
                <w:rStyle w:val="IndexLink"/>
              </w:rPr>
              <w:t>1.5 Abgrenzung der Arbeit</w:t>
              <w:tab/>
              <w:t>2</w:t>
            </w:r>
          </w:hyperlink>
        </w:p>
        <w:p>
          <w:pPr>
            <w:pStyle w:val="TOC2"/>
            <w:tabs>
              <w:tab w:val="clear" w:pos="708"/>
              <w:tab w:val="right" w:pos="9071" w:leader="dot"/>
            </w:tabs>
            <w:rPr/>
          </w:pPr>
          <w:hyperlink w:anchor="__RefHeading___Toc14090_535938422">
            <w:r>
              <w:rPr>
                <w:webHidden/>
                <w:rStyle w:val="IndexLink"/>
              </w:rPr>
              <w:t>1.6 Aufbau der Arbeit</w:t>
              <w:tab/>
              <w:t>3</w:t>
            </w:r>
          </w:hyperlink>
        </w:p>
        <w:p>
          <w:pPr>
            <w:pStyle w:val="TOC1"/>
            <w:tabs>
              <w:tab w:val="clear" w:pos="708"/>
              <w:tab w:val="right" w:pos="9071" w:leader="dot"/>
            </w:tabs>
            <w:rPr/>
          </w:pPr>
          <w:hyperlink w:anchor="__RefHeading___Toc14092_535938422">
            <w:r>
              <w:rPr>
                <w:webHidden/>
                <w:rStyle w:val="IndexLink"/>
              </w:rPr>
              <w:t>2 Theoretische Grundlagen</w:t>
              <w:tab/>
              <w:t>4</w:t>
            </w:r>
          </w:hyperlink>
        </w:p>
        <w:p>
          <w:pPr>
            <w:pStyle w:val="TOC2"/>
            <w:tabs>
              <w:tab w:val="clear" w:pos="708"/>
              <w:tab w:val="right" w:pos="9071" w:leader="dot"/>
            </w:tabs>
            <w:rPr/>
          </w:pPr>
          <w:hyperlink w:anchor="__RefHeading___Toc14094_535938422">
            <w:r>
              <w:rPr>
                <w:webHidden/>
                <w:rStyle w:val="IndexLink"/>
              </w:rPr>
              <w:t>2.1 Zustandsüberwachung und Anomalieerkennung</w:t>
              <w:tab/>
              <w:t>4</w:t>
            </w:r>
          </w:hyperlink>
        </w:p>
        <w:p>
          <w:pPr>
            <w:pStyle w:val="TOC2"/>
            <w:tabs>
              <w:tab w:val="clear" w:pos="708"/>
              <w:tab w:val="right" w:pos="9071" w:leader="dot"/>
            </w:tabs>
            <w:rPr/>
          </w:pPr>
          <w:hyperlink w:anchor="__RefHeading___Toc14096_535938422">
            <w:r>
              <w:rPr>
                <w:webHidden/>
                <w:rStyle w:val="IndexLink"/>
              </w:rPr>
              <w:t>2.2 Verfahrensklassen für die Anomalieentscheidung</w:t>
              <w:tab/>
              <w:t>4</w:t>
            </w:r>
          </w:hyperlink>
        </w:p>
        <w:p>
          <w:pPr>
            <w:pStyle w:val="TOC3"/>
            <w:tabs>
              <w:tab w:val="clear" w:pos="708"/>
              <w:tab w:val="right" w:pos="9071" w:leader="dot"/>
            </w:tabs>
            <w:rPr/>
          </w:pPr>
          <w:hyperlink w:anchor="__RefHeading___Toc14098_535938422">
            <w:r>
              <w:rPr>
                <w:webHidden/>
                <w:rStyle w:val="IndexLink"/>
              </w:rPr>
              <w:t>2.2.1 Statistische Schwellenwertverfahren</w:t>
              <w:tab/>
              <w:t>4</w:t>
            </w:r>
          </w:hyperlink>
        </w:p>
        <w:p>
          <w:pPr>
            <w:pStyle w:val="TOC3"/>
            <w:tabs>
              <w:tab w:val="clear" w:pos="708"/>
              <w:tab w:val="right" w:pos="9071" w:leader="dot"/>
            </w:tabs>
            <w:rPr/>
          </w:pPr>
          <w:hyperlink w:anchor="__RefHeading___Toc14100_535938422">
            <w:r>
              <w:rPr>
                <w:webHidden/>
                <w:rStyle w:val="IndexLink"/>
              </w:rPr>
              <w:t>2.2.2 Klassische Verfahren im Normaldaten-Szenario</w:t>
              <w:tab/>
              <w:t>4</w:t>
            </w:r>
          </w:hyperlink>
        </w:p>
        <w:p>
          <w:pPr>
            <w:pStyle w:val="TOC3"/>
            <w:tabs>
              <w:tab w:val="clear" w:pos="708"/>
              <w:tab w:val="right" w:pos="9071" w:leader="dot"/>
            </w:tabs>
            <w:rPr/>
          </w:pPr>
          <w:hyperlink w:anchor="__RefHeading___Toc14102_535938422">
            <w:r>
              <w:rPr>
                <w:webHidden/>
                <w:rStyle w:val="IndexLink"/>
              </w:rPr>
              <w:t>2.2.3 Autoencoder</w:t>
              <w:tab/>
              <w:t>5</w:t>
            </w:r>
          </w:hyperlink>
        </w:p>
        <w:p>
          <w:pPr>
            <w:pStyle w:val="TOC2"/>
            <w:tabs>
              <w:tab w:val="clear" w:pos="708"/>
              <w:tab w:val="right" w:pos="9071" w:leader="dot"/>
            </w:tabs>
            <w:rPr/>
          </w:pPr>
          <w:hyperlink w:anchor="__RefHeading___Toc14104_535938422">
            <w:r>
              <w:rPr>
                <w:webHidden/>
                <w:rStyle w:val="IndexLink"/>
              </w:rPr>
              <w:t>2.3 Messdaten und Fensterbildung</w:t>
              <w:tab/>
              <w:t>5</w:t>
            </w:r>
          </w:hyperlink>
        </w:p>
        <w:p>
          <w:pPr>
            <w:pStyle w:val="TOC2"/>
            <w:tabs>
              <w:tab w:val="clear" w:pos="708"/>
              <w:tab w:val="right" w:pos="9071" w:leader="dot"/>
            </w:tabs>
            <w:rPr/>
          </w:pPr>
          <w:hyperlink w:anchor="__RefHeading___Toc14106_535938422">
            <w:r>
              <w:rPr>
                <w:webHidden/>
                <w:rStyle w:val="IndexLink"/>
              </w:rPr>
              <w:t>2.4 Datenaufteilung und Vorverarbeitung</w:t>
              <w:tab/>
              <w:t>5</w:t>
            </w:r>
          </w:hyperlink>
        </w:p>
        <w:p>
          <w:pPr>
            <w:pStyle w:val="TOC2"/>
            <w:tabs>
              <w:tab w:val="clear" w:pos="708"/>
              <w:tab w:val="right" w:pos="9071" w:leader="dot"/>
            </w:tabs>
            <w:rPr/>
          </w:pPr>
          <w:hyperlink w:anchor="__RefHeading___Toc14108_535938422">
            <w:r>
              <w:rPr>
                <w:webHidden/>
                <w:rStyle w:val="IndexLink"/>
              </w:rPr>
              <w:t>2.5 Schwellenwertkalibrierung</w:t>
              <w:tab/>
              <w:t>6</w:t>
            </w:r>
          </w:hyperlink>
        </w:p>
        <w:p>
          <w:pPr>
            <w:pStyle w:val="TOC2"/>
            <w:tabs>
              <w:tab w:val="clear" w:pos="708"/>
              <w:tab w:val="right" w:pos="9071" w:leader="dot"/>
            </w:tabs>
            <w:rPr/>
          </w:pPr>
          <w:hyperlink w:anchor="__RefHeading___Toc14110_535938422">
            <w:r>
              <w:rPr>
                <w:webHidden/>
                <w:rStyle w:val="IndexLink"/>
              </w:rPr>
              <w:t>2.6 Erkennungsqualität und Aussagekraft der Evaluation</w:t>
              <w:tab/>
              <w:t>6</w:t>
            </w:r>
          </w:hyperlink>
        </w:p>
        <w:p>
          <w:pPr>
            <w:pStyle w:val="TOC2"/>
            <w:tabs>
              <w:tab w:val="clear" w:pos="708"/>
              <w:tab w:val="right" w:pos="9071" w:leader="dot"/>
            </w:tabs>
            <w:rPr/>
          </w:pPr>
          <w:hyperlink w:anchor="__RefHeading___Toc14112_535938422">
            <w:r>
              <w:rPr>
                <w:webHidden/>
                <w:rStyle w:val="IndexLink"/>
              </w:rPr>
              <w:t>2.7 Lokale Ausführung und Zeitverhalten</w:t>
              <w:tab/>
              <w:t>7</w:t>
            </w:r>
          </w:hyperlink>
        </w:p>
        <w:p>
          <w:pPr>
            <w:pStyle w:val="TOC2"/>
            <w:tabs>
              <w:tab w:val="clear" w:pos="708"/>
              <w:tab w:val="right" w:pos="9071" w:leader="dot"/>
            </w:tabs>
            <w:rPr/>
          </w:pPr>
          <w:hyperlink w:anchor="__RefHeading___Toc14114_535938422">
            <w:r>
              <w:rPr>
                <w:webHidden/>
                <w:rStyle w:val="IndexLink"/>
              </w:rPr>
              <w:t>2.8 Veränderte Normalbedingungen</w:t>
              <w:tab/>
              <w:t>7</w:t>
            </w:r>
          </w:hyperlink>
        </w:p>
        <w:p>
          <w:pPr>
            <w:pStyle w:val="TOC1"/>
            <w:tabs>
              <w:tab w:val="clear" w:pos="708"/>
              <w:tab w:val="right" w:pos="9071" w:leader="dot"/>
            </w:tabs>
            <w:rPr/>
          </w:pPr>
          <w:hyperlink w:anchor="__RefHeading___Toc14116_535938422">
            <w:r>
              <w:rPr>
                <w:webHidden/>
                <w:rStyle w:val="IndexLink"/>
              </w:rPr>
              <w:t>3 Stand der Technik und verwandte Arbeiten</w:t>
              <w:tab/>
              <w:t>8</w:t>
            </w:r>
          </w:hyperlink>
        </w:p>
        <w:p>
          <w:pPr>
            <w:pStyle w:val="TOC2"/>
            <w:tabs>
              <w:tab w:val="clear" w:pos="708"/>
              <w:tab w:val="right" w:pos="9071" w:leader="dot"/>
            </w:tabs>
            <w:rPr/>
          </w:pPr>
          <w:hyperlink w:anchor="__RefHeading___Toc14118_535938422">
            <w:r>
              <w:rPr>
                <w:webHidden/>
                <w:rStyle w:val="IndexLink"/>
              </w:rPr>
              <w:t>3.1 Datenbasis und Messbedingungen</w:t>
              <w:tab/>
              <w:t>8</w:t>
            </w:r>
          </w:hyperlink>
        </w:p>
        <w:p>
          <w:pPr>
            <w:pStyle w:val="TOC2"/>
            <w:tabs>
              <w:tab w:val="clear" w:pos="708"/>
              <w:tab w:val="right" w:pos="9071" w:leader="dot"/>
            </w:tabs>
            <w:rPr/>
          </w:pPr>
          <w:hyperlink w:anchor="__RefHeading___Toc14120_535938422">
            <w:r>
              <w:rPr>
                <w:webHidden/>
                <w:rStyle w:val="IndexLink"/>
              </w:rPr>
              <w:t>3.2 Verfahren und Edge-Ausführung</w:t>
              <w:tab/>
              <w:t>8</w:t>
            </w:r>
          </w:hyperlink>
        </w:p>
        <w:p>
          <w:pPr>
            <w:pStyle w:val="TOC2"/>
            <w:tabs>
              <w:tab w:val="clear" w:pos="708"/>
              <w:tab w:val="right" w:pos="9071" w:leader="dot"/>
            </w:tabs>
            <w:rPr/>
          </w:pPr>
          <w:hyperlink w:anchor="__RefHeading___Toc14122_535938422">
            <w:r>
              <w:rPr>
                <w:webHidden/>
                <w:rStyle w:val="IndexLink"/>
              </w:rPr>
              <w:t>3.3 Vergleich ausgewählter Arbeiten</w:t>
              <w:tab/>
              <w:t>9</w:t>
            </w:r>
          </w:hyperlink>
        </w:p>
        <w:p>
          <w:pPr>
            <w:pStyle w:val="TOC2"/>
            <w:tabs>
              <w:tab w:val="clear" w:pos="708"/>
              <w:tab w:val="right" w:pos="9071" w:leader="dot"/>
            </w:tabs>
            <w:rPr/>
          </w:pPr>
          <w:hyperlink w:anchor="__RefHeading___Toc14124_535938422">
            <w:r>
              <w:rPr>
                <w:webHidden/>
                <w:rStyle w:val="IndexLink"/>
              </w:rPr>
              <w:t>3.4 Forschungslücke und Einordnung der eigenen Arbeit</w:t>
              <w:tab/>
              <w:t>9</w:t>
            </w:r>
          </w:hyperlink>
        </w:p>
        <w:p>
          <w:pPr>
            <w:pStyle w:val="TOC1"/>
            <w:tabs>
              <w:tab w:val="clear" w:pos="708"/>
              <w:tab w:val="right" w:pos="9071" w:leader="dot"/>
            </w:tabs>
            <w:rPr/>
          </w:pPr>
          <w:hyperlink w:anchor="__RefHeading___Toc14126_535938422">
            <w:r>
              <w:rPr>
                <w:webHidden/>
                <w:rStyle w:val="IndexLink"/>
              </w:rPr>
              <w:t>4 Anforderungsanalyse</w:t>
              <w:tab/>
              <w:t>10</w:t>
            </w:r>
          </w:hyperlink>
        </w:p>
        <w:p>
          <w:pPr>
            <w:pStyle w:val="TOC2"/>
            <w:tabs>
              <w:tab w:val="clear" w:pos="708"/>
              <w:tab w:val="right" w:pos="9071" w:leader="dot"/>
            </w:tabs>
            <w:rPr/>
          </w:pPr>
          <w:hyperlink w:anchor="__RefHeading___Toc14128_535938422">
            <w:r>
              <w:rPr>
                <w:webHidden/>
                <w:rStyle w:val="IndexLink"/>
              </w:rPr>
              <w:t>4.1 Messdaten und Vergleichsbasis</w:t>
              <w:tab/>
              <w:t>10</w:t>
            </w:r>
          </w:hyperlink>
        </w:p>
        <w:p>
          <w:pPr>
            <w:pStyle w:val="TOC2"/>
            <w:tabs>
              <w:tab w:val="clear" w:pos="708"/>
              <w:tab w:val="right" w:pos="9071" w:leader="dot"/>
            </w:tabs>
            <w:rPr/>
          </w:pPr>
          <w:hyperlink w:anchor="__RefHeading___Toc14130_535938422">
            <w:r>
              <w:rPr>
                <w:webHidden/>
                <w:rStyle w:val="IndexLink"/>
              </w:rPr>
              <w:t>4.2 Lokale Verarbeitung und Zeitverhalten</w:t>
              <w:tab/>
              <w:t>10</w:t>
            </w:r>
          </w:hyperlink>
        </w:p>
        <w:p>
          <w:pPr>
            <w:pStyle w:val="TOC2"/>
            <w:tabs>
              <w:tab w:val="clear" w:pos="708"/>
              <w:tab w:val="right" w:pos="9071" w:leader="dot"/>
            </w:tabs>
            <w:rPr/>
          </w:pPr>
          <w:hyperlink w:anchor="__RefHeading___Toc14132_535938422">
            <w:r>
              <w:rPr>
                <w:webHidden/>
                <w:rStyle w:val="IndexLink"/>
              </w:rPr>
              <w:t>4.3 Evaluation</w:t>
              <w:tab/>
              <w:t>11</w:t>
            </w:r>
          </w:hyperlink>
        </w:p>
        <w:p>
          <w:pPr>
            <w:pStyle w:val="TOC2"/>
            <w:tabs>
              <w:tab w:val="clear" w:pos="708"/>
              <w:tab w:val="right" w:pos="9071" w:leader="dot"/>
            </w:tabs>
            <w:rPr/>
          </w:pPr>
          <w:hyperlink w:anchor="__RefHeading___Toc14134_535938422">
            <w:r>
              <w:rPr>
                <w:webHidden/>
                <w:rStyle w:val="IndexLink"/>
              </w:rPr>
              <w:t>4.4 Kernanforderungen und Nachweis</w:t>
              <w:tab/>
              <w:t>11</w:t>
            </w:r>
          </w:hyperlink>
        </w:p>
        <w:p>
          <w:pPr>
            <w:pStyle w:val="TOC1"/>
            <w:tabs>
              <w:tab w:val="clear" w:pos="708"/>
              <w:tab w:val="right" w:pos="9071" w:leader="dot"/>
            </w:tabs>
            <w:rPr/>
          </w:pPr>
          <w:hyperlink w:anchor="__RefHeading___Toc14136_535938422">
            <w:r>
              <w:rPr>
                <w:webHidden/>
                <w:rStyle w:val="IndexLink"/>
              </w:rPr>
              <w:t>5 Variantenvergleich und Systementscheidung</w:t>
              <w:tab/>
              <w:t>14</w:t>
            </w:r>
          </w:hyperlink>
        </w:p>
        <w:p>
          <w:pPr>
            <w:pStyle w:val="TOC2"/>
            <w:tabs>
              <w:tab w:val="clear" w:pos="708"/>
              <w:tab w:val="right" w:pos="9071" w:leader="dot"/>
            </w:tabs>
            <w:rPr/>
          </w:pPr>
          <w:hyperlink w:anchor="__RefHeading___Toc14138_535938422">
            <w:r>
              <w:rPr>
                <w:webHidden/>
                <w:rStyle w:val="IndexLink"/>
              </w:rPr>
              <w:t>5.1 Bewertungsrahmen und Vorgehen</w:t>
              <w:tab/>
              <w:t>14</w:t>
            </w:r>
          </w:hyperlink>
        </w:p>
        <w:p>
          <w:pPr>
            <w:pStyle w:val="TOC2"/>
            <w:tabs>
              <w:tab w:val="clear" w:pos="708"/>
              <w:tab w:val="right" w:pos="9071" w:leader="dot"/>
            </w:tabs>
            <w:rPr/>
          </w:pPr>
          <w:hyperlink w:anchor="__RefHeading___Toc14140_535938422">
            <w:r>
              <w:rPr>
                <w:webHidden/>
                <w:rStyle w:val="IndexLink"/>
              </w:rPr>
              <w:t>5.2 Bewertung der Prüfstandsalternativen</w:t>
              <w:tab/>
              <w:t>15</w:t>
            </w:r>
          </w:hyperlink>
        </w:p>
        <w:p>
          <w:pPr>
            <w:pStyle w:val="TOC2"/>
            <w:tabs>
              <w:tab w:val="clear" w:pos="708"/>
              <w:tab w:val="right" w:pos="9071" w:leader="dot"/>
            </w:tabs>
            <w:rPr/>
          </w:pPr>
          <w:hyperlink w:anchor="__RefHeading___Toc14142_535938422">
            <w:r>
              <w:rPr>
                <w:webHidden/>
                <w:rStyle w:val="IndexLink"/>
              </w:rPr>
              <w:t>5.3 Auswahl von Sensorik und Edge-Plattform</w:t>
              <w:tab/>
              <w:t>17</w:t>
            </w:r>
          </w:hyperlink>
        </w:p>
        <w:p>
          <w:pPr>
            <w:pStyle w:val="TOC2"/>
            <w:tabs>
              <w:tab w:val="clear" w:pos="708"/>
              <w:tab w:val="right" w:pos="9071" w:leader="dot"/>
            </w:tabs>
            <w:rPr/>
          </w:pPr>
          <w:hyperlink w:anchor="__RefHeading___Toc14144_535938422">
            <w:r>
              <w:rPr>
                <w:webHidden/>
                <w:rStyle w:val="IndexLink"/>
              </w:rPr>
              <w:t>5.4 Datenbasis, Signalrepräsentation und Verfahren</w:t>
              <w:tab/>
              <w:t>19</w:t>
            </w:r>
          </w:hyperlink>
        </w:p>
        <w:p>
          <w:pPr>
            <w:pStyle w:val="TOC2"/>
            <w:tabs>
              <w:tab w:val="clear" w:pos="708"/>
              <w:tab w:val="right" w:pos="9071" w:leader="dot"/>
            </w:tabs>
            <w:rPr/>
          </w:pPr>
          <w:hyperlink w:anchor="__RefHeading___Toc14146_535938422">
            <w:r>
              <w:rPr>
                <w:webHidden/>
                <w:rStyle w:val="IndexLink"/>
              </w:rPr>
              <w:t>5.5 Kriterienbasierte Bewertung der Softwarealternativen</w:t>
              <w:tab/>
              <w:t>21</w:t>
            </w:r>
          </w:hyperlink>
        </w:p>
        <w:p>
          <w:pPr>
            <w:pStyle w:val="TOC2"/>
            <w:tabs>
              <w:tab w:val="clear" w:pos="708"/>
              <w:tab w:val="right" w:pos="9071" w:leader="dot"/>
            </w:tabs>
            <w:rPr/>
          </w:pPr>
          <w:hyperlink w:anchor="__RefHeading___Toc14148_535938422">
            <w:r>
              <w:rPr>
                <w:webHidden/>
                <w:rStyle w:val="IndexLink"/>
              </w:rPr>
              <w:t>5.6 Systementscheidung und Übergang zur Implementierung</w:t>
              <w:tab/>
              <w:t>23</w:t>
            </w:r>
          </w:hyperlink>
        </w:p>
        <w:p>
          <w:pPr>
            <w:pStyle w:val="TOC1"/>
            <w:tabs>
              <w:tab w:val="clear" w:pos="708"/>
              <w:tab w:val="right" w:pos="9071" w:leader="dot"/>
            </w:tabs>
            <w:rPr/>
          </w:pPr>
          <w:hyperlink w:anchor="__RefHeading___Toc14150_535938422">
            <w:r>
              <w:rPr>
                <w:webHidden/>
                <w:rStyle w:val="IndexLink"/>
              </w:rPr>
              <w:t>6 Implementierung</w:t>
              <w:tab/>
              <w:t>24</w:t>
            </w:r>
          </w:hyperlink>
        </w:p>
        <w:p>
          <w:pPr>
            <w:pStyle w:val="TOC2"/>
            <w:tabs>
              <w:tab w:val="clear" w:pos="708"/>
              <w:tab w:val="right" w:pos="9071" w:leader="dot"/>
            </w:tabs>
            <w:rPr/>
          </w:pPr>
          <w:hyperlink w:anchor="__RefHeading___Toc14152_535938422">
            <w:r>
              <w:rPr>
                <w:webHidden/>
                <w:rStyle w:val="IndexLink"/>
              </w:rPr>
              <w:t>6.1 Prüfstand, Aufbauversionen und Zustandsnachweise</w:t>
              <w:tab/>
              <w:t>24</w:t>
            </w:r>
          </w:hyperlink>
        </w:p>
        <w:p>
          <w:pPr>
            <w:pStyle w:val="TOC2"/>
            <w:tabs>
              <w:tab w:val="clear" w:pos="708"/>
              <w:tab w:val="right" w:pos="9071" w:leader="dot"/>
            </w:tabs>
            <w:rPr/>
          </w:pPr>
          <w:hyperlink w:anchor="__RefHeading___Toc14154_535938422">
            <w:r>
              <w:rPr>
                <w:webHidden/>
                <w:rStyle w:val="IndexLink"/>
              </w:rPr>
              <w:t>6.2 Hardware-PWM und Ablaufsteuerung</w:t>
              <w:tab/>
              <w:t>25</w:t>
            </w:r>
          </w:hyperlink>
        </w:p>
        <w:p>
          <w:pPr>
            <w:pStyle w:val="TOC2"/>
            <w:tabs>
              <w:tab w:val="clear" w:pos="708"/>
              <w:tab w:val="right" w:pos="9071" w:leader="dot"/>
            </w:tabs>
            <w:rPr/>
          </w:pPr>
          <w:hyperlink w:anchor="__RefHeading___Toc14156_535938422">
            <w:r>
              <w:rPr>
                <w:webHidden/>
                <w:rStyle w:val="IndexLink"/>
              </w:rPr>
              <w:t>6.3 Sensorerfassung, Zeitbasis und Qualitätskennzeichnung</w:t>
              <w:tab/>
              <w:t>26</w:t>
            </w:r>
          </w:hyperlink>
        </w:p>
        <w:p>
          <w:pPr>
            <w:pStyle w:val="TOC2"/>
            <w:tabs>
              <w:tab w:val="clear" w:pos="708"/>
              <w:tab w:val="right" w:pos="9071" w:leader="dot"/>
            </w:tabs>
            <w:rPr/>
          </w:pPr>
          <w:hyperlink w:anchor="__RefHeading___Toc14158_535938422">
            <w:r>
              <w:rPr>
                <w:webHidden/>
                <w:rStyle w:val="IndexLink"/>
              </w:rPr>
              <w:t>6.4 Gemeinsame Fensterbildung und Vorverarbeitung</w:t>
              <w:tab/>
              <w:t>27</w:t>
            </w:r>
          </w:hyperlink>
        </w:p>
        <w:p>
          <w:pPr>
            <w:pStyle w:val="TOC2"/>
            <w:tabs>
              <w:tab w:val="clear" w:pos="708"/>
              <w:tab w:val="right" w:pos="9071" w:leader="dot"/>
            </w:tabs>
            <w:rPr/>
          </w:pPr>
          <w:hyperlink w:anchor="__RefHeading___Toc14160_535938422">
            <w:r>
              <w:rPr>
                <w:webHidden/>
                <w:rStyle w:val="IndexLink"/>
              </w:rPr>
              <w:t>6.5 Modellpaket, Training und Kalibrierung</w:t>
              <w:tab/>
              <w:t>28</w:t>
            </w:r>
          </w:hyperlink>
        </w:p>
        <w:p>
          <w:pPr>
            <w:pStyle w:val="TOC2"/>
            <w:tabs>
              <w:tab w:val="clear" w:pos="708"/>
              <w:tab w:val="right" w:pos="9071" w:leader="dot"/>
            </w:tabs>
            <w:rPr/>
          </w:pPr>
          <w:hyperlink w:anchor="__RefHeading___Toc14162_535938422">
            <w:r>
              <w:rPr>
                <w:webHidden/>
                <w:rStyle w:val="IndexLink"/>
              </w:rPr>
              <w:t>6.6 Lokaler Datenweg und Ressourceninstrumentierung</w:t>
              <w:tab/>
              <w:t>30</w:t>
            </w:r>
          </w:hyperlink>
        </w:p>
        <w:p>
          <w:pPr>
            <w:pStyle w:val="TOC2"/>
            <w:tabs>
              <w:tab w:val="clear" w:pos="708"/>
              <w:tab w:val="right" w:pos="9071" w:leader="dot"/>
            </w:tabs>
            <w:rPr/>
          </w:pPr>
          <w:hyperlink w:anchor="__RefHeading___Toc14164_535938422">
            <w:r>
              <w:rPr>
                <w:webHidden/>
                <w:rStyle w:val="IndexLink"/>
              </w:rPr>
              <w:t>6.7 Festgelegte Versuche und Nachweisgrenzen</w:t>
              <w:tab/>
              <w:t>31</w:t>
            </w:r>
          </w:hyperlink>
        </w:p>
        <w:p>
          <w:pPr>
            <w:pStyle w:val="TOC2"/>
            <w:tabs>
              <w:tab w:val="clear" w:pos="708"/>
              <w:tab w:val="right" w:pos="9071" w:leader="dot"/>
            </w:tabs>
            <w:rPr/>
          </w:pPr>
          <w:hyperlink w:anchor="__RefHeading___Toc17451_1880259915">
            <w:r>
              <w:rPr>
                <w:webHidden/>
                <w:rStyle w:val="IndexLink"/>
              </w:rPr>
              <w:t>6.8 Grafische Benutzeroberfläche und Integrationsstand</w:t>
              <w:tab/>
              <w:t>32</w:t>
            </w:r>
          </w:hyperlink>
        </w:p>
        <w:p>
          <w:pPr>
            <w:pStyle w:val="TOC1"/>
            <w:tabs>
              <w:tab w:val="clear" w:pos="708"/>
              <w:tab w:val="right" w:pos="9071" w:leader="dot"/>
            </w:tabs>
            <w:rPr/>
          </w:pPr>
          <w:hyperlink w:anchor="__RefHeading___Toc14166_535938422">
            <w:r>
              <w:rPr>
                <w:webHidden/>
                <w:rStyle w:val="IndexLink"/>
              </w:rPr>
              <w:t>7 Evaluation und Ergebnisse</w:t>
              <w:tab/>
              <w:t>33</w:t>
            </w:r>
          </w:hyperlink>
        </w:p>
        <w:p>
          <w:pPr>
            <w:pStyle w:val="TOC2"/>
            <w:tabs>
              <w:tab w:val="clear" w:pos="708"/>
              <w:tab w:val="right" w:pos="9071" w:leader="dot"/>
            </w:tabs>
            <w:rPr/>
          </w:pPr>
          <w:hyperlink w:anchor="__RefHeading___Toc14168_535938422">
            <w:r>
              <w:rPr>
                <w:webHidden/>
                <w:rStyle w:val="IndexLink"/>
              </w:rPr>
              <w:t>7.1 Datenbasis und Auswertungseinheit</w:t>
              <w:tab/>
              <w:t>33</w:t>
            </w:r>
          </w:hyperlink>
        </w:p>
        <w:p>
          <w:pPr>
            <w:pStyle w:val="TOC2"/>
            <w:tabs>
              <w:tab w:val="clear" w:pos="708"/>
              <w:tab w:val="right" w:pos="9071" w:leader="dot"/>
            </w:tabs>
            <w:rPr/>
          </w:pPr>
          <w:hyperlink w:anchor="__RefHeading___Toc14170_535938422">
            <w:r>
              <w:rPr>
                <w:webHidden/>
                <w:rStyle w:val="IndexLink"/>
              </w:rPr>
              <w:t>7.2 Erfassungsqualität und physikalische Zeitbasis</w:t>
              <w:tab/>
              <w:t>34</w:t>
            </w:r>
          </w:hyperlink>
        </w:p>
        <w:p>
          <w:pPr>
            <w:pStyle w:val="TOC2"/>
            <w:tabs>
              <w:tab w:val="clear" w:pos="708"/>
              <w:tab w:val="right" w:pos="9071" w:leader="dot"/>
            </w:tabs>
            <w:rPr/>
          </w:pPr>
          <w:hyperlink w:anchor="__RefHeading___Toc14172_535938422">
            <w:r>
              <w:rPr>
                <w:webHidden/>
                <w:rStyle w:val="IndexLink"/>
              </w:rPr>
              <w:t>7.3 Fehlalarme bei unverändertem Normalbetrieb</w:t>
              <w:tab/>
              <w:t>35</w:t>
            </w:r>
          </w:hyperlink>
        </w:p>
        <w:p>
          <w:pPr>
            <w:pStyle w:val="TOC2"/>
            <w:tabs>
              <w:tab w:val="clear" w:pos="708"/>
              <w:tab w:val="right" w:pos="9071" w:leader="dot"/>
            </w:tabs>
            <w:rPr/>
          </w:pPr>
          <w:hyperlink w:anchor="__RefHeading___Toc14174_535938422">
            <w:r>
              <w:rPr>
                <w:webHidden/>
                <w:rStyle w:val="IndexLink"/>
              </w:rPr>
              <w:t>7.4 Kontrollierte Luftstromveränderung und Rückkehrreferenz</w:t>
              <w:tab/>
              <w:t>35</w:t>
            </w:r>
          </w:hyperlink>
        </w:p>
        <w:p>
          <w:pPr>
            <w:pStyle w:val="TOC2"/>
            <w:tabs>
              <w:tab w:val="clear" w:pos="708"/>
              <w:tab w:val="right" w:pos="9071" w:leader="dot"/>
            </w:tabs>
            <w:rPr/>
          </w:pPr>
          <w:hyperlink w:anchor="__RefHeading___Toc14176_535938422">
            <w:r>
              <w:rPr>
                <w:webHidden/>
                <w:rStyle w:val="IndexLink"/>
              </w:rPr>
              <w:t>7.5 Explorative Fehleranalyse der Modellentscheidungen</w:t>
              <w:tab/>
              <w:t>38</w:t>
            </w:r>
          </w:hyperlink>
        </w:p>
        <w:p>
          <w:pPr>
            <w:pStyle w:val="TOC2"/>
            <w:tabs>
              <w:tab w:val="clear" w:pos="708"/>
              <w:tab w:val="right" w:pos="9071" w:leader="dot"/>
            </w:tabs>
            <w:rPr/>
          </w:pPr>
          <w:hyperlink w:anchor="__RefHeading___Toc14178_535938422">
            <w:r>
              <w:rPr>
                <w:webHidden/>
                <w:rStyle w:val="IndexLink"/>
              </w:rPr>
              <w:t>7.6 Zweiter normaler Betriebspunkt bei 50 % PWM</w:t>
              <w:tab/>
              <w:t>40</w:t>
            </w:r>
          </w:hyperlink>
        </w:p>
        <w:p>
          <w:pPr>
            <w:pStyle w:val="TOC2"/>
            <w:tabs>
              <w:tab w:val="clear" w:pos="708"/>
              <w:tab w:val="right" w:pos="9071" w:leader="dot"/>
            </w:tabs>
            <w:rPr/>
          </w:pPr>
          <w:hyperlink w:anchor="__RefHeading___Toc14180_535938422">
            <w:r>
              <w:rPr>
                <w:webHidden/>
                <w:rStyle w:val="IndexLink"/>
              </w:rPr>
              <w:t>7.7 Laufzeit, Ressourcen und lokaler Sensorbetrieb</w:t>
              <w:tab/>
              <w:t>41</w:t>
            </w:r>
          </w:hyperlink>
        </w:p>
        <w:p>
          <w:pPr>
            <w:pStyle w:val="TOC2"/>
            <w:tabs>
              <w:tab w:val="clear" w:pos="708"/>
              <w:tab w:val="right" w:pos="9071" w:leader="dot"/>
            </w:tabs>
            <w:rPr/>
          </w:pPr>
          <w:hyperlink w:anchor="__RefHeading___Toc14182_535938422">
            <w:r>
              <w:rPr>
                <w:webHidden/>
                <w:rStyle w:val="IndexLink"/>
              </w:rPr>
              <w:t>7.8 Erfüllungsgrad der Anforderungen</w:t>
              <w:tab/>
              <w:t>47</w:t>
            </w:r>
          </w:hyperlink>
        </w:p>
        <w:p>
          <w:pPr>
            <w:pStyle w:val="TOC1"/>
            <w:tabs>
              <w:tab w:val="clear" w:pos="708"/>
              <w:tab w:val="right" w:pos="9071" w:leader="dot"/>
            </w:tabs>
            <w:rPr/>
          </w:pPr>
          <w:hyperlink w:anchor="__RefHeading___Toc14184_535938422">
            <w:r>
              <w:rPr>
                <w:webHidden/>
                <w:rStyle w:val="IndexLink"/>
              </w:rPr>
              <w:t>8 Diskussion</w:t>
              <w:tab/>
              <w:t>49</w:t>
            </w:r>
          </w:hyperlink>
        </w:p>
        <w:p>
          <w:pPr>
            <w:pStyle w:val="TOC2"/>
            <w:tabs>
              <w:tab w:val="clear" w:pos="708"/>
              <w:tab w:val="right" w:pos="9071" w:leader="dot"/>
            </w:tabs>
            <w:rPr/>
          </w:pPr>
          <w:hyperlink w:anchor="__RefHeading___Toc14186_535938422">
            <w:r>
              <w:rPr>
                <w:webHidden/>
                <w:rStyle w:val="IndexLink"/>
              </w:rPr>
              <w:t>8.1 Aussagekraft des Methodenvergleichs</w:t>
              <w:tab/>
              <w:t>49</w:t>
            </w:r>
          </w:hyperlink>
        </w:p>
        <w:p>
          <w:pPr>
            <w:pStyle w:val="TOC2"/>
            <w:tabs>
              <w:tab w:val="clear" w:pos="708"/>
              <w:tab w:val="right" w:pos="9071" w:leader="dot"/>
            </w:tabs>
            <w:rPr/>
          </w:pPr>
          <w:hyperlink w:anchor="__RefHeading___Toc14188_535938422">
            <w:r>
              <w:rPr>
                <w:webHidden/>
                <w:rStyle w:val="IndexLink"/>
              </w:rPr>
              <w:t>8.2 Einlaufzeit, Aufstellung und Vorverarbeitung</w:t>
              <w:tab/>
              <w:t>50</w:t>
            </w:r>
          </w:hyperlink>
        </w:p>
        <w:p>
          <w:pPr>
            <w:pStyle w:val="TOC2"/>
            <w:tabs>
              <w:tab w:val="clear" w:pos="708"/>
              <w:tab w:val="right" w:pos="9071" w:leader="dot"/>
            </w:tabs>
            <w:rPr/>
          </w:pPr>
          <w:hyperlink w:anchor="__RefHeading___Toc14190_535938422">
            <w:r>
              <w:rPr>
                <w:webHidden/>
                <w:rStyle w:val="IndexLink"/>
              </w:rPr>
              <w:t>8.3 Technische Grenzen und Übertragbarkeit</w:t>
              <w:tab/>
              <w:t>50</w:t>
            </w:r>
          </w:hyperlink>
        </w:p>
        <w:p>
          <w:pPr>
            <w:pStyle w:val="TOC1"/>
            <w:tabs>
              <w:tab w:val="clear" w:pos="708"/>
              <w:tab w:val="right" w:pos="9071" w:leader="dot"/>
            </w:tabs>
            <w:rPr/>
          </w:pPr>
          <w:hyperlink w:anchor="__RefHeading___Toc42805_554761375">
            <w:r>
              <w:rPr>
                <w:webHidden/>
                <w:rStyle w:val="IndexLink"/>
              </w:rPr>
              <w:t>9 Nicht erbrachte Nachweise und Ausblick</w:t>
              <w:tab/>
              <w:t>52</w:t>
            </w:r>
          </w:hyperlink>
        </w:p>
        <w:p>
          <w:pPr>
            <w:pStyle w:val="TOC1"/>
            <w:tabs>
              <w:tab w:val="clear" w:pos="708"/>
              <w:tab w:val="right" w:pos="9071" w:leader="dot"/>
            </w:tabs>
            <w:rPr/>
          </w:pPr>
          <w:hyperlink w:anchor="__RefHeading___Toc14194_535938422">
            <w:r>
              <w:rPr>
                <w:webHidden/>
                <w:rStyle w:val="IndexLink"/>
              </w:rPr>
              <w:t>10 Fazit</w:t>
              <w:tab/>
              <w:t>54</w:t>
            </w:r>
          </w:hyperlink>
        </w:p>
        <w:p>
          <w:pPr>
            <w:pStyle w:val="TOC1"/>
            <w:tabs>
              <w:tab w:val="clear" w:pos="708"/>
              <w:tab w:val="right" w:pos="9071" w:leader="dot"/>
            </w:tabs>
            <w:rPr/>
          </w:pPr>
          <w:hyperlink w:anchor="__RefHeading___Toc14196_535938422">
            <w:r>
              <w:rPr>
                <w:webHidden/>
                <w:rStyle w:val="IndexLink"/>
              </w:rPr>
              <w:t>Anhang</w:t>
              <w:tab/>
              <w:t>55</w:t>
            </w:r>
          </w:hyperlink>
        </w:p>
        <w:p>
          <w:pPr>
            <w:pStyle w:val="TOC2"/>
            <w:tabs>
              <w:tab w:val="clear" w:pos="708"/>
              <w:tab w:val="right" w:pos="9071" w:leader="dot"/>
            </w:tabs>
            <w:rPr/>
          </w:pPr>
          <w:hyperlink w:anchor="__RefHeading___Toc14198_535938422">
            <w:r>
              <w:rPr>
                <w:webHidden/>
                <w:rStyle w:val="IndexLink"/>
              </w:rPr>
              <w:t>Digitale Belege und Zuordnung</w:t>
              <w:tab/>
              <w:t>55</w:t>
            </w:r>
          </w:hyperlink>
        </w:p>
        <w:p>
          <w:pPr>
            <w:pStyle w:val="TOC2"/>
            <w:tabs>
              <w:tab w:val="clear" w:pos="708"/>
              <w:tab w:val="right" w:pos="9071" w:leader="dot"/>
            </w:tabs>
            <w:rPr/>
          </w:pPr>
          <w:hyperlink w:anchor="__RefHeading___Toc14200_535938422">
            <w:r>
              <w:rPr>
                <w:webHidden/>
                <w:rStyle w:val="IndexLink"/>
              </w:rPr>
              <w:t>Ergänzende Kennzahlen des kontrollierten Zustandslabels</w:t>
              <w:tab/>
              <w:t>56</w:t>
            </w:r>
          </w:hyperlink>
        </w:p>
        <w:p>
          <w:pPr>
            <w:pStyle w:val="TOC2"/>
            <w:tabs>
              <w:tab w:val="clear" w:pos="708"/>
              <w:tab w:val="right" w:pos="9071" w:leader="dot"/>
            </w:tabs>
            <w:rPr/>
          </w:pPr>
          <w:hyperlink w:anchor="__RefHeading___Toc42807_554761375">
            <w:r>
              <w:rPr>
                <w:webHidden/>
                <w:rStyle w:val="IndexLink"/>
              </w:rPr>
              <w:t>Dokumentation der KI-Unterstützung</w:t>
              <w:tab/>
              <w:t>57</w:t>
            </w:r>
          </w:hyperlink>
        </w:p>
        <w:p>
          <w:pPr>
            <w:pStyle w:val="TOC2"/>
            <w:tabs>
              <w:tab w:val="clear" w:pos="708"/>
              <w:tab w:val="right" w:pos="9071" w:leader="dot"/>
            </w:tabs>
            <w:rPr/>
          </w:pPr>
          <w:hyperlink w:anchor="__RefHeading___Toc14202_535938422">
            <w:r>
              <w:rPr>
                <w:webHidden/>
                <w:rStyle w:val="IndexLink"/>
              </w:rPr>
              <w:t>Lesen der Messdateien</w:t>
              <w:tab/>
              <w:t>58</w:t>
            </w:r>
          </w:hyperlink>
        </w:p>
        <w:p>
          <w:pPr>
            <w:pStyle w:val="TOC1"/>
            <w:tabs>
              <w:tab w:val="clear" w:pos="708"/>
              <w:tab w:val="right" w:pos="9071" w:leader="dot"/>
            </w:tabs>
            <w:rPr/>
          </w:pPr>
          <w:hyperlink w:anchor="__RefHeading___Toc14204_535938422">
            <w:r>
              <w:rPr>
                <w:webHidden/>
                <w:rStyle w:val="IndexLink"/>
              </w:rPr>
              <w:t>Literaturverzeichnis</w:t>
              <w:tab/>
              <w:t>59</w:t>
            </w:r>
          </w:hyperlink>
          <w:r>
            <w:rPr>
              <w:rStyle w:val="IndexLink"/>
            </w:rPr>
            <w:fldChar w:fldCharType="end"/>
          </w:r>
        </w:p>
      </w:sdtContent>
    </w:sdt>
    <w:p>
      <w:pPr>
        <w:pStyle w:val="FrontMatterHeading"/>
        <w:numPr>
          <w:ilvl w:val="0"/>
          <w:numId w:val="0"/>
        </w:numPr>
        <w:ind w:hanging="0" w:start="0"/>
        <w:rPr/>
      </w:pPr>
      <w:r>
        <w:br w:type="page"/>
      </w:r>
      <w:bookmarkStart w:id="5" w:name="__RefHeading___Toc14072_535938422"/>
      <w:bookmarkEnd w:id="5"/>
      <w:r>
        <w:rPr/>
        <w:t>Abbildungsverzeichnis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\t "Abbildungsbeschriftung,1" \h</w:instrText>
          </w:r>
          <w:r>
            <w:rPr>
              <w:webHidden/>
              <w:rStyle w:val="IndexLink"/>
            </w:rPr>
            <w:fldChar w:fldCharType="separate"/>
          </w:r>
          <w:hyperlink w:anchor="__RefHeading___Toc14206_535938422">
            <w:r>
              <w:rPr>
                <w:webHidden/>
                <w:rStyle w:val="IndexLink"/>
              </w:rPr>
              <w:t>Abbildung 7-1: Eingefrorene Scores auf identischen 128er-Fenstern der unabhängigen Folge. Die gestrichelten Linien sind die vorab fixierten Schwellen. Diese Verläufe sind von den 5-s-RMS-Werten zu unterscheiden. Quelle: eigene unveränderte Testauswertung.</w:t>
              <w:tab/>
              <w:t>36</w:t>
            </w:r>
          </w:hyperlink>
        </w:p>
        <w:p>
          <w:pPr>
            <w:pStyle w:val="TOC1"/>
            <w:tabs>
              <w:tab w:val="clear" w:pos="708"/>
              <w:tab w:val="right" w:pos="9071" w:leader="dot"/>
            </w:tabs>
            <w:rPr/>
          </w:pPr>
          <w:hyperlink w:anchor="__RefHeading___Toc14216_535938422">
            <w:r>
              <w:rPr>
                <w:webHidden/>
                <w:rStyle w:val="IndexLink"/>
              </w:rPr>
              <w:t>Abbildung 7-2: Vollständige 5-s-RMS-Verläufe der unabhängigen Folge Normal → Platte → Normal. Die Markierung bei 180 s kennzeichnet den vorab gewählten Prüfabschnitt. Quelle: eigene Messungen vom 12.09.2026.</w:t>
              <w:tab/>
              <w:t>37</w:t>
            </w:r>
          </w:hyperlink>
        </w:p>
        <w:p>
          <w:pPr>
            <w:pStyle w:val="TOC1"/>
            <w:tabs>
              <w:tab w:val="clear" w:pos="708"/>
              <w:tab w:val="right" w:pos="9071" w:leader="dot"/>
            </w:tabs>
            <w:rPr/>
          </w:pPr>
          <w:hyperlink w:anchor="__RefHeading___Toc14214_535938422">
            <w:r>
              <w:rPr>
                <w:webHidden/>
                <w:rStyle w:val="IndexLink"/>
              </w:rPr>
              <w:t>Abbildung 7-3: Achsenbeiträge zur physischen Energie, zur standardisierten Energie und zum Autoencoder-Fehler auf denselben 128er-Fenstern. Dargestellt sind Mittelwerte je Aufnahme; sie ersetzen nicht die Entscheidungen einzelner Fenster. Quelle: eigene explorative Auswertung.</w:t>
              <w:tab/>
              <w:t>39</w:t>
            </w:r>
          </w:hyperlink>
        </w:p>
        <w:p>
          <w:pPr>
            <w:pStyle w:val="TOC1"/>
            <w:tabs>
              <w:tab w:val="clear" w:pos="708"/>
              <w:tab w:val="right" w:pos="9071" w:leader="dot"/>
            </w:tabs>
            <w:rPr/>
          </w:pPr>
          <w:hyperlink w:anchor="__RefHeading___Toc14212_535938422">
            <w:r>
              <w:rPr>
                <w:webHidden/>
                <w:rStyle w:val="IndexLink"/>
              </w:rPr>
              <w:t>Abbildung 7-4: Fehlalarmraten je vollständiger Normalaufnahme und zusammengefasst bei 75 % und 50 % PWM mit demselben eingefrorenen Paket. Die Aufnahmen sind nicht zeitgleich oder randomisiert gepaart. Quelle: eigene Testauswertung.</w:t>
              <w:tab/>
              <w:t>41</w:t>
            </w:r>
          </w:hyperlink>
        </w:p>
        <w:p>
          <w:pPr>
            <w:pStyle w:val="TOC1"/>
            <w:tabs>
              <w:tab w:val="clear" w:pos="708"/>
              <w:tab w:val="right" w:pos="9071" w:leader="dot"/>
            </w:tabs>
            <w:rPr/>
          </w:pPr>
          <w:hyperlink w:anchor="__RefHeading___Toc14210_535938422">
            <w:r>
              <w:rPr>
                <w:webHidden/>
                <w:rStyle w:val="IndexLink"/>
              </w:rPr>
              <w:t>Abbildung 7-5: Verarbeitungslatenz aus drei eigenen Prozessen je Methode und Betriebsart. Punkte zeigen P99, Linien den Bereich vom Median zum Maximum; die gestrichelte Linie kennzeichnet das kleinste beobachtete Fensterintervall. Quelle: eigene Laufzeitmessungen.</w:t>
              <w:tab/>
              <w:t>43</w:t>
            </w:r>
          </w:hyperlink>
        </w:p>
        <w:p>
          <w:pPr>
            <w:pStyle w:val="TOC1"/>
            <w:tabs>
              <w:tab w:val="clear" w:pos="708"/>
              <w:tab w:val="right" w:pos="9071" w:leader="dot"/>
            </w:tabs>
            <w:rPr/>
          </w:pPr>
          <w:hyperlink w:anchor="__RefHeading___Toc14208_535938422">
            <w:r>
              <w:rPr>
                <w:webHidden/>
                <w:rStyle w:val="IndexLink"/>
              </w:rPr>
              <w:t>Abbildung 7-6: CPU- und RSS-Verläufe im Sensor-Livebetrieb. Zur Darstellung wurden die CPU-Werte in 1-s-Abschnitten zeitgewichtet und die RSS-Werte gemittelt; die Kennwerte der Tabelle verwenden die ursprünglichen zeitgewichteten Messintervalle. Quelle: eigene Laufzeitmessungen.</w:t>
              <w:tab/>
              <w:t>44</w:t>
            </w:r>
          </w:hyperlink>
          <w:r>
            <w:rPr>
              <w:rStyle w:val="IndexLink"/>
            </w:rPr>
            <w:fldChar w:fldCharType="end"/>
          </w:r>
        </w:p>
      </w:sdtContent>
    </w:sdt>
    <w:p>
      <w:pPr>
        <w:pStyle w:val="FrontMatterHeading"/>
        <w:numPr>
          <w:ilvl w:val="0"/>
          <w:numId w:val="0"/>
        </w:numPr>
        <w:ind w:hanging="0" w:start="0"/>
        <w:rPr/>
      </w:pPr>
      <w:r>
        <w:br w:type="page"/>
      </w:r>
      <w:bookmarkStart w:id="6" w:name="__RefHeading___Toc14074_535938422"/>
      <w:bookmarkEnd w:id="6"/>
      <w:r>
        <w:rPr/>
        <w:t>Tabellenverzeichnis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\t "Tabellenbeschriftung,1" \h</w:instrText>
          </w:r>
          <w:r>
            <w:rPr>
              <w:webHidden/>
              <w:rStyle w:val="IndexLink"/>
            </w:rPr>
            <w:fldChar w:fldCharType="separate"/>
          </w:r>
          <w:hyperlink w:anchor="__RefHeading___Toc14218_535938422">
            <w:r>
              <w:rPr>
                <w:webHidden/>
                <w:rStyle w:val="IndexLink"/>
              </w:rPr>
              <w:t>Tabelle 2-1: Kennzahlen der binären Anomalieerkennung</w:t>
              <w:tab/>
              <w:t>6</w:t>
            </w:r>
          </w:hyperlink>
        </w:p>
        <w:p>
          <w:pPr>
            <w:pStyle w:val="TOC1"/>
            <w:tabs>
              <w:tab w:val="clear" w:pos="708"/>
              <w:tab w:val="right" w:pos="9071" w:leader="dot"/>
            </w:tabs>
            <w:rPr/>
          </w:pPr>
          <w:hyperlink w:anchor="__RefHeading___Toc14282_535938422">
            <w:r>
              <w:rPr>
                <w:webHidden/>
                <w:rStyle w:val="IndexLink"/>
              </w:rPr>
              <w:t>Tabelle 3-1: Ausgewählte Vorarbeiten und ihre Bedeutung für die Untersuchung</w:t>
              <w:tab/>
              <w:t>9</w:t>
            </w:r>
          </w:hyperlink>
        </w:p>
        <w:p>
          <w:pPr>
            <w:pStyle w:val="TOC1"/>
            <w:tabs>
              <w:tab w:val="clear" w:pos="708"/>
              <w:tab w:val="right" w:pos="9071" w:leader="dot"/>
            </w:tabs>
            <w:rPr/>
          </w:pPr>
          <w:hyperlink w:anchor="__RefHeading___Toc14280_535938422">
            <w:r>
              <w:rPr>
                <w:webHidden/>
                <w:rStyle w:val="IndexLink"/>
              </w:rPr>
              <w:t>Tabelle 4-1: Anforderungen, Prioritäten und Nachweise</w:t>
              <w:tab/>
              <w:t>12</w:t>
            </w:r>
          </w:hyperlink>
        </w:p>
        <w:p>
          <w:pPr>
            <w:pStyle w:val="TOC1"/>
            <w:tabs>
              <w:tab w:val="clear" w:pos="708"/>
              <w:tab w:val="right" w:pos="9071" w:leader="dot"/>
            </w:tabs>
            <w:rPr/>
          </w:pPr>
          <w:hyperlink w:anchor="__RefHeading___Toc14278_535938422">
            <w:r>
              <w:rPr>
                <w:webHidden/>
                <w:rStyle w:val="IndexLink"/>
              </w:rPr>
              <w:t>Tabelle 5-1: Bewertung der Prüfstandsalternativen</w:t>
              <w:tab/>
              <w:t>15</w:t>
            </w:r>
          </w:hyperlink>
        </w:p>
        <w:p>
          <w:pPr>
            <w:pStyle w:val="TOC1"/>
            <w:tabs>
              <w:tab w:val="clear" w:pos="708"/>
              <w:tab w:val="right" w:pos="9071" w:leader="dot"/>
            </w:tabs>
            <w:rPr/>
          </w:pPr>
          <w:hyperlink w:anchor="__RefHeading___Toc14276_535938422">
            <w:r>
              <w:rPr>
                <w:webHidden/>
                <w:rStyle w:val="IndexLink"/>
              </w:rPr>
              <w:t>Tabelle 5-2: Kriterien und Gewichte für den Prüfstand</w:t>
              <w:tab/>
              <w:t>16</w:t>
            </w:r>
          </w:hyperlink>
        </w:p>
        <w:p>
          <w:pPr>
            <w:pStyle w:val="TOC1"/>
            <w:tabs>
              <w:tab w:val="clear" w:pos="708"/>
              <w:tab w:val="right" w:pos="9071" w:leader="dot"/>
            </w:tabs>
            <w:rPr/>
          </w:pPr>
          <w:hyperlink w:anchor="__RefHeading___Toc14274_535938422">
            <w:r>
              <w:rPr>
                <w:webHidden/>
                <w:rStyle w:val="IndexLink"/>
              </w:rPr>
              <w:t>Tabelle 5-3: Gewichtete Bewertung der Prüfstandsalternativen</w:t>
              <w:tab/>
              <w:t>16</w:t>
            </w:r>
          </w:hyperlink>
        </w:p>
        <w:p>
          <w:pPr>
            <w:pStyle w:val="TOC1"/>
            <w:tabs>
              <w:tab w:val="clear" w:pos="708"/>
              <w:tab w:val="right" w:pos="9071" w:leader="dot"/>
            </w:tabs>
            <w:rPr/>
          </w:pPr>
          <w:hyperlink w:anchor="__RefHeading___Toc14272_535938422">
            <w:r>
              <w:rPr>
                <w:webHidden/>
                <w:rStyle w:val="IndexLink"/>
              </w:rPr>
              <w:t>Tabelle 5-4: Vergleich der Sensorik und Messketten</w:t>
              <w:tab/>
              <w:t>17</w:t>
            </w:r>
          </w:hyperlink>
        </w:p>
        <w:p>
          <w:pPr>
            <w:pStyle w:val="TOC1"/>
            <w:tabs>
              <w:tab w:val="clear" w:pos="708"/>
              <w:tab w:val="right" w:pos="9071" w:leader="dot"/>
            </w:tabs>
            <w:rPr/>
          </w:pPr>
          <w:hyperlink w:anchor="__RefHeading___Toc14270_535938422">
            <w:r>
              <w:rPr>
                <w:webHidden/>
                <w:rStyle w:val="IndexLink"/>
              </w:rPr>
              <w:t>Tabelle 5-5: Bewertung der Edge-Plattformen</w:t>
              <w:tab/>
              <w:t>18</w:t>
            </w:r>
          </w:hyperlink>
        </w:p>
        <w:p>
          <w:pPr>
            <w:pStyle w:val="TOC1"/>
            <w:tabs>
              <w:tab w:val="clear" w:pos="708"/>
              <w:tab w:val="right" w:pos="9071" w:leader="dot"/>
            </w:tabs>
            <w:rPr/>
          </w:pPr>
          <w:hyperlink w:anchor="__RefHeading___Toc14268_535938422">
            <w:r>
              <w:rPr>
                <w:webHidden/>
                <w:rStyle w:val="IndexLink"/>
              </w:rPr>
              <w:t>Tabelle 5-6: Kriterien und Gewichte für die Edge-Plattform</w:t>
              <w:tab/>
              <w:t>18</w:t>
            </w:r>
          </w:hyperlink>
        </w:p>
        <w:p>
          <w:pPr>
            <w:pStyle w:val="TOC1"/>
            <w:tabs>
              <w:tab w:val="clear" w:pos="708"/>
              <w:tab w:val="right" w:pos="9071" w:leader="dot"/>
            </w:tabs>
            <w:rPr/>
          </w:pPr>
          <w:hyperlink w:anchor="__RefHeading___Toc14266_535938422">
            <w:r>
              <w:rPr>
                <w:webHidden/>
                <w:rStyle w:val="IndexLink"/>
              </w:rPr>
              <w:t>Tabelle 5-7: Gewichtete Bewertung der Edge-Plattformen</w:t>
              <w:tab/>
              <w:t>19</w:t>
            </w:r>
          </w:hyperlink>
        </w:p>
        <w:p>
          <w:pPr>
            <w:pStyle w:val="TOC1"/>
            <w:tabs>
              <w:tab w:val="clear" w:pos="708"/>
              <w:tab w:val="right" w:pos="9071" w:leader="dot"/>
            </w:tabs>
            <w:rPr/>
          </w:pPr>
          <w:hyperlink w:anchor="__RefHeading___Toc14264_535938422">
            <w:r>
              <w:rPr>
                <w:webHidden/>
                <w:rStyle w:val="IndexLink"/>
              </w:rPr>
              <w:t>Tabelle 5-8: Bewertung der Signalrepräsentationen</w:t>
              <w:tab/>
              <w:t>19</w:t>
            </w:r>
          </w:hyperlink>
        </w:p>
        <w:p>
          <w:pPr>
            <w:pStyle w:val="TOC1"/>
            <w:tabs>
              <w:tab w:val="clear" w:pos="708"/>
              <w:tab w:val="right" w:pos="9071" w:leader="dot"/>
            </w:tabs>
            <w:rPr/>
          </w:pPr>
          <w:hyperlink w:anchor="__RefHeading___Toc14262_535938422">
            <w:r>
              <w:rPr>
                <w:webHidden/>
                <w:rStyle w:val="IndexLink"/>
              </w:rPr>
              <w:t>Tabelle 5-9: Auswahl der Anomalieverfahren</w:t>
              <w:tab/>
              <w:t>20</w:t>
            </w:r>
          </w:hyperlink>
        </w:p>
        <w:p>
          <w:pPr>
            <w:pStyle w:val="TOC1"/>
            <w:tabs>
              <w:tab w:val="clear" w:pos="708"/>
              <w:tab w:val="right" w:pos="9071" w:leader="dot"/>
            </w:tabs>
            <w:rPr/>
          </w:pPr>
          <w:hyperlink w:anchor="__RefHeading___Toc14260_535938422">
            <w:r>
              <w:rPr>
                <w:webHidden/>
                <w:rStyle w:val="IndexLink"/>
              </w:rPr>
              <w:t>Tabelle 5-10: Kriterienbasierter Vergleich der Softwarealternativen</w:t>
              <w:tab/>
              <w:t>21</w:t>
            </w:r>
          </w:hyperlink>
        </w:p>
        <w:p>
          <w:pPr>
            <w:pStyle w:val="TOC1"/>
            <w:tabs>
              <w:tab w:val="clear" w:pos="708"/>
              <w:tab w:val="right" w:pos="9071" w:leader="dot"/>
            </w:tabs>
            <w:rPr/>
          </w:pPr>
          <w:hyperlink w:anchor="__RefHeading___Toc14258_535938422">
            <w:r>
              <w:rPr>
                <w:webHidden/>
                <w:rStyle w:val="IndexLink"/>
              </w:rPr>
              <w:t>Tabelle 5-11: Kriterien und Gewichte für die Softwareauswahl</w:t>
              <w:tab/>
              <w:t>22</w:t>
            </w:r>
          </w:hyperlink>
        </w:p>
        <w:p>
          <w:pPr>
            <w:pStyle w:val="TOC1"/>
            <w:tabs>
              <w:tab w:val="clear" w:pos="708"/>
              <w:tab w:val="right" w:pos="9071" w:leader="dot"/>
            </w:tabs>
            <w:rPr/>
          </w:pPr>
          <w:hyperlink w:anchor="__RefHeading___Toc14256_535938422">
            <w:r>
              <w:rPr>
                <w:webHidden/>
                <w:rStyle w:val="IndexLink"/>
              </w:rPr>
              <w:t>Tabelle 5-12: Gewichtete Bewertung der Softwarealternativen</w:t>
              <w:tab/>
              <w:t>22</w:t>
            </w:r>
          </w:hyperlink>
        </w:p>
        <w:p>
          <w:pPr>
            <w:pStyle w:val="TOC1"/>
            <w:tabs>
              <w:tab w:val="clear" w:pos="708"/>
              <w:tab w:val="right" w:pos="9071" w:leader="dot"/>
            </w:tabs>
            <w:rPr/>
          </w:pPr>
          <w:hyperlink w:anchor="__RefHeading___Toc14254_535938422">
            <w:r>
              <w:rPr>
                <w:webHidden/>
                <w:rStyle w:val="IndexLink"/>
              </w:rPr>
              <w:t>Tabelle 5-13: Systementscheidungen und ausstehende Nachweise</w:t>
              <w:tab/>
              <w:t>23</w:t>
            </w:r>
          </w:hyperlink>
        </w:p>
        <w:p>
          <w:pPr>
            <w:pStyle w:val="TOC1"/>
            <w:tabs>
              <w:tab w:val="clear" w:pos="708"/>
              <w:tab w:val="right" w:pos="9071" w:leader="dot"/>
            </w:tabs>
            <w:rPr/>
          </w:pPr>
          <w:hyperlink w:anchor="__RefHeading___Toc14252_535938422">
            <w:r>
              <w:rPr>
                <w:webHidden/>
                <w:rStyle w:val="IndexLink"/>
              </w:rPr>
              <w:t>Tabelle 6-1: Prüfstand und Bedeutung der dokumentierten Größen</w:t>
              <w:tab/>
              <w:t>24</w:t>
            </w:r>
          </w:hyperlink>
        </w:p>
        <w:p>
          <w:pPr>
            <w:pStyle w:val="TOC1"/>
            <w:tabs>
              <w:tab w:val="clear" w:pos="708"/>
              <w:tab w:val="right" w:pos="9071" w:leader="dot"/>
            </w:tabs>
            <w:rPr/>
          </w:pPr>
          <w:hyperlink w:anchor="__RefHeading___Toc14250_535938422">
            <w:r>
              <w:rPr>
                <w:webHidden/>
                <w:rStyle w:val="IndexLink"/>
              </w:rPr>
              <w:t>Tabelle 6-2: Unveränderte Sensorkonfiguration der v4-Messkette</w:t>
              <w:tab/>
              <w:t>26</w:t>
            </w:r>
          </w:hyperlink>
        </w:p>
        <w:p>
          <w:pPr>
            <w:pStyle w:val="TOC1"/>
            <w:tabs>
              <w:tab w:val="clear" w:pos="708"/>
              <w:tab w:val="right" w:pos="9071" w:leader="dot"/>
            </w:tabs>
            <w:rPr/>
          </w:pPr>
          <w:hyperlink w:anchor="__RefHeading___Toc14248_535938422">
            <w:r>
              <w:rPr>
                <w:webHidden/>
                <w:rStyle w:val="IndexLink"/>
              </w:rPr>
              <w:t>Tabelle 6-3: Architektur des ausgeführten Autoencoders</w:t>
              <w:tab/>
              <w:t>28</w:t>
            </w:r>
          </w:hyperlink>
        </w:p>
        <w:p>
          <w:pPr>
            <w:pStyle w:val="TOC1"/>
            <w:tabs>
              <w:tab w:val="clear" w:pos="708"/>
              <w:tab w:val="right" w:pos="9071" w:leader="dot"/>
            </w:tabs>
            <w:rPr/>
          </w:pPr>
          <w:hyperlink w:anchor="__RefHeading___Toc14246_535938422">
            <w:r>
              <w:rPr>
                <w:webHidden/>
                <w:rStyle w:val="IndexLink"/>
              </w:rPr>
              <w:t>Tabelle 6-4: Scores und eingefrorene Entscheidungsschwellen</w:t>
              <w:tab/>
              <w:t>29</w:t>
            </w:r>
          </w:hyperlink>
        </w:p>
        <w:p>
          <w:pPr>
            <w:pStyle w:val="TOC1"/>
            <w:tabs>
              <w:tab w:val="clear" w:pos="708"/>
              <w:tab w:val="right" w:pos="9071" w:leader="dot"/>
            </w:tabs>
            <w:rPr/>
          </w:pPr>
          <w:hyperlink w:anchor="__RefHeading___Toc14244_535938422">
            <w:r>
              <w:rPr>
                <w:webHidden/>
                <w:rStyle w:val="IndexLink"/>
              </w:rPr>
              <w:t>Tabelle 6-5: Komponenten des geprüften Datenwegs</w:t>
              <w:tab/>
              <w:t>30</w:t>
            </w:r>
          </w:hyperlink>
        </w:p>
        <w:p>
          <w:pPr>
            <w:pStyle w:val="TOC1"/>
            <w:tabs>
              <w:tab w:val="clear" w:pos="708"/>
              <w:tab w:val="right" w:pos="9071" w:leader="dot"/>
            </w:tabs>
            <w:rPr/>
          </w:pPr>
          <w:hyperlink w:anchor="__RefHeading___Toc17453_1880259915">
            <w:r>
              <w:rPr>
                <w:webHidden/>
                <w:rStyle w:val="IndexLink"/>
              </w:rPr>
              <w:t>Tabelle 6-7: Implementierung und Nachweisgrenzen der vorhandenen GUI</w:t>
              <w:tab/>
              <w:t>32</w:t>
            </w:r>
          </w:hyperlink>
        </w:p>
        <w:p>
          <w:pPr>
            <w:pStyle w:val="TOC1"/>
            <w:tabs>
              <w:tab w:val="clear" w:pos="708"/>
              <w:tab w:val="right" w:pos="9071" w:leader="dot"/>
            </w:tabs>
            <w:rPr/>
          </w:pPr>
          <w:hyperlink w:anchor="__RefHeading___Toc14242_535938422">
            <w:r>
              <w:rPr>
                <w:webHidden/>
                <w:rStyle w:val="IndexLink"/>
              </w:rPr>
              <w:t>Tabelle 7-1: Aufnahmen für Entwicklung und unabhängige Erkennungsprüfung</w:t>
              <w:tab/>
              <w:t>33</w:t>
            </w:r>
          </w:hyperlink>
        </w:p>
        <w:p>
          <w:pPr>
            <w:pStyle w:val="TOC1"/>
            <w:tabs>
              <w:tab w:val="clear" w:pos="708"/>
              <w:tab w:val="right" w:pos="9071" w:leader="dot"/>
            </w:tabs>
            <w:rPr/>
          </w:pPr>
          <w:hyperlink w:anchor="__RefHeading___Toc14240_535938422">
            <w:r>
              <w:rPr>
                <w:webHidden/>
                <w:rStyle w:val="IndexLink"/>
              </w:rPr>
              <w:t>Tabelle 7-2: Unabhängige Normalaufnahmen bei 75 % PWM</w:t>
              <w:tab/>
              <w:t>35</w:t>
            </w:r>
          </w:hyperlink>
        </w:p>
        <w:p>
          <w:pPr>
            <w:pStyle w:val="TOC1"/>
            <w:tabs>
              <w:tab w:val="clear" w:pos="708"/>
              <w:tab w:val="right" w:pos="9071" w:leader="dot"/>
            </w:tabs>
            <w:rPr/>
          </w:pPr>
          <w:hyperlink w:anchor="__RefHeading___Toc14238_535938422">
            <w:r>
              <w:rPr>
                <w:webHidden/>
                <w:rStyle w:val="IndexLink"/>
              </w:rPr>
              <w:t>Tabelle 7-3: Entscheidungen der drei Methoden in der vollständigen Plattenfolge</w:t>
              <w:tab/>
              <w:t>35</w:t>
            </w:r>
          </w:hyperlink>
        </w:p>
        <w:p>
          <w:pPr>
            <w:pStyle w:val="TOC1"/>
            <w:tabs>
              <w:tab w:val="clear" w:pos="708"/>
              <w:tab w:val="right" w:pos="9071" w:leader="dot"/>
            </w:tabs>
            <w:rPr/>
          </w:pPr>
          <w:hyperlink w:anchor="__RefHeading___Toc14236_535938422">
            <w:r>
              <w:rPr>
                <w:webHidden/>
                <w:rStyle w:val="IndexLink"/>
              </w:rPr>
              <w:t>Tabelle 7-4: Physikalischer Vektor-AC-RMS der 5-s-Abschnitte von 180 bis 300 s</w:t>
              <w:tab/>
              <w:t>37</w:t>
            </w:r>
          </w:hyperlink>
        </w:p>
        <w:p>
          <w:pPr>
            <w:pStyle w:val="TOC1"/>
            <w:tabs>
              <w:tab w:val="clear" w:pos="708"/>
              <w:tab w:val="right" w:pos="9071" w:leader="dot"/>
            </w:tabs>
            <w:rPr/>
          </w:pPr>
          <w:hyperlink w:anchor="__RefHeading___Toc14234_535938422">
            <w:r>
              <w:rPr>
                <w:webHidden/>
                <w:rStyle w:val="IndexLink"/>
              </w:rPr>
              <w:t>Tabelle 7-5: Mittlerer Autoencoder-Rekonstruktionsfehler je Achse auf identischen Modellfenstern</w:t>
              <w:tab/>
              <w:t>38</w:t>
            </w:r>
          </w:hyperlink>
        </w:p>
        <w:p>
          <w:pPr>
            <w:pStyle w:val="TOC1"/>
            <w:tabs>
              <w:tab w:val="clear" w:pos="708"/>
              <w:tab w:val="right" w:pos="9071" w:leader="dot"/>
            </w:tabs>
            <w:rPr/>
          </w:pPr>
          <w:hyperlink w:anchor="__RefHeading___Toc14232_535938422">
            <w:r>
              <w:rPr>
                <w:webHidden/>
                <w:rStyle w:val="IndexLink"/>
              </w:rPr>
              <w:t>Tabelle 7-6: Fehlalarme im zweiten normalen Betriebspunkt</w:t>
              <w:tab/>
              <w:t>40</w:t>
            </w:r>
          </w:hyperlink>
        </w:p>
        <w:p>
          <w:pPr>
            <w:pStyle w:val="TOC1"/>
            <w:tabs>
              <w:tab w:val="clear" w:pos="708"/>
              <w:tab w:val="right" w:pos="9071" w:leader="dot"/>
            </w:tabs>
            <w:rPr/>
          </w:pPr>
          <w:hyperlink w:anchor="__RefHeading___Toc14230_535938422">
            <w:r>
              <w:rPr>
                <w:webHidden/>
                <w:rStyle w:val="IndexLink"/>
              </w:rPr>
              <w:t>Tabelle 7-7: Latenz je Methode und Betriebsart; Bereich der drei getrennten Prozesse</w:t>
              <w:tab/>
              <w:t>42</w:t>
            </w:r>
          </w:hyperlink>
        </w:p>
        <w:p>
          <w:pPr>
            <w:pStyle w:val="TOC1"/>
            <w:tabs>
              <w:tab w:val="clear" w:pos="708"/>
              <w:tab w:val="right" w:pos="9071" w:leader="dot"/>
            </w:tabs>
            <w:rPr/>
          </w:pPr>
          <w:hyperlink w:anchor="__RefHeading___Toc14228_535938422">
            <w:r>
              <w:rPr>
                <w:webHidden/>
                <w:rStyle w:val="IndexLink"/>
              </w:rPr>
              <w:t>Tabelle 7-8: Prozessressourcen im aktiven Abschnitt [180,300) s; Bereich der drei Prozesse</w:t>
              <w:tab/>
              <w:t>43</w:t>
            </w:r>
          </w:hyperlink>
        </w:p>
        <w:p>
          <w:pPr>
            <w:pStyle w:val="TOC1"/>
            <w:tabs>
              <w:tab w:val="clear" w:pos="708"/>
              <w:tab w:val="right" w:pos="9071" w:leader="dot"/>
            </w:tabs>
            <w:rPr/>
          </w:pPr>
          <w:hyperlink w:anchor="__RefHeading___Toc14226_535938422">
            <w:r>
              <w:rPr>
                <w:webHidden/>
                <w:rStyle w:val="IndexLink"/>
              </w:rPr>
              <w:t>Tabelle 7-9: Nachweisstand der Anforderungen A1–A13</w:t>
              <w:tab/>
              <w:t>47</w:t>
            </w:r>
          </w:hyperlink>
        </w:p>
        <w:p>
          <w:pPr>
            <w:pStyle w:val="TOC1"/>
            <w:tabs>
              <w:tab w:val="clear" w:pos="708"/>
              <w:tab w:val="right" w:pos="9071" w:leader="dot"/>
            </w:tabs>
            <w:rPr/>
          </w:pPr>
          <w:hyperlink w:anchor="__RefHeading___Toc42811_554761375">
            <w:r>
              <w:rPr>
                <w:webHidden/>
                <w:rStyle w:val="IndexLink"/>
              </w:rPr>
              <w:t>Tabelle 7-10: Forschungsfragen, Hypothesen und Gültigkeitsgrenzen</w:t>
              <w:tab/>
              <w:t>48</w:t>
            </w:r>
          </w:hyperlink>
        </w:p>
        <w:p>
          <w:pPr>
            <w:pStyle w:val="TOC1"/>
            <w:tabs>
              <w:tab w:val="clear" w:pos="708"/>
              <w:tab w:val="right" w:pos="9071" w:leader="dot"/>
            </w:tabs>
            <w:rPr/>
          </w:pPr>
          <w:hyperlink w:anchor="__RefHeading___Toc14224_535938422">
            <w:r>
              <w:rPr>
                <w:webHidden/>
                <w:rStyle w:val="IndexLink"/>
              </w:rPr>
              <w:t>Tabelle A-1: Verzeichnis der maßgeblichen digitalen Belege</w:t>
              <w:tab/>
              <w:t>55</w:t>
            </w:r>
          </w:hyperlink>
        </w:p>
        <w:p>
          <w:pPr>
            <w:pStyle w:val="TOC1"/>
            <w:tabs>
              <w:tab w:val="clear" w:pos="708"/>
              <w:tab w:val="right" w:pos="9071" w:leader="dot"/>
            </w:tabs>
            <w:rPr/>
          </w:pPr>
          <w:hyperlink w:anchor="__RefHeading___Toc14222_535938422">
            <w:r>
              <w:rPr>
                <w:webHidden/>
                <w:rStyle w:val="IndexLink"/>
              </w:rPr>
              <w:t>Tabelle A-2: Verwechslungszahlen der einen Plattenfolge auf identischen Fenstern</w:t>
              <w:tab/>
              <w:t>56</w:t>
            </w:r>
          </w:hyperlink>
        </w:p>
        <w:p>
          <w:pPr>
            <w:pStyle w:val="TOC1"/>
            <w:tabs>
              <w:tab w:val="clear" w:pos="708"/>
              <w:tab w:val="right" w:pos="9071" w:leader="dot"/>
            </w:tabs>
            <w:rPr/>
          </w:pPr>
          <w:hyperlink w:anchor="__RefHeading___Toc14220_535938422">
            <w:r>
              <w:rPr>
                <w:webHidden/>
                <w:rStyle w:val="IndexLink"/>
              </w:rPr>
              <w:t>Tabelle A-3: Deskriptive Kennzahlen für das Zustandslabel; alle Angaben in Prozent</w:t>
              <w:tab/>
              <w:t>56</w:t>
            </w:r>
          </w:hyperlink>
        </w:p>
        <w:p>
          <w:pPr>
            <w:pStyle w:val="TOC1"/>
            <w:tabs>
              <w:tab w:val="clear" w:pos="708"/>
              <w:tab w:val="right" w:pos="9071" w:leader="dot"/>
            </w:tabs>
            <w:rPr/>
          </w:pPr>
          <w:hyperlink w:anchor="__RefHeading___Toc42809_554761375">
            <w:r>
              <w:rPr>
                <w:webHidden/>
                <w:rStyle w:val="IndexLink"/>
              </w:rPr>
              <w:t>Tabelle A-4: Verwechslungszahlen je Aufnahme und Methode im Abschnitt [180,300) s</w:t>
              <w:tab/>
              <w:t>57</w:t>
            </w:r>
          </w:hyperlink>
          <w:r>
            <w:rPr>
              <w:rStyle w:val="IndexLink"/>
            </w:rPr>
            <w:fldChar w:fldCharType="end"/>
          </w:r>
        </w:p>
      </w:sdtContent>
    </w:sdt>
    <w:p>
      <w:pPr>
        <w:pStyle w:val="FrontMatterHeading"/>
        <w:numPr>
          <w:ilvl w:val="0"/>
          <w:numId w:val="0"/>
        </w:numPr>
        <w:ind w:hanging="0" w:start="0"/>
        <w:rPr/>
      </w:pPr>
      <w:r>
        <w:br w:type="page"/>
      </w:r>
      <w:bookmarkStart w:id="7" w:name="__RefHeading___Toc14076_535938422"/>
      <w:bookmarkEnd w:id="7"/>
      <w:r>
        <w:rPr/>
        <w:t>Abkürzungsverzeichnis</w:t>
      </w:r>
    </w:p>
    <w:tbl>
      <w:tblPr>
        <w:tblStyle w:val="Tabellenraster"/>
        <w:tblW w:w="9071" w:type="dxa"/>
        <w:jc w:val="center"/>
        <w:tblInd w:w="0" w:type="dxa"/>
        <w:tblLayout w:type="fixed"/>
        <w:tblCellMar>
          <w:top w:w="55" w:type="dxa"/>
          <w:start w:w="70" w:type="dxa"/>
          <w:bottom w:w="55" w:type="dxa"/>
          <w:end w:w="70" w:type="dxa"/>
        </w:tblCellMar>
        <w:tblLook w:val="04a0" w:noHBand="0" w:noVBand="1" w:firstColumn="1" w:lastRow="0" w:lastColumn="0" w:firstRow="1"/>
      </w:tblPr>
      <w:tblGrid>
        <w:gridCol w:w="2265"/>
        <w:gridCol w:w="6805"/>
      </w:tblGrid>
      <w:tr>
        <w:trPr>
          <w:tblHeader w:val="true"/>
          <w:cantSplit w:val="true"/>
        </w:trPr>
        <w:tc>
          <w:tcPr>
            <w:tcW w:w="2265"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Abkürzung</w:t>
            </w:r>
          </w:p>
        </w:tc>
        <w:tc>
          <w:tcPr>
            <w:tcW w:w="6805"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AE</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Central Processing Unit</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DFT</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Diskrete Fourier-Transformation</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Fast Fourier Transform</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FPR</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False-Positive-Rate</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GPIO</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General Purpose Input/Output</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GUI</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Graphical User Interface (grafische Benutzeroberfläche)</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Inter-Integrated Circuit</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IEPE</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Integrated Electronics Piezo-Electric</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KI</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Künstliche Intelligenz</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MCU</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Microcontroller Unit</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ML</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Machine Learning</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MSE</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Mean Squared Error</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ODR</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Output Data Rate</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PWM</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Pulsweitenmodulation</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RAM</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Random Access Memory</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Root Mean Square</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RSS</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Resident Set Size</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SBC</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Single-Board Computer</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SPI</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Serial Peripheral Interface</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 Lite</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Wechselanteil nach Entfernung des Gleichanteils</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IF</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LSB</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Least Significant Bit</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MiB</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Mebibyte (2²⁰ Byte)</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P99</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Empirisches 99. Perzentil</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PSD</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 Spectral Density (Leistungsdichtespektrum)</w:t>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567" w:top="1417" w:footer="567" w:bottom="1134"/>
          <w:pgNumType w:start="1" w:fmt="lowerRoman"/>
          <w:formProt w:val="false"/>
          <w:textDirection w:val="lrTb"/>
          <w:docGrid w:type="default" w:linePitch="360" w:charSpace="0"/>
        </w:sectPr>
      </w:pPr>
    </w:p>
    <w:p>
      <w:pPr>
        <w:pStyle w:val="Heading1"/>
        <w:numPr>
          <w:ilvl w:val="0"/>
          <w:numId w:val="2"/>
        </w:numPr>
        <w:jc w:val="start"/>
        <w:rPr>
          <w:rFonts w:cs="Calibri"/>
        </w:rPr>
      </w:pPr>
      <w:bookmarkStart w:id="8" w:name="__RefHeading___Toc14078_535938422"/>
      <w:bookmarkStart w:id="9" w:name="_MA_TOC_006"/>
      <w:bookmarkStart w:id="10" w:name="FinalHeading_10000"/>
      <w:bookmarkEnd w:id="8"/>
      <w:r>
        <w:rPr>
          <w:color w:val="000000"/>
        </w:rPr>
        <w:t>Einleitung, Problemstellung und Zielsetzung</w:t>
      </w:r>
      <w:bookmarkEnd w:id="9"/>
      <w:bookmarkEnd w:id="10"/>
    </w:p>
    <w:p>
      <w:pPr>
        <w:pStyle w:val="Heading2"/>
        <w:numPr>
          <w:ilvl w:val="1"/>
          <w:numId w:val="2"/>
        </w:numPr>
        <w:jc w:val="start"/>
        <w:rPr/>
      </w:pPr>
      <w:bookmarkStart w:id="11" w:name="__RefHeading___Toc14080_535938422"/>
      <w:bookmarkStart w:id="12" w:name="_MA_TOC_007"/>
      <w:bookmarkStart w:id="13" w:name="FinalHeading_10001"/>
      <w:bookmarkEnd w:id="11"/>
      <w:r>
        <w:rPr>
          <w:color w:val="000000"/>
        </w:rPr>
        <w:t>Ausgangssituation und Motivation</w:t>
      </w:r>
      <w:bookmarkEnd w:id="12"/>
      <w:bookmarkEnd w:id="13"/>
    </w:p>
    <w:p>
      <w:pPr>
        <w:pStyle w:val="Normal"/>
        <w:spacing w:before="0" w:after="120"/>
        <w:rPr/>
      </w:pPr>
      <w:r>
        <w:rP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pPr>
        <w:pStyle w:val="Normal"/>
        <w:spacing w:before="0" w:after="120"/>
        <w:rPr/>
      </w:pPr>
      <w:r>
        <w:rP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pPr>
        <w:pStyle w:val="Heading2"/>
        <w:numPr>
          <w:ilvl w:val="1"/>
          <w:numId w:val="2"/>
        </w:numPr>
        <w:jc w:val="start"/>
        <w:rPr/>
      </w:pPr>
      <w:bookmarkStart w:id="14" w:name="__RefHeading___Toc14082_535938422"/>
      <w:bookmarkStart w:id="15" w:name="_MA_TOC_008"/>
      <w:bookmarkStart w:id="16" w:name="FinalHeading_10002"/>
      <w:bookmarkEnd w:id="14"/>
      <w:r>
        <w:rPr>
          <w:color w:val="000000"/>
        </w:rPr>
        <w:t>Wissenschaftliche Problemstellung</w:t>
      </w:r>
      <w:bookmarkEnd w:id="15"/>
      <w:bookmarkEnd w:id="16"/>
    </w:p>
    <w:p>
      <w:pPr>
        <w:pStyle w:val="Normal"/>
        <w:spacing w:before="0" w:after="120"/>
        <w:rPr/>
      </w:pPr>
      <w:r>
        <w:rP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pPr>
        <w:pStyle w:val="Normal"/>
        <w:spacing w:before="0" w:after="120"/>
        <w:rPr/>
      </w:pPr>
      <w:r>
        <w:rP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pPr>
        <w:pStyle w:val="Heading2"/>
        <w:numPr>
          <w:ilvl w:val="1"/>
          <w:numId w:val="2"/>
        </w:numPr>
        <w:jc w:val="start"/>
        <w:rPr/>
      </w:pPr>
      <w:bookmarkStart w:id="17" w:name="__RefHeading___Toc14084_535938422"/>
      <w:bookmarkStart w:id="18" w:name="_MA_TOC_009"/>
      <w:bookmarkStart w:id="19" w:name="FinalHeading_10003"/>
      <w:bookmarkEnd w:id="17"/>
      <w:r>
        <w:rPr>
          <w:color w:val="000000"/>
        </w:rPr>
        <w:t>Zielsetzung der Arbeit</w:t>
      </w:r>
      <w:bookmarkEnd w:id="18"/>
      <w:bookmarkEnd w:id="19"/>
    </w:p>
    <w:p>
      <w:pPr>
        <w:pStyle w:val="Normal"/>
        <w:spacing w:before="0" w:after="120"/>
        <w:rPr/>
      </w:pPr>
      <w:r>
        <w:rP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pPr>
        <w:pStyle w:val="Normal"/>
        <w:spacing w:before="0" w:after="120"/>
        <w:rPr/>
      </w:pPr>
      <w:r>
        <w:t>Der Beitrag ist ein Methodenvergleich auf identischen Sensoreingaben mit nachvollziehbarer Schwellenkalibrierung und Messung des technischen Aufwands. Der aktuelle Schwerpunkt liegt auf der Reihenfolge der Alarmausgaben bei einer Handyvibration. Frühere Prüfungen zur Erkennungsqualität und zu geänderten Normalbedingungen werden getrennt eingeordnet; sie werden durch den neuen Versuch nicht nachträglich umgedeutet.</w:t>
      </w:r>
    </w:p>
    <w:p>
      <w:pPr>
        <w:pStyle w:val="Heading2"/>
        <w:numPr>
          <w:ilvl w:val="1"/>
          <w:numId w:val="2"/>
        </w:numPr>
        <w:jc w:val="start"/>
        <w:rPr/>
      </w:pPr>
      <w:bookmarkStart w:id="20" w:name="__RefHeading___Toc14086_535938422"/>
      <w:bookmarkStart w:id="21" w:name="_MA_TOC_010"/>
      <w:bookmarkStart w:id="22" w:name="FinalHeading_10004"/>
      <w:bookmarkEnd w:id="20"/>
      <w:r>
        <w:rPr>
          <w:color w:val="000000"/>
        </w:rPr>
        <w:t>Forschungsfragen und Hypothesen</w:t>
      </w:r>
      <w:bookmarkEnd w:id="21"/>
      <w:bookmarkEnd w:id="22"/>
    </w:p>
    <w:p>
      <w:pPr>
        <w:pStyle w:val="Normal"/>
        <w:spacing w:before="0" w:after="120"/>
        <w:rPr/>
      </w:pPr>
      <w:r>
        <w:rP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pPr>
        <w:pStyle w:val="Normal"/>
        <w:spacing w:before="0" w:after="120"/>
        <w:rPr/>
      </w:pPr>
      <w:r>
        <w:rPr/>
        <w:t>FF1: Welche Anforderungen ergeben sich aus der Aufgabe, und wie begründen sie die Auswahl von Versuchsaufbau, Sensorik, Hardware und Verfahren?</w:t>
      </w:r>
    </w:p>
    <w:p>
      <w:pPr>
        <w:pStyle w:val="Normal"/>
        <w:spacing w:before="0" w:after="120"/>
        <w:rPr/>
      </w:pPr>
      <w:r>
        <w:t>FF2: Wie unterscheiden sich Hauptverfahren und Baselines bei gleichen Testfenstern und einer einheitlichen Schwellenwertkalibrierung auf Normaldaten hinsichtlich Precision, Recall, F1-Score und Fehlalarmrate? Ergänzend wird in der Handyreihe deskriptiv untersucht, welche Methode zuerst ein Alarmfenster markiert und ihre Alarmausgabe bereitstellt. Diese ergänzende Zeitfrage ersetzt die ursprüngliche Qualitätsfrage nicht.</w:t>
      </w:r>
    </w:p>
    <w:p>
      <w:pPr>
        <w:pStyle w:val="Normal"/>
        <w:spacing w:before="0" w:after="120"/>
        <w:rPr/>
      </w:pPr>
      <w:r>
        <w:rPr/>
        <w:t>FF3: Wie viel Speicher und Rechenleistung benötigt die lokale Pipeline, und wie häufig überschreitet ihre Verarbeitung das Zeitbudget bis zum nächsten Fenster?</w:t>
      </w:r>
    </w:p>
    <w:p>
      <w:pPr>
        <w:pStyle w:val="Normal"/>
        <w:spacing w:before="0" w:after="120"/>
        <w:rPr/>
      </w:pPr>
      <w:r>
        <w:rPr/>
        <w:t>FF4: Wie verändert sich die Fehlalarmrate bei gezielt geänderten Normalbedingungen, wenn Vorverarbeitung, Modell und Schwelle unverändert bleiben?</w:t>
      </w:r>
    </w:p>
    <w:p>
      <w:pPr>
        <w:pStyle w:val="Normal"/>
        <w:spacing w:before="0" w:after="120"/>
        <w:rPr/>
      </w:pPr>
      <w:r>
        <w:t>Die ursprünglichen Arbeitshypothesen bleiben als Bewertungsmaßstab erhalten. Der Bericht unterscheidet die frühere Prüfreihe mit definierten Zustandslabels und die nachfolgende explorative Handyreihe mit Bedienmarkern. Training und Schwellenkalibrierung der Handyreihe erfolgen auf vorher aufgenommenen Normaldaten; an den Störungsaufnahmen werden keine Schwellen angepasst. Wegen fehlender unabhängiger Zeitreferenz und weniger Ereignisse liefert die neue Reihe keinen zusätzlichen vollständigen Test von H1 oder H3. Die ergänzende Rangfolge der Alarmausgaben ist ein deskriptiver Befund, keine rückwirkend vorab formulierte Hypothese.</w:t>
      </w:r>
    </w:p>
    <w:p>
      <w:pPr>
        <w:pStyle w:val="Normal"/>
        <w:spacing w:before="0" w:after="120"/>
        <w:rPr/>
      </w:pPr>
      <w:r>
        <w:rPr/>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pPr>
        <w:pStyle w:val="Normal"/>
        <w:spacing w:before="0" w:after="120"/>
        <w:rPr/>
      </w:pPr>
      <w:r>
        <w:rP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pPr>
        <w:pStyle w:val="Normal"/>
        <w:spacing w:before="0" w:after="120"/>
        <w:rPr/>
      </w:pPr>
      <w:r>
        <w:rP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pPr>
        <w:pStyle w:val="Heading2"/>
        <w:numPr>
          <w:ilvl w:val="1"/>
          <w:numId w:val="2"/>
        </w:numPr>
        <w:jc w:val="start"/>
        <w:rPr/>
      </w:pPr>
      <w:bookmarkStart w:id="23" w:name="__RefHeading___Toc14088_535938422"/>
      <w:bookmarkStart w:id="24" w:name="_MA_TOC_011"/>
      <w:bookmarkStart w:id="25" w:name="FinalHeading_10005"/>
      <w:bookmarkEnd w:id="23"/>
      <w:r>
        <w:rPr>
          <w:color w:val="000000"/>
        </w:rPr>
        <w:t>Abgrenzung der Arbeit</w:t>
      </w:r>
      <w:bookmarkEnd w:id="24"/>
      <w:bookmarkEnd w:id="25"/>
    </w:p>
    <w:p>
      <w:pPr>
        <w:pStyle w:val="Normal"/>
        <w:spacing w:before="0" w:after="120"/>
        <w:rPr/>
      </w:pPr>
      <w:r>
        <w:rP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pPr>
        <w:pStyle w:val="Normal"/>
        <w:spacing w:before="0" w:after="120"/>
        <w:rPr/>
      </w:pPr>
      <w:r>
        <w:rPr/>
        <w:t>Der Kernversuch bewertet die lokale Inferenz eines zuvor trainierten Modells auf einer Zielplattform. Die Pipeline bleibt dabei unverändert. Eine mögliche spätere Nachkalibrierung wäre als eigener Versuch auszuwerten. Sie ist nicht Bestandteil des hier abgeschlossenen eingefrorenen Vergleichs.</w:t>
      </w:r>
    </w:p>
    <w:p>
      <w:pPr>
        <w:pStyle w:val="Normal"/>
        <w:rPr/>
      </w:pPr>
      <w:r>
        <w:t>Die überarbeitete Fassung berücksichtigt die Handyversuche vom 19. September 2026 und das zugehörige Normalprofil vom 18. September. Die Hardwareauswahl bleibt unverändert. Frühere Messungen vom 11./12. September mit separater Platte und einem anderen Modellstand werden als historische Prüfreihe kenntlich gemacht und im Anhang nachgewiesen. Die Handyreihe verwendet keine Platte. Nicht vorhandene Wiederholungen, Drehzahlmessungen, physische Vibrationszeitreferenzen und elektrische Verbrauchsmessungen werden nicht als erbracht behandelt. Teilnachweise der Messqualität und Wiederholbarkeit werden nicht nachträglich zu vollständiger Erfüllung erklärt.</w:t>
      </w:r>
    </w:p>
    <w:p>
      <w:pPr>
        <w:pStyle w:val="Heading2"/>
        <w:numPr>
          <w:ilvl w:val="1"/>
          <w:numId w:val="2"/>
        </w:numPr>
        <w:jc w:val="start"/>
        <w:rPr/>
      </w:pPr>
      <w:bookmarkStart w:id="26" w:name="__RefHeading___Toc14090_535938422"/>
      <w:bookmarkStart w:id="27" w:name="_MA_TOC_012"/>
      <w:bookmarkStart w:id="28" w:name="FinalHeading_10006"/>
      <w:bookmarkEnd w:id="26"/>
      <w:r>
        <w:rPr>
          <w:color w:val="000000"/>
        </w:rPr>
        <w:t>Aufbau der Arbeit</w:t>
      </w:r>
      <w:bookmarkEnd w:id="27"/>
      <w:bookmarkEnd w:id="28"/>
    </w:p>
    <w:p>
      <w:pPr>
        <w:pStyle w:val="Normal"/>
        <w:spacing w:before="0" w:after="120"/>
        <w:rPr/>
      </w:pPr>
      <w:r>
        <w:t>Kapitel 2 und 3 erläutern Grundlagen und Vorarbeiten. Kapitel 4 und 5 begründen Anforderungen und Hardwareauswahl. Kapitel 6 beschreibt den aktuellen Handyaufbau, die Implementierung und das Protokoll. Kapitel 7 trennt Einzelbetrieb, Replay und gemeinsamen Live-Vergleich einschließlich Raspberry-Pi-Ressourcen. Diskussion, Ausblick und Fazit ordnen die Ergebnisse ein. Der Anhang erhält die früheren Prüfergebnisse und verknüpft alle digitalen Nachweise.</w:t>
      </w:r>
    </w:p>
    <w:p>
      <w:pPr>
        <w:pStyle w:val="Heading1"/>
        <w:numPr>
          <w:ilvl w:val="0"/>
          <w:numId w:val="2"/>
        </w:numPr>
        <w:jc w:val="start"/>
        <w:rPr/>
      </w:pPr>
      <w:bookmarkStart w:id="29" w:name="__RefHeading___Toc14092_535938422"/>
      <w:bookmarkStart w:id="30" w:name="_MA_TOC_013"/>
      <w:bookmarkStart w:id="31" w:name="FinalHeading_10007"/>
      <w:bookmarkEnd w:id="29"/>
      <w:r>
        <w:rPr>
          <w:color w:val="000000"/>
        </w:rPr>
        <w:t>Theoretische Grundlagen</w:t>
      </w:r>
      <w:bookmarkEnd w:id="30"/>
      <w:bookmarkEnd w:id="31"/>
    </w:p>
    <w:p>
      <w:pPr>
        <w:pStyle w:val="Normal"/>
        <w:spacing w:before="0" w:after="120"/>
        <w:rPr/>
      </w:pPr>
      <w:r>
        <w:rPr/>
        <w:t>Dieses Kapitel erklärt die benötigten Begriffe, mögliche Verfahren und die Messgrößen für die Evaluation. Die dargestellten Ansätze bilden die Grundlage für den Variantenvergleich; ihre Auswahl für das System erfolgt erst in Kapitel 5.</w:t>
      </w:r>
    </w:p>
    <w:p>
      <w:pPr>
        <w:pStyle w:val="Heading2"/>
        <w:numPr>
          <w:ilvl w:val="1"/>
          <w:numId w:val="2"/>
        </w:numPr>
        <w:jc w:val="start"/>
        <w:rPr/>
      </w:pPr>
      <w:bookmarkStart w:id="32" w:name="__RefHeading___Toc14094_535938422"/>
      <w:bookmarkStart w:id="33" w:name="_MA_TOC_014"/>
      <w:bookmarkStart w:id="34" w:name="FinalHeading_10008"/>
      <w:bookmarkEnd w:id="32"/>
      <w:r>
        <w:rPr>
          <w:color w:val="000000"/>
        </w:rPr>
        <w:t>Zustandsüberwachung und Anomalieerkennung</w:t>
      </w:r>
      <w:bookmarkEnd w:id="33"/>
      <w:bookmarkEnd w:id="34"/>
    </w:p>
    <w:p>
      <w:pPr>
        <w:pStyle w:val="Normal"/>
        <w:spacing w:before="0" w:after="120"/>
        <w:rPr/>
      </w:pPr>
      <w:r>
        <w:rP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pPr>
        <w:pStyle w:val="Normal"/>
        <w:spacing w:before="0" w:after="120"/>
        <w:rPr/>
      </w:pPr>
      <w:r>
        <w:rPr/>
        <w:t>Was als anomal gilt, hängt von Referenz und Betriebskontext ab. Auch ein zeitlicher Verlauf kann auffällig sein, obwohl seine Einzelwerte unauffällig sind (Chandola et al., 2009). Deshalb werden hier Messfenster bewertet.</w:t>
      </w:r>
    </w:p>
    <w:p>
      <w:pPr>
        <w:pStyle w:val="Normal"/>
        <w:spacing w:before="0" w:after="120"/>
        <w:rPr/>
      </w:pPr>
      <w:r>
        <w:rP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pPr>
        <w:pStyle w:val="Heading2"/>
        <w:numPr>
          <w:ilvl w:val="1"/>
          <w:numId w:val="2"/>
        </w:numPr>
        <w:jc w:val="start"/>
        <w:rPr/>
      </w:pPr>
      <w:bookmarkStart w:id="35" w:name="__RefHeading___Toc14096_535938422"/>
      <w:bookmarkStart w:id="36" w:name="_MA_TOC_015"/>
      <w:bookmarkStart w:id="37" w:name="FinalHeading_10009"/>
      <w:bookmarkEnd w:id="35"/>
      <w:r>
        <w:rPr>
          <w:color w:val="000000"/>
        </w:rPr>
        <w:t>Verfahrensklassen für die Anomalieentscheidung</w:t>
      </w:r>
      <w:bookmarkEnd w:id="36"/>
      <w:bookmarkEnd w:id="37"/>
    </w:p>
    <w:p>
      <w:pPr>
        <w:pStyle w:val="Heading3"/>
        <w:numPr>
          <w:ilvl w:val="2"/>
          <w:numId w:val="2"/>
        </w:numPr>
        <w:jc w:val="start"/>
        <w:rPr/>
      </w:pPr>
      <w:bookmarkStart w:id="38" w:name="__RefHeading___Toc14098_535938422"/>
      <w:bookmarkStart w:id="39" w:name="_MA_TOC_016"/>
      <w:bookmarkStart w:id="40" w:name="FinalHeading_10010"/>
      <w:bookmarkEnd w:id="38"/>
      <w:r>
        <w:rPr>
          <w:color w:val="000000"/>
        </w:rPr>
        <w:t>Statistische Schwellenwertverfahren</w:t>
      </w:r>
      <w:bookmarkEnd w:id="39"/>
      <w:bookmarkEnd w:id="40"/>
    </w:p>
    <w:p>
      <w:pPr>
        <w:pStyle w:val="Normal"/>
        <w:keepNext w:val="true"/>
        <w:spacing w:before="0" w:after="120"/>
        <w:rPr/>
      </w:pPr>
      <w:r>
        <w:rPr/>
        <w:t>Der Effektivwert (Root Mean Square, RMS) eines Kanals mit N Messwerten ist die Quadratwurzel des Mittelwerts der quadrierten Werte:</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RMS</m:t>
        </m:r>
        <m:r>
          <m:t xml:space="preserve">(</m:t>
        </m:r>
        <m:r>
          <m:t xml:space="preserve">x</m:t>
        </m:r>
        <m:r>
          <m:t xml:space="preserve">)</m:t>
        </m:r>
        <m:r>
          <m:t xml:space="preserve">=</m:t>
        </m:r>
        <m:rad>
          <m:radPr>
            <m:degHide m:val="1"/>
          </m:radPr>
          <m:deg/>
          <m:e>
            <m:f>
              <m:num>
                <m:r>
                  <m:t xml:space="preserve">1</m:t>
                </m:r>
              </m:num>
              <m:den>
                <m:r>
                  <m:t xml:space="preserve">N</m:t>
                </m:r>
              </m:den>
            </m:f>
            <m:nary>
              <m:naryPr>
                <m:chr m:val="∑"/>
              </m:naryPr>
              <m:sub>
                <m:r>
                  <m:t xml:space="preserve">n</m:t>
                </m:r>
                <m:r>
                  <m:t xml:space="preserve">=</m:t>
                </m:r>
                <m:r>
                  <m:t xml:space="preserve">0</m:t>
                </m:r>
              </m:sub>
              <m:sup>
                <m:r>
                  <m:t xml:space="preserve">N</m:t>
                </m:r>
                <m:r>
                  <m:t xml:space="preserve">−</m:t>
                </m:r>
                <m:r>
                  <m:t xml:space="preserve">1</m:t>
                </m:r>
              </m:sup>
              <m:e>
                <m:sSup>
                  <m:e>
                    <m:r>
                      <m:t xml:space="preserve">x</m:t>
                    </m:r>
                    <m:d>
                      <m:dPr>
                        <m:begChr m:val="["/>
                        <m:endChr m:val="]"/>
                      </m:dPr>
                      <m:e>
                        <m:r>
                          <m:t xml:space="preserve">n</m:t>
                        </m:r>
                      </m:e>
                    </m:d>
                  </m:e>
                  <m:sup>
                    <m:r>
                      <m:t xml:space="preserve">2</m:t>
                    </m:r>
                  </m:sup>
                </m:sSup>
              </m:e>
            </m:nary>
          </m:e>
        </m:rad>
      </m:oMath>
      <w:r>
        <w:rPr/>
        <w:tab/>
        <w:t>(2-1)</w:t>
      </w:r>
    </w:p>
    <w:p>
      <w:pPr>
        <w:pStyle w:val="Normal"/>
        <w:spacing w:before="0" w:after="120"/>
        <w:rPr/>
      </w:pPr>
      <w:r>
        <w:rPr/>
        <w:t>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Devices, 2022). Rohwert-RMS und RMS nach Mittelwertentfernung sind deshalb zu unterscheiden. Ebenso muss feststehen, wie mehrere Messkanäle zusammengefasst werden.</w:t>
      </w:r>
    </w:p>
    <w:p>
      <w:pPr>
        <w:pStyle w:val="Heading3"/>
        <w:numPr>
          <w:ilvl w:val="2"/>
          <w:numId w:val="2"/>
        </w:numPr>
        <w:jc w:val="start"/>
        <w:rPr/>
      </w:pPr>
      <w:bookmarkStart w:id="41" w:name="__RefHeading___Toc14100_535938422"/>
      <w:bookmarkStart w:id="42" w:name="_MA_TOC_017"/>
      <w:bookmarkStart w:id="43" w:name="FinalHeading_10011"/>
      <w:bookmarkEnd w:id="41"/>
      <w:r>
        <w:rPr>
          <w:color w:val="000000"/>
        </w:rPr>
        <w:t>Klassische Verfahren im Normaldaten-Szenario</w:t>
      </w:r>
      <w:bookmarkEnd w:id="42"/>
      <w:bookmarkEnd w:id="43"/>
    </w:p>
    <w:p>
      <w:pPr>
        <w:pStyle w:val="Normal"/>
        <w:spacing w:before="0" w:after="120"/>
        <w:rPr/>
      </w:pPr>
      <w:r>
        <w:rP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pPr>
        <w:pStyle w:val="Normal"/>
        <w:spacing w:before="0" w:after="120"/>
        <w:rPr/>
      </w:pPr>
      <w:r>
        <w:rPr/>
        <w:t>Die Eingabe ist ein Vektor fester Länge aus Fensterkennwerten oder aneinandergereihten Messwerten. Die verwendete Darstellung und die Richtung des ausgegebenen Scores müssen dokumentiert werden.</w:t>
      </w:r>
    </w:p>
    <w:p>
      <w:pPr>
        <w:pStyle w:val="Heading3"/>
        <w:numPr>
          <w:ilvl w:val="2"/>
          <w:numId w:val="2"/>
        </w:numPr>
        <w:jc w:val="start"/>
        <w:rPr/>
      </w:pPr>
      <w:bookmarkStart w:id="44" w:name="__RefHeading___Toc14102_535938422"/>
      <w:bookmarkStart w:id="45" w:name="_MA_TOC_018"/>
      <w:bookmarkStart w:id="46" w:name="FinalHeading_10012"/>
      <w:bookmarkEnd w:id="44"/>
      <w:r>
        <w:rPr>
          <w:color w:val="000000"/>
        </w:rPr>
        <w:t>Autoencoder</w:t>
      </w:r>
      <w:bookmarkEnd w:id="45"/>
      <w:bookmarkEnd w:id="46"/>
    </w:p>
    <w:p>
      <w:pPr>
        <w:pStyle w:val="Normal"/>
        <w:keepNext w:val="true"/>
        <w:spacing w:before="0" w:after="120"/>
        <w:rPr/>
      </w:pPr>
      <w:r>
        <w:rP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s</m:t>
        </m:r>
        <m:r>
          <m:t xml:space="preserve">(</m:t>
        </m:r>
        <m:r>
          <m:t xml:space="preserve">x</m:t>
        </m:r>
        <m:r>
          <m:t xml:space="preserve">)</m:t>
        </m:r>
        <m:r>
          <m:t xml:space="preserve">=</m:t>
        </m:r>
        <m:r>
          <m:t xml:space="preserve">MSE</m:t>
        </m:r>
        <m:r>
          <m:t xml:space="preserve">(</m:t>
        </m:r>
        <m:r>
          <m:t xml:space="preserve">x</m:t>
        </m:r>
        <m:r>
          <m:t xml:space="preserve">,</m:t>
        </m:r>
        <m:r>
          <m:t xml:space="preserve">x̂</m:t>
        </m:r>
        <m:r>
          <m:t xml:space="preserve">)</m:t>
        </m:r>
        <m:r>
          <m:t xml:space="preserve">=</m:t>
        </m:r>
        <m:f>
          <m:num>
            <m:r>
              <m:t xml:space="preserve">1</m:t>
            </m:r>
          </m:num>
          <m:den>
            <m:r>
              <m:t xml:space="preserve">d</m:t>
            </m:r>
          </m:den>
        </m:f>
        <m:nary>
          <m:naryPr>
            <m:chr m:val="∑"/>
          </m:naryPr>
          <m:sub>
            <m:r>
              <m:t xml:space="preserve">j</m:t>
            </m:r>
            <m:r>
              <m:t xml:space="preserve">=</m:t>
            </m:r>
            <m:r>
              <m:t xml:space="preserve">1</m:t>
            </m:r>
          </m:sub>
          <m:sup>
            <m:r>
              <m:t xml:space="preserve">d</m:t>
            </m:r>
          </m:sup>
          <m:e>
            <m:sSup>
              <m:e>
                <m:r>
                  <m:t xml:space="preserve">(</m:t>
                </m:r>
                <m:sSub>
                  <m:e>
                    <m:r>
                      <m:t xml:space="preserve">x</m:t>
                    </m:r>
                  </m:e>
                  <m:sub>
                    <m:r>
                      <m:t xml:space="preserve">j</m:t>
                    </m:r>
                  </m:sub>
                </m:sSub>
                <m:r>
                  <m:t xml:space="preserve">−</m:t>
                </m:r>
                <m:sSub>
                  <m:e>
                    <m:r>
                      <m:t xml:space="preserve">x̂</m:t>
                    </m:r>
                  </m:e>
                  <m:sub>
                    <m:r>
                      <m:t xml:space="preserve">j</m:t>
                    </m:r>
                  </m:sub>
                </m:sSub>
                <m:r>
                  <m:t xml:space="preserve">)</m:t>
                </m:r>
              </m:e>
              <m:sup>
                <m:r>
                  <m:t xml:space="preserve">2</m:t>
                </m:r>
              </m:sup>
            </m:sSup>
          </m:e>
        </m:nary>
      </m:oMath>
      <w:r>
        <w:rPr/>
        <w:tab/>
        <w:t>(2-2)</w:t>
      </w:r>
    </w:p>
    <w:p>
      <w:pPr>
        <w:pStyle w:val="Normal"/>
        <w:spacing w:before="0" w:after="120"/>
        <w:rPr/>
      </w:pPr>
      <w:r>
        <w:rPr/>
        <w:t>Dabei bezeichnet d die Zahl der verglichenen Einzelwerte. Für ein Fenster mit H Messzeitpunkten und C Kanälen gilt d = HC. Der Score hängt von der Skalierung und der Mittelung ab. Bei standardisierten Eingaben ist er dimensionslos.</w:t>
      </w:r>
    </w:p>
    <w:p>
      <w:pPr>
        <w:pStyle w:val="Normal"/>
        <w:spacing w:before="0" w:after="120"/>
        <w:rPr/>
      </w:pPr>
      <w:r>
        <w:rP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pPr>
        <w:pStyle w:val="Heading2"/>
        <w:numPr>
          <w:ilvl w:val="1"/>
          <w:numId w:val="2"/>
        </w:numPr>
        <w:jc w:val="start"/>
        <w:rPr/>
      </w:pPr>
      <w:bookmarkStart w:id="47" w:name="__RefHeading___Toc14104_535938422"/>
      <w:bookmarkStart w:id="48" w:name="_MA_TOC_019"/>
      <w:bookmarkStart w:id="49" w:name="FinalHeading_10013"/>
      <w:bookmarkEnd w:id="47"/>
      <w:r>
        <w:rPr>
          <w:color w:val="000000"/>
        </w:rPr>
        <w:t>Messdaten und Fensterbildung</w:t>
      </w:r>
      <w:bookmarkEnd w:id="48"/>
      <w:bookmarkEnd w:id="49"/>
    </w:p>
    <w:p>
      <w:pPr>
        <w:pStyle w:val="Normal"/>
        <w:spacing w:before="0" w:after="120"/>
        <w:rPr/>
      </w:pPr>
      <w:r>
        <w:rPr/>
        <w:t>Bei dreiachsigen Messungen enthält jeder Messvektor beispielsweise einen X-, Y- und Z-Wert. Sensorausgaberate, Signalbandbreite und Abfragerate der Software sind unterschiedliche Größen. Häufigeres Auslesen erzeugt nicht automatisch neue Sensorwerte. Die Abstimmung von Sensorkonfiguration und Datenabruf ist daher zu prüfen (Analog Devices, 2022).</w:t>
      </w:r>
    </w:p>
    <w:p>
      <w:pPr>
        <w:pStyle w:val="Normal"/>
        <w:spacing w:before="0" w:after="120"/>
        <w:rPr/>
      </w:pPr>
      <w:r>
        <w:rP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pPr>
        <w:pStyle w:val="Normal"/>
        <w:spacing w:before="0" w:after="120"/>
        <w:rPr/>
      </w:pPr>
      <w:r>
        <w:rPr/>
        <w:t>Bei ungleichmäßiger Erfassung und Datenlücken reichen nominelle Zeitangaben nicht aus. Die tatsächlich erfassten Zeitstempel müssen deshalb erhalten bleiben.</w:t>
      </w:r>
    </w:p>
    <w:p>
      <w:pPr>
        <w:pStyle w:val="Heading2"/>
        <w:numPr>
          <w:ilvl w:val="1"/>
          <w:numId w:val="2"/>
        </w:numPr>
        <w:jc w:val="start"/>
        <w:rPr/>
      </w:pPr>
      <w:bookmarkStart w:id="50" w:name="__RefHeading___Toc14106_535938422"/>
      <w:bookmarkStart w:id="51" w:name="_MA_TOC_020"/>
      <w:bookmarkStart w:id="52" w:name="FinalHeading_10014"/>
      <w:bookmarkEnd w:id="50"/>
      <w:r>
        <w:rPr>
          <w:color w:val="000000"/>
        </w:rPr>
        <w:t>Datenaufteilung und Vorverarbeitung</w:t>
      </w:r>
      <w:bookmarkEnd w:id="51"/>
      <w:bookmarkEnd w:id="52"/>
    </w:p>
    <w:p>
      <w:pPr>
        <w:pStyle w:val="Normal"/>
        <w:spacing w:before="0" w:after="120"/>
        <w:rPr/>
      </w:pPr>
      <w:r>
        <w:rP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pPr>
        <w:pStyle w:val="Normal"/>
        <w:spacing w:before="0" w:after="120"/>
        <w:rPr/>
      </w:pPr>
      <w:r>
        <w:rP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pPr>
        <w:pStyle w:val="Normal"/>
        <w:spacing w:before="0" w:after="120"/>
        <w:rPr/>
      </w:pPr>
      <w:r>
        <w:rPr/>
        <w:t>Fenster derselben Aufnahme sind keine unabhängigen Messläufe. Auch getrennte Aufnahmen können bei gleicher Montage sehr ähnlich sein. Die Aussagekraft hängt daher von Zahl und Vielfalt der Messläufe ab.</w:t>
      </w:r>
    </w:p>
    <w:p>
      <w:pPr>
        <w:pStyle w:val="Heading2"/>
        <w:numPr>
          <w:ilvl w:val="1"/>
          <w:numId w:val="2"/>
        </w:numPr>
        <w:jc w:val="start"/>
        <w:rPr/>
      </w:pPr>
      <w:bookmarkStart w:id="53" w:name="__RefHeading___Toc14108_535938422"/>
      <w:bookmarkStart w:id="54" w:name="_MA_TOC_021"/>
      <w:bookmarkStart w:id="55" w:name="FinalHeading_10015"/>
      <w:bookmarkEnd w:id="53"/>
      <w:r>
        <w:rPr>
          <w:color w:val="000000"/>
        </w:rPr>
        <w:t>Schwellenwertkalibrierung</w:t>
      </w:r>
      <w:bookmarkEnd w:id="54"/>
      <w:bookmarkEnd w:id="55"/>
    </w:p>
    <w:p>
      <w:pPr>
        <w:pStyle w:val="Normal"/>
        <w:spacing w:before="0" w:after="120"/>
        <w:rPr/>
      </w:pPr>
      <w:r>
        <w:rP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pPr>
        <w:pStyle w:val="Normal"/>
        <w:spacing w:before="0" w:after="120"/>
        <w:rPr/>
      </w:pPr>
      <w:r>
        <w:rPr/>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pPr>
        <w:pStyle w:val="Normal"/>
        <w:spacing w:before="0" w:after="120"/>
        <w:rPr/>
      </w:pPr>
      <w:r>
        <w:rP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pPr>
        <w:pStyle w:val="Heading2"/>
        <w:numPr>
          <w:ilvl w:val="1"/>
          <w:numId w:val="2"/>
        </w:numPr>
        <w:jc w:val="start"/>
        <w:rPr/>
      </w:pPr>
      <w:bookmarkStart w:id="56" w:name="__RefHeading___Toc14110_535938422"/>
      <w:bookmarkStart w:id="57" w:name="_MA_TOC_022"/>
      <w:bookmarkStart w:id="58" w:name="FinalHeading_10016"/>
      <w:bookmarkEnd w:id="56"/>
      <w:r>
        <w:rPr>
          <w:color w:val="000000"/>
        </w:rPr>
        <w:t>Erkennungsqualität und Aussagekraft der Evaluation</w:t>
      </w:r>
      <w:bookmarkEnd w:id="57"/>
      <w:bookmarkEnd w:id="58"/>
    </w:p>
    <w:p>
      <w:pPr>
        <w:pStyle w:val="Normal"/>
        <w:spacing w:before="0" w:after="120"/>
        <w:rPr/>
      </w:pPr>
      <w:r>
        <w:rPr/>
        <w:t>Die positive Klasse ist die definierte Anomalie. Die Konfusionsmatrix zählt richtig erkannte Anomalien (TP), Fehlalarme (FP), übersehene Anomalien (FN) und richtig erkannte Normalfenster (TN). Daraus ergeben sich die Kennzahlen in Tabelle 2-1 (scikit-learn developers, o. J. c).</w:t>
      </w:r>
    </w:p>
    <w:p>
      <w:pPr>
        <w:pStyle w:val="Tabellenbeschriftung"/>
        <w:keepNext w:val="true"/>
        <w:spacing w:before="100" w:after="100"/>
        <w:rPr/>
      </w:pPr>
      <w:bookmarkStart w:id="59" w:name="__RefHeading___Toc14218_535938422"/>
      <w:bookmarkStart w:id="60" w:name="Table_2_1"/>
      <w:bookmarkStart w:id="61" w:name="FinalCaption_10017"/>
      <w:bookmarkEnd w:id="59"/>
      <w:r>
        <w:rPr/>
        <w:t>Tabelle 2-1: Kennzahlen der binären Anomalieerkennung</w:t>
      </w:r>
      <w:bookmarkEnd w:id="60"/>
      <w:bookmarkEnd w:id="61"/>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Kennzahl</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Precision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FP)</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richtiger Anomalien unter allen Alarmen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Recall</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erkannter Anomalien unter allen tatsächlichen Anomalien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F1-Score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2TP / (2TP + FP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Harmonisches Mittel von Precision und Recall</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 (FPR)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 / (FP + TN)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falsch gemeldeter Fenster unter allen Normalfenstern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Accuracy</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TN) / (TP + TN + FP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aller richtigen Entscheidungen</w:t>
            </w:r>
          </w:p>
        </w:tc>
      </w:tr>
    </w:tbl>
    <w:p>
      <w:pPr>
        <w:pStyle w:val="Normal"/>
        <w:spacing w:before="0" w:after="120"/>
        <w:rPr/>
      </w:pPr>
      <w:r>
        <w:rP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pPr>
        <w:pStyle w:val="Heading2"/>
        <w:numPr>
          <w:ilvl w:val="1"/>
          <w:numId w:val="2"/>
        </w:numPr>
        <w:jc w:val="start"/>
        <w:rPr/>
      </w:pPr>
      <w:bookmarkStart w:id="62" w:name="__RefHeading___Toc14112_535938422"/>
      <w:bookmarkStart w:id="63" w:name="_MA_TOC_023"/>
      <w:bookmarkStart w:id="64" w:name="FinalHeading_10018"/>
      <w:bookmarkEnd w:id="62"/>
      <w:r>
        <w:rPr>
          <w:color w:val="000000"/>
        </w:rPr>
        <w:t>Lokale Ausführung und Zeitverhalten</w:t>
      </w:r>
      <w:bookmarkEnd w:id="63"/>
      <w:bookmarkEnd w:id="64"/>
    </w:p>
    <w:p>
      <w:pPr>
        <w:pStyle w:val="Normal"/>
        <w:spacing w:before="0" w:after="120"/>
        <w:rPr/>
      </w:pPr>
      <w:r>
        <w:rPr/>
        <w:t>Bei lokaler Ausführung wird das trainierte Modell nahe der Datenquelle ausgewertet (Shi et al., 2016). Ob Rechenleistung und Arbeitsspeicher der Zielplattform ausreichen, muss für die konkrete Anwendung gemessen werden.</w:t>
      </w:r>
    </w:p>
    <w:p>
      <w:pPr>
        <w:pStyle w:val="Normal"/>
        <w:spacing w:before="0" w:after="120"/>
        <w:rPr/>
      </w:pPr>
      <w:r>
        <w:rP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pPr>
        <w:pStyle w:val="Normal"/>
        <w:spacing w:before="0" w:after="120"/>
        <w:rPr/>
      </w:pPr>
      <w:r>
        <w:rP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pPr>
        <w:pStyle w:val="Normal"/>
        <w:spacing w:before="0" w:after="120"/>
        <w:rPr/>
      </w:pPr>
      <w:r>
        <w:t>P95 und P99 beschreiben hohe empirische Perzentile der gemessenen Latenzen. Sie werden zusammen mit Fristüberschreitungen und Erfassungspausen ausgewertet. Davon zu unterscheiden sind das erste als auffällig markierte Fenster und der Zeitabstand zwischen den ersten Alarmausgaben mehrerer Methoden. Eine Verzögerung ab physischem Störungsbeginn setzt eine unabhängige Zeitreferenz voraus. Trainierte Modelle können für die lokale Ausführung in ein anderes Format konvertiert werden (Google, 2026a). Danach müssen Scores und Entscheidungen erneut geprüft werden.</w:t>
      </w:r>
    </w:p>
    <w:p>
      <w:pPr>
        <w:pStyle w:val="Heading2"/>
        <w:numPr>
          <w:ilvl w:val="1"/>
          <w:numId w:val="2"/>
        </w:numPr>
        <w:jc w:val="start"/>
        <w:rPr/>
      </w:pPr>
      <w:bookmarkStart w:id="65" w:name="__RefHeading___Toc14114_535938422"/>
      <w:bookmarkStart w:id="66" w:name="_MA_TOC_024"/>
      <w:bookmarkStart w:id="67" w:name="FinalHeading_10019"/>
      <w:bookmarkEnd w:id="65"/>
      <w:r>
        <w:rPr>
          <w:color w:val="000000"/>
        </w:rPr>
        <w:t>Veränderte Normalbedingungen</w:t>
      </w:r>
      <w:bookmarkEnd w:id="66"/>
      <w:bookmarkEnd w:id="67"/>
    </w:p>
    <w:p>
      <w:pPr>
        <w:pStyle w:val="Normal"/>
        <w:spacing w:before="0" w:after="120"/>
        <w:rPr/>
      </w:pPr>
      <w:r>
        <w:rP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pPr>
        <w:pStyle w:val="Normal"/>
        <w:spacing w:before="0" w:after="120"/>
        <w:rPr/>
      </w:pPr>
      <w:r>
        <w:rPr/>
        <w:t>FF4 untersucht deshalb die Fehlalarmrate bei unveränderter Pipeline unter geänderten Normalbedingungen. Eine anschließende Nachkalibrierung ist als eigener Versuch auszuwerten.</w:t>
      </w:r>
    </w:p>
    <w:p>
      <w:pPr>
        <w:pStyle w:val="Heading1"/>
        <w:numPr>
          <w:ilvl w:val="0"/>
          <w:numId w:val="2"/>
        </w:numPr>
        <w:jc w:val="start"/>
        <w:rPr/>
      </w:pPr>
      <w:bookmarkStart w:id="68" w:name="__RefHeading___Toc14116_535938422"/>
      <w:bookmarkStart w:id="69" w:name="_Toc239410475"/>
      <w:bookmarkStart w:id="70" w:name="_MA_TOC_025"/>
      <w:bookmarkStart w:id="71" w:name="FinalHeading_10020"/>
      <w:bookmarkEnd w:id="68"/>
      <w:r>
        <w:rPr>
          <w:color w:val="000000"/>
        </w:rPr>
        <w:t>Stand der Technik und verwandte Arbeite</w:t>
      </w:r>
      <w:r>
        <w:rPr>
          <w:rFonts w:eastAsia="Times New Roman"/>
          <w:color w:val="000000"/>
        </w:rPr>
        <w:t>n</w:t>
      </w:r>
      <w:bookmarkEnd w:id="69"/>
      <w:bookmarkEnd w:id="70"/>
      <w:bookmarkEnd w:id="71"/>
    </w:p>
    <w:p>
      <w:pPr>
        <w:pStyle w:val="Normal"/>
        <w:spacing w:before="0" w:after="120"/>
        <w:rPr/>
      </w:pPr>
      <w:r>
        <w:rP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pPr>
        <w:pStyle w:val="Heading2"/>
        <w:numPr>
          <w:ilvl w:val="1"/>
          <w:numId w:val="2"/>
        </w:numPr>
        <w:jc w:val="start"/>
        <w:rPr/>
      </w:pPr>
      <w:bookmarkStart w:id="72" w:name="__RefHeading___Toc14118_535938422"/>
      <w:bookmarkStart w:id="73" w:name="_Toc239410476"/>
      <w:bookmarkStart w:id="74" w:name="_MA_TOC_026"/>
      <w:bookmarkStart w:id="75" w:name="FinalHeading_10021"/>
      <w:bookmarkEnd w:id="72"/>
      <w:r>
        <w:rPr>
          <w:color w:val="000000"/>
        </w:rPr>
        <w:t>Datenbasis</w:t>
      </w:r>
      <w:r>
        <w:rPr>
          <w:rFonts w:eastAsia="Times New Roman"/>
          <w:color w:val="000000"/>
        </w:rPr>
        <w:t xml:space="preserve"> und Messbedingungen</w:t>
      </w:r>
      <w:bookmarkEnd w:id="73"/>
      <w:bookmarkEnd w:id="74"/>
      <w:bookmarkEnd w:id="75"/>
    </w:p>
    <w:p>
      <w:pPr>
        <w:pStyle w:val="Normal"/>
        <w:spacing w:before="0" w:after="120"/>
        <w:rPr/>
      </w:pPr>
      <w:r>
        <w:rP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pPr>
        <w:pStyle w:val="Normal"/>
        <w:spacing w:before="0" w:after="120"/>
        <w:rPr/>
      </w:pPr>
      <w:r>
        <w:rP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pPr>
        <w:pStyle w:val="Normal"/>
        <w:spacing w:before="0" w:after="120"/>
        <w:rPr/>
      </w:pPr>
      <w:r>
        <w:rP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pPr>
        <w:pStyle w:val="Heading2"/>
        <w:numPr>
          <w:ilvl w:val="1"/>
          <w:numId w:val="2"/>
        </w:numPr>
        <w:jc w:val="start"/>
        <w:rPr/>
      </w:pPr>
      <w:bookmarkStart w:id="76" w:name="__RefHeading___Toc14120_535938422"/>
      <w:bookmarkStart w:id="77" w:name="_Toc239410477"/>
      <w:bookmarkStart w:id="78" w:name="_MA_TOC_027"/>
      <w:bookmarkStart w:id="79" w:name="FinalHeading_10022"/>
      <w:bookmarkEnd w:id="76"/>
      <w:r>
        <w:rPr>
          <w:color w:val="000000"/>
        </w:rPr>
        <w:t>Verfahren und Edge-Ausführung</w:t>
      </w:r>
      <w:bookmarkEnd w:id="77"/>
      <w:bookmarkEnd w:id="78"/>
      <w:bookmarkEnd w:id="79"/>
    </w:p>
    <w:p>
      <w:pPr>
        <w:pStyle w:val="Normal"/>
        <w:spacing w:before="0" w:after="120"/>
        <w:rPr/>
      </w:pPr>
      <w:r>
        <w:rP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Rekonstruktionsfehler; die feste Schwelle verursacht mehr Fehlalarme. Die untersuchte Modellanpassung ist von der Bewertung einer unveränderten Pipeline zu unterscheiden.</w:t>
      </w:r>
    </w:p>
    <w:p>
      <w:pPr>
        <w:pStyle w:val="Normal"/>
        <w:spacing w:before="0" w:after="120"/>
        <w:rPr/>
      </w:pPr>
      <w:r>
        <w:rPr/>
        <w:t>Antonini et al. (2023) entwickeln einen ESP32-Sensorknoten für die Überwachung von Unterwasserpumpen. Die Evaluation erfolgt an einer Platine auf einem gefederten PC-Lüfterprüfstand und beschreibt damit keinen gemessenen Pumpenbetrieb. Merkmalsbildung, Isolation-Forest-Training und Inferenz laufen lokal; das Training setzt normalen Betrieb voraus. Die Ressourcenmessungen unterscheiden Laden, Training und Inferenz. Die Erkennungsgenauigkeit wird nicht bewertet.</w:t>
      </w:r>
    </w:p>
    <w:p>
      <w:pPr>
        <w:pStyle w:val="Normal"/>
        <w:spacing w:before="0" w:after="120"/>
        <w:rPr/>
      </w:pPr>
      <w:r>
        <w:rPr/>
        <w:t>Garay et al. (2026) vergleichen vier Algorithmen in fünf Varianten, darunter Isolation Forest und einen Autoencoder, auf einem Cortex-M4F. Nach einer Sensorneumontage treten mehr Fehlalarme auf; gleichzeitig verändert sich die Umgebungstemperatur. Für die Einordnung in dieser Arbeit wird die Fehlalarmänderung deshalb nicht als isolierter Montageeffekt behandelt. Die Autoren untersuchen außerdem eine Nachkalibrierung von Skalierung und Schwelle. Beim Isolation Forest stammen die Erkennungskennzahlen vom Modell mit 100 Bäumen, die Mikrocontrollerwerte von einer Variante mit sechs Bäumen. Beide Größen beschreiben somit unterschiedliche Modellstände.</w:t>
      </w:r>
    </w:p>
    <w:p>
      <w:pPr>
        <w:pStyle w:val="Heading2"/>
        <w:numPr>
          <w:ilvl w:val="1"/>
          <w:numId w:val="2"/>
        </w:numPr>
        <w:jc w:val="start"/>
        <w:rPr/>
      </w:pPr>
      <w:bookmarkStart w:id="80" w:name="__RefHeading___Toc14122_535938422"/>
      <w:bookmarkStart w:id="81" w:name="_Toc239410478"/>
      <w:bookmarkStart w:id="82" w:name="_MA_TOC_028"/>
      <w:bookmarkStart w:id="83" w:name="FinalHeading_10023"/>
      <w:bookmarkEnd w:id="80"/>
      <w:r>
        <w:rPr>
          <w:color w:val="000000"/>
        </w:rPr>
        <w:t>Vergleich ausgewählter Arbeiten</w:t>
      </w:r>
      <w:bookmarkEnd w:id="81"/>
      <w:bookmarkEnd w:id="82"/>
      <w:bookmarkEnd w:id="83"/>
    </w:p>
    <w:p>
      <w:pPr>
        <w:pStyle w:val="Normal"/>
        <w:spacing w:before="0" w:after="120"/>
        <w:rPr/>
      </w:pPr>
      <w:r>
        <w:rPr/>
        <w:t>Tabelle 3-1 fasst die drei Studien mit eigener Hardwareausführung zusammen. Wegen unterschiedlicher Daten und Messgrenzen erlauben ihre Kennzahlen keine unmittelbare Rangfolge.</w:t>
      </w:r>
    </w:p>
    <w:p>
      <w:pPr>
        <w:pStyle w:val="Tabellenbeschriftung"/>
        <w:keepNext w:val="true"/>
        <w:spacing w:before="160" w:after="120"/>
        <w:rPr/>
      </w:pPr>
      <w:bookmarkStart w:id="84" w:name="__RefHeading___Toc14282_535938422"/>
      <w:bookmarkStart w:id="85" w:name="Table_3_1"/>
      <w:bookmarkStart w:id="86" w:name="FinalCaption_10024"/>
      <w:bookmarkEnd w:id="84"/>
      <w:r>
        <w:rPr>
          <w:b/>
          <w:sz w:val="21"/>
        </w:rPr>
        <w:t>Tabelle 3-1: Ausgewählte Vorarbeiten und ihre Bedeutung für die Untersuchung</w:t>
      </w:r>
      <w:bookmarkEnd w:id="85"/>
      <w:bookmarkEnd w:id="86"/>
    </w:p>
    <w:tbl>
      <w:tblPr>
        <w:tblStyle w:val="Tabellenraster"/>
        <w:tblW w:w="9071" w:type="dxa"/>
        <w:jc w:val="center"/>
        <w:tblInd w:w="0" w:type="dxa"/>
        <w:tblLayout w:type="fixed"/>
        <w:tblCellMar>
          <w:top w:w="75" w:type="dxa"/>
          <w:start w:w="85" w:type="dxa"/>
          <w:bottom w:w="75" w:type="dxa"/>
          <w:end w:w="85" w:type="dxa"/>
        </w:tblCellMar>
        <w:tblLook w:val="04a0" w:noHBand="0" w:noVBand="1" w:firstColumn="1" w:lastRow="0" w:lastColumn="0" w:firstRow="1"/>
      </w:tblPr>
      <w:tblGrid>
        <w:gridCol w:w="1698"/>
        <w:gridCol w:w="2100"/>
        <w:gridCol w:w="2099"/>
        <w:gridCol w:w="3173"/>
      </w:tblGrid>
      <w:tr>
        <w:trPr>
          <w:tblHeader w:val="true"/>
          <w:cantSplit w:val="true"/>
        </w:trPr>
        <w:tc>
          <w:tcPr>
            <w:tcW w:w="1698"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Arbeit</w:t>
            </w:r>
          </w:p>
        </w:tc>
        <w:tc>
          <w:tcPr>
            <w:tcW w:w="2100"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Daten und Lernaufgabe</w:t>
            </w:r>
          </w:p>
        </w:tc>
        <w:tc>
          <w:tcPr>
            <w:tcW w:w="2099"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Ausführung / Messung</w:t>
            </w:r>
          </w:p>
        </w:tc>
        <w:tc>
          <w:tcPr>
            <w:tcW w:w="3173"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Einordnung für diese Arbeit</w:t>
            </w:r>
          </w:p>
        </w:tc>
      </w:tr>
      <w:tr>
        <w:trPr>
          <w:cantSplit w:val="true"/>
        </w:trPr>
        <w:tc>
          <w:tcPr>
            <w:tcW w:w="16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Ren et al. (2021)</w:t>
            </w:r>
          </w:p>
        </w:tc>
        <w:tc>
          <w:tcPr>
            <w:tcW w:w="21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Autoencoder und Nachlernen</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 Inferenz und Online-Anpassung</w:t>
            </w:r>
          </w:p>
        </w:tc>
        <w:tc>
          <w:tcPr>
            <w:tcW w:w="3173"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Belegt Montageempfindlichkeit; Anpassung getrennt von fester Normalreferenz bewerten</w:t>
            </w:r>
          </w:p>
        </w:tc>
      </w:tr>
      <w:tr>
        <w:trPr>
          <w:cantSplit w:val="true"/>
        </w:trPr>
        <w:tc>
          <w:tcPr>
            <w:tcW w:w="16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Antonini et al. (2023)</w:t>
            </w:r>
          </w:p>
        </w:tc>
        <w:tc>
          <w:tcPr>
            <w:tcW w:w="21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sz w:val="22"/>
              </w:rPr>
            </w:pPr>
            <w:r>
              <w:rPr>
                <w:b w:val="false"/>
                <w:sz w:val="19"/>
              </w:rPr>
              <w:t>Unterwasserpumpe als Zielanwendung; Evaluation am gefederten Lüfterprüfstand; Isolation Forest mit Normaltraining</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ESP32; Laden, Training und Inferenz</w:t>
            </w:r>
          </w:p>
        </w:tc>
        <w:tc>
          <w:tcPr>
            <w:tcW w:w="3173"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Ressourcen getrennt erfassen; keine Erkennungsbewertung in der Studie</w:t>
            </w:r>
          </w:p>
        </w:tc>
      </w:tr>
      <w:tr>
        <w:trPr>
          <w:cantSplit w:val="true"/>
        </w:trPr>
        <w:tc>
          <w:tcPr>
            <w:tcW w:w="16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Garay et al. (2026)</w:t>
            </w:r>
          </w:p>
        </w:tc>
        <w:tc>
          <w:tcPr>
            <w:tcW w:w="21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Unwuchtversuch; fünf normaltrainierte Modellvarianten</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Cortex-M4F; Montage- und Temperaturänderung</w:t>
            </w:r>
          </w:p>
        </w:tc>
        <w:tc>
          <w:tcPr>
            <w:tcW w:w="3173"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Modellstände abgleichen; Nachkalibrierung getrennt bewerten</w:t>
            </w:r>
          </w:p>
        </w:tc>
      </w:tr>
    </w:tbl>
    <w:p>
      <w:pPr>
        <w:pStyle w:val="Heading2"/>
        <w:numPr>
          <w:ilvl w:val="1"/>
          <w:numId w:val="2"/>
        </w:numPr>
        <w:jc w:val="start"/>
        <w:rPr/>
      </w:pPr>
      <w:bookmarkStart w:id="87" w:name="__RefHeading___Toc14124_535938422"/>
      <w:bookmarkStart w:id="88" w:name="_Toc239410479"/>
      <w:bookmarkStart w:id="89" w:name="_MA_TOC_029"/>
      <w:bookmarkStart w:id="90" w:name="FinalHeading_10025"/>
      <w:bookmarkEnd w:id="87"/>
      <w:r>
        <w:rPr>
          <w:rFonts w:eastAsia="Times New Roman"/>
          <w:color w:val="000000"/>
        </w:rPr>
        <w:t>Forschungslücke und Einordnung der eigenen Arbeit</w:t>
      </w:r>
      <w:bookmarkEnd w:id="88"/>
      <w:bookmarkEnd w:id="89"/>
      <w:bookmarkEnd w:id="90"/>
    </w:p>
    <w:p>
      <w:pPr>
        <w:pStyle w:val="Normal"/>
        <w:spacing w:before="0" w:after="120"/>
        <w:rPr/>
      </w:pPr>
      <w:r>
        <w:rP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pPr>
        <w:pStyle w:val="Normal"/>
        <w:spacing w:before="0" w:after="120"/>
        <w:rPr/>
      </w:pPr>
      <w:r>
        <w:t>Dafür werden gleiche Testfenster und eine gemeinsame Kalibrierungsregel für FF2 sowie Messungen am tatsächlich ausgeführten Modell für FF3 verbunden. Die frühere Untersuchung geänderter Normalbedingungen adressiert FF4 separat. Die ergänzende Handyreihe vergleicht zuerst Einzelprozesse und anschließend dieselben Rohfenster im Replay und im gemeinsamen Live-Prozess. So wird zwischen unterschiedlichen physikalischen Anregungen, identischen Eingaben und zusätzlicher Konkurrenz um Rechenzeit unterschieden.</w:t>
      </w:r>
    </w:p>
    <w:p>
      <w:pPr>
        <w:pStyle w:val="Heading1"/>
        <w:numPr>
          <w:ilvl w:val="0"/>
          <w:numId w:val="2"/>
        </w:numPr>
        <w:jc w:val="start"/>
        <w:rPr/>
      </w:pPr>
      <w:bookmarkStart w:id="91" w:name="__RefHeading___Toc14126_535938422"/>
      <w:bookmarkStart w:id="92" w:name="_Toc239410480"/>
      <w:bookmarkStart w:id="93" w:name="_MA_TOC_030"/>
      <w:bookmarkStart w:id="94" w:name="FinalHeading_10026"/>
      <w:bookmarkEnd w:id="91"/>
      <w:r>
        <w:rPr>
          <w:color w:val="000000"/>
        </w:rPr>
        <w:t>Anforderungsanalyse</w:t>
      </w:r>
      <w:bookmarkEnd w:id="92"/>
      <w:bookmarkEnd w:id="93"/>
      <w:bookmarkEnd w:id="94"/>
    </w:p>
    <w:p>
      <w:pPr>
        <w:pStyle w:val="Normal"/>
        <w:spacing w:before="0" w:after="120"/>
        <w:rPr/>
      </w:pPr>
      <w:r>
        <w:rPr/>
        <w:t>Dieses Kapitel leitet aus den Forschungsfragen, den Grundlagen und den Grenzen der Vorarbeiten überprüfbare Anforderungen ab. Sie beschreiben die benötigten Funktionen und Bewertungskriterien unabhängig von einer konkreten technischen Lösung.</w:t>
      </w:r>
    </w:p>
    <w:p>
      <w:pPr>
        <w:pStyle w:val="Heading2"/>
        <w:numPr>
          <w:ilvl w:val="1"/>
          <w:numId w:val="2"/>
        </w:numPr>
        <w:jc w:val="start"/>
        <w:rPr/>
      </w:pPr>
      <w:bookmarkStart w:id="95" w:name="__RefHeading___Toc14128_535938422"/>
      <w:bookmarkStart w:id="96" w:name="_Toc239410481"/>
      <w:bookmarkStart w:id="97" w:name="_MA_TOC_031"/>
      <w:bookmarkStart w:id="98" w:name="FinalHeading_10027"/>
      <w:bookmarkEnd w:id="95"/>
      <w:r>
        <w:rPr>
          <w:color w:val="000000"/>
        </w:rPr>
        <w:t>Messdaten und Vergleichsbasis</w:t>
      </w:r>
      <w:bookmarkEnd w:id="96"/>
      <w:bookmarkEnd w:id="97"/>
      <w:bookmarkEnd w:id="98"/>
    </w:p>
    <w:p>
      <w:pPr>
        <w:pStyle w:val="Normal"/>
        <w:spacing w:before="0" w:after="120"/>
        <w:rPr/>
      </w:pPr>
      <w:r>
        <w:rP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pPr>
        <w:pStyle w:val="Normal"/>
        <w:spacing w:before="0" w:after="120"/>
        <w:rPr/>
      </w:pPr>
      <w:r>
        <w:rP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pPr>
        <w:pStyle w:val="Normal"/>
        <w:spacing w:before="0" w:after="120"/>
        <w:rPr/>
      </w:pPr>
      <w:r>
        <w:rP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pPr>
        <w:pStyle w:val="Normal"/>
        <w:spacing w:before="0" w:after="120"/>
        <w:rPr/>
      </w:pPr>
      <w:r>
        <w:rP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pPr>
        <w:pStyle w:val="Heading2"/>
        <w:numPr>
          <w:ilvl w:val="1"/>
          <w:numId w:val="2"/>
        </w:numPr>
        <w:jc w:val="start"/>
        <w:rPr/>
      </w:pPr>
      <w:bookmarkStart w:id="99" w:name="__RefHeading___Toc14130_535938422"/>
      <w:bookmarkStart w:id="100" w:name="_Toc239410482"/>
      <w:bookmarkStart w:id="101" w:name="_MA_TOC_032"/>
      <w:bookmarkStart w:id="102" w:name="FinalHeading_10028"/>
      <w:bookmarkEnd w:id="99"/>
      <w:r>
        <w:rPr>
          <w:color w:val="000000"/>
        </w:rPr>
        <w:t>Lokale Verarbeitung und Zeitverhalten</w:t>
      </w:r>
      <w:bookmarkEnd w:id="100"/>
      <w:bookmarkEnd w:id="101"/>
      <w:bookmarkEnd w:id="102"/>
    </w:p>
    <w:p>
      <w:pPr>
        <w:pStyle w:val="Normal"/>
        <w:rPr/>
      </w:pPr>
      <w:r>
        <w:rPr/>
        <w:t>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Verarbeitungsrückstand möglich sein (A8).</w:t>
      </w:r>
    </w:p>
    <w:p>
      <w:pPr>
        <w:pStyle w:val="Normal"/>
        <w:rPr/>
      </w:pPr>
      <w:r>
        <w:rPr/>
        <w:t>Messläufe müssen gezielt gestartet und geordnet beendet werden können (A13). Jeder Lauf erhält eine eindeutige Kennung. Beim Beenden müssen die bis dahin vollständig erfassten Daten und Ergebnisse gespeichert bleiben. Messdaten, Entscheidungen und die zugehörigen Angaben müssen maschinenlesbar vorliegen und eindeutig zusammengehören (A5).</w:t>
      </w:r>
    </w:p>
    <w:p>
      <w:pPr>
        <w:pStyle w:val="Normal"/>
        <w:rPr/>
      </w:pPr>
      <w:r>
        <w:rP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pPr>
        <w:pStyle w:val="Normal"/>
        <w:rPr/>
      </w:pPr>
      <w:r>
        <w:rPr/>
        <w:t>Für FF3 werden Inferenzzeit und Verarbeitungslatenz nach Abschnitt 2.7 getrennt gemessen. Das Ziel aus H2 ist P99 der Verarbeitungslatenz &lt; S/fₛ. Zusätzlich sind Anzahl und Anteil der Fristüberschreitungen sowie Erfassungspausen zwischen Fenstern zu berichten.</w:t>
      </w:r>
    </w:p>
    <w:p>
      <w:pPr>
        <w:pStyle w:val="Heading2"/>
        <w:numPr>
          <w:ilvl w:val="1"/>
          <w:numId w:val="2"/>
        </w:numPr>
        <w:jc w:val="start"/>
        <w:rPr/>
      </w:pPr>
      <w:bookmarkStart w:id="103" w:name="__RefHeading___Toc14132_535938422"/>
      <w:bookmarkStart w:id="104" w:name="_Toc239410483"/>
      <w:bookmarkStart w:id="105" w:name="_MA_TOC_033"/>
      <w:bookmarkStart w:id="106" w:name="FinalHeading_10029"/>
      <w:bookmarkEnd w:id="103"/>
      <w:r>
        <w:rPr>
          <w:color w:val="000000"/>
        </w:rPr>
        <w:t>Evaluation</w:t>
      </w:r>
      <w:bookmarkEnd w:id="104"/>
      <w:bookmarkEnd w:id="105"/>
      <w:bookmarkEnd w:id="106"/>
    </w:p>
    <w:p>
      <w:pPr>
        <w:pStyle w:val="Normal"/>
        <w:rPr/>
      </w:pPr>
      <w:r>
        <w:rP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Ausgangsmodell zu prüfen; die Prüfdaten und Akzeptanzgrenzen werden vor der Testauswertung festgelegt (A6). Wird die Live-GUI umgesetzt, ist ihr zusätzlicher Einfluss auf Latenz und Ressourcenbedarf bei ansonsten gleichen Bedingungen mit und ohne Anzeige zu messen.</w:t>
      </w:r>
    </w:p>
    <w:p>
      <w:pPr>
        <w:pStyle w:val="Normal"/>
        <w:spacing w:before="0" w:after="120"/>
        <w:rPr/>
      </w:pPr>
      <w:r>
        <w:rP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pPr>
        <w:pStyle w:val="Heading2"/>
        <w:numPr>
          <w:ilvl w:val="1"/>
          <w:numId w:val="2"/>
        </w:numPr>
        <w:jc w:val="start"/>
        <w:rPr/>
      </w:pPr>
      <w:bookmarkStart w:id="107" w:name="__RefHeading___Toc14134_535938422"/>
      <w:bookmarkStart w:id="108" w:name="_Toc239410487"/>
      <w:bookmarkStart w:id="109" w:name="_MA_TOC_037"/>
      <w:bookmarkStart w:id="110" w:name="FinalHeading_10030"/>
      <w:bookmarkEnd w:id="107"/>
      <w:r>
        <w:rPr>
          <w:color w:val="000000"/>
        </w:rPr>
        <w:t>Kernanforderungen und Nachweis</w:t>
      </w:r>
      <w:bookmarkEnd w:id="108"/>
      <w:bookmarkEnd w:id="109"/>
      <w:bookmarkEnd w:id="110"/>
    </w:p>
    <w:p>
      <w:pPr>
        <w:pStyle w:val="Normal"/>
        <w:rPr/>
      </w:pPr>
      <w:r>
        <w:rP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bewertet die Erfüllung und prüft die Hypothesen. Nichterfüllte technische Ziele und nicht bestätigte Hypothesen werden als Ergebnisse offengelegt.</w:t>
      </w:r>
    </w:p>
    <w:p>
      <w:pPr>
        <w:pStyle w:val="Tabellenbeschriftung"/>
        <w:keepNext w:val="true"/>
        <w:spacing w:before="100" w:after="100"/>
        <w:rPr/>
      </w:pPr>
      <w:bookmarkStart w:id="111" w:name="__RefHeading___Toc14280_535938422"/>
      <w:bookmarkStart w:id="112" w:name="Table_4_1"/>
      <w:bookmarkStart w:id="113" w:name="FinalCaption_10031"/>
      <w:bookmarkEnd w:id="111"/>
      <w:r>
        <w:rPr>
          <w:sz w:val="21"/>
        </w:rPr>
        <w:t>Tabelle 4-1: Anforderungen, Prioritäten und Nachweise</w:t>
      </w:r>
      <w:bookmarkEnd w:id="112"/>
      <w:bookmarkEnd w:id="11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698"/>
        <w:gridCol w:w="2100"/>
        <w:gridCol w:w="2099"/>
        <w:gridCol w:w="3173"/>
      </w:tblGrid>
      <w:tr>
        <w:trPr>
          <w:tblHeader w:val="true"/>
          <w:cantSplit w:val="true"/>
        </w:trPr>
        <w:tc>
          <w:tcPr>
            <w:tcW w:w="16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ID</w:t>
            </w:r>
          </w:p>
        </w:tc>
        <w:tc>
          <w:tcPr>
            <w:tcW w:w="21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Art /</w:t>
              <w:br/>
              <w:t>Priorität</w:t>
            </w:r>
          </w:p>
        </w:tc>
        <w:tc>
          <w:tcPr>
            <w:tcW w:w="20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w:t>
            </w:r>
          </w:p>
        </w:tc>
        <w:tc>
          <w:tcPr>
            <w:tcW w:w="317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Nachweis</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Messdaten mit überprüfter Qualität erfassen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Kanäle, Einheiten und Zeitstempel prüfen; Bandbreite, Signal-Rausch-Abstand, Sättigung und Datenlücken anhand vorab festgelegter Grenzen bewerten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 nach Aufnahmen trennen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Ganze Aufnahmen zuordnen; Training und Kalibrierung nur mit Normaldaten; Vorverarbeitung nur an Trainingsdaten anpassen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 einheitlich vergleichen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Gleiche Testfenster und Labels; gemeinsame Kalibrierungsregel und dokumentierte Eingaben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Automatisch und lokal auswerten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Versuchslauf ohne Cloud-Dienst; Score, Schwelle und Entscheidung je gültigem Fenster; ungültige Fenster kennzeichnen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 und Softwarestände nachvollziehbar zuordnen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 Fenster, Code, Modell, Vorverarbeitung sowie Softwareabhängigkeiten und Versionen maschinenlesbar dokumentieren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A6</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Zielkompatibilität und ausgeführtes Modell prüfen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auf der Zielhardware prüfen; bei Konvertierung Scores und Entscheidungen nach vorab festgelegten Akzeptanzgrenzen vergleichen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Latenzziel aus H2 erfüllen: P99 &lt; S/fₛ</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Inferenzzeit und Verarbeitungslatenz getrennt erfassen; Latenzverteilung, Fristüberschreitungen und Erfassungspausen berichten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Ohne Speicherabbruch und wachsenden Rückstand laufen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Modellgröße, Prozessspeicher, CPU und Rückstand über dokumentierte Messdauer erfassen; Aufwärmphase und Hintergrundlast angeben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A9</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Erkennungsqualität bewerten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Konfusionsmatrix, Precision, Recall, F1, Fehlalarmrate und Accuracy auf derselben Testmenge; Ergebnisse je Aufnahme</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Geänderte Normalbedingungen prüfen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Fehlalarmraten bei unveränderter Vorverarbeitung, unverändertem Modell und unveränderter Schwelle vergleichen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Reproduzierbaren Testaufbau realisieren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Aufbau und Protokoll dokumentieren; sicheren Betrieb herstellen; Normal- und Anomaliezustände wiederholen; Rücksetzbarkeit und kontrollierte Veränderung prüfen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A12</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KANN</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Live-GUI zur Ergebnisanzeige entwickeln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Angezeigte Werte mit gespeicherten Ergebnissen abgleichen; veraltete und fehlende Daten prüfen; Zusatzaufwand messen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A13</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Messläufe starten und geordnet beenden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 und Stopp prüfen; eindeutige Laufkennung und Erhalt vollständig erfasster Daten und Ergebnisse nachweisen</w:t>
            </w:r>
          </w:p>
        </w:tc>
      </w:tr>
    </w:tbl>
    <w:p>
      <w:pPr>
        <w:pStyle w:val="Normal"/>
        <w:spacing w:before="120" w:after="120"/>
        <w:rPr/>
      </w:pPr>
      <w:r>
        <w:rP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pPr>
        <w:pStyle w:val="Heading1"/>
        <w:numPr>
          <w:ilvl w:val="0"/>
          <w:numId w:val="2"/>
        </w:numPr>
        <w:jc w:val="start"/>
        <w:rPr/>
      </w:pPr>
      <w:bookmarkStart w:id="114" w:name="__RefHeading___Toc14136_535938422"/>
      <w:bookmarkStart w:id="115" w:name="_Ref219884887"/>
      <w:bookmarkStart w:id="116" w:name="_Toc239410492"/>
      <w:bookmarkStart w:id="117" w:name="_MA_TOC_042"/>
      <w:bookmarkStart w:id="118" w:name="FinalHeading_10032"/>
      <w:bookmarkEnd w:id="114"/>
      <w:r>
        <w:rPr>
          <w:color w:val="000000"/>
        </w:rPr>
        <w:t>Variantenvergleich und Systementscheidung</w:t>
      </w:r>
      <w:bookmarkEnd w:id="115"/>
      <w:bookmarkEnd w:id="116"/>
      <w:bookmarkEnd w:id="117"/>
      <w:bookmarkEnd w:id="118"/>
    </w:p>
    <w:p>
      <w:pPr>
        <w:pStyle w:val="Normal"/>
        <w:spacing w:before="0" w:after="120"/>
        <w:rPr/>
      </w:pPr>
      <w:r>
        <w:rP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pPr>
        <w:pStyle w:val="Normal"/>
        <w:rPr/>
      </w:pPr>
      <w:r>
        <w:rPr/>
        <w:t>Die folgende Darstellung rekonstruiert die Systementscheidung und die dabei festgelegten Prüfvorbehalte. Die Anforderungen beschreiben den ursprünglichen Zielmaßstab. Ob die jeweiligen Nachweise im vorhandenen Datenstand erbracht wurden, bewertet Kapitel 7.</w:t>
      </w:r>
    </w:p>
    <w:p>
      <w:pPr>
        <w:pStyle w:val="Heading2"/>
        <w:numPr>
          <w:ilvl w:val="1"/>
          <w:numId w:val="2"/>
        </w:numPr>
        <w:jc w:val="start"/>
        <w:rPr/>
      </w:pPr>
      <w:bookmarkStart w:id="119" w:name="__RefHeading___Toc14138_535938422"/>
      <w:bookmarkStart w:id="120" w:name="_K5_Section_1"/>
      <w:bookmarkStart w:id="121" w:name="FinalHeading_10033"/>
      <w:bookmarkEnd w:id="119"/>
      <w:r>
        <w:rPr>
          <w:color w:val="000000"/>
        </w:rPr>
        <w:t>Bewertungsrahmen und Vorgehen</w:t>
      </w:r>
      <w:bookmarkEnd w:id="120"/>
      <w:bookmarkEnd w:id="121"/>
    </w:p>
    <w:p>
      <w:pPr>
        <w:pStyle w:val="Normal"/>
        <w:spacing w:before="0" w:after="120"/>
        <w:rPr/>
      </w:pPr>
      <w:r>
        <w:rPr/>
        <w:t>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(A4–A8).</w:t>
      </w:r>
    </w:p>
    <w:p>
      <w:pPr>
        <w:pStyle w:val="Normal"/>
        <w:spacing w:before="0" w:after="120"/>
        <w:rPr/>
      </w:pPr>
      <w:r>
        <w:rP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pPr>
        <w:pStyle w:val="Normal"/>
        <w:spacing w:before="0" w:after="120"/>
        <w:rPr/>
      </w:pPr>
      <w:r>
        <w:rP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pPr>
        <w:pStyle w:val="Normal"/>
        <w:spacing w:before="0" w:after="120"/>
        <w:rPr/>
      </w:pPr>
      <w:r>
        <w:rP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Entwurfsannahmen; sie stammen weder aus Herstellerangaben noch aus einer Expertenbefragung. Jede Matrix wird für sich auf 100 % normiert. Nutzwerte verschiedener Auswahlbereiche sind nicht miteinander vergleichbar.</w:t>
      </w:r>
    </w:p>
    <w:p>
      <w:pPr>
        <w:pStyle w:val="Normal"/>
        <w:spacing w:before="0" w:after="120"/>
        <w:jc w:val="center"/>
        <w:rPr/>
      </w:pPr>
      <w:r>
        <w:rPr/>
      </w:r>
      <m:oMathPara xmlns:m="http://schemas.openxmlformats.org/officeDocument/2006/math">
        <m:oMathParaPr>
          <m:jc m:val="center"/>
        </m:oMathParaPr>
        <m:oMath>
          <m:sSub>
            <m:e>
              <m:r>
                <m:t xml:space="preserve">N</m:t>
              </m:r>
            </m:e>
            <m:sub>
              <m:r>
                <m:t xml:space="preserve">j</m:t>
              </m:r>
            </m:sub>
          </m:sSub>
          <m:r>
            <m:t xml:space="preserve">=</m:t>
          </m:r>
          <m:nary>
            <m:naryPr>
              <m:chr m:val="∑"/>
            </m:naryPr>
            <m:sub>
              <m:r>
                <m:t xml:space="preserve">i</m:t>
              </m:r>
              <m:r>
                <m:t xml:space="preserve">=</m:t>
              </m:r>
              <m:r>
                <m:t xml:space="preserve">1</m:t>
              </m:r>
            </m:sub>
            <m:sup>
              <m:r>
                <m:t xml:space="preserve">m</m:t>
              </m:r>
            </m:sup>
            <m:e>
              <m:f>
                <m:num>
                  <m:sSub>
                    <m:e>
                      <m:r>
                        <m:t xml:space="preserve">w</m:t>
                      </m:r>
                    </m:e>
                    <m:sub>
                      <m:r>
                        <m:t xml:space="preserve">i</m:t>
                      </m:r>
                    </m:sub>
                  </m:sSub>
                </m:num>
                <m:den>
                  <m:r>
                    <m:t xml:space="preserve">100</m:t>
                  </m:r>
                </m:den>
              </m:f>
              <m:r>
                <m:t xml:space="preserve">·</m:t>
              </m:r>
              <m:sSub>
                <m:e>
                  <m:r>
                    <m:t xml:space="preserve">s</m:t>
                  </m:r>
                </m:e>
                <m:sub>
                  <m:r>
                    <m:t xml:space="preserve">ij</m:t>
                  </m:r>
                </m:sub>
              </m:sSub>
            </m:e>
          </m:nary>
        </m:oMath>
      </m:oMathPara>
    </w:p>
    <w:p>
      <w:pPr>
        <w:pStyle w:val="Normal"/>
        <w:spacing w:before="0" w:after="120"/>
        <w:rPr/>
      </w:pPr>
      <w:r>
        <w:rPr/>
        <w:t>Dabei ist m die Anzahl der Kriterien, Nⱼ der Nutzwert der Alternative j, wᵢ das in Prozent angegebene Gewicht des Kriteriums i und sᵢⱼ dessen Punktwert. Der Nutzwert liegt zwischen 0 und 4. Er ist weder eine Erfolgswahrscheinlichkeit noch ein Nachweis erfüllter Anforderungen.</w:t>
      </w:r>
    </w:p>
    <w:p>
      <w:pPr>
        <w:pStyle w:val="Normal"/>
        <w:spacing w:before="0" w:after="120"/>
        <w:rPr/>
      </w:pPr>
      <w:r>
        <w:rP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pPr>
        <w:pStyle w:val="Heading2"/>
        <w:numPr>
          <w:ilvl w:val="1"/>
          <w:numId w:val="2"/>
        </w:numPr>
        <w:jc w:val="start"/>
        <w:rPr/>
      </w:pPr>
      <w:bookmarkStart w:id="122" w:name="__RefHeading___Toc14140_535938422"/>
      <w:bookmarkStart w:id="123" w:name="_K5_Section_2"/>
      <w:bookmarkStart w:id="124" w:name="FinalHeading_10034"/>
      <w:bookmarkEnd w:id="122"/>
      <w:r>
        <w:rPr>
          <w:color w:val="000000"/>
        </w:rPr>
        <w:t>Bewertung der Prüfstandsalternativen</w:t>
      </w:r>
      <w:bookmarkEnd w:id="123"/>
      <w:bookmarkEnd w:id="124"/>
    </w:p>
    <w:p>
      <w:pPr>
        <w:pStyle w:val="Normal"/>
        <w:spacing w:before="0" w:after="120"/>
        <w:rPr/>
      </w:pPr>
      <w:r>
        <w:rP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pPr>
        <w:pStyle w:val="Tabellenbeschriftung"/>
        <w:keepNext w:val="true"/>
        <w:spacing w:before="160" w:after="80"/>
        <w:jc w:val="center"/>
        <w:rPr/>
      </w:pPr>
      <w:bookmarkStart w:id="125" w:name="__RefHeading___Toc14278_535938422"/>
      <w:bookmarkStart w:id="126" w:name="Table_5_1"/>
      <w:bookmarkStart w:id="127" w:name="FinalCaption_10035"/>
      <w:bookmarkEnd w:id="125"/>
      <w:r>
        <w:rPr>
          <w:sz w:val="21"/>
        </w:rPr>
        <w:t>Tabelle 5-1: Bewertung der Prüfstandsalternativen</w:t>
      </w:r>
      <w:bookmarkEnd w:id="126"/>
      <w:bookmarkEnd w:id="12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Kontrollierbarkeit und Wiederholung</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Zusatzaufwand und Aussagegrenze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PWM-Ansteuerung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Betriebspunkte vorgebbar; Versuchszustände bei fester Montage wiederholbar zu gestalten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Wenige Antriebskomponenten; Lastvariation und Übertragbarkeit auf Industriemaschinen begrenzt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Servomotor mit Regler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Geregelte Drehzahl- und Bewegungsprofile; Lastvariation mit zusätzlicher Belastungseinrichtung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Regler, mechanische Kopplung und gegebenenfalls Lastmaschine nötig; Regelung beeinflusst das Schwingungsverhalten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Motor-/Lagerprüfstand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 Last und Lagerzustände gezielt untersuchbar</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Mechanik, Messtechnik und Schutzmaßnahmen; größere Nähe zur Lagerdiagnostik</w:t>
            </w:r>
          </w:p>
        </w:tc>
      </w:tr>
    </w:tbl>
    <w:p>
      <w:pPr>
        <w:pStyle w:val="Normal"/>
        <w:spacing w:lineRule="auto" w:line="240" w:before="80" w:after="120"/>
        <w:jc w:val="center"/>
        <w:rPr/>
      </w:pPr>
      <w:r>
        <w:rPr>
          <w:i/>
          <w:sz w:val="20"/>
        </w:rPr>
        <w:t>Quelle: Eigene Bewertung auf Grundlage von ARCTIC (o. J.), Oriental Motor (o. J.) und Universität Paderborn (o. J.). Der Aufwand ist eine qualitative Einschätzung der benötigten Komponenten.</w:t>
      </w:r>
    </w:p>
    <w:p>
      <w:pPr>
        <w:pStyle w:val="Normal"/>
        <w:spacing w:before="0" w:after="120"/>
        <w:rPr/>
      </w:pPr>
      <w:r>
        <w:rP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nicht behauptet.</w:t>
      </w:r>
    </w:p>
    <w:p>
      <w:pPr>
        <w:pStyle w:val="Tabellenbeschriftung"/>
        <w:keepNext w:val="true"/>
        <w:spacing w:before="160" w:after="80"/>
        <w:jc w:val="center"/>
        <w:rPr/>
      </w:pPr>
      <w:bookmarkStart w:id="128" w:name="__RefHeading___Toc14276_535938422"/>
      <w:bookmarkStart w:id="129" w:name="Table_5_2"/>
      <w:bookmarkStart w:id="130" w:name="FinalCaption_10036"/>
      <w:bookmarkEnd w:id="128"/>
      <w:r>
        <w:rPr>
          <w:sz w:val="21"/>
        </w:rPr>
        <w:t>Tabelle 5-2: Kriterien und Gewichte für den Prüfstand</w:t>
      </w:r>
      <w:bookmarkEnd w:id="129"/>
      <w:bookmarkEnd w:id="130"/>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P1 Betriebspunkte einstellen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keine Vorgabe; 2: einzelne Stellgröße ohne unabhängige Lastregelung; 4: geregelte Drehzahl und zusätzlich Last oder Bewegung vorgebbar.</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P2 Einflüsse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Änderungen nicht zuordenbar; 2: mehrere gekoppelte Einflüsse; 4: einfache Variation bei fester Mechanik und wenigen Einflussgrößen.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P3 Aufbauaufwand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 0: im Projekt nicht realisierbar; 2: Antrieb, Regler und Kopplung aufzubauen; 4: integrierter Antrieb mit wenigen Zusatzbaugruppen.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P4 Anwendungsnähe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FF4. 0: kein rotierendes System; 2: einfache rotierende Baugruppe; 4: gezielt untersuchbare Maschinen- und Lagerzustände.</w:t>
            </w:r>
          </w:p>
        </w:tc>
      </w:tr>
    </w:tbl>
    <w:p>
      <w:pPr>
        <w:pStyle w:val="Normal"/>
        <w:spacing w:lineRule="auto" w:line="240" w:before="80" w:after="120"/>
        <w:jc w:val="center"/>
        <w:rPr/>
      </w:pPr>
      <w:r>
        <w:rPr>
          <w:i/>
          <w:sz w:val="20"/>
        </w:rPr>
        <w:t>Quelle: Eigene Kriterien und Gewichte, abgeleitet aus Kapitel 4. Maßstäbe beschreiben projektbezogene Präferenzen.</w:t>
      </w:r>
    </w:p>
    <w:p>
      <w:pPr>
        <w:pStyle w:val="Tabellenbeschriftung"/>
        <w:keepNext w:val="true"/>
        <w:spacing w:before="160" w:after="80"/>
        <w:jc w:val="center"/>
        <w:rPr/>
      </w:pPr>
      <w:bookmarkStart w:id="131" w:name="__RefHeading___Toc14274_535938422"/>
      <w:bookmarkStart w:id="132" w:name="Table_5_3"/>
      <w:bookmarkStart w:id="133" w:name="FinalCaption_10037"/>
      <w:bookmarkEnd w:id="131"/>
      <w:r>
        <w:rPr>
          <w:sz w:val="21"/>
        </w:rPr>
        <w:t>Tabelle 5-3: Gewichtete Bewertung der Prüfstandsalternativen</w:t>
      </w:r>
      <w:bookmarkEnd w:id="132"/>
      <w:bookmarkEnd w:id="13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5"/>
        <w:gridCol w:w="1363"/>
        <w:gridCol w:w="1361"/>
        <w:gridCol w:w="1360"/>
        <w:gridCol w:w="1364"/>
        <w:gridCol w:w="1357"/>
      </w:tblGrid>
      <w:tr>
        <w:trPr>
          <w:tblHeader w:val="true"/>
          <w:cantSplit w:val="true"/>
        </w:trPr>
        <w:tc>
          <w:tcPr>
            <w:tcW w:w="22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P3</w:t>
            </w:r>
          </w:p>
        </w:tc>
        <w:tc>
          <w:tcPr>
            <w:tcW w:w="136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P4</w:t>
            </w:r>
          </w:p>
        </w:tc>
        <w:tc>
          <w:tcPr>
            <w:tcW w:w="135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Lüfter mit PWM</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Servomotor mit Regler</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2,85</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Motor-/Lagerprüfstand</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2,55</w:t>
            </w:r>
          </w:p>
        </w:tc>
      </w:tr>
    </w:tbl>
    <w:p>
      <w:pPr>
        <w:pStyle w:val="Normal"/>
        <w:spacing w:lineRule="auto" w:line="240" w:before="80" w:after="120"/>
        <w:jc w:val="center"/>
        <w:rPr/>
      </w:pPr>
      <w:r>
        <w:rPr>
          <w:i/>
          <w:sz w:val="20"/>
        </w:rPr>
        <w:t>Quelle: Eigene Punktvergabe auf Grundlage des Variantenvergleichs und der vorausgehenden Kriterien; keine experimentellen Messwerte.</w:t>
      </w:r>
    </w:p>
    <w:p>
      <w:pPr>
        <w:pStyle w:val="Normal"/>
        <w:spacing w:before="0" w:after="120"/>
        <w:rPr/>
      </w:pPr>
      <w:r>
        <w:rP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Prüfstands.</w:t>
      </w:r>
    </w:p>
    <w:p>
      <w:pPr>
        <w:pStyle w:val="Normal"/>
        <w:spacing w:before="0" w:after="120"/>
        <w:rPr/>
      </w:pPr>
      <w:r>
        <w:rP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pPr>
        <w:pStyle w:val="Normal"/>
        <w:spacing w:before="0" w:after="120"/>
        <w:rPr/>
      </w:pPr>
      <w: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Versuchsaufbau begrenzt.</w:t>
      </w:r>
    </w:p>
    <w:p>
      <w:pPr>
        <w:pStyle w:val="Normal"/>
        <w:spacing w:before="0" w:after="120"/>
        <w:rPr/>
      </w:pPr>
      <w:r>
        <w:t>Als konkrete Variante wurde der ARCTIC P12 Pro PST vorgesehen, dessen Datenblatt PWM-Ansteuerung und ein Drehzahlsignal ausweist (ARCTIC, o. J.). Ein PWM-Tastgrad ist eine Stellgröße und kein Nachweis einer konstanten Drehzahl. Die Konzeption sah deshalb die Erfassung der tatsächlichen Drehzahl vor. Dieser Nachweis wurde bisher nicht erbracht; die Betriebspunkte werden durch ihre dokumentierten PWM-Vorgaben beschrieben. Für FF4 wurde in der früheren Prüfreihe ein zweiter normaler Betriebspunkt bei unveränderter Montage untersucht; diese Werte bleiben im Anhang erhalten. Den aktuellen Handyaufbau und Messablauf beschreibt Kapitel 6, die zugehörigen Befunde und Grenzen Kapitel 7.</w:t>
      </w:r>
    </w:p>
    <w:p>
      <w:pPr>
        <w:pStyle w:val="Heading2"/>
        <w:numPr>
          <w:ilvl w:val="1"/>
          <w:numId w:val="2"/>
        </w:numPr>
        <w:jc w:val="start"/>
        <w:rPr/>
      </w:pPr>
      <w:bookmarkStart w:id="134" w:name="__RefHeading___Toc14142_535938422"/>
      <w:bookmarkStart w:id="135" w:name="_K5_Section_3"/>
      <w:bookmarkStart w:id="136" w:name="FinalHeading_10038"/>
      <w:bookmarkEnd w:id="134"/>
      <w:r>
        <w:rPr>
          <w:color w:val="000000"/>
        </w:rPr>
        <w:t>Auswahl von Sensorik und Edge-Plattform</w:t>
      </w:r>
      <w:bookmarkEnd w:id="135"/>
      <w:bookmarkEnd w:id="136"/>
    </w:p>
    <w:p>
      <w:pPr>
        <w:pStyle w:val="Normal"/>
        <w:spacing w:before="0" w:after="120"/>
        <w:rPr/>
      </w:pPr>
      <w:r>
        <w:rP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pPr>
        <w:pStyle w:val="Tabellenbeschriftung"/>
        <w:keepNext w:val="true"/>
        <w:spacing w:before="160" w:after="80"/>
        <w:jc w:val="center"/>
        <w:rPr/>
      </w:pPr>
      <w:bookmarkStart w:id="137" w:name="__RefHeading___Toc14272_535938422"/>
      <w:bookmarkStart w:id="138" w:name="Table_5_4"/>
      <w:bookmarkStart w:id="139" w:name="FinalCaption_10039"/>
      <w:bookmarkEnd w:id="137"/>
      <w:r>
        <w:rPr>
          <w:sz w:val="21"/>
        </w:rPr>
        <w:t>Tabelle 5-4: Vergleich der Sensorik und Messketten</w:t>
      </w:r>
      <w:bookmarkEnd w:id="138"/>
      <w:bookmarkEnd w:id="13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Relevante Herstellerangaben</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Prüfstand</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±2/4/8/16 g; I²C/SPI; FIFO</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Direkte digitale Erfassung; Bandbreite, Auflösung und Rauschen am Aufbau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ADXL355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 g; 20-Bit-ADC; typische Rauschdichte 22,5 µg/√Hz bei ±2 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Alternative bei höheren Anforderungen an Auflösung und Rauschen; eigene Integrationsprüfung nötig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PCB 356A32 mit IEPE-Messkette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±50 g; 100 mV/g; 1–4000 Hz innerhalb ±5 %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Größerer spezifizierter Frequenzbereich; Konstantstromspeisung und externe A/D-Wandlung nötig</w:t>
            </w:r>
          </w:p>
        </w:tc>
      </w:tr>
    </w:tbl>
    <w:p>
      <w:pPr>
        <w:pStyle w:val="Normal"/>
        <w:spacing w:lineRule="auto" w:line="240" w:before="80" w:after="120"/>
        <w:jc w:val="center"/>
        <w:rPr/>
      </w:pPr>
      <w:r>
        <w:rPr>
          <w:i/>
          <w:sz w:val="20"/>
        </w:rPr>
        <w:t>Quelle: Eigene Einordnung nach Analog Devices (2022, 2025) und PCB Piezotronics (o. J.). Die Zahlen sind Herstellerangaben.</w:t>
      </w:r>
    </w:p>
    <w:p>
      <w:pPr>
        <w:pStyle w:val="Normal"/>
        <w:spacing w:before="0" w:after="120"/>
        <w:rPr/>
      </w:pPr>
      <w:r>
        <w:rP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rechtfertigen.</w:t>
      </w:r>
    </w:p>
    <w:p>
      <w:pPr>
        <w:pStyle w:val="Normal"/>
        <w:spacing w:before="0" w:after="120"/>
        <w:rPr/>
      </w:pPr>
      <w:r>
        <w:rP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pPr>
        <w:pStyle w:val="Normal"/>
        <w:spacing w:before="0" w:after="120"/>
        <w:rPr/>
      </w:pPr>
      <w:r>
        <w:rPr/>
        <w:t>Die Edge-Plattform muss neben der Inferenz auch Datenerfassung, Vorverarbeitung, Baselines und Messwerkzeuge tragen (A4, A7, A8). Tabelle 5-5 vergleicht deshalb den Ressourcenrahmen und die daraus abgeleiteten Integrationsfolgen. Taktraten und Beschleunigerangaben erlauben keinen unmittelbaren Vergleich der Inferenzzeiten.</w:t>
      </w:r>
    </w:p>
    <w:p>
      <w:pPr>
        <w:pStyle w:val="Tabellenbeschriftung"/>
        <w:keepNext w:val="true"/>
        <w:spacing w:before="160" w:after="80"/>
        <w:jc w:val="center"/>
        <w:rPr/>
      </w:pPr>
      <w:bookmarkStart w:id="140" w:name="__RefHeading___Toc14270_535938422"/>
      <w:bookmarkStart w:id="141" w:name="Table_5_5"/>
      <w:bookmarkStart w:id="142" w:name="FinalCaption_10040"/>
      <w:bookmarkEnd w:id="140"/>
      <w:r>
        <w:rPr>
          <w:sz w:val="21"/>
        </w:rPr>
        <w:t>Tabelle 5-5: Bewertung der Edge-Plattformen</w:t>
      </w:r>
      <w:bookmarkEnd w:id="141"/>
      <w:bookmarkEnd w:id="14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Dokumentierter Ressourcenrahmen</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Methodenvergleich</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STM32H743</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Cortex-M7 bis 480 MHz; bis 2 MB Flash und 1 MB RAM</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Hardwarenahe Umsetzung möglich; knapper Speicher und eigenständige Portierung der Pipeline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4 Model B</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Cortex-A72-Kerne mit 1,8 GHz; RAM im GB-Bereich</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Linux-Plattform für CPU-Inferenz und Messwerkzeuge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Cortex-A76-Kerne mit 2,4 GHz; RAM im GB-Bereich</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 größere CPU-Reserve; konkrete Latenz und Speicherbelegung bleiben zu messen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Jetson Orin Nano Super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Sechs Cortex-A78AE-Kerne; 8 GB RAM; GPU-Beschleunigung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Sinnvoll bei GPU-bedürftigen Modellen; Nutzen für den vorgesehenen CPU-Vergleich nicht belegt</w:t>
            </w:r>
          </w:p>
        </w:tc>
      </w:tr>
    </w:tbl>
    <w:p>
      <w:pPr>
        <w:pStyle w:val="Normal"/>
        <w:spacing w:lineRule="auto" w:line="240" w:before="80" w:after="120"/>
        <w:jc w:val="center"/>
        <w:rPr/>
      </w:pPr>
      <w:r>
        <w:rPr>
          <w:i/>
          <w:sz w:val="20"/>
        </w:rPr>
        <w:t>Quelle: Eigene Bewertung nach STMicroelectronics (2026), Raspberry Pi Ltd. (o. J., 2026) und NVIDIA (o. J.).</w:t>
      </w:r>
    </w:p>
    <w:p>
      <w:pPr>
        <w:pStyle w:val="Normal"/>
        <w:spacing w:before="0" w:after="120"/>
        <w:rPr/>
      </w:pPr>
      <w:r>
        <w:rP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pPr>
        <w:pStyle w:val="Tabellenbeschriftung"/>
        <w:keepNext w:val="true"/>
        <w:spacing w:before="160" w:after="80"/>
        <w:jc w:val="center"/>
        <w:rPr/>
      </w:pPr>
      <w:bookmarkStart w:id="143" w:name="__RefHeading___Toc14268_535938422"/>
      <w:bookmarkStart w:id="144" w:name="Table_5_6"/>
      <w:bookmarkStart w:id="145" w:name="FinalCaption_10041"/>
      <w:bookmarkEnd w:id="143"/>
      <w:r>
        <w:rPr>
          <w:sz w:val="21"/>
        </w:rPr>
        <w:t>Tabelle 5-6: Kriterien und Gewichte für die Edge-Plattform</w:t>
      </w:r>
      <w:bookmarkEnd w:id="144"/>
      <w:bookmarkEnd w:id="14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E1 Nomineller Ressourcenrahmen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 0: keine plausible Reserve; 2: eingeschränkter Rahmen; 4: GB-Arbeitsspeicher und größere nominelle CPU-Reserve im Variantenfeld. Kein Laufzeitnachweis.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E2 Integration der Gesamtpipeline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A4–A6. 0: keine geeignete Umgebung; 2: erhebliche Anpassungen; 4: allgemeine Linux-/Python-Umgebung für Erfassung, Verfahren und Messwerkzeuge.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E3 Zeitliche Kontrollierbarkeit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 0: Ablauf kaum beeinflussbar; 2: allgemeines Betriebssystem mit schwankender Last; 4: hardwarenah planbare Ausführung. Keine Fristgarantie.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E4 Passung zum CPU-Kernvergleich</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FF3. 0: ungeeignete Plattformklasse; 2: zusätzliche Beschleuniger bleiben ungenutzt oder die Plattform erzwingt einen Portierungsfokus; 4: CPU-System ohne solche Zusatzschwerpunkte.</w:t>
            </w:r>
          </w:p>
        </w:tc>
      </w:tr>
    </w:tbl>
    <w:p>
      <w:pPr>
        <w:pStyle w:val="Normal"/>
        <w:spacing w:lineRule="auto" w:line="240" w:before="80" w:after="120"/>
        <w:jc w:val="center"/>
        <w:rPr/>
      </w:pPr>
      <w:r>
        <w:rPr>
          <w:i/>
          <w:sz w:val="20"/>
        </w:rPr>
        <w:t>Quelle: Eigene Kriterien und Gewichte aus Kapitel 4. Ressourcen, Softwareintegration, Zeitplanung und Untersuchungsumfang werden getrennt betrachtet.</w:t>
      </w:r>
    </w:p>
    <w:p>
      <w:pPr>
        <w:pStyle w:val="Tabellenbeschriftung"/>
        <w:keepNext w:val="true"/>
        <w:spacing w:before="160" w:after="80"/>
        <w:jc w:val="center"/>
        <w:rPr/>
      </w:pPr>
      <w:bookmarkStart w:id="146" w:name="__RefHeading___Toc14266_535938422"/>
      <w:bookmarkStart w:id="147" w:name="Table_5_7"/>
      <w:bookmarkStart w:id="148" w:name="FinalCaption_10042"/>
      <w:bookmarkEnd w:id="146"/>
      <w:r>
        <w:rPr>
          <w:sz w:val="21"/>
        </w:rPr>
        <w:t>Tabelle 5-7: Gewichtete Bewertung der Edge-Plattformen</w:t>
      </w:r>
      <w:bookmarkEnd w:id="147"/>
      <w:bookmarkEnd w:id="14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5"/>
        <w:gridCol w:w="1363"/>
        <w:gridCol w:w="1361"/>
        <w:gridCol w:w="1360"/>
        <w:gridCol w:w="1364"/>
        <w:gridCol w:w="1357"/>
      </w:tblGrid>
      <w:tr>
        <w:trPr>
          <w:tblHeader w:val="true"/>
          <w:cantSplit w:val="true"/>
        </w:trPr>
        <w:tc>
          <w:tcPr>
            <w:tcW w:w="22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E3</w:t>
            </w:r>
          </w:p>
        </w:tc>
        <w:tc>
          <w:tcPr>
            <w:tcW w:w="136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E4</w:t>
            </w:r>
          </w:p>
        </w:tc>
        <w:tc>
          <w:tcPr>
            <w:tcW w:w="135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STM32H743</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1,60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4</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3,35</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5</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3,70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Jetson Orin Nano Super</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Punktvergabe nach dem dokumentierten Ressourcenrahmen und den Kriterien E1–E4; keine gemessenen Leistungswerte.</w:t>
      </w:r>
    </w:p>
    <w:p>
      <w:pPr>
        <w:pStyle w:val="Normal"/>
        <w:spacing w:before="0" w:after="120"/>
        <w:rPr/>
      </w:pPr>
      <w:r>
        <w:rP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pPr>
        <w:pStyle w:val="Normal"/>
        <w:spacing w:before="0" w:after="120"/>
        <w:rPr/>
      </w:pPr>
      <w:r>
        <w:rP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Hardwarebenchmark gehört nicht zum Kernversuch.</w:t>
      </w:r>
    </w:p>
    <w:p>
      <w:pPr>
        <w:pStyle w:val="Heading2"/>
        <w:numPr>
          <w:ilvl w:val="1"/>
          <w:numId w:val="2"/>
        </w:numPr>
        <w:jc w:val="start"/>
        <w:rPr/>
      </w:pPr>
      <w:bookmarkStart w:id="149" w:name="__RefHeading___Toc14144_535938422"/>
      <w:bookmarkStart w:id="150" w:name="_K5_Section_4"/>
      <w:bookmarkStart w:id="151" w:name="FinalHeading_10043"/>
      <w:bookmarkEnd w:id="149"/>
      <w:r>
        <w:rPr>
          <w:color w:val="000000"/>
        </w:rPr>
        <w:t>Datenbasis, Signalrepräsentation und Verfahren</w:t>
      </w:r>
      <w:bookmarkEnd w:id="150"/>
      <w:bookmarkEnd w:id="151"/>
    </w:p>
    <w:p>
      <w:pPr>
        <w:pStyle w:val="Normal"/>
        <w:spacing w:before="0" w:after="120"/>
        <w:rPr/>
      </w:pPr>
      <w:r>
        <w:rP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pPr>
        <w:pStyle w:val="Tabellenbeschriftung"/>
        <w:keepNext w:val="true"/>
        <w:spacing w:before="160" w:after="80"/>
        <w:jc w:val="center"/>
        <w:rPr/>
      </w:pPr>
      <w:bookmarkStart w:id="152" w:name="__RefHeading___Toc14264_535938422"/>
      <w:bookmarkStart w:id="153" w:name="Table_5_8"/>
      <w:bookmarkStart w:id="154" w:name="FinalCaption_10044"/>
      <w:bookmarkEnd w:id="152"/>
      <w:r>
        <w:rPr>
          <w:sz w:val="21"/>
        </w:rPr>
        <w:t>Tabelle 5-8: Bewertung der Signalrepräsentationen</w:t>
      </w:r>
      <w:bookmarkEnd w:id="153"/>
      <w:bookmarkEnd w:id="15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Darstellung</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Informationsgehalt und Grenze</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Vorgesehene Rolle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Dreiachsiges Zeitfenster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Erhält Reihenfolge und Achsenbeziehungen; höhere Eingabedimension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 Ausgangsdaten für den Hauptvergleich</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Zeitbereichskennwerte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Kompakt und interpretierbar; zeitliche Struktur wird verdichtet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als statistische Baseline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Frequenzspektrum mittels 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Frequenzanteile; abhängig von Abtastung, Fensterdauer und Fensterfunktion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gespeicherter Pilotmessungen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Zeit-Frequenz-Darstellung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zeitlich wechselnde Frequenzanteile; zusätzliche Parameter und Rechenaufwand</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zusätzliche Variante im Kernvergleich</w:t>
            </w:r>
          </w:p>
        </w:tc>
      </w:tr>
    </w:tbl>
    <w:p>
      <w:pPr>
        <w:pStyle w:val="Normal"/>
        <w:spacing w:lineRule="auto" w:line="240" w:before="80" w:after="120"/>
        <w:jc w:val="center"/>
        <w:rPr/>
      </w:pPr>
      <w:r>
        <w:rPr>
          <w:i/>
          <w:sz w:val="20"/>
        </w:rPr>
        <w:t>Quelle: Eigene Einordnung auf Grundlage von Ruff et al. (2021) und SciPy developers (o. J. a, o. J. b).</w:t>
      </w:r>
    </w:p>
    <w:p>
      <w:pPr>
        <w:pStyle w:val="Normal"/>
        <w:spacing w:before="0" w:after="120"/>
        <w:rPr/>
      </w:pPr>
      <w:r>
        <w:rP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pPr>
        <w:pStyle w:val="Normal"/>
        <w:spacing w:before="0" w:after="120"/>
        <w:rPr/>
      </w:pPr>
      <w:r>
        <w:rP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FFT selbst liefert keine Anomalieentscheidung.</w:t>
      </w:r>
    </w:p>
    <w:p>
      <w:pPr>
        <w:pStyle w:val="Tabellenbeschriftung"/>
        <w:keepNext w:val="true"/>
        <w:spacing w:before="160" w:after="80"/>
        <w:jc w:val="center"/>
        <w:rPr/>
      </w:pPr>
      <w:bookmarkStart w:id="155" w:name="__RefHeading___Toc14262_535938422"/>
      <w:bookmarkStart w:id="156" w:name="Table_5_9"/>
      <w:bookmarkStart w:id="157" w:name="FinalCaption_10045"/>
      <w:bookmarkEnd w:id="155"/>
      <w:r>
        <w:rPr>
          <w:sz w:val="21"/>
        </w:rPr>
        <w:t>Tabelle 5-9: Auswahl der Anomalieverfahren</w:t>
      </w:r>
      <w:bookmarkEnd w:id="156"/>
      <w:bookmarkEnd w:id="15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Rolle und Auswahlgrund</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Wesentliche Grenze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Neuronales Hauptverfahren; prüft den Nutzen einer erlernten multivariaten Rekonstruktion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Eine gute Trennung der Zustände ist empirisch zu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mit Schwelle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Statistische Minimalbaseline; transparente Verdichtung auf einen Kennwert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Verwirft die zeitliche Reihenfolge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Klassische Lernbaseline; ergänzt den RMS um eine multivariate Bewertung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Nutzt keine explizite zeitliche Nachbarschaft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One-Class SVM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Alternative zur klassischen Lernbaseline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Kernel- und Hyperparameterwahl; keine weitere Vergleichsrolle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Überwachte Klassifikation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Geeignet bei repräsentativen gelabelten Fehlerklassen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Benötigt Fehlerbeispiele im Training und passt damit nicht zum gewählten Szenario</w:t>
            </w:r>
          </w:p>
        </w:tc>
      </w:tr>
    </w:tbl>
    <w:p>
      <w:pPr>
        <w:pStyle w:val="Normal"/>
        <w:spacing w:lineRule="auto" w:line="240" w:before="80" w:after="120"/>
        <w:jc w:val="center"/>
        <w:rPr/>
      </w:pPr>
      <w:r>
        <w:rPr>
          <w:i/>
          <w:sz w:val="20"/>
        </w:rPr>
        <w:t>Quelle: Eigene Rollenverteilung nach Liu et al. (2008), Ruff et al. (2021) und scikit-learn developers (o. J. d).</w:t>
      </w:r>
    </w:p>
    <w:p>
      <w:pPr>
        <w:pStyle w:val="Normal"/>
        <w:spacing w:before="0" w:after="120"/>
        <w:rPr/>
      </w:pPr>
      <w:r>
        <w:rP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dimensionslos und vom RMS der Beschleunigung in g zu unterscheiden.</w:t>
      </w:r>
    </w:p>
    <w:p>
      <w:pPr>
        <w:pStyle w:val="Normal"/>
        <w:spacing w:before="0" w:after="120"/>
        <w:rPr/>
      </w:pPr>
      <w:r>
        <w:rP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pPr>
        <w:pStyle w:val="Heading2"/>
        <w:numPr>
          <w:ilvl w:val="1"/>
          <w:numId w:val="2"/>
        </w:numPr>
        <w:jc w:val="start"/>
        <w:rPr/>
      </w:pPr>
      <w:bookmarkStart w:id="158" w:name="__RefHeading___Toc14146_535938422"/>
      <w:bookmarkStart w:id="159" w:name="_K5_Section_5"/>
      <w:bookmarkStart w:id="160" w:name="FinalHeading_10046"/>
      <w:bookmarkEnd w:id="158"/>
      <w:r>
        <w:rPr>
          <w:color w:val="000000"/>
        </w:rPr>
        <w:t>Kriterienbasierte Bewertung der Softwarealternativen</w:t>
      </w:r>
      <w:bookmarkEnd w:id="159"/>
      <w:bookmarkEnd w:id="160"/>
    </w:p>
    <w:p>
      <w:pPr>
        <w:pStyle w:val="Normal"/>
        <w:spacing w:before="0" w:after="120"/>
        <w:rPr/>
      </w:pPr>
      <w:r>
        <w:rPr/>
        <w:t xml:space="preserve">Die Softwareauswahl betrifft den Entwicklungs- und Ausführungspfad des Autoencoders. TensorFlow/Keras und PyTorch dienen zur Modellbildung; TFLite/LiteRT, ExecuTorch und ONNX Runtime bieten Wege zur lokalen Inferenz. Der Prüfstand wurde bereits in Abschnitt 5.2 bewertet. Die nachfolgenden Kriterien betreffen die Software und werden aus A4–A8 abgeleitet. </w:t>
      </w:r>
    </w:p>
    <w:p>
      <w:pPr>
        <w:pStyle w:val="Tabellenbeschriftung"/>
        <w:keepNext w:val="true"/>
        <w:spacing w:before="160" w:after="80"/>
        <w:jc w:val="center"/>
        <w:rPr/>
      </w:pPr>
      <w:bookmarkStart w:id="161" w:name="__RefHeading___Toc14260_535938422"/>
      <w:bookmarkStart w:id="162" w:name="Table_5_10"/>
      <w:bookmarkStart w:id="163" w:name="FinalCaption_10047"/>
      <w:bookmarkEnd w:id="161"/>
      <w:r>
        <w:rPr>
          <w:sz w:val="21"/>
        </w:rPr>
        <w:t>Tabelle 5-10: Kriterienbasierter Vergleich der Softwarealternativen</w:t>
      </w:r>
      <w:bookmarkEnd w:id="162"/>
      <w:bookmarkEnd w:id="16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698"/>
        <w:gridCol w:w="2100"/>
        <w:gridCol w:w="2099"/>
        <w:gridCol w:w="3173"/>
      </w:tblGrid>
      <w:tr>
        <w:trPr>
          <w:tblHeader w:val="true"/>
          <w:cantSplit w:val="true"/>
        </w:trPr>
        <w:tc>
          <w:tcPr>
            <w:tcW w:w="16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Entwicklungs- und Ausführungspfad</w:t>
            </w:r>
          </w:p>
        </w:tc>
        <w:tc>
          <w:tcPr>
            <w:tcW w:w="21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Übergang zur Inferenz</w:t>
            </w:r>
          </w:p>
        </w:tc>
        <w:tc>
          <w:tcPr>
            <w:tcW w:w="20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Lokale Ausführung</w:t>
            </w:r>
          </w:p>
        </w:tc>
        <w:tc>
          <w:tcPr>
            <w:tcW w:w="317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Integrations- und Prüfaufwand</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TFLite/LiteRT</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Dokumentierter Konverter für Keras-Modelle; .tflite-Datei</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CPU-Inferenz mit passender Laufzeit</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Paketkompatibilität und Konvertierung prüfen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ExecuTorch</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Modellexport und Anpassung an ein Backend; .pte-Datei</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Arm-CPU über geeignetes Backend, z. B. XNNPACK</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Backend und numerische Übereinstimmung prüfen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ONNX Runtime</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in das ONNX-Austauschformat</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CPU-Paket für Linux ARM64</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Exporter, ONNX-Operatorversionen und Laufzeit abstimmen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TensorFlow direkt</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Wechsel des Modellformats erforderlich</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TensorFlow-CPU-Paket für Linux ARM64</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Paketkompatibilität und Ressourcenbedarf der vollständigen Umgebung prüfen</w:t>
            </w:r>
          </w:p>
        </w:tc>
      </w:tr>
    </w:tbl>
    <w:p>
      <w:pPr>
        <w:pStyle w:val="Normal"/>
        <w:spacing w:lineRule="auto" w:line="240" w:before="80" w:after="120"/>
        <w:jc w:val="center"/>
        <w:rPr/>
      </w:pPr>
      <w:r>
        <w:rPr>
          <w:i/>
          <w:sz w:val="20"/>
        </w:rPr>
        <w:t>Quelle: Eigene Bewertung nach Google (2026a, 2026c, 2026d), PyTorch (o. J.) und ONNX Runtime developers (o. J.). Die Zielkompatibilität des konkreten Modells ist bei jeder Alternative zu prüfen.</w:t>
      </w:r>
    </w:p>
    <w:p>
      <w:pPr>
        <w:pStyle w:val="Normal"/>
        <w:spacing w:before="0" w:after="120"/>
        <w:rPr/>
      </w:pPr>
      <w:r>
        <w:rP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geprüft.</w:t>
      </w:r>
    </w:p>
    <w:p>
      <w:pPr>
        <w:pStyle w:val="Tabellenbeschriftung"/>
        <w:keepNext w:val="true"/>
        <w:spacing w:before="160" w:after="80"/>
        <w:jc w:val="center"/>
        <w:rPr/>
      </w:pPr>
      <w:bookmarkStart w:id="164" w:name="__RefHeading___Toc14258_535938422"/>
      <w:bookmarkStart w:id="165" w:name="Table_5_11"/>
      <w:bookmarkStart w:id="166" w:name="FinalCaption_10048"/>
      <w:bookmarkEnd w:id="164"/>
      <w:r>
        <w:rPr>
          <w:sz w:val="21"/>
        </w:rPr>
        <w:t>Tabelle 5-11: Kriterien und Gewichte für die Softwareauswahl</w:t>
      </w:r>
      <w:bookmarkEnd w:id="165"/>
      <w:bookmarkEnd w:id="16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S1 Entwicklung und Inferenz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A8. 0: kein getrennt ladbares Modell; 2: gespeichertes Modell benötigt vollständiges Framework; 4: separates Inferenzpaket vorgesehen.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S2 Modellübergang nachvollziehen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A6. 0: kein dokumentierter Weg; 2: nur teilweise dokumentiert; 4: offizieller Weg zum Speichern bzw. Exportieren und Laden.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S3 Python-Anbindung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0: keine Anbindung; 2: eigene Brücke nötig; 4: offiziell dokumentierte Python-API.</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S4 Linux-ARM64-CPU unterstützen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A6. 0: kein dokumentierter Weg; 2: eigene Portierung nötig; 4: dokumentiertes CPU-Paket für Linux ARM64. Konkrete Versionen bleiben zu prüfen.</w:t>
            </w:r>
          </w:p>
        </w:tc>
      </w:tr>
    </w:tbl>
    <w:p>
      <w:pPr>
        <w:pStyle w:val="Normal"/>
        <w:spacing w:lineRule="auto" w:line="240" w:before="80" w:after="120"/>
        <w:jc w:val="center"/>
        <w:rPr/>
      </w:pPr>
      <w:r>
        <w:rPr>
          <w:i/>
          <w:sz w:val="20"/>
        </w:rPr>
        <w:t>Quelle: Eigene Kriterien und Gewichte aus Kapitel 4. Die Punkte bewerten dokumentierte Wege, nicht deren gemessenen Ressourcenbedarf.</w:t>
      </w:r>
    </w:p>
    <w:p>
      <w:pPr>
        <w:pStyle w:val="Tabellenbeschriftung"/>
        <w:keepNext w:val="true"/>
        <w:spacing w:before="160" w:after="80"/>
        <w:jc w:val="center"/>
        <w:rPr/>
      </w:pPr>
      <w:bookmarkStart w:id="167" w:name="__RefHeading___Toc14256_535938422"/>
      <w:bookmarkStart w:id="168" w:name="Table_5_12"/>
      <w:bookmarkStart w:id="169" w:name="FinalCaption_10049"/>
      <w:bookmarkEnd w:id="167"/>
      <w:r>
        <w:rPr>
          <w:sz w:val="21"/>
        </w:rPr>
        <w:t>Tabelle 5-12: Gewichtete Bewertung der Softwarealternativen</w:t>
      </w:r>
      <w:bookmarkEnd w:id="168"/>
      <w:bookmarkEnd w:id="16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5"/>
        <w:gridCol w:w="1363"/>
        <w:gridCol w:w="1361"/>
        <w:gridCol w:w="1360"/>
        <w:gridCol w:w="1364"/>
        <w:gridCol w:w="1357"/>
      </w:tblGrid>
      <w:tr>
        <w:trPr>
          <w:tblHeader w:val="true"/>
          <w:cantSplit w:val="true"/>
        </w:trPr>
        <w:tc>
          <w:tcPr>
            <w:tcW w:w="22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Entwicklungs- und Ausführungspfad</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S3</w:t>
            </w:r>
          </w:p>
        </w:tc>
        <w:tc>
          <w:tcPr>
            <w:tcW w:w="136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S4</w:t>
            </w:r>
          </w:p>
        </w:tc>
        <w:tc>
          <w:tcPr>
            <w:tcW w:w="135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TFLite/LiteRT</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ExecuTorch</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ONNX Runtime</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TensorFlow direkt</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Bewertung der offiziellen Dokumentation von Google (2026a, 2026c, 2026d), PyTorch (o. J.) und ONNX Runtime developers (o. J.).</w:t>
      </w:r>
    </w:p>
    <w:p>
      <w:pPr>
        <w:pStyle w:val="Normal"/>
        <w:spacing w:before="0" w:after="120"/>
        <w:rPr/>
      </w:pPr>
      <w:r>
        <w:rP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pPr>
        <w:pStyle w:val="Normal"/>
        <w:spacing w:before="0" w:after="120"/>
        <w:rPr/>
      </w:pPr>
      <w:r>
        <w:rPr/>
        <w:t>Der Gleichstand bleibt bei gleichen Gewichten und bei allen acht einzelnen Gewichtsänderungen bestehen. Sinkt ein bisher mit vier Punkten bewertetes Kriterium einer Alternative um einen Punkt, verliert diese ihren Gleichstand an der Spitze. Die Matrix zeigt daher mehrere geeignete Wege und keinen eindeutigen TensorFlow-Vorsprung. Bei gleich geeigneten Alternativen ist eine begründete Entwurfsentscheidung zulässig (NASA, 2023).</w:t>
      </w:r>
    </w:p>
    <w:p>
      <w:pPr>
        <w:pStyle w:val="Normal"/>
        <w:spacing w:before="0" w:after="120"/>
        <w:rPr/>
      </w:pPr>
      <w:r>
        <w:rP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gewünschten Austauschformat zweckmäßig. Ein solcher Austausch ist keine eigene Anforderung des Kernversuchs.</w:t>
      </w:r>
    </w:p>
    <w:p>
      <w:pPr>
        <w:pStyle w:val="Normal"/>
        <w:spacing w:before="0" w:after="120"/>
        <w:rPr/>
      </w:pPr>
      <w:r>
        <w:rP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pPr>
        <w:pStyle w:val="Heading2"/>
        <w:numPr>
          <w:ilvl w:val="1"/>
          <w:numId w:val="2"/>
        </w:numPr>
        <w:jc w:val="start"/>
        <w:rPr/>
      </w:pPr>
      <w:bookmarkStart w:id="170" w:name="__RefHeading___Toc14148_535938422"/>
      <w:bookmarkStart w:id="171" w:name="_K5_Section_6"/>
      <w:bookmarkStart w:id="172" w:name="FinalHeading_10050"/>
      <w:bookmarkEnd w:id="170"/>
      <w:r>
        <w:rPr>
          <w:color w:val="000000"/>
        </w:rPr>
        <w:t>Systementscheidung und Übergang zur Implementierung</w:t>
      </w:r>
      <w:bookmarkEnd w:id="171"/>
      <w:bookmarkEnd w:id="172"/>
    </w:p>
    <w:p>
      <w:pPr>
        <w:pStyle w:val="Normal"/>
        <w:spacing w:before="0" w:after="120"/>
        <w:rPr/>
      </w:pPr>
      <w:r>
        <w:rP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pPr>
        <w:pStyle w:val="Tabellenbeschriftung"/>
        <w:keepNext w:val="true"/>
        <w:spacing w:before="160" w:after="80"/>
        <w:jc w:val="center"/>
        <w:rPr/>
      </w:pPr>
      <w:bookmarkStart w:id="173" w:name="__RefHeading___Toc14254_535938422"/>
      <w:bookmarkStart w:id="174" w:name="Table_5_13"/>
      <w:bookmarkStart w:id="175" w:name="FinalCaption_10051"/>
      <w:bookmarkEnd w:id="173"/>
      <w:r>
        <w:rPr>
          <w:sz w:val="21"/>
        </w:rPr>
        <w:t>Tabelle 5-13: Systementscheidungen und ausstehende Nachweise</w:t>
      </w:r>
      <w:bookmarkEnd w:id="174"/>
      <w:bookmarkEnd w:id="17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Bereich</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Auswahl</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Anforderungsbezug und Nachweis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 3,30 Punkte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wiederholbare Zustände und zweiter normaler Betriebspunkt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Sensorik</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als Ausgangsvariante; ADXL355 als Alternative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Signalqualität und zeitliche Erfassung vor der Testserie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Edge-Plattform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3,70 Punkte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A7, A8: vollständige Pipeline und Zeitbudget messen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Eigene reale Messläufe; Normaldaten für Training und Kalibrierung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 A3, A9: getrennte Aufnahmen und gemeinsame Testbasis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 RMS und Isolation Forest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 A9: gleiche Fenster und Kalibrierungsregel; Erkennungsqualität vergleichen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der Pilotmessungen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Frequenzanteile innerhalb der überprüften Messbandbreite untersuchen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 Software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Float32-TFLite; 4,00 Punkte, Gleichstand mit zwei Alternativen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A5–A8: Konvertierung, Zielkompatibilität und Ressourcen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Bedienung und Ausgabe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Start/Stopp und gespeicherte Ergebnisse; Live-GUI optional</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A12, A13: Datenzuordnung, geordnetes Beenden und gegebenenfalls Anzeige prüfen</w:t>
            </w:r>
          </w:p>
        </w:tc>
      </w:tr>
    </w:tbl>
    <w:p>
      <w:pPr>
        <w:pStyle w:val="Normal"/>
        <w:spacing w:lineRule="auto" w:line="240" w:before="80" w:after="120"/>
        <w:jc w:val="center"/>
        <w:rPr/>
      </w:pPr>
      <w:r>
        <w:rPr>
          <w:i/>
          <w:sz w:val="20"/>
        </w:rPr>
        <w:t>Quelle: Eigene Zusammenführung der Entscheidungen aus den Abschnitten 5.2–5.5.</w:t>
      </w:r>
    </w:p>
    <w:p>
      <w:bookmarkStart w:id="10000" w:name="phone_heading_10000"/>
      <w:pPr>
        <w:pStyle w:val="Heading1"/>
        <w:numPr>
          <w:ilvl w:val="0"/>
          <w:numId w:val="2"/>
        </w:numPr>
        <w:jc w:val="left"/>
      </w:pPr>
      <w:r>
        <w:t>Implementierung und aktueller Versuchsaufbau</w:t>
      </w:r>
      <w:bookmarkEnd w:id="10000"/>
    </w:p>
    <w:p>
      <w:bookmarkStart w:id="10001" w:name="phone_heading_10001"/>
      <w:pPr>
        <w:pStyle w:val="Heading2"/>
        <w:numPr>
          <w:ilvl w:val="1"/>
          <w:numId w:val="2"/>
        </w:numPr>
        <w:jc w:val="left"/>
      </w:pPr>
      <w:r>
        <w:t>Ziel und Abgrenzung des Handyversuchs</w:t>
      </w:r>
      <w:bookmarkEnd w:id="10001"/>
    </w:p>
    <w:p>
      <w:r>
        <w:t>Der aktuelle Vergleich untersucht, wie RMS, Isolation Forest und Autoencoder auf eine zusätzliche, über den Tisch eingeleitete Vibration reagieren. Die Anregung entsteht durch einen Anruf auf einem auf dem Tisch liegenden Handy. Der Lüfter bleibt am Betriebspunkt 75 % PWM. Eine Platte vor dem Luftauslass gehört nicht zu diesem Versuch. Die Handyvibration ist eine äußere mechanische Anregung und kein nachgewiesener innerer Lüfter- oder Lagerschaden.</w:t>
      </w:r>
    </w:p>
    <w:p>
      <w:r>
        <w:t>Die Hardwareauswahl aus Kapitel 5 bleibt bestehen. Geändert sind die Art der Anregung, das Versuchsprotokoll und der verwendete Software-/Modellstand. Die am 19. September gespeicherten Aufnahmen verwenden das Normalprofil standlauf_pwm75_200hz vom 18. September. Es ist nicht identisch mit dem früheren v4-Paket. Deshalb werden die früheren Erkennungs- und Ressourcenwerte nicht als Messungen des neuen Versuchs ausgegeben. Innerhalb der Handyreihe bleiben Modellartefakte, Scaler und Schwellen unverändert.</w:t>
      </w:r>
    </w:p>
    <w:p>
      <w:r>
        <w:t>Die Untersuchung besitzt drei Ebenen: Einzelprozesse zeigen die jeweilige Methode ohne die beiden anderen Auswerter; ein Offline-Replay vergleicht alle Methoden auf denselben gespeicherten Rohfenstern; der gemeinsame Live-Lauf vergleicht zusätzlich die tatsächlichen Ausgabezeitpunkte auf einer gemeinsamen Aufnahme. Nur der letzte Modus verbindet identische aktuelle Sensoreingaben mit gleichzeitig aktiven Auswertern.</w:t>
      </w:r>
    </w:p>
    <w:p>
      <w:bookmarkStart w:id="10002" w:name="phone_heading_10002"/>
      <w:pPr>
        <w:pStyle w:val="Heading2"/>
        <w:numPr>
          <w:ilvl w:val="1"/>
          <w:numId w:val="2"/>
        </w:numPr>
        <w:jc w:val="left"/>
      </w:pPr>
      <w:r>
        <w:t>Hardware und mechanischer Übertragungsweg</w:t>
      </w:r>
      <w:bookmarkEnd w:id="10002"/>
    </w:p>
    <w:p>
      <w:r>
        <w:t>Der Aufbau besteht aus einem Raspberry Pi 5, einem über I²C angeschlossenen ADXL345 und einem ARCTIC P12 Pro PST mit externer 12-V-Versorgung. Die zuvor beschriebene Befestigung des Sensors am feststehenden Lüfterrahmen bleibt die dokumentierte Hardwaregrundlage. Im aktuellen Profil ist die feste Montage als vom Nutzer bestätigt vermerkt. Eine neue metrische Vermessung der Orientierung oder der mechanischen Übertragungsfunktion liegt nicht vor.</w:t>
      </w:r>
    </w:p>
    <w:p>
      <w:r>
        <w:t>Das Handy regt den Tisch an; die über den Aufbau übertragene Bewegung wird am ADXL345 erfasst. Für einen Vergleich zwischen getrennten Anrufen wären unveränderte Handyposition, Auflage, Vibrationsmuster und Umgebungsbedingungen erforderlich. Diese Gleichheit ist eine Versuchsannahme, keine durch zusätzliche Sensoren bestätigte Tatsache. Das vorbereitete Planungsdokument enthält keine vollständig bestätigte Handybeschreibung oder Geometrie. Das eingefrorene Paket ist deshalb als Entwicklungs-/Pilotstand zu behandeln. Im gemeinsamen Live-Lauf ist die Gleichheit der Eingaben dagegen unmittelbar durch den gemeinsamen Rohdatenstrom und Fensterhashes belegt.</w:t>
      </w:r>
    </w:p>
    <w:p>
      <w:pPr>
        <w:keepNext/>
        <w:spacing w:after="0"/>
        <w:jc w:val="center"/>
      </w:pPr>
      <w:r/>
      <w:r>
        <w:drawing>
          <wp:inline xmlns:a="http://schemas.openxmlformats.org/drawingml/2006/main">
            <wp:extent cx="5760000" cy="3233684"/>
            <wp:docPr id="2" name="Picture 2"/>
            <wp:cNvGraphicFramePr>
              <a:graphicFrameLocks noChangeAspect="1"/>
            </wp:cNvGraphicFramePr>
            <a:graphic>
              <a:graphicData uri="http://schemas.openxmlformats.org/drawingml/2006/picture">
                <pic:pic>
                  <pic:nvPicPr>
                    <pic:cNvPr id="0" name="setup.png"/>
                    <pic:cNvPicPr/>
                  </pic:nvPicPr>
                  <pic:blipFill>
                    <a:blip r:embed="rId72"/>
                    <a:stretch>
                      <a:fillRect/>
                    </a:stretch>
                  </pic:blipFill>
                  <pic:spPr>
                    <a:xfrm>
                      <a:off x="0" y="0"/>
                      <a:ext cx="5760000" cy="3233684"/>
                    </a:xfrm>
                    <a:prstGeom prst="rect"/>
                  </pic:spPr>
                </pic:pic>
              </a:graphicData>
            </a:graphic>
          </wp:inline>
        </w:drawing>
      </w:r>
    </w:p>
    <w:p>
      <w:bookmarkStart w:id="10003" w:name="phone_figure_10003"/>
      <w:pPr>
        <w:pStyle w:val="Abbildungsbeschriftung"/>
      </w:pPr>
      <w:r>
        <w:t>Abbildung 6-1: Schematischer Aufbau des Handyversuchs. Die Darstellung erklärt den vorgesehenen Übertragungsweg; sie ist kein Foto und bestätigt keine nicht vermessene Geometrie. Quelle: eigene Darstellung anhand von B12.</w:t>
      </w:r>
      <w:bookmarkEnd w:id="10003"/>
    </w:p>
    <w:p>
      <w:bookmarkStart w:id="10004" w:name="phone_table_10004"/>
      <w:pPr>
        <w:pStyle w:val="Tabellenbeschriftung"/>
      </w:pPr>
      <w:r>
        <w:t>Tabelle 6-1: Hardware und Betriebszustand der Handyreihe</w:t>
      </w:r>
      <w:bookmarkEnd w:id="10004"/>
    </w:p>
    <w:tbl>
      <w:tblPr>
        <w:tblStyle w:val="Tabellenraster"/>
        <w:jc w:val="center"/>
        <w:tblLayout w:type="fixed"/>
        <w:tblLook w:firstColumn="1" w:firstRow="1" w:lastColumn="0" w:lastRow="0" w:noHBand="0" w:noVBand="1" w:val="04A0"/>
        <w:tblW w:w="9071" w:type="dxa"/>
      </w:tblPr>
      <w:tblGrid>
        <w:gridCol w:w="1984"/>
        <w:gridCol w:w="2665"/>
        <w:gridCol w:w="4422"/>
      </w:tblGrid>
      <w:tr>
        <w:trPr>
          <w:cantSplit/>
          <w:tblHeader/>
        </w:trPr>
        <w:tc>
          <w:tcPr>
            <w:tcW w:type="dxa" w:w="1984"/>
            <w:vAlign w:val="center"/>
            <w:shd w:fill="E7EDF2" w:val="clear"/>
          </w:tcPr>
          <w:p>
            <w:pPr>
              <w:keepNext/>
              <w:keepLines/>
              <w:spacing w:line="240" w:lineRule="auto" w:before="40" w:after="40"/>
              <w:jc w:val="left"/>
            </w:pPr>
            <w:r>
              <w:rPr>
                <w:rFonts w:ascii="Calibri" w:hAnsi="Calibri"/>
                <w:b/>
                <w:sz w:val="19"/>
              </w:rPr>
              <w:t>Bestandteil</w:t>
            </w:r>
          </w:p>
        </w:tc>
        <w:tc>
          <w:tcPr>
            <w:tcW w:type="dxa" w:w="2665"/>
            <w:vAlign w:val="center"/>
            <w:shd w:fill="E7EDF2" w:val="clear"/>
          </w:tcPr>
          <w:p>
            <w:pPr>
              <w:keepNext/>
              <w:keepLines/>
              <w:spacing w:line="240" w:lineRule="auto" w:before="40" w:after="40"/>
              <w:jc w:val="left"/>
            </w:pPr>
            <w:r>
              <w:rPr>
                <w:rFonts w:ascii="Calibri" w:hAnsi="Calibri"/>
                <w:b/>
                <w:sz w:val="19"/>
              </w:rPr>
              <w:t>Dokumentierter Stand</w:t>
            </w:r>
          </w:p>
        </w:tc>
        <w:tc>
          <w:tcPr>
            <w:tcW w:type="dxa" w:w="4422"/>
            <w:vAlign w:val="center"/>
            <w:shd w:fill="E7EDF2" w:val="clear"/>
          </w:tcPr>
          <w:p>
            <w:pPr>
              <w:keepNext/>
              <w:keepLines/>
              <w:spacing w:line="240" w:lineRule="auto" w:before="40" w:after="40"/>
              <w:jc w:val="left"/>
            </w:pPr>
            <w:r>
              <w:rPr>
                <w:rFonts w:ascii="Calibri" w:hAnsi="Calibri"/>
                <w:b/>
                <w:sz w:val="19"/>
              </w:rPr>
              <w:t>Grenze des Nachweises</w:t>
            </w:r>
          </w:p>
        </w:tc>
      </w:tr>
      <w:tr>
        <w:trPr>
          <w:cantSplit/>
        </w:trPr>
        <w:tc>
          <w:tcPr>
            <w:tcW w:type="dxa" w:w="1984"/>
            <w:vAlign w:val="center"/>
          </w:tcPr>
          <w:p>
            <w:pPr>
              <w:keepNext/>
              <w:keepLines/>
              <w:spacing w:line="240" w:lineRule="auto" w:before="40" w:after="40"/>
              <w:jc w:val="left"/>
            </w:pPr>
            <w:r>
              <w:rPr>
                <w:rFonts w:ascii="Calibri" w:hAnsi="Calibri"/>
                <w:b w:val="0"/>
                <w:sz w:val="19"/>
              </w:rPr>
              <w:t>Zielrechner</w:t>
            </w:r>
          </w:p>
        </w:tc>
        <w:tc>
          <w:tcPr>
            <w:tcW w:type="dxa" w:w="2665"/>
            <w:vAlign w:val="center"/>
          </w:tcPr>
          <w:p>
            <w:pPr>
              <w:keepNext/>
              <w:keepLines/>
              <w:spacing w:line="240" w:lineRule="auto" w:before="40" w:after="40"/>
              <w:jc w:val="left"/>
            </w:pPr>
            <w:r>
              <w:rPr>
                <w:rFonts w:ascii="Calibri" w:hAnsi="Calibri"/>
                <w:b w:val="0"/>
                <w:sz w:val="19"/>
              </w:rPr>
              <w:t>Raspberry Pi 5, ARM64, vier logische Kerne</w:t>
            </w:r>
          </w:p>
        </w:tc>
        <w:tc>
          <w:tcPr>
            <w:tcW w:type="dxa" w:w="4422"/>
            <w:vAlign w:val="center"/>
          </w:tcPr>
          <w:p>
            <w:pPr>
              <w:keepNext/>
              <w:keepLines/>
              <w:spacing w:line="240" w:lineRule="auto" w:before="40" w:after="40"/>
              <w:jc w:val="left"/>
            </w:pPr>
            <w:r>
              <w:rPr>
                <w:rFonts w:ascii="Calibri" w:hAnsi="Calibri"/>
                <w:b w:val="0"/>
                <w:sz w:val="19"/>
              </w:rPr>
              <w:t>Keine Aussage über andere Rechner</w:t>
            </w:r>
          </w:p>
        </w:tc>
      </w:tr>
      <w:tr>
        <w:trPr>
          <w:cantSplit/>
        </w:trPr>
        <w:tc>
          <w:tcPr>
            <w:tcW w:type="dxa" w:w="1984"/>
            <w:vAlign w:val="center"/>
          </w:tcPr>
          <w:p>
            <w:pPr>
              <w:keepNext/>
              <w:keepLines/>
              <w:spacing w:line="240" w:lineRule="auto" w:before="40" w:after="40"/>
              <w:jc w:val="left"/>
            </w:pPr>
            <w:r>
              <w:rPr>
                <w:rFonts w:ascii="Calibri" w:hAnsi="Calibri"/>
                <w:b w:val="0"/>
                <w:sz w:val="19"/>
              </w:rPr>
              <w:t>Lüfter</w:t>
            </w:r>
          </w:p>
        </w:tc>
        <w:tc>
          <w:tcPr>
            <w:tcW w:type="dxa" w:w="2665"/>
            <w:vAlign w:val="center"/>
          </w:tcPr>
          <w:p>
            <w:pPr>
              <w:keepNext/>
              <w:keepLines/>
              <w:spacing w:line="240" w:lineRule="auto" w:before="40" w:after="40"/>
              <w:jc w:val="left"/>
            </w:pPr>
            <w:r>
              <w:rPr>
                <w:rFonts w:ascii="Calibri" w:hAnsi="Calibri"/>
                <w:b w:val="0"/>
                <w:sz w:val="19"/>
              </w:rPr>
              <w:t>ARCTIC P12 Pro PST, externe 12 V</w:t>
            </w:r>
          </w:p>
        </w:tc>
        <w:tc>
          <w:tcPr>
            <w:tcW w:type="dxa" w:w="4422"/>
            <w:vAlign w:val="center"/>
          </w:tcPr>
          <w:p>
            <w:pPr>
              <w:keepNext/>
              <w:keepLines/>
              <w:spacing w:line="240" w:lineRule="auto" w:before="40" w:after="40"/>
              <w:jc w:val="left"/>
            </w:pPr>
            <w:r>
              <w:rPr>
                <w:rFonts w:ascii="Calibri" w:hAnsi="Calibri"/>
                <w:b w:val="0"/>
                <w:sz w:val="19"/>
              </w:rPr>
              <w:t>Keine kontinuierliche Spannungs- oder Drehzahlmessung</w:t>
            </w:r>
          </w:p>
        </w:tc>
      </w:tr>
      <w:tr>
        <w:trPr>
          <w:cantSplit/>
        </w:trPr>
        <w:tc>
          <w:tcPr>
            <w:tcW w:type="dxa" w:w="1984"/>
            <w:vAlign w:val="center"/>
          </w:tcPr>
          <w:p>
            <w:pPr>
              <w:keepNext/>
              <w:keepLines/>
              <w:spacing w:line="240" w:lineRule="auto" w:before="40" w:after="40"/>
              <w:jc w:val="left"/>
            </w:pPr>
            <w:r>
              <w:rPr>
                <w:rFonts w:ascii="Calibri" w:hAnsi="Calibri"/>
                <w:b w:val="0"/>
                <w:sz w:val="19"/>
              </w:rPr>
              <w:t>Sensor</w:t>
            </w:r>
          </w:p>
        </w:tc>
        <w:tc>
          <w:tcPr>
            <w:tcW w:type="dxa" w:w="2665"/>
            <w:vAlign w:val="center"/>
          </w:tcPr>
          <w:p>
            <w:pPr>
              <w:keepNext/>
              <w:keepLines/>
              <w:spacing w:line="240" w:lineRule="auto" w:before="40" w:after="40"/>
              <w:jc w:val="left"/>
            </w:pPr>
            <w:r>
              <w:rPr>
                <w:rFonts w:ascii="Calibri" w:hAnsi="Calibri"/>
                <w:b w:val="0"/>
                <w:sz w:val="19"/>
              </w:rPr>
              <w:t>ADXL345 am feststehenden Lüfterrahmen</w:t>
            </w:r>
          </w:p>
        </w:tc>
        <w:tc>
          <w:tcPr>
            <w:tcW w:type="dxa" w:w="4422"/>
            <w:vAlign w:val="center"/>
          </w:tcPr>
          <w:p>
            <w:pPr>
              <w:keepNext/>
              <w:keepLines/>
              <w:spacing w:line="240" w:lineRule="auto" w:before="40" w:after="40"/>
              <w:jc w:val="left"/>
            </w:pPr>
            <w:r>
              <w:rPr>
                <w:rFonts w:ascii="Calibri" w:hAnsi="Calibri"/>
                <w:b w:val="0"/>
                <w:sz w:val="19"/>
              </w:rPr>
              <w:t>Orientierung und Übertragungsfunktion nicht kalibriert</w:t>
            </w:r>
          </w:p>
        </w:tc>
      </w:tr>
      <w:tr>
        <w:trPr>
          <w:cantSplit/>
        </w:trPr>
        <w:tc>
          <w:tcPr>
            <w:tcW w:type="dxa" w:w="1984"/>
            <w:vAlign w:val="center"/>
          </w:tcPr>
          <w:p>
            <w:pPr>
              <w:keepNext/>
              <w:keepLines/>
              <w:spacing w:line="240" w:lineRule="auto" w:before="40" w:after="40"/>
              <w:jc w:val="left"/>
            </w:pPr>
            <w:r>
              <w:rPr>
                <w:rFonts w:ascii="Calibri" w:hAnsi="Calibri"/>
                <w:b w:val="0"/>
                <w:sz w:val="19"/>
              </w:rPr>
              <w:t>Stellanschluss</w:t>
            </w:r>
          </w:p>
        </w:tc>
        <w:tc>
          <w:tcPr>
            <w:tcW w:type="dxa" w:w="2665"/>
            <w:vAlign w:val="center"/>
          </w:tcPr>
          <w:p>
            <w:pPr>
              <w:keepNext/>
              <w:keepLines/>
              <w:spacing w:line="240" w:lineRule="auto" w:before="40" w:after="40"/>
              <w:jc w:val="left"/>
            </w:pPr>
            <w:r>
              <w:rPr>
                <w:rFonts w:ascii="Calibri" w:hAnsi="Calibri"/>
                <w:b w:val="0"/>
                <w:sz w:val="19"/>
              </w:rPr>
              <w:t>BCM-GPIO18, physischer Pin 12; Hardware-PWM</w:t>
            </w:r>
          </w:p>
        </w:tc>
        <w:tc>
          <w:tcPr>
            <w:tcW w:type="dxa" w:w="4422"/>
            <w:vAlign w:val="center"/>
          </w:tcPr>
          <w:p>
            <w:pPr>
              <w:keepNext/>
              <w:keepLines/>
              <w:spacing w:line="240" w:lineRule="auto" w:before="40" w:after="40"/>
              <w:jc w:val="left"/>
            </w:pPr>
            <w:r>
              <w:rPr>
                <w:rFonts w:ascii="Calibri" w:hAnsi="Calibri"/>
                <w:b w:val="0"/>
                <w:sz w:val="19"/>
              </w:rPr>
              <w:t>Rücklesung der Einstellung, keine elektrische Signalprüfung</w:t>
            </w:r>
          </w:p>
        </w:tc>
      </w:tr>
      <w:tr>
        <w:trPr>
          <w:cantSplit/>
        </w:trPr>
        <w:tc>
          <w:tcPr>
            <w:tcW w:type="dxa" w:w="1984"/>
            <w:vAlign w:val="center"/>
          </w:tcPr>
          <w:p>
            <w:pPr>
              <w:keepNext/>
              <w:keepLines/>
              <w:spacing w:line="240" w:lineRule="auto" w:before="40" w:after="40"/>
              <w:jc w:val="left"/>
            </w:pPr>
            <w:r>
              <w:rPr>
                <w:rFonts w:ascii="Calibri" w:hAnsi="Calibri"/>
                <w:b w:val="0"/>
                <w:sz w:val="19"/>
              </w:rPr>
              <w:t>Betriebspunkt</w:t>
            </w:r>
          </w:p>
        </w:tc>
        <w:tc>
          <w:tcPr>
            <w:tcW w:type="dxa" w:w="2665"/>
            <w:vAlign w:val="center"/>
          </w:tcPr>
          <w:p>
            <w:pPr>
              <w:keepNext/>
              <w:keepLines/>
              <w:spacing w:line="240" w:lineRule="auto" w:before="40" w:after="40"/>
              <w:jc w:val="left"/>
            </w:pPr>
            <w:r>
              <w:rPr>
                <w:rFonts w:ascii="Calibri" w:hAnsi="Calibri"/>
                <w:b w:val="0"/>
                <w:sz w:val="19"/>
              </w:rPr>
              <w:t>75 % Tastgrad bei 25 kHz</w:t>
            </w:r>
          </w:p>
        </w:tc>
        <w:tc>
          <w:tcPr>
            <w:tcW w:type="dxa" w:w="4422"/>
            <w:vAlign w:val="center"/>
          </w:tcPr>
          <w:p>
            <w:pPr>
              <w:keepNext/>
              <w:keepLines/>
              <w:spacing w:line="240" w:lineRule="auto" w:before="40" w:after="40"/>
              <w:jc w:val="left"/>
            </w:pPr>
            <w:r>
              <w:rPr>
                <w:rFonts w:ascii="Calibri" w:hAnsi="Calibri"/>
                <w:b w:val="0"/>
                <w:sz w:val="19"/>
              </w:rPr>
              <w:t>Keine Gleichsetzung mit 75 % Drehzahl</w:t>
            </w:r>
          </w:p>
        </w:tc>
      </w:tr>
      <w:tr>
        <w:trPr>
          <w:cantSplit/>
        </w:trPr>
        <w:tc>
          <w:tcPr>
            <w:tcW w:type="dxa" w:w="1984"/>
            <w:vAlign w:val="center"/>
          </w:tcPr>
          <w:p>
            <w:pPr>
              <w:keepNext/>
              <w:keepLines/>
              <w:spacing w:line="240" w:lineRule="auto" w:before="40" w:after="40"/>
              <w:jc w:val="left"/>
            </w:pPr>
            <w:r>
              <w:rPr>
                <w:rFonts w:ascii="Calibri" w:hAnsi="Calibri"/>
                <w:b w:val="0"/>
                <w:sz w:val="19"/>
              </w:rPr>
              <w:t>Anregung</w:t>
            </w:r>
          </w:p>
        </w:tc>
        <w:tc>
          <w:tcPr>
            <w:tcW w:type="dxa" w:w="2665"/>
            <w:vAlign w:val="center"/>
          </w:tcPr>
          <w:p>
            <w:pPr>
              <w:keepNext/>
              <w:keepLines/>
              <w:spacing w:line="240" w:lineRule="auto" w:before="40" w:after="40"/>
              <w:jc w:val="left"/>
            </w:pPr>
            <w:r>
              <w:rPr>
                <w:rFonts w:ascii="Calibri" w:hAnsi="Calibri"/>
                <w:b w:val="0"/>
                <w:sz w:val="19"/>
              </w:rPr>
              <w:t>Handyvibration auf dem Tisch durch Anruf</w:t>
            </w:r>
          </w:p>
        </w:tc>
        <w:tc>
          <w:tcPr>
            <w:tcW w:type="dxa" w:w="4422"/>
            <w:vAlign w:val="center"/>
          </w:tcPr>
          <w:p>
            <w:pPr>
              <w:keepNext/>
              <w:keepLines/>
              <w:spacing w:line="240" w:lineRule="auto" w:before="40" w:after="40"/>
              <w:jc w:val="left"/>
            </w:pPr>
            <w:r>
              <w:rPr>
                <w:rFonts w:ascii="Calibri" w:hAnsi="Calibri"/>
                <w:b w:val="0"/>
                <w:sz w:val="19"/>
              </w:rPr>
              <w:t>Beginn, Ende und Amplitude nicht unabhängig gemessen</w:t>
            </w:r>
          </w:p>
        </w:tc>
      </w:tr>
      <w:tr>
        <w:trPr>
          <w:cantSplit/>
        </w:trPr>
        <w:tc>
          <w:tcPr>
            <w:tcW w:type="dxa" w:w="1984"/>
            <w:vAlign w:val="center"/>
          </w:tcPr>
          <w:p>
            <w:pPr>
              <w:keepNext w:val="0"/>
              <w:keepLines/>
              <w:spacing w:line="240" w:lineRule="auto" w:before="40" w:after="40"/>
              <w:jc w:val="left"/>
            </w:pPr>
            <w:r>
              <w:rPr>
                <w:rFonts w:ascii="Calibri" w:hAnsi="Calibri"/>
                <w:b w:val="0"/>
                <w:sz w:val="19"/>
              </w:rPr>
              <w:t>Vergleichseinheit</w:t>
            </w:r>
          </w:p>
        </w:tc>
        <w:tc>
          <w:tcPr>
            <w:tcW w:type="dxa" w:w="2665"/>
            <w:vAlign w:val="center"/>
          </w:tcPr>
          <w:p>
            <w:pPr>
              <w:keepNext w:val="0"/>
              <w:keepLines/>
              <w:spacing w:line="240" w:lineRule="auto" w:before="40" w:after="40"/>
              <w:jc w:val="left"/>
            </w:pPr>
            <w:r>
              <w:rPr>
                <w:rFonts w:ascii="Calibri" w:hAnsi="Calibri"/>
                <w:b w:val="0"/>
                <w:sz w:val="19"/>
              </w:rPr>
              <w:t>128 aufeinanderfolgende XYZ-Punkte</w:t>
            </w:r>
          </w:p>
        </w:tc>
        <w:tc>
          <w:tcPr>
            <w:tcW w:type="dxa" w:w="4422"/>
            <w:vAlign w:val="center"/>
          </w:tcPr>
          <w:p>
            <w:pPr>
              <w:keepNext w:val="0"/>
              <w:keepLines/>
              <w:spacing w:line="240" w:lineRule="auto" w:before="40" w:after="40"/>
              <w:jc w:val="left"/>
            </w:pPr>
            <w:r>
              <w:rPr>
                <w:rFonts w:ascii="Calibri" w:hAnsi="Calibri"/>
                <w:b w:val="0"/>
                <w:sz w:val="19"/>
              </w:rPr>
              <w:t>Fenster sind innerhalb eines Ereignisses zeitlich abhängig</w:t>
            </w:r>
          </w:p>
        </w:tc>
      </w:tr>
    </w:tbl>
    <w:p>
      <w:bookmarkStart w:id="10005" w:name="phone_heading_10005"/>
      <w:pPr>
        <w:pStyle w:val="Heading2"/>
        <w:numPr>
          <w:ilvl w:val="1"/>
          <w:numId w:val="2"/>
        </w:numPr>
        <w:jc w:val="left"/>
      </w:pPr>
      <w:r>
        <w:t>PWM, Sensor und Zeitbasis</w:t>
      </w:r>
      <w:bookmarkEnd w:id="10005"/>
    </w:p>
    <w:p>
      <w:r>
        <w:t>Die protokollierte Hardware-PWM besitzt eine Periode von 40.000 ns, eine Einschaltdauer von 30.000 ns und enable = 1; daraus folgen 25 kHz und 75 % Tastgrad. Diese Einstellung wird vor den Aufnahmen zurückgelesen. Die Erkennung steuert den Lüfter nicht. Das Ende der Handyaufzeichnung ist daher nicht mit einem automatisch ausgeführten 0-%-Befehl gleichzusetzen. Der Betriebspunkt wird in dieser Revision weder geändert noch aus einer Scoreüberschreitung neu berechnet.</w:t>
      </w:r>
    </w:p>
    <w:p>
      <w:r>
        <w:t>Der ADXL345 arbeitet nominell mit 200 Hz, ±2 g, voller Auflösung und FIFO-Stream-Erfassung. Der Umrechnungsfaktor beträgt 0,0039 g pro LSB. I²C-Bus 1 ist mit 100 kHz konfiguriert. Registerrücklesungen und Qualitätsmerkmale sind in run.json und den Rohjournalen enthalten. Ein CSV-Datensatz enthält einen XYZ-Messpunkt, keine drei getrennten Zeitpunkte.</w:t>
      </w:r>
    </w:p>
    <w:p>
      <w:r>
        <w:t>Die monotone Host-Uhr dokumentiert den Abschluss der Messpunktlesung, der Fensterbildung und der Entscheidung. UTC dient der Zuordnung von Bedienereignissen. Nominell dauert ein nicht überlappendes Fenster 128/200 = 0,640 s. Aus den Host-Zeitstempeln ergeben sich in den ausgewählten Aufnahmen rund 207 XYZ-Punkte pro Sekunde beziehungsweise etwa 0,617 s pro Fenster. Diese Beobachtung ist keine unabhängige Messung des internen Sensortakts; die Abweichung bleibt offengelegt. Die Fensterfüllzeit gehört zur praktischen Alarmverzögerung, nicht zur nachfolgend gemessenen reinen Verarbeitung eines bereits vollständigen Fensters.</w:t>
      </w:r>
    </w:p>
    <w:p>
      <w:r>
        <w:t>Bei erkannten Datenlücken, Überläufen oder Sättigung wird ein Fenster nicht stillschweigend als normal gewertet. Unvollständige Reste werden gespeichert, aber nicht durch künstliche Werte zu vollständigen Fenstern ergänzt. Die begrenzte Queue umfasst vier Fenster. Im gemeinsamen Lauf wurde höchstens ein wartendes Fenster protokolliert.</w:t>
      </w:r>
    </w:p>
    <w:p>
      <w:bookmarkStart w:id="10006" w:name="phone_heading_10006"/>
      <w:pPr>
        <w:pStyle w:val="Heading2"/>
        <w:numPr>
          <w:ilvl w:val="1"/>
          <w:numId w:val="2"/>
        </w:numPr>
        <w:jc w:val="left"/>
      </w:pPr>
      <w:r>
        <w:t>Vorverarbeitung und Modellstände</w:t>
      </w:r>
      <w:bookmarkEnd w:id="10006"/>
    </w:p>
    <w:p>
      <w:r>
        <w:t>Der aktuelle Pfad verarbeitet die Achsen X, Y und Z in fester Reihenfolge als Float32. Er verwendet die auf normalen Trainingsdaten bestimmten Mittelwerte μ und Standardabweichungen σ: z = (x − μ) / σ. Der gleiche Scaler wird für alle drei Methoden eingesetzt. Im aktuellen Handy-Pfad wird vorher kein eigener Mittelwert je Fenster entfernt. Das ist ein wesentlicher Unterschied zum früheren v4-Pfad mit fensterweiser Zentrierung. Die beiden Modellstände dürfen deshalb trotz gleicher Hardware und gleicher Fenstergröße nicht vermischt werden.</w:t>
      </w:r>
    </w:p>
    <w:p>
      <w:bookmarkStart w:id="10007" w:name="phone_table_10007"/>
      <w:pPr>
        <w:pStyle w:val="Tabellenbeschriftung"/>
      </w:pPr>
      <w:r>
        <w:t>Tabelle 6-2: Festgelegte Skalierung des aktuellen Normalprofils, gerundet</w:t>
      </w:r>
      <w:bookmarkEnd w:id="10007"/>
    </w:p>
    <w:tbl>
      <w:tblPr>
        <w:tblStyle w:val="Tabellenraster"/>
        <w:jc w:val="center"/>
        <w:tblLayout w:type="fixed"/>
        <w:tblLook w:firstColumn="1" w:firstRow="1" w:lastColumn="0" w:lastRow="0" w:noHBand="0" w:noVBand="1" w:val="04A0"/>
        <w:tblW w:w="9071" w:type="dxa"/>
      </w:tblPr>
      <w:tblGrid>
        <w:gridCol w:w="1984"/>
        <w:gridCol w:w="2665"/>
        <w:gridCol w:w="4422"/>
      </w:tblGrid>
      <w:tr>
        <w:trPr>
          <w:cantSplit/>
          <w:tblHeader/>
        </w:trPr>
        <w:tc>
          <w:tcPr>
            <w:tcW w:type="dxa" w:w="1984"/>
            <w:vAlign w:val="center"/>
            <w:shd w:fill="E7EDF2" w:val="clear"/>
          </w:tcPr>
          <w:p>
            <w:pPr>
              <w:keepNext/>
              <w:keepLines/>
              <w:spacing w:line="240" w:lineRule="auto" w:before="40" w:after="40"/>
              <w:jc w:val="left"/>
            </w:pPr>
            <w:r>
              <w:rPr>
                <w:rFonts w:ascii="Calibri" w:hAnsi="Calibri"/>
                <w:b/>
                <w:sz w:val="19"/>
              </w:rPr>
              <w:t>Achse</w:t>
            </w:r>
          </w:p>
        </w:tc>
        <w:tc>
          <w:tcPr>
            <w:tcW w:type="dxa" w:w="2665"/>
            <w:vAlign w:val="center"/>
            <w:shd w:fill="E7EDF2" w:val="clear"/>
          </w:tcPr>
          <w:p>
            <w:pPr>
              <w:keepNext/>
              <w:keepLines/>
              <w:spacing w:line="240" w:lineRule="auto" w:before="40" w:after="40"/>
              <w:jc w:val="left"/>
            </w:pPr>
            <w:r>
              <w:rPr>
                <w:rFonts w:ascii="Calibri" w:hAnsi="Calibri"/>
                <w:b/>
                <w:sz w:val="19"/>
              </w:rPr>
              <w:t>Trainingsmittelwert μ [g]</w:t>
            </w:r>
          </w:p>
        </w:tc>
        <w:tc>
          <w:tcPr>
            <w:tcW w:type="dxa" w:w="4422"/>
            <w:vAlign w:val="center"/>
            <w:shd w:fill="E7EDF2" w:val="clear"/>
          </w:tcPr>
          <w:p>
            <w:pPr>
              <w:keepNext/>
              <w:keepLines/>
              <w:spacing w:line="240" w:lineRule="auto" w:before="40" w:after="40"/>
              <w:jc w:val="left"/>
            </w:pPr>
            <w:r>
              <w:rPr>
                <w:rFonts w:ascii="Calibri" w:hAnsi="Calibri"/>
                <w:b/>
                <w:sz w:val="19"/>
              </w:rPr>
              <w:t>Trainingsstandardabweichung σ [g]</w:t>
            </w:r>
          </w:p>
        </w:tc>
      </w:tr>
      <w:tr>
        <w:trPr>
          <w:cantSplit/>
        </w:trPr>
        <w:tc>
          <w:tcPr>
            <w:tcW w:type="dxa" w:w="1984"/>
            <w:vAlign w:val="center"/>
          </w:tcPr>
          <w:p>
            <w:pPr>
              <w:keepNext/>
              <w:keepLines/>
              <w:spacing w:line="240" w:lineRule="auto" w:before="40" w:after="40"/>
              <w:jc w:val="left"/>
            </w:pPr>
            <w:r>
              <w:rPr>
                <w:rFonts w:ascii="Calibri" w:hAnsi="Calibri"/>
                <w:b w:val="0"/>
                <w:sz w:val="19"/>
              </w:rPr>
              <w:t>X</w:t>
            </w:r>
          </w:p>
        </w:tc>
        <w:tc>
          <w:tcPr>
            <w:tcW w:type="dxa" w:w="2665"/>
            <w:vAlign w:val="center"/>
          </w:tcPr>
          <w:p>
            <w:pPr>
              <w:keepNext/>
              <w:keepLines/>
              <w:spacing w:line="240" w:lineRule="auto" w:before="40" w:after="40"/>
              <w:jc w:val="right"/>
            </w:pPr>
            <w:r>
              <w:rPr>
                <w:rFonts w:ascii="Calibri" w:hAnsi="Calibri"/>
                <w:b w:val="0"/>
                <w:sz w:val="19"/>
              </w:rPr>
              <w:t>−0,624318715</w:t>
            </w:r>
          </w:p>
        </w:tc>
        <w:tc>
          <w:tcPr>
            <w:tcW w:type="dxa" w:w="4422"/>
            <w:vAlign w:val="center"/>
          </w:tcPr>
          <w:p>
            <w:pPr>
              <w:keepNext/>
              <w:keepLines/>
              <w:spacing w:line="240" w:lineRule="auto" w:before="40" w:after="40"/>
              <w:jc w:val="right"/>
            </w:pPr>
            <w:r>
              <w:rPr>
                <w:rFonts w:ascii="Calibri" w:hAnsi="Calibri"/>
                <w:b w:val="0"/>
                <w:sz w:val="19"/>
              </w:rPr>
              <w:t>0,028777793</w:t>
            </w:r>
          </w:p>
        </w:tc>
      </w:tr>
      <w:tr>
        <w:trPr>
          <w:cantSplit/>
        </w:trPr>
        <w:tc>
          <w:tcPr>
            <w:tcW w:type="dxa" w:w="1984"/>
            <w:vAlign w:val="center"/>
          </w:tcPr>
          <w:p>
            <w:pPr>
              <w:keepNext/>
              <w:keepLines/>
              <w:spacing w:line="240" w:lineRule="auto" w:before="40" w:after="40"/>
              <w:jc w:val="left"/>
            </w:pPr>
            <w:r>
              <w:rPr>
                <w:rFonts w:ascii="Calibri" w:hAnsi="Calibri"/>
                <w:b w:val="0"/>
                <w:sz w:val="19"/>
              </w:rPr>
              <w:t>Y</w:t>
            </w:r>
          </w:p>
        </w:tc>
        <w:tc>
          <w:tcPr>
            <w:tcW w:type="dxa" w:w="2665"/>
            <w:vAlign w:val="center"/>
          </w:tcPr>
          <w:p>
            <w:pPr>
              <w:keepNext/>
              <w:keepLines/>
              <w:spacing w:line="240" w:lineRule="auto" w:before="40" w:after="40"/>
              <w:jc w:val="right"/>
            </w:pPr>
            <w:r>
              <w:rPr>
                <w:rFonts w:ascii="Calibri" w:hAnsi="Calibri"/>
                <w:b w:val="0"/>
                <w:sz w:val="19"/>
              </w:rPr>
              <w:t>−0,710917289</w:t>
            </w:r>
          </w:p>
        </w:tc>
        <w:tc>
          <w:tcPr>
            <w:tcW w:type="dxa" w:w="4422"/>
            <w:vAlign w:val="center"/>
          </w:tcPr>
          <w:p>
            <w:pPr>
              <w:keepNext/>
              <w:keepLines/>
              <w:spacing w:line="240" w:lineRule="auto" w:before="40" w:after="40"/>
              <w:jc w:val="right"/>
            </w:pPr>
            <w:r>
              <w:rPr>
                <w:rFonts w:ascii="Calibri" w:hAnsi="Calibri"/>
                <w:b w:val="0"/>
                <w:sz w:val="19"/>
              </w:rPr>
              <w:t>0,024151856</w:t>
            </w:r>
          </w:p>
        </w:tc>
      </w:tr>
      <w:tr>
        <w:trPr>
          <w:cantSplit/>
        </w:trPr>
        <w:tc>
          <w:tcPr>
            <w:tcW w:type="dxa" w:w="1984"/>
            <w:vAlign w:val="center"/>
          </w:tcPr>
          <w:p>
            <w:pPr>
              <w:keepNext w:val="0"/>
              <w:keepLines/>
              <w:spacing w:line="240" w:lineRule="auto" w:before="40" w:after="40"/>
              <w:jc w:val="left"/>
            </w:pPr>
            <w:r>
              <w:rPr>
                <w:rFonts w:ascii="Calibri" w:hAnsi="Calibri"/>
                <w:b w:val="0"/>
                <w:sz w:val="19"/>
              </w:rPr>
              <w:t>Z</w:t>
            </w:r>
          </w:p>
        </w:tc>
        <w:tc>
          <w:tcPr>
            <w:tcW w:type="dxa" w:w="2665"/>
            <w:vAlign w:val="center"/>
          </w:tcPr>
          <w:p>
            <w:pPr>
              <w:keepNext w:val="0"/>
              <w:keepLines/>
              <w:spacing w:line="240" w:lineRule="auto" w:before="40" w:after="40"/>
              <w:jc w:val="right"/>
            </w:pPr>
            <w:r>
              <w:rPr>
                <w:rFonts w:ascii="Calibri" w:hAnsi="Calibri"/>
                <w:b w:val="0"/>
                <w:sz w:val="19"/>
              </w:rPr>
              <w:t>0,096116970</w:t>
            </w:r>
          </w:p>
        </w:tc>
        <w:tc>
          <w:tcPr>
            <w:tcW w:type="dxa" w:w="4422"/>
            <w:vAlign w:val="center"/>
          </w:tcPr>
          <w:p>
            <w:pPr>
              <w:keepNext w:val="0"/>
              <w:keepLines/>
              <w:spacing w:line="240" w:lineRule="auto" w:before="40" w:after="40"/>
              <w:jc w:val="right"/>
            </w:pPr>
            <w:r>
              <w:rPr>
                <w:rFonts w:ascii="Calibri" w:hAnsi="Calibri"/>
                <w:b w:val="0"/>
                <w:sz w:val="19"/>
              </w:rPr>
              <w:t>0,080470853</w:t>
            </w:r>
          </w:p>
        </w:tc>
      </w:tr>
    </w:tbl>
    <w:p>
      <w:r>
        <w:t>Der RMS-Score ist die Quadratwurzel des Mittelwerts aller 384 quadrierten standardisierten Werte eines Fensters. Er ist ein dimensionsloser aggregierter Kennwert und nicht der unskalierte Beschleunigungs-RMS in g. Isolation Forest verarbeitet dieselben 384 Werte als abgeflachten Merkmalsvektor. Verwendet werden 200 Bäume, random_state = 42, max_samples = auto, contamination = auto und n_jobs = 1. Der Anomaliescore ist −score_samples; die Entscheidung folgt der separat eingefrorenen P99-Schwelle und nicht unmittelbar der eingebauten predict-Grenze von scikit-learn.</w:t>
      </w:r>
    </w:p>
    <w:p>
      <w:r>
        <w:t>Der Autoencoder rekonstruiert das standardisierte 128 × 3-Fenster. Sein Score ist der mittlere quadratische Rekonstruktionsfehler über alle Zeitpunkte und Achsen. Die Architektur besitzt 507 trainierbare Parameter. Ihre Topologie bleibt gegenüber dem früheren Bericht gleich; gleichbleibende Topologie bedeutet jedoch nicht identische Gewichte oder identische Kalibrierung.</w:t>
      </w:r>
    </w:p>
    <w:p>
      <w:bookmarkStart w:id="10008" w:name="phone_table_10008"/>
      <w:pPr>
        <w:pStyle w:val="Tabellenbeschriftung"/>
      </w:pPr>
      <w:r>
        <w:t>Tabelle 6-3: Architektur des verwendeten Autoencoders</w:t>
      </w:r>
      <w:bookmarkEnd w:id="1000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Stufe</w:t>
            </w:r>
          </w:p>
        </w:tc>
        <w:tc>
          <w:tcPr>
            <w:tcW w:w="2665"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Operation</w:t>
            </w:r>
          </w:p>
        </w:tc>
        <w:tc>
          <w:tcPr>
            <w:tcW w:w="4424"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Ausgabeform ohne Batchdimension</w:t>
            </w:r>
          </w:p>
        </w:tc>
      </w:tr>
      <w:tr>
        <w:trPr>
          <w:cantSplit w:val="true"/>
        </w:trPr>
        <w:tc>
          <w:tcPr>
            <w:tcW w:w="1982"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Eingabe</w:t>
            </w:r>
          </w:p>
        </w:tc>
        <w:tc>
          <w:tcPr>
            <w:tcW w:w="2665"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Standardisierte XYZ-Werte</w:t>
            </w:r>
          </w:p>
        </w:tc>
        <w:tc>
          <w:tcPr>
            <w:tcW w:w="4424"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r>
        <w:trPr>
          <w:cantSplit w:val="true"/>
        </w:trPr>
        <w:tc>
          <w:tcPr>
            <w:tcW w:w="1982"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1</w:t>
            </w:r>
          </w:p>
        </w:tc>
        <w:tc>
          <w:tcPr>
            <w:tcW w:w="2665"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5; MaxPooling 2</w:t>
            </w:r>
          </w:p>
        </w:tc>
        <w:tc>
          <w:tcPr>
            <w:tcW w:w="4424"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8</w:t>
            </w:r>
          </w:p>
        </w:tc>
      </w:tr>
      <w:tr>
        <w:trPr>
          <w:cantSplit w:val="true"/>
        </w:trPr>
        <w:tc>
          <w:tcPr>
            <w:tcW w:w="1982"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2</w:t>
            </w:r>
          </w:p>
        </w:tc>
        <w:tc>
          <w:tcPr>
            <w:tcW w:w="2665"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MaxPooling 2</w:t>
            </w:r>
          </w:p>
        </w:tc>
        <w:tc>
          <w:tcPr>
            <w:tcW w:w="4424"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 × 4</w:t>
            </w:r>
          </w:p>
        </w:tc>
      </w:tr>
      <w:tr>
        <w:trPr>
          <w:cantSplit w:val="true"/>
        </w:trPr>
        <w:tc>
          <w:tcPr>
            <w:tcW w:w="1982"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1</w:t>
            </w:r>
          </w:p>
        </w:tc>
        <w:tc>
          <w:tcPr>
            <w:tcW w:w="2665"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Upsampling 2</w:t>
            </w:r>
          </w:p>
        </w:tc>
        <w:tc>
          <w:tcPr>
            <w:tcW w:w="4424"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4</w:t>
            </w:r>
          </w:p>
        </w:tc>
      </w:tr>
      <w:tr>
        <w:trPr>
          <w:cantSplit w:val="true"/>
        </w:trPr>
        <w:tc>
          <w:tcPr>
            <w:tcW w:w="1982"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2</w:t>
            </w:r>
          </w:p>
        </w:tc>
        <w:tc>
          <w:tcPr>
            <w:tcW w:w="2665"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3; Upsampling 2</w:t>
            </w:r>
          </w:p>
        </w:tc>
        <w:tc>
          <w:tcPr>
            <w:tcW w:w="4424"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8</w:t>
            </w:r>
          </w:p>
        </w:tc>
      </w:tr>
      <w:tr>
        <w:trPr>
          <w:cantSplit w:val="true"/>
        </w:trPr>
        <w:tc>
          <w:tcPr>
            <w:tcW w:w="1982" w:type="dxa"/>
            <w:tcBorders/>
            <w:vAlign w:val="center"/>
          </w:tcPr>
          <w:p>
            <w:pPr>
              <w:pStyle w:val="Normal"/>
              <w:keepNext w:val="0"/>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Rekonstruktion</w:t>
            </w:r>
          </w:p>
        </w:tc>
        <w:tc>
          <w:tcPr>
            <w:tcW w:w="2665" w:type="dxa"/>
            <w:tcBorders/>
            <w:vAlign w:val="center"/>
          </w:tcPr>
          <w:p>
            <w:pPr>
              <w:pStyle w:val="Normal"/>
              <w:keepNext w:val="0"/>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3 Filter, Kernel 5; linear</w:t>
            </w:r>
          </w:p>
        </w:tc>
        <w:tc>
          <w:tcPr>
            <w:tcW w:w="4424" w:type="dxa"/>
            <w:tcBorders/>
            <w:vAlign w:val="center"/>
          </w:tcPr>
          <w:p>
            <w:pPr>
              <w:pStyle w:val="Normal"/>
              <w:keepNext w:val="0"/>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bl>
    <w:p>
      <w:bookmarkStart w:id="10009" w:name="phone_heading_10009"/>
      <w:pPr>
        <w:pStyle w:val="Heading2"/>
        <w:numPr>
          <w:ilvl w:val="1"/>
          <w:numId w:val="2"/>
        </w:numPr>
        <w:jc w:val="left"/>
      </w:pPr>
      <w:r>
        <w:t>Normaltraining, Schwellen und Exportprüfung</w:t>
      </w:r>
      <w:bookmarkEnd w:id="10009"/>
    </w:p>
    <w:p>
      <w:r>
        <w:t>Das Profil wurde vor den Handyversuchen aus vier normalen Aufnahmen von jeweils nominell 60 s bei 75 % PWM erstellt. Die ersten drei vollständigen Dateien dienen dem Training, die vierte der Validierung. Es entstehen 291 Trainings- und 97 Validierungsfenster. Der Scaler wird ausschließlich anhand der 37.248 XYZ-Punkte der Trainingsfenster angepasst. Die Aufteilung erfolgt nach vollständigen Aufnahmen; benachbarte Fenster derselben Datei werden nicht zufällig auf Training und Validierung verteilt.</w:t>
      </w:r>
    </w:p>
    <w:p>
      <w:r>
        <w:t>Der Autoencoder wurde mit Batchgröße 32 und maximal 100 Epochen trainiert. Die dokumentierte beste Epoche ist 100; ein früherer Abbruch wurde nicht ausgelöst. Die abschließenden Verluste betragen etwa 0,25145 für Training und 0,27893 für Validierung. Diese Verluste sind Normaldaten-Rekonstruktionsfehler und keine Erkennungsquoten für die spätere Handyvibration.</w:t>
      </w:r>
    </w:p>
    <w:p>
      <w:r>
        <w:t>Für jede Methode wird der Schwellenwert als 99. Perzentil der Scores der separaten normalen Validierungsaufnahme bestimmt. Verwendet wird lineare Quantilinterpolation. Bei 97 sortierten Scores entspricht die Nullbasisposition (97 − 1) · 0,99 = 95,04 einer Interpolation zwischen dem 96. und 97. geordneten Wert. Ein Alarm gilt bei Score &gt; Schwelle. Die gleiche Perzentilregel bedeutet weder gleiche numerische Scorebereiche noch garantiert gleiche Fehlalarmraten auf neuen Daten.</w:t>
      </w:r>
    </w:p>
    <w:p>
      <w:bookmarkStart w:id="10010" w:name="phone_table_10010"/>
      <w:pPr>
        <w:pStyle w:val="Tabellenbeschriftung"/>
      </w:pPr>
      <w:r>
        <w:t>Tabelle 6-4: Eingefrorene Schwellen der Handyreihe</w:t>
      </w:r>
      <w:bookmarkEnd w:id="10010"/>
    </w:p>
    <w:tbl>
      <w:tblPr>
        <w:tblStyle w:val="Tabellenraster"/>
        <w:jc w:val="center"/>
        <w:tblLayout w:type="fixed"/>
        <w:tblLook w:firstColumn="1" w:firstRow="1" w:lastColumn="0" w:lastRow="0" w:noHBand="0" w:noVBand="1" w:val="04A0"/>
        <w:tblW w:w="9071" w:type="dxa"/>
      </w:tblPr>
      <w:tblGrid>
        <w:gridCol w:w="1984"/>
        <w:gridCol w:w="2665"/>
        <w:gridCol w:w="4422"/>
      </w:tblGrid>
      <w:tr>
        <w:trPr>
          <w:cantSplit/>
          <w:tblHeader/>
        </w:trPr>
        <w:tc>
          <w:tcPr>
            <w:tcW w:type="dxa" w:w="1984"/>
            <w:vAlign w:val="center"/>
            <w:shd w:fill="E7EDF2" w:val="clear"/>
          </w:tcPr>
          <w:p>
            <w:pPr>
              <w:keepNext/>
              <w:keepLines/>
              <w:spacing w:line="240" w:lineRule="auto" w:before="40" w:after="40"/>
              <w:jc w:val="left"/>
            </w:pPr>
            <w:r>
              <w:rPr>
                <w:rFonts w:ascii="Calibri" w:hAnsi="Calibri"/>
                <w:b/>
                <w:sz w:val="19"/>
              </w:rPr>
              <w:t>Methode</w:t>
            </w:r>
          </w:p>
        </w:tc>
        <w:tc>
          <w:tcPr>
            <w:tcW w:type="dxa" w:w="2665"/>
            <w:vAlign w:val="center"/>
            <w:shd w:fill="E7EDF2" w:val="clear"/>
          </w:tcPr>
          <w:p>
            <w:pPr>
              <w:keepNext/>
              <w:keepLines/>
              <w:spacing w:line="240" w:lineRule="auto" w:before="40" w:after="40"/>
              <w:jc w:val="left"/>
            </w:pPr>
            <w:r>
              <w:rPr>
                <w:rFonts w:ascii="Calibri" w:hAnsi="Calibri"/>
                <w:b/>
                <w:sz w:val="19"/>
              </w:rPr>
              <w:t>Score</w:t>
            </w:r>
          </w:p>
        </w:tc>
        <w:tc>
          <w:tcPr>
            <w:tcW w:type="dxa" w:w="4422"/>
            <w:vAlign w:val="center"/>
            <w:shd w:fill="E7EDF2" w:val="clear"/>
          </w:tcPr>
          <w:p>
            <w:pPr>
              <w:keepNext/>
              <w:keepLines/>
              <w:spacing w:line="240" w:lineRule="auto" w:before="40" w:after="40"/>
              <w:jc w:val="left"/>
            </w:pPr>
            <w:r>
              <w:rPr>
                <w:rFonts w:ascii="Calibri" w:hAnsi="Calibri"/>
                <w:b/>
                <w:sz w:val="19"/>
              </w:rPr>
              <w:t>Schwelle</w:t>
            </w:r>
          </w:p>
        </w:tc>
      </w:tr>
      <w:tr>
        <w:trPr>
          <w:cantSplit/>
        </w:trPr>
        <w:tc>
          <w:tcPr>
            <w:tcW w:type="dxa" w:w="1984"/>
            <w:vAlign w:val="center"/>
          </w:tcPr>
          <w:p>
            <w:pPr>
              <w:keepNext/>
              <w:keepLines/>
              <w:spacing w:line="240" w:lineRule="auto" w:before="40" w:after="40"/>
              <w:jc w:val="left"/>
            </w:pPr>
            <w:r>
              <w:rPr>
                <w:rFonts w:ascii="Calibri" w:hAnsi="Calibri"/>
                <w:b w:val="0"/>
                <w:sz w:val="19"/>
              </w:rPr>
              <w:t>Autoencoder</w:t>
            </w:r>
          </w:p>
        </w:tc>
        <w:tc>
          <w:tcPr>
            <w:tcW w:type="dxa" w:w="2665"/>
            <w:vAlign w:val="center"/>
          </w:tcPr>
          <w:p>
            <w:pPr>
              <w:keepNext/>
              <w:keepLines/>
              <w:spacing w:line="240" w:lineRule="auto" w:before="40" w:after="40"/>
              <w:jc w:val="left"/>
            </w:pPr>
            <w:r>
              <w:rPr>
                <w:rFonts w:ascii="Calibri" w:hAnsi="Calibri"/>
                <w:b w:val="0"/>
                <w:sz w:val="19"/>
              </w:rPr>
              <w:t>MSE der standardisierten Rekonstruktion</w:t>
            </w:r>
          </w:p>
        </w:tc>
        <w:tc>
          <w:tcPr>
            <w:tcW w:type="dxa" w:w="4422"/>
            <w:vAlign w:val="center"/>
          </w:tcPr>
          <w:p>
            <w:pPr>
              <w:keepNext/>
              <w:keepLines/>
              <w:spacing w:line="240" w:lineRule="auto" w:before="40" w:after="40"/>
              <w:jc w:val="right"/>
            </w:pPr>
            <w:r>
              <w:rPr>
                <w:rFonts w:ascii="Calibri" w:hAnsi="Calibri"/>
                <w:b w:val="0"/>
                <w:sz w:val="19"/>
              </w:rPr>
              <w:t>0,477202599144</w:t>
            </w:r>
          </w:p>
        </w:tc>
      </w:tr>
      <w:tr>
        <w:trPr>
          <w:cantSplit/>
        </w:trPr>
        <w:tc>
          <w:tcPr>
            <w:tcW w:type="dxa" w:w="1984"/>
            <w:vAlign w:val="center"/>
          </w:tcPr>
          <w:p>
            <w:pPr>
              <w:keepNext/>
              <w:keepLines/>
              <w:spacing w:line="240" w:lineRule="auto" w:before="40" w:after="40"/>
              <w:jc w:val="left"/>
            </w:pPr>
            <w:r>
              <w:rPr>
                <w:rFonts w:ascii="Calibri" w:hAnsi="Calibri"/>
                <w:b w:val="0"/>
                <w:sz w:val="19"/>
              </w:rPr>
              <w:t>Isolation Forest</w:t>
            </w:r>
          </w:p>
        </w:tc>
        <w:tc>
          <w:tcPr>
            <w:tcW w:type="dxa" w:w="2665"/>
            <w:vAlign w:val="center"/>
          </w:tcPr>
          <w:p>
            <w:pPr>
              <w:keepNext/>
              <w:keepLines/>
              <w:spacing w:line="240" w:lineRule="auto" w:before="40" w:after="40"/>
              <w:jc w:val="left"/>
            </w:pPr>
            <w:r>
              <w:rPr>
                <w:rFonts w:ascii="Calibri" w:hAnsi="Calibri"/>
                <w:b w:val="0"/>
                <w:sz w:val="19"/>
              </w:rPr>
              <w:t>−score_samples</w:t>
            </w:r>
          </w:p>
        </w:tc>
        <w:tc>
          <w:tcPr>
            <w:tcW w:type="dxa" w:w="4422"/>
            <w:vAlign w:val="center"/>
          </w:tcPr>
          <w:p>
            <w:pPr>
              <w:keepNext/>
              <w:keepLines/>
              <w:spacing w:line="240" w:lineRule="auto" w:before="40" w:after="40"/>
              <w:jc w:val="right"/>
            </w:pPr>
            <w:r>
              <w:rPr>
                <w:rFonts w:ascii="Calibri" w:hAnsi="Calibri"/>
                <w:b w:val="0"/>
                <w:sz w:val="19"/>
              </w:rPr>
              <w:t>0,483354740160</w:t>
            </w:r>
          </w:p>
        </w:tc>
      </w:tr>
      <w:tr>
        <w:trPr>
          <w:cantSplit/>
        </w:trPr>
        <w:tc>
          <w:tcPr>
            <w:tcW w:type="dxa" w:w="1984"/>
            <w:vAlign w:val="center"/>
          </w:tcPr>
          <w:p>
            <w:pPr>
              <w:keepNext w:val="0"/>
              <w:keepLines/>
              <w:spacing w:line="240" w:lineRule="auto" w:before="40" w:after="40"/>
              <w:jc w:val="left"/>
            </w:pPr>
            <w:r>
              <w:rPr>
                <w:rFonts w:ascii="Calibri" w:hAnsi="Calibri"/>
                <w:b w:val="0"/>
                <w:sz w:val="19"/>
              </w:rPr>
              <w:t>RMS</w:t>
            </w:r>
          </w:p>
        </w:tc>
        <w:tc>
          <w:tcPr>
            <w:tcW w:type="dxa" w:w="2665"/>
            <w:vAlign w:val="center"/>
          </w:tcPr>
          <w:p>
            <w:pPr>
              <w:keepNext w:val="0"/>
              <w:keepLines/>
              <w:spacing w:line="240" w:lineRule="auto" w:before="40" w:after="40"/>
              <w:jc w:val="left"/>
            </w:pPr>
            <w:r>
              <w:rPr>
                <w:rFonts w:ascii="Calibri" w:hAnsi="Calibri"/>
                <w:b w:val="0"/>
                <w:sz w:val="19"/>
              </w:rPr>
              <w:t>RMS der standardisierten Werte</w:t>
            </w:r>
          </w:p>
        </w:tc>
        <w:tc>
          <w:tcPr>
            <w:tcW w:type="dxa" w:w="4422"/>
            <w:vAlign w:val="center"/>
          </w:tcPr>
          <w:p>
            <w:pPr>
              <w:keepNext w:val="0"/>
              <w:keepLines/>
              <w:spacing w:line="240" w:lineRule="auto" w:before="40" w:after="40"/>
              <w:jc w:val="right"/>
            </w:pPr>
            <w:r>
              <w:rPr>
                <w:rFonts w:ascii="Calibri" w:hAnsi="Calibri"/>
                <w:b w:val="0"/>
                <w:sz w:val="19"/>
              </w:rPr>
              <w:t>1,296361072562</w:t>
            </w:r>
          </w:p>
        </w:tc>
      </w:tr>
    </w:tbl>
    <w:p>
      <w:r>
        <w:t>Die Autoencoder-Schwelle stammt aus der eingefrorenen Keras-Validierung. Der Float32-TFLite-Export wird auf denselben 97 Validierungsfenstern geprüft: Die größte absolute Rekonstruktionsabweichung beträgt 2,623 · 10⁻⁶, die größte MSE-Abweichung 7,192 · 10⁻⁸; keine Entscheidung ändert sich. Ein Validierungsfenster liegt oberhalb der P99-Grenze. Dieser Kalibrierungsbefund ist keine unabhängig gemessene Fehlalarmrate im späteren Betrieb. Modelle und Schwellen werden nach Sichtung der Handyversuche nicht optimiert.</w:t>
      </w:r>
    </w:p>
    <w:p>
      <w:bookmarkStart w:id="10011" w:name="phone_heading_10011"/>
      <w:pPr>
        <w:pStyle w:val="Heading2"/>
        <w:numPr>
          <w:ilvl w:val="1"/>
          <w:numId w:val="2"/>
        </w:numPr>
        <w:jc w:val="left"/>
      </w:pPr>
      <w:r>
        <w:t>Einzelbetrieb, Replay und gemeinsame Live-Auswertung</w:t>
      </w:r>
      <w:bookmarkEnd w:id="10011"/>
    </w:p>
    <w:p>
      <w:r>
        <w:t>Im Einzelbetrieb läuft jeweils nur eine Methode im Aufnahmeprozess. Erfassung, Qualitätsprüfung, Vorverarbeitung, Entscheidung und Protokollierung gehören dennoch zum Prozess. Vor Beginn werden 20 Aufwärmfenster verarbeitet. Es läuft keine Live-GUI. Die drei ausgewählten Einzelaufnahmen enthalten unterschiedliche physikalische Anregungen; ein identisches Handymodell allein macht verschiedene Anrufe nicht zu identischen Sensoreingaben.</w:t>
      </w:r>
    </w:p>
    <w:p>
      <w:r>
        <w:t>Beim Offline-Replay werden alle drei Methoden auf die gleichen gespeicherten Rohfenster jeder Einzelaufnahme angewendet. Dadurch ist der Eingabevergleich exakt reproduzierbar. Die Reihenfolge der ersten Alarmfenster lässt sich vergleichen, die Replay-Laufzeit ist jedoch keine gemessene Live-Reaktion auf eine neue Handyvibration. Die erneute Auswertung erzeugt keine zusätzlichen unabhängigen physikalischen Ereignisse.</w:t>
      </w:r>
    </w:p>
    <w:p>
      <w:r>
        <w:t>Im gemeinsamen Live-Lauf erfasst ein Sensorpfad die Rohdaten. Jedes vollständige Fenster wird an drei Worker-Threads im selben Prozess übergeben. Ein gemeinsamer Startmechanismus koordiniert die Auswertung; gleiche Startbedingungen garantieren keine identische CPU-Zuteilung. Für jedes Fenster werden Eingabehash, Dispatch-, Worker-Start- und Entscheidungszeit gespeichert. Die feste Reihenfolge der Zeilen im Journal ist nicht das Ergebnisranking. Dieses wird aus den gemessenen Entscheidungszeitpunkten berechnet.</w:t>
      </w:r>
    </w:p>
    <w:p>
      <w:pPr>
        <w:keepNext/>
        <w:spacing w:after="0"/>
        <w:jc w:val="center"/>
      </w:pPr>
      <w:r/>
      <w:r>
        <w:drawing>
          <wp:inline xmlns:a="http://schemas.openxmlformats.org/drawingml/2006/main">
            <wp:extent cx="5760000" cy="3062118"/>
            <wp:docPr id="3" name="Picture 3"/>
            <wp:cNvGraphicFramePr>
              <a:graphicFrameLocks noChangeAspect="1"/>
            </wp:cNvGraphicFramePr>
            <a:graphic>
              <a:graphicData uri="http://schemas.openxmlformats.org/drawingml/2006/picture">
                <pic:pic>
                  <pic:nvPicPr>
                    <pic:cNvPr id="0" name="pipeline.png"/>
                    <pic:cNvPicPr/>
                  </pic:nvPicPr>
                  <pic:blipFill>
                    <a:blip r:embed="rId73"/>
                    <a:stretch>
                      <a:fillRect/>
                    </a:stretch>
                  </pic:blipFill>
                  <pic:spPr>
                    <a:xfrm>
                      <a:off x="0" y="0"/>
                      <a:ext cx="5760000" cy="3062118"/>
                    </a:xfrm>
                    <a:prstGeom prst="rect"/>
                  </pic:spPr>
                </pic:pic>
              </a:graphicData>
            </a:graphic>
          </wp:inline>
        </w:drawing>
      </w:r>
    </w:p>
    <w:p>
      <w:bookmarkStart w:id="10012" w:name="phone_figure_10012"/>
      <w:pPr>
        <w:pStyle w:val="Abbildungsbeschriftung"/>
      </w:pPr>
      <w:r>
        <w:t>Abbildung 6-2: Datenfluss des gemeinsamen Live-Vergleichs. Alle drei Methoden erhalten dasselbe Rohfenster; ihre Verarbeitung und Ausgabezeitpunkte bleiben getrennt protokolliert. Quelle: eigene Darstellung anhand der Implementierung und Journale in B12.</w:t>
      </w:r>
      <w:bookmarkEnd w:id="10012"/>
    </w:p>
    <w:p>
      <w:bookmarkStart w:id="10013" w:name="phone_table_10013"/>
      <w:pPr>
        <w:pStyle w:val="Tabellenbeschriftung"/>
      </w:pPr>
      <w:r>
        <w:t>Tabelle 6-5: Zeitbegriffe und zulässige Interpretation</w:t>
      </w:r>
      <w:bookmarkEnd w:id="10013"/>
    </w:p>
    <w:tbl>
      <w:tblPr>
        <w:tblStyle w:val="Tabellenraster"/>
        <w:jc w:val="center"/>
        <w:tblLayout w:type="fixed"/>
        <w:tblLook w:firstColumn="1" w:firstRow="1" w:lastColumn="0" w:lastRow="0" w:noHBand="0" w:noVBand="1" w:val="04A0"/>
        <w:tblW w:w="9071" w:type="dxa"/>
      </w:tblPr>
      <w:tblGrid>
        <w:gridCol w:w="1984"/>
        <w:gridCol w:w="2665"/>
        <w:gridCol w:w="4422"/>
      </w:tblGrid>
      <w:tr>
        <w:trPr>
          <w:cantSplit/>
          <w:tblHeader/>
        </w:trPr>
        <w:tc>
          <w:tcPr>
            <w:tcW w:type="dxa" w:w="1984"/>
            <w:vAlign w:val="center"/>
            <w:shd w:fill="E7EDF2" w:val="clear"/>
          </w:tcPr>
          <w:p>
            <w:pPr>
              <w:keepNext/>
              <w:keepLines/>
              <w:spacing w:line="240" w:lineRule="auto" w:before="40" w:after="40"/>
              <w:jc w:val="left"/>
            </w:pPr>
            <w:r>
              <w:rPr>
                <w:rFonts w:ascii="Calibri" w:hAnsi="Calibri"/>
                <w:b/>
                <w:sz w:val="19"/>
              </w:rPr>
              <w:t>Größe</w:t>
            </w:r>
          </w:p>
        </w:tc>
        <w:tc>
          <w:tcPr>
            <w:tcW w:type="dxa" w:w="2665"/>
            <w:vAlign w:val="center"/>
            <w:shd w:fill="E7EDF2" w:val="clear"/>
          </w:tcPr>
          <w:p>
            <w:pPr>
              <w:keepNext/>
              <w:keepLines/>
              <w:spacing w:line="240" w:lineRule="auto" w:before="40" w:after="40"/>
              <w:jc w:val="left"/>
            </w:pPr>
            <w:r>
              <w:rPr>
                <w:rFonts w:ascii="Calibri" w:hAnsi="Calibri"/>
                <w:b/>
                <w:sz w:val="19"/>
              </w:rPr>
              <w:t>Bezugspunkte</w:t>
            </w:r>
          </w:p>
        </w:tc>
        <w:tc>
          <w:tcPr>
            <w:tcW w:type="dxa" w:w="4422"/>
            <w:vAlign w:val="center"/>
            <w:shd w:fill="E7EDF2" w:val="clear"/>
          </w:tcPr>
          <w:p>
            <w:pPr>
              <w:keepNext/>
              <w:keepLines/>
              <w:spacing w:line="240" w:lineRule="auto" w:before="40" w:after="40"/>
              <w:jc w:val="left"/>
            </w:pPr>
            <w:r>
              <w:rPr>
                <w:rFonts w:ascii="Calibri" w:hAnsi="Calibri"/>
                <w:b/>
                <w:sz w:val="19"/>
              </w:rPr>
              <w:t>Bedeutung</w:t>
            </w:r>
          </w:p>
        </w:tc>
      </w:tr>
      <w:tr>
        <w:trPr>
          <w:cantSplit/>
        </w:trPr>
        <w:tc>
          <w:tcPr>
            <w:tcW w:type="dxa" w:w="1984"/>
            <w:vAlign w:val="center"/>
          </w:tcPr>
          <w:p>
            <w:pPr>
              <w:keepNext/>
              <w:keepLines/>
              <w:spacing w:line="240" w:lineRule="auto" w:before="40" w:after="40"/>
              <w:jc w:val="left"/>
            </w:pPr>
            <w:r>
              <w:rPr>
                <w:rFonts w:ascii="Calibri" w:hAnsi="Calibri"/>
                <w:b w:val="0"/>
                <w:sz w:val="19"/>
              </w:rPr>
              <w:t>Verarbeitungszeit</w:t>
            </w:r>
          </w:p>
        </w:tc>
        <w:tc>
          <w:tcPr>
            <w:tcW w:type="dxa" w:w="2665"/>
            <w:vAlign w:val="center"/>
          </w:tcPr>
          <w:p>
            <w:pPr>
              <w:keepNext/>
              <w:keepLines/>
              <w:spacing w:line="240" w:lineRule="auto" w:before="40" w:after="40"/>
              <w:jc w:val="left"/>
            </w:pPr>
            <w:r>
              <w:rPr>
                <w:rFonts w:ascii="Calibri" w:hAnsi="Calibri"/>
                <w:b w:val="0"/>
                <w:sz w:val="19"/>
              </w:rPr>
              <w:t>Start bis Ende des jeweiligen Auswerteraufrufs</w:t>
            </w:r>
          </w:p>
        </w:tc>
        <w:tc>
          <w:tcPr>
            <w:tcW w:type="dxa" w:w="4422"/>
            <w:vAlign w:val="center"/>
          </w:tcPr>
          <w:p>
            <w:pPr>
              <w:keepNext/>
              <w:keepLines/>
              <w:spacing w:line="240" w:lineRule="auto" w:before="40" w:after="40"/>
              <w:jc w:val="left"/>
            </w:pPr>
            <w:r>
              <w:rPr>
                <w:rFonts w:ascii="Calibri" w:hAnsi="Calibri"/>
                <w:b w:val="0"/>
                <w:sz w:val="19"/>
              </w:rPr>
              <w:t>Vorverarbeitung, Modellbewertung und Score im instrumentierten Aufruf; kein einheitlicher reiner Modellkern</w:t>
            </w:r>
          </w:p>
        </w:tc>
      </w:tr>
      <w:tr>
        <w:trPr>
          <w:cantSplit/>
        </w:trPr>
        <w:tc>
          <w:tcPr>
            <w:tcW w:type="dxa" w:w="1984"/>
            <w:vAlign w:val="center"/>
          </w:tcPr>
          <w:p>
            <w:pPr>
              <w:keepNext/>
              <w:keepLines/>
              <w:spacing w:line="240" w:lineRule="auto" w:before="40" w:after="40"/>
              <w:jc w:val="left"/>
            </w:pPr>
            <w:r>
              <w:rPr>
                <w:rFonts w:ascii="Calibri" w:hAnsi="Calibri"/>
                <w:b w:val="0"/>
                <w:sz w:val="19"/>
              </w:rPr>
              <w:t>Fenster-bis-Entscheidung</w:t>
            </w:r>
          </w:p>
        </w:tc>
        <w:tc>
          <w:tcPr>
            <w:tcW w:type="dxa" w:w="2665"/>
            <w:vAlign w:val="center"/>
          </w:tcPr>
          <w:p>
            <w:pPr>
              <w:keepNext/>
              <w:keepLines/>
              <w:spacing w:line="240" w:lineRule="auto" w:before="40" w:after="40"/>
              <w:jc w:val="left"/>
            </w:pPr>
            <w:r>
              <w:rPr>
                <w:rFonts w:ascii="Calibri" w:hAnsi="Calibri"/>
                <w:b w:val="0"/>
                <w:sz w:val="19"/>
              </w:rPr>
              <w:t>Host-Abschluss des letzten Fensterpunkts bis Entscheidung</w:t>
            </w:r>
          </w:p>
        </w:tc>
        <w:tc>
          <w:tcPr>
            <w:tcW w:type="dxa" w:w="4422"/>
            <w:vAlign w:val="center"/>
          </w:tcPr>
          <w:p>
            <w:pPr>
              <w:keepNext/>
              <w:keepLines/>
              <w:spacing w:line="240" w:lineRule="auto" w:before="40" w:after="40"/>
              <w:jc w:val="left"/>
            </w:pPr>
            <w:r>
              <w:rPr>
                <w:rFonts w:ascii="Calibri" w:hAnsi="Calibri"/>
                <w:b w:val="0"/>
                <w:sz w:val="19"/>
              </w:rPr>
              <w:t>Einschließlich Übergabe und Scheduling; ohne vorherige Fensterfüllzeit</w:t>
            </w:r>
          </w:p>
        </w:tc>
      </w:tr>
      <w:tr>
        <w:trPr>
          <w:cantSplit/>
        </w:trPr>
        <w:tc>
          <w:tcPr>
            <w:tcW w:type="dxa" w:w="1984"/>
            <w:vAlign w:val="center"/>
          </w:tcPr>
          <w:p>
            <w:pPr>
              <w:keepNext/>
              <w:keepLines/>
              <w:spacing w:line="240" w:lineRule="auto" w:before="40" w:after="40"/>
              <w:jc w:val="left"/>
            </w:pPr>
            <w:r>
              <w:rPr>
                <w:rFonts w:ascii="Calibri" w:hAnsi="Calibri"/>
                <w:b w:val="0"/>
                <w:sz w:val="19"/>
              </w:rPr>
              <w:t>Erstes Alarmfenster</w:t>
            </w:r>
          </w:p>
        </w:tc>
        <w:tc>
          <w:tcPr>
            <w:tcW w:type="dxa" w:w="2665"/>
            <w:vAlign w:val="center"/>
          </w:tcPr>
          <w:p>
            <w:pPr>
              <w:keepNext/>
              <w:keepLines/>
              <w:spacing w:line="240" w:lineRule="auto" w:before="40" w:after="40"/>
              <w:jc w:val="left"/>
            </w:pPr>
            <w:r>
              <w:rPr>
                <w:rFonts w:ascii="Calibri" w:hAnsi="Calibri"/>
                <w:b w:val="0"/>
                <w:sz w:val="19"/>
              </w:rPr>
              <w:t>Erster Fensterindex mit Score &gt; Schwelle</w:t>
            </w:r>
          </w:p>
        </w:tc>
        <w:tc>
          <w:tcPr>
            <w:tcW w:type="dxa" w:w="4422"/>
            <w:vAlign w:val="center"/>
          </w:tcPr>
          <w:p>
            <w:pPr>
              <w:keepNext/>
              <w:keepLines/>
              <w:spacing w:line="240" w:lineRule="auto" w:before="40" w:after="40"/>
              <w:jc w:val="left"/>
            </w:pPr>
            <w:r>
              <w:rPr>
                <w:rFonts w:ascii="Calibri" w:hAnsi="Calibri"/>
                <w:b w:val="0"/>
                <w:sz w:val="19"/>
              </w:rPr>
              <w:t>Vergleich der Eingabesensitivität bei identischen Fenstern</w:t>
            </w:r>
          </w:p>
        </w:tc>
      </w:tr>
      <w:tr>
        <w:trPr>
          <w:cantSplit/>
        </w:trPr>
        <w:tc>
          <w:tcPr>
            <w:tcW w:type="dxa" w:w="1984"/>
            <w:vAlign w:val="center"/>
          </w:tcPr>
          <w:p>
            <w:pPr>
              <w:keepNext/>
              <w:keepLines/>
              <w:spacing w:line="240" w:lineRule="auto" w:before="40" w:after="40"/>
              <w:jc w:val="left"/>
            </w:pPr>
            <w:r>
              <w:rPr>
                <w:rFonts w:ascii="Calibri" w:hAnsi="Calibri"/>
                <w:b w:val="0"/>
                <w:sz w:val="19"/>
              </w:rPr>
              <w:t>Relative Alarmausgabe</w:t>
            </w:r>
          </w:p>
        </w:tc>
        <w:tc>
          <w:tcPr>
            <w:tcW w:type="dxa" w:w="2665"/>
            <w:vAlign w:val="center"/>
          </w:tcPr>
          <w:p>
            <w:pPr>
              <w:keepNext/>
              <w:keepLines/>
              <w:spacing w:line="240" w:lineRule="auto" w:before="40" w:after="40"/>
              <w:jc w:val="left"/>
            </w:pPr>
            <w:r>
              <w:rPr>
                <w:rFonts w:ascii="Calibri" w:hAnsi="Calibri"/>
                <w:b w:val="0"/>
                <w:sz w:val="19"/>
              </w:rPr>
              <w:t>Erste Alarmausgabe einer Methode minus früheste Alarmausgabe</w:t>
            </w:r>
          </w:p>
        </w:tc>
        <w:tc>
          <w:tcPr>
            <w:tcW w:type="dxa" w:w="4422"/>
            <w:vAlign w:val="center"/>
          </w:tcPr>
          <w:p>
            <w:pPr>
              <w:keepNext/>
              <w:keepLines/>
              <w:spacing w:line="240" w:lineRule="auto" w:before="40" w:after="40"/>
              <w:jc w:val="left"/>
            </w:pPr>
            <w:r>
              <w:rPr>
                <w:rFonts w:ascii="Calibri" w:hAnsi="Calibri"/>
                <w:b w:val="0"/>
                <w:sz w:val="19"/>
              </w:rPr>
              <w:t>Beobachteter Ausgabevorsprung im selben Live-Lauf</w:t>
            </w:r>
          </w:p>
        </w:tc>
      </w:tr>
      <w:tr>
        <w:trPr>
          <w:cantSplit/>
        </w:trPr>
        <w:tc>
          <w:tcPr>
            <w:tcW w:type="dxa" w:w="1984"/>
            <w:vAlign w:val="center"/>
          </w:tcPr>
          <w:p>
            <w:pPr>
              <w:keepNext w:val="0"/>
              <w:keepLines/>
              <w:spacing w:line="240" w:lineRule="auto" w:before="40" w:after="40"/>
              <w:jc w:val="left"/>
            </w:pPr>
            <w:r>
              <w:rPr>
                <w:rFonts w:ascii="Calibri" w:hAnsi="Calibri"/>
                <w:b w:val="0"/>
                <w:sz w:val="19"/>
              </w:rPr>
              <w:t>Physische Erkennungsverzögerung</w:t>
            </w:r>
          </w:p>
        </w:tc>
        <w:tc>
          <w:tcPr>
            <w:tcW w:type="dxa" w:w="2665"/>
            <w:vAlign w:val="center"/>
          </w:tcPr>
          <w:p>
            <w:pPr>
              <w:keepNext w:val="0"/>
              <w:keepLines/>
              <w:spacing w:line="240" w:lineRule="auto" w:before="40" w:after="40"/>
              <w:jc w:val="left"/>
            </w:pPr>
            <w:r>
              <w:rPr>
                <w:rFonts w:ascii="Calibri" w:hAnsi="Calibri"/>
                <w:b w:val="0"/>
                <w:sz w:val="19"/>
              </w:rPr>
              <w:t>Entscheidung minus unabhängig gemessener Vibrationsbeginn</w:t>
            </w:r>
          </w:p>
        </w:tc>
        <w:tc>
          <w:tcPr>
            <w:tcW w:type="dxa" w:w="4422"/>
            <w:vAlign w:val="center"/>
          </w:tcPr>
          <w:p>
            <w:pPr>
              <w:keepNext w:val="0"/>
              <w:keepLines/>
              <w:spacing w:line="240" w:lineRule="auto" w:before="40" w:after="40"/>
              <w:jc w:val="left"/>
            </w:pPr>
            <w:r>
              <w:rPr>
                <w:rFonts w:ascii="Calibri" w:hAnsi="Calibri"/>
                <w:b w:val="0"/>
                <w:sz w:val="19"/>
              </w:rPr>
              <w:t>Mit den vorliegenden Bedienmarkern nicht bestimmbar</w:t>
            </w:r>
          </w:p>
        </w:tc>
      </w:tr>
    </w:tbl>
    <w:p>
      <w:bookmarkStart w:id="10014" w:name="phone_heading_10014"/>
      <w:pPr>
        <w:pStyle w:val="Heading2"/>
        <w:numPr>
          <w:ilvl w:val="1"/>
          <w:numId w:val="2"/>
        </w:numPr>
        <w:jc w:val="left"/>
      </w:pPr>
      <w:r>
        <w:t>Ablauf, Bedienmarker und Annahmen</w:t>
      </w:r>
      <w:bookmarkEnd w:id="10014"/>
    </w:p>
    <w:p>
      <w:r>
        <w:t>Das vorbereitete Vorgehen sieht mindestens 30 s Ruhe vor der Anrufaufforderung und mindestens 15 s Nachlauf nach der gemeldeten Beendigung vor. Der Assistent übernimmt Start, Protokollierung, Auswertung und Diagrammerstellung; die Person am Aufbau löst den Anruf aus. Ein erster Anlauf wird bei unklarer Abstimmung nicht rückwirkend als sauber synchronisiert bezeichnet, sondern erhalten und getrennt dokumentiert.</w:t>
      </w:r>
    </w:p>
    <w:p>
      <w:r>
        <w:t>Der Marker call_requested bezeichnet die protokollierte Aufforderung, nicht den tatsächlichen Beginn der Handyvibration. Ebenso ist die Rückmeldung zum Ende keine automatische Messung des mechanischen Abklingens. Die geplanten ungefähr 5 s Vibration werden nicht als tatsächlich gemessene Dauer übernommen. Der Zeitraum zwischen den beiden Bedienmarkern umfasst auch Reaktions-, Verbindungs- und Rückmeldezeit. Die Abbildungen schattieren diesen Bedienzeitraum ausdrücklich, nicht ein verifiziertes Störungsintervall.</w:t>
      </w:r>
    </w:p>
    <w:p>
      <w:r>
        <w:t>Fenster werden anhand ihrer Anfangs- und Endzeit in vor der Aufforderung, zwischen den Markern, nach der Rückmeldung und markerübergreifend eingeteilt. Markerübergreifende Fenster bleiben gesondert erhalten. Ohne unabhängige physische Referenz ist die Anzahl markierter Fenster eine deskriptive Alarmzahl. Elf Alarmfenster bedeuten weder elf unabhängige Störungen noch automatisch eine bessere Erkennungsquote als sechs Alarmfenster.</w:t>
      </w:r>
    </w:p>
    <w:p>
      <w:bookmarkStart w:id="10015" w:name="phone_table_10015"/>
      <w:pPr>
        <w:pStyle w:val="Tabellenbeschriftung"/>
      </w:pPr>
      <w:r>
        <w:t>Tabelle 6-6: Annahmen und offene Nachweise</w:t>
      </w:r>
      <w:bookmarkEnd w:id="10015"/>
    </w:p>
    <w:tbl>
      <w:tblPr>
        <w:tblStyle w:val="Tabellenraster"/>
        <w:jc w:val="center"/>
        <w:tblLayout w:type="fixed"/>
        <w:tblLook w:firstColumn="1" w:firstRow="1" w:lastColumn="0" w:lastRow="0" w:noHBand="0" w:noVBand="1" w:val="04A0"/>
        <w:tblW w:w="9071" w:type="dxa"/>
      </w:tblPr>
      <w:tblGrid>
        <w:gridCol w:w="1984"/>
        <w:gridCol w:w="2665"/>
        <w:gridCol w:w="4422"/>
      </w:tblGrid>
      <w:tr>
        <w:trPr>
          <w:cantSplit/>
          <w:tblHeader/>
        </w:trPr>
        <w:tc>
          <w:tcPr>
            <w:tcW w:type="dxa" w:w="1984"/>
            <w:vAlign w:val="center"/>
            <w:shd w:fill="E7EDF2" w:val="clear"/>
          </w:tcPr>
          <w:p>
            <w:pPr>
              <w:keepNext/>
              <w:keepLines/>
              <w:spacing w:line="240" w:lineRule="auto" w:before="40" w:after="40"/>
              <w:jc w:val="left"/>
            </w:pPr>
            <w:r>
              <w:rPr>
                <w:rFonts w:ascii="Calibri" w:hAnsi="Calibri"/>
                <w:b/>
                <w:sz w:val="19"/>
              </w:rPr>
              <w:t>Annahme / Größe</w:t>
            </w:r>
          </w:p>
        </w:tc>
        <w:tc>
          <w:tcPr>
            <w:tcW w:type="dxa" w:w="2665"/>
            <w:vAlign w:val="center"/>
            <w:shd w:fill="E7EDF2" w:val="clear"/>
          </w:tcPr>
          <w:p>
            <w:pPr>
              <w:keepNext/>
              <w:keepLines/>
              <w:spacing w:line="240" w:lineRule="auto" w:before="40" w:after="40"/>
              <w:jc w:val="left"/>
            </w:pPr>
            <w:r>
              <w:rPr>
                <w:rFonts w:ascii="Calibri" w:hAnsi="Calibri"/>
                <w:b/>
                <w:sz w:val="19"/>
              </w:rPr>
              <w:t>Vorliegender Nachweis</w:t>
            </w:r>
          </w:p>
        </w:tc>
        <w:tc>
          <w:tcPr>
            <w:tcW w:type="dxa" w:w="4422"/>
            <w:vAlign w:val="center"/>
            <w:shd w:fill="E7EDF2" w:val="clear"/>
          </w:tcPr>
          <w:p>
            <w:pPr>
              <w:keepNext/>
              <w:keepLines/>
              <w:spacing w:line="240" w:lineRule="auto" w:before="40" w:after="40"/>
              <w:jc w:val="left"/>
            </w:pPr>
            <w:r>
              <w:rPr>
                <w:rFonts w:ascii="Calibri" w:hAnsi="Calibri"/>
                <w:b/>
                <w:sz w:val="19"/>
              </w:rPr>
              <w:t>Konsequenz</w:t>
            </w:r>
          </w:p>
        </w:tc>
      </w:tr>
      <w:tr>
        <w:trPr>
          <w:cantSplit/>
        </w:trPr>
        <w:tc>
          <w:tcPr>
            <w:tcW w:type="dxa" w:w="1984"/>
            <w:vAlign w:val="center"/>
          </w:tcPr>
          <w:p>
            <w:pPr>
              <w:keepNext/>
              <w:keepLines/>
              <w:spacing w:line="240" w:lineRule="auto" w:before="40" w:after="40"/>
              <w:jc w:val="left"/>
            </w:pPr>
            <w:r>
              <w:rPr>
                <w:rFonts w:ascii="Calibri" w:hAnsi="Calibri"/>
                <w:b w:val="0"/>
                <w:sz w:val="19"/>
              </w:rPr>
              <w:t>Gleiche Eingaben</w:t>
            </w:r>
          </w:p>
        </w:tc>
        <w:tc>
          <w:tcPr>
            <w:tcW w:type="dxa" w:w="2665"/>
            <w:vAlign w:val="center"/>
          </w:tcPr>
          <w:p>
            <w:pPr>
              <w:keepNext/>
              <w:keepLines/>
              <w:spacing w:line="240" w:lineRule="auto" w:before="40" w:after="40"/>
              <w:jc w:val="left"/>
            </w:pPr>
            <w:r>
              <w:rPr>
                <w:rFonts w:ascii="Calibri" w:hAnsi="Calibri"/>
                <w:b w:val="0"/>
                <w:sz w:val="19"/>
              </w:rPr>
              <w:t>Gemeinsamer Rohstrom und Hash je Fenster im Live-Vergleich; identische Rohdateien im Replay</w:t>
            </w:r>
          </w:p>
        </w:tc>
        <w:tc>
          <w:tcPr>
            <w:tcW w:type="dxa" w:w="4422"/>
            <w:vAlign w:val="center"/>
          </w:tcPr>
          <w:p>
            <w:pPr>
              <w:keepNext/>
              <w:keepLines/>
              <w:spacing w:line="240" w:lineRule="auto" w:before="40" w:after="40"/>
              <w:jc w:val="left"/>
            </w:pPr>
            <w:r>
              <w:rPr>
                <w:rFonts w:ascii="Calibri" w:hAnsi="Calibri"/>
                <w:b w:val="0"/>
                <w:sz w:val="19"/>
              </w:rPr>
              <w:t>Direkter Methodenvergleich innerhalb dieser Modi möglich</w:t>
            </w:r>
          </w:p>
        </w:tc>
      </w:tr>
      <w:tr>
        <w:trPr>
          <w:cantSplit/>
        </w:trPr>
        <w:tc>
          <w:tcPr>
            <w:tcW w:type="dxa" w:w="1984"/>
            <w:vAlign w:val="center"/>
          </w:tcPr>
          <w:p>
            <w:pPr>
              <w:keepNext/>
              <w:keepLines/>
              <w:spacing w:line="240" w:lineRule="auto" w:before="40" w:after="40"/>
              <w:jc w:val="left"/>
            </w:pPr>
            <w:r>
              <w:rPr>
                <w:rFonts w:ascii="Calibri" w:hAnsi="Calibri"/>
                <w:b w:val="0"/>
                <w:sz w:val="19"/>
              </w:rPr>
              <w:t>Gleiche Anrufe im Einzelbetrieb</w:t>
            </w:r>
          </w:p>
        </w:tc>
        <w:tc>
          <w:tcPr>
            <w:tcW w:type="dxa" w:w="2665"/>
            <w:vAlign w:val="center"/>
          </w:tcPr>
          <w:p>
            <w:pPr>
              <w:keepNext/>
              <w:keepLines/>
              <w:spacing w:line="240" w:lineRule="auto" w:before="40" w:after="40"/>
              <w:jc w:val="left"/>
            </w:pPr>
            <w:r>
              <w:rPr>
                <w:rFonts w:ascii="Calibri" w:hAnsi="Calibri"/>
                <w:b w:val="0"/>
                <w:sz w:val="19"/>
              </w:rPr>
              <w:t>Keine unabhängige Gleichheitsmessung</w:t>
            </w:r>
          </w:p>
        </w:tc>
        <w:tc>
          <w:tcPr>
            <w:tcW w:type="dxa" w:w="4422"/>
            <w:vAlign w:val="center"/>
          </w:tcPr>
          <w:p>
            <w:pPr>
              <w:keepNext/>
              <w:keepLines/>
              <w:spacing w:line="240" w:lineRule="auto" w:before="40" w:after="40"/>
              <w:jc w:val="left"/>
            </w:pPr>
            <w:r>
              <w:rPr>
                <w:rFonts w:ascii="Calibri" w:hAnsi="Calibri"/>
                <w:b w:val="0"/>
                <w:sz w:val="19"/>
              </w:rPr>
              <w:t>Keine direkte Rangfolge aus getrennten Startzeiten</w:t>
            </w:r>
          </w:p>
        </w:tc>
      </w:tr>
      <w:tr>
        <w:trPr>
          <w:cantSplit/>
        </w:trPr>
        <w:tc>
          <w:tcPr>
            <w:tcW w:type="dxa" w:w="1984"/>
            <w:vAlign w:val="center"/>
          </w:tcPr>
          <w:p>
            <w:pPr>
              <w:keepNext/>
              <w:keepLines/>
              <w:spacing w:line="240" w:lineRule="auto" w:before="40" w:after="40"/>
              <w:jc w:val="left"/>
            </w:pPr>
            <w:r>
              <w:rPr>
                <w:rFonts w:ascii="Calibri" w:hAnsi="Calibri"/>
                <w:b w:val="0"/>
                <w:sz w:val="19"/>
              </w:rPr>
              <w:t>Übertragbarkeit des Normalprofils</w:t>
            </w:r>
          </w:p>
        </w:tc>
        <w:tc>
          <w:tcPr>
            <w:tcW w:type="dxa" w:w="2665"/>
            <w:vAlign w:val="center"/>
          </w:tcPr>
          <w:p>
            <w:pPr>
              <w:keepNext/>
              <w:keepLines/>
              <w:spacing w:line="240" w:lineRule="auto" w:before="40" w:after="40"/>
              <w:jc w:val="left"/>
            </w:pPr>
            <w:r>
              <w:rPr>
                <w:rFonts w:ascii="Calibri" w:hAnsi="Calibri"/>
                <w:b w:val="0"/>
                <w:sz w:val="19"/>
              </w:rPr>
              <w:t>Vorheriges Normaltraining; endgültige Handygeometrie nicht vollständig bestätigt</w:t>
            </w:r>
          </w:p>
        </w:tc>
        <w:tc>
          <w:tcPr>
            <w:tcW w:type="dxa" w:w="4422"/>
            <w:vAlign w:val="center"/>
          </w:tcPr>
          <w:p>
            <w:pPr>
              <w:keepNext/>
              <w:keepLines/>
              <w:spacing w:line="240" w:lineRule="auto" w:before="40" w:after="40"/>
              <w:jc w:val="left"/>
            </w:pPr>
            <w:r>
              <w:rPr>
                <w:rFonts w:ascii="Calibri" w:hAnsi="Calibri"/>
                <w:b w:val="0"/>
                <w:sz w:val="19"/>
              </w:rPr>
              <w:t>Ergebnisse bleiben auf den Pilotaufbau begrenzt</w:t>
            </w:r>
          </w:p>
        </w:tc>
      </w:tr>
      <w:tr>
        <w:trPr>
          <w:cantSplit/>
        </w:trPr>
        <w:tc>
          <w:tcPr>
            <w:tcW w:type="dxa" w:w="1984"/>
            <w:vAlign w:val="center"/>
          </w:tcPr>
          <w:p>
            <w:pPr>
              <w:keepNext/>
              <w:keepLines/>
              <w:spacing w:line="240" w:lineRule="auto" w:before="40" w:after="40"/>
              <w:jc w:val="left"/>
            </w:pPr>
            <w:r>
              <w:rPr>
                <w:rFonts w:ascii="Calibri" w:hAnsi="Calibri"/>
                <w:b w:val="0"/>
                <w:sz w:val="19"/>
              </w:rPr>
              <w:t>Physischer Beginn / Ende</w:t>
            </w:r>
          </w:p>
        </w:tc>
        <w:tc>
          <w:tcPr>
            <w:tcW w:type="dxa" w:w="2665"/>
            <w:vAlign w:val="center"/>
          </w:tcPr>
          <w:p>
            <w:pPr>
              <w:keepNext/>
              <w:keepLines/>
              <w:spacing w:line="240" w:lineRule="auto" w:before="40" w:after="40"/>
              <w:jc w:val="left"/>
            </w:pPr>
            <w:r>
              <w:rPr>
                <w:rFonts w:ascii="Calibri" w:hAnsi="Calibri"/>
                <w:b w:val="0"/>
                <w:sz w:val="19"/>
              </w:rPr>
              <w:t>Nur Bedienmarker und Nutzerrückmeldung</w:t>
            </w:r>
          </w:p>
        </w:tc>
        <w:tc>
          <w:tcPr>
            <w:tcW w:type="dxa" w:w="4422"/>
            <w:vAlign w:val="center"/>
          </w:tcPr>
          <w:p>
            <w:pPr>
              <w:keepNext/>
              <w:keepLines/>
              <w:spacing w:line="240" w:lineRule="auto" w:before="40" w:after="40"/>
              <w:jc w:val="left"/>
            </w:pPr>
            <w:r>
              <w:rPr>
                <w:rFonts w:ascii="Calibri" w:hAnsi="Calibri"/>
                <w:b w:val="0"/>
                <w:sz w:val="19"/>
              </w:rPr>
              <w:t>Keine absolute Fehler-Erkennungsverzögerung oder bestätigte F1-Auswertung</w:t>
            </w:r>
          </w:p>
        </w:tc>
      </w:tr>
      <w:tr>
        <w:trPr>
          <w:cantSplit/>
        </w:trPr>
        <w:tc>
          <w:tcPr>
            <w:tcW w:type="dxa" w:w="1984"/>
            <w:vAlign w:val="center"/>
          </w:tcPr>
          <w:p>
            <w:pPr>
              <w:keepNext/>
              <w:keepLines/>
              <w:spacing w:line="240" w:lineRule="auto" w:before="40" w:after="40"/>
              <w:jc w:val="left"/>
            </w:pPr>
            <w:r>
              <w:rPr>
                <w:rFonts w:ascii="Calibri" w:hAnsi="Calibri"/>
                <w:b w:val="0"/>
                <w:sz w:val="19"/>
              </w:rPr>
              <w:t>Elektrischer Verbrauch</w:t>
            </w:r>
          </w:p>
        </w:tc>
        <w:tc>
          <w:tcPr>
            <w:tcW w:type="dxa" w:w="2665"/>
            <w:vAlign w:val="center"/>
          </w:tcPr>
          <w:p>
            <w:pPr>
              <w:keepNext/>
              <w:keepLines/>
              <w:spacing w:line="240" w:lineRule="auto" w:before="40" w:after="40"/>
              <w:jc w:val="left"/>
            </w:pPr>
            <w:r>
              <w:rPr>
                <w:rFonts w:ascii="Calibri" w:hAnsi="Calibri"/>
                <w:b w:val="0"/>
                <w:sz w:val="19"/>
              </w:rPr>
              <w:t>Keine Spannungs-/Strommessung</w:t>
            </w:r>
          </w:p>
        </w:tc>
        <w:tc>
          <w:tcPr>
            <w:tcW w:type="dxa" w:w="4422"/>
            <w:vAlign w:val="center"/>
          </w:tcPr>
          <w:p>
            <w:pPr>
              <w:keepNext/>
              <w:keepLines/>
              <w:spacing w:line="240" w:lineRule="auto" w:before="40" w:after="40"/>
              <w:jc w:val="left"/>
            </w:pPr>
            <w:r>
              <w:rPr>
                <w:rFonts w:ascii="Calibri" w:hAnsi="Calibri"/>
                <w:b w:val="0"/>
                <w:sz w:val="19"/>
              </w:rPr>
              <w:t>CPU und RAM werden nicht in Watt oder Wh umgerechnet</w:t>
            </w:r>
          </w:p>
        </w:tc>
      </w:tr>
      <w:tr>
        <w:trPr>
          <w:cantSplit/>
        </w:trPr>
        <w:tc>
          <w:tcPr>
            <w:tcW w:type="dxa" w:w="1984"/>
            <w:vAlign w:val="center"/>
          </w:tcPr>
          <w:p>
            <w:pPr>
              <w:keepNext w:val="0"/>
              <w:keepLines/>
              <w:spacing w:line="240" w:lineRule="auto" w:before="40" w:after="40"/>
              <w:jc w:val="left"/>
            </w:pPr>
            <w:r>
              <w:rPr>
                <w:rFonts w:ascii="Calibri" w:hAnsi="Calibri"/>
                <w:b w:val="0"/>
                <w:sz w:val="19"/>
              </w:rPr>
              <w:t>Wiederholbarkeit</w:t>
            </w:r>
          </w:p>
        </w:tc>
        <w:tc>
          <w:tcPr>
            <w:tcW w:type="dxa" w:w="2665"/>
            <w:vAlign w:val="center"/>
          </w:tcPr>
          <w:p>
            <w:pPr>
              <w:keepNext w:val="0"/>
              <w:keepLines/>
              <w:spacing w:line="240" w:lineRule="auto" w:before="40" w:after="40"/>
              <w:jc w:val="left"/>
            </w:pPr>
            <w:r>
              <w:rPr>
                <w:rFonts w:ascii="Calibri" w:hAnsi="Calibri"/>
                <w:b w:val="0"/>
                <w:sz w:val="19"/>
              </w:rPr>
              <w:t>Ein ausgewählter Anruf je Einzelmethode, ein gemeinsamer Lauf</w:t>
            </w:r>
          </w:p>
        </w:tc>
        <w:tc>
          <w:tcPr>
            <w:tcW w:type="dxa" w:w="4422"/>
            <w:vAlign w:val="center"/>
          </w:tcPr>
          <w:p>
            <w:pPr>
              <w:keepNext w:val="0"/>
              <w:keepLines/>
              <w:spacing w:line="240" w:lineRule="auto" w:before="40" w:after="40"/>
              <w:jc w:val="left"/>
            </w:pPr>
            <w:r>
              <w:rPr>
                <w:rFonts w:ascii="Calibri" w:hAnsi="Calibri"/>
                <w:b w:val="0"/>
                <w:sz w:val="19"/>
              </w:rPr>
              <w:t>Keine Signifikanz- oder allgemeine Zuverlässigkeitsaussage</w:t>
            </w:r>
          </w:p>
        </w:tc>
      </w:tr>
    </w:tbl>
    <w:p>
      <w:bookmarkStart w:id="10016" w:name="phone_heading_10016"/>
      <w:pPr>
        <w:pStyle w:val="Heading2"/>
        <w:numPr>
          <w:ilvl w:val="1"/>
          <w:numId w:val="2"/>
        </w:numPr>
        <w:jc w:val="left"/>
      </w:pPr>
      <w:r>
        <w:t>Dateien, Visualisierung und Nachvollziehbarkeit</w:t>
      </w:r>
      <w:bookmarkEnd w:id="10016"/>
    </w:p>
    <w:p>
      <w:r>
        <w:t>Die Recorder speichern raw.csv, decisions.csv, run.json und cues.jsonl. Im gemeinsamen Lauf kommt resources.csv hinzu. Quelle, Modellpaket, Laufzustand, Sensor-/PWM-Rücklesungen und Implementierungskennung sind den jeweiligen Laufdateien zugeordnet. Die aktuelle Auswertung stützt sich auf die abgeschlossenen Laufjournale und Ergebnisberichte. Der erhaltene Vorbereitungstext protocol.md ist ein Planungsstand und darf mit seinem damaligen Status nicht als abschließender Ergebnisbericht gelesen werden.</w:t>
      </w:r>
    </w:p>
    <w:p>
      <w:r>
        <w:t>Die vorhandene GUI ermöglicht die Darstellung der drei Verfahren und ihrer Schwellen. Für diese Versuche wurde jedoch bewusst ohne Live-GUI aufgenommen; GUI-Zusatzlast wurde somit nicht gemessen. Diagramme werden nach Abschluss aus gespeicherten Daten erzeugt. Der vorhandene Screenshot des Ergebnisberichts dokumentiert dessen Darstellung, nicht eine während der Aufnahme beobachtete GUI. Die Präsentation unter B12 und die Word-Abbildungen unter B13 beruhen auf denselben Messwerten; die Word-Diagramme wurden für lesbare Beschriftungen neu gesetzt.</w:t>
      </w:r>
    </w:p>
    <w:p>
      <w:bookmarkStart w:id="10017" w:name="phone_heading_10017"/>
      <w:pPr>
        <w:pStyle w:val="Heading1"/>
        <w:numPr>
          <w:ilvl w:val="0"/>
          <w:numId w:val="2"/>
        </w:numPr>
        <w:jc w:val="left"/>
      </w:pPr>
      <w:r>
        <w:t>Evaluation</w:t>
      </w:r>
      <w:bookmarkEnd w:id="10017"/>
    </w:p>
    <w:p>
      <w:bookmarkStart w:id="10018" w:name="phone_heading_10018"/>
      <w:pPr>
        <w:pStyle w:val="Heading2"/>
        <w:numPr>
          <w:ilvl w:val="1"/>
          <w:numId w:val="2"/>
        </w:numPr>
        <w:jc w:val="left"/>
      </w:pPr>
      <w:r>
        <w:t>Umfang und Auswahl der Aufnahmen</w:t>
      </w:r>
      <w:bookmarkEnd w:id="10018"/>
    </w:p>
    <w:p>
      <w:r>
        <w:t>Die Handyreihe vom 19. September enthält sechs Einzelanläufe und einen gemeinsamen Live-Lauf. Drei Einzelanläufe wurden nach Abstimmungsproblemen durch spätere Aufnahmen ersetzt. Sie bleiben vollständig im Archiv und werden nicht als fehlende oder gelöschte Daten behandelt. Die Auswahl folgt der protokollierten Anrufkoordination, nicht einer nachträglichen Auswahl der günstigsten Modellleistung. Auch die ausgewählten Läufe besitzen nur Bedienmarker und keine verifizierte physikalische Ereigniszeit.</w:t>
      </w:r>
    </w:p>
    <w:p>
      <w:bookmarkStart w:id="10019" w:name="phone_table_10019"/>
      <w:pPr>
        <w:pStyle w:val="Tabellenbeschriftung"/>
      </w:pPr>
      <w:r>
        <w:t>Tabelle 7-1: Erhaltene Anläufe und Auswertungsrolle</w:t>
      </w:r>
      <w:bookmarkEnd w:id="10019"/>
    </w:p>
    <w:tbl>
      <w:tblPr>
        <w:tblStyle w:val="Tabellenraster"/>
        <w:jc w:val="center"/>
        <w:tblLayout w:type="fixed"/>
        <w:tblLook w:firstColumn="1" w:firstRow="1" w:lastColumn="0" w:lastRow="0" w:noHBand="0" w:noVBand="1" w:val="04A0"/>
        <w:tblW w:w="9071" w:type="dxa"/>
      </w:tblPr>
      <w:tblGrid>
        <w:gridCol w:w="1701"/>
        <w:gridCol w:w="2098"/>
        <w:gridCol w:w="2098"/>
        <w:gridCol w:w="3175"/>
      </w:tblGrid>
      <w:tr>
        <w:trPr>
          <w:cantSplit/>
          <w:tblHeader/>
        </w:trPr>
        <w:tc>
          <w:tcPr>
            <w:tcW w:type="dxa" w:w="1701"/>
            <w:vAlign w:val="center"/>
            <w:shd w:fill="E7EDF2" w:val="clear"/>
          </w:tcPr>
          <w:p>
            <w:pPr>
              <w:keepNext/>
              <w:keepLines/>
              <w:spacing w:line="240" w:lineRule="auto" w:before="40" w:after="40"/>
              <w:jc w:val="left"/>
            </w:pPr>
            <w:r>
              <w:rPr>
                <w:rFonts w:ascii="Calibri" w:hAnsi="Calibri"/>
                <w:b/>
                <w:sz w:val="19"/>
              </w:rPr>
              <w:t>Kurzname</w:t>
            </w:r>
          </w:p>
        </w:tc>
        <w:tc>
          <w:tcPr>
            <w:tcW w:type="dxa" w:w="2098"/>
            <w:vAlign w:val="center"/>
            <w:shd w:fill="E7EDF2" w:val="clear"/>
          </w:tcPr>
          <w:p>
            <w:pPr>
              <w:keepNext/>
              <w:keepLines/>
              <w:spacing w:line="240" w:lineRule="auto" w:before="40" w:after="40"/>
              <w:jc w:val="left"/>
            </w:pPr>
            <w:r>
              <w:rPr>
                <w:rFonts w:ascii="Calibri" w:hAnsi="Calibri"/>
                <w:b/>
                <w:sz w:val="19"/>
              </w:rPr>
              <w:t>Vollständige Fenster</w:t>
            </w:r>
          </w:p>
        </w:tc>
        <w:tc>
          <w:tcPr>
            <w:tcW w:type="dxa" w:w="2098"/>
            <w:vAlign w:val="center"/>
            <w:shd w:fill="E7EDF2" w:val="clear"/>
          </w:tcPr>
          <w:p>
            <w:pPr>
              <w:keepNext/>
              <w:keepLines/>
              <w:spacing w:line="240" w:lineRule="auto" w:before="40" w:after="40"/>
              <w:jc w:val="left"/>
            </w:pPr>
            <w:r>
              <w:rPr>
                <w:rFonts w:ascii="Calibri" w:hAnsi="Calibri"/>
                <w:b/>
                <w:sz w:val="19"/>
              </w:rPr>
              <w:t>Alarmfenster</w:t>
            </w:r>
          </w:p>
        </w:tc>
        <w:tc>
          <w:tcPr>
            <w:tcW w:type="dxa" w:w="3175"/>
            <w:vAlign w:val="center"/>
            <w:shd w:fill="E7EDF2" w:val="clear"/>
          </w:tcPr>
          <w:p>
            <w:pPr>
              <w:keepNext/>
              <w:keepLines/>
              <w:spacing w:line="240" w:lineRule="auto" w:before="40" w:after="40"/>
              <w:jc w:val="left"/>
            </w:pPr>
            <w:r>
              <w:rPr>
                <w:rFonts w:ascii="Calibri" w:hAnsi="Calibri"/>
                <w:b/>
                <w:sz w:val="19"/>
              </w:rPr>
              <w:t>Rolle</w:t>
            </w:r>
          </w:p>
        </w:tc>
      </w:tr>
      <w:tr>
        <w:trPr>
          <w:cantSplit/>
        </w:trPr>
        <w:tc>
          <w:tcPr>
            <w:tcW w:type="dxa" w:w="1701"/>
            <w:vAlign w:val="center"/>
          </w:tcPr>
          <w:p>
            <w:pPr>
              <w:keepNext/>
              <w:keepLines/>
              <w:spacing w:line="240" w:lineRule="auto" w:before="40" w:after="40"/>
              <w:jc w:val="left"/>
            </w:pPr>
            <w:r>
              <w:rPr>
                <w:rFonts w:ascii="Calibri" w:hAnsi="Calibri"/>
                <w:b w:val="0"/>
                <w:sz w:val="19"/>
              </w:rPr>
              <w:t>AE01</w:t>
            </w:r>
          </w:p>
        </w:tc>
        <w:tc>
          <w:tcPr>
            <w:tcW w:type="dxa" w:w="2098"/>
            <w:vAlign w:val="center"/>
          </w:tcPr>
          <w:p>
            <w:pPr>
              <w:keepNext/>
              <w:keepLines/>
              <w:spacing w:line="240" w:lineRule="auto" w:before="40" w:after="40"/>
              <w:jc w:val="right"/>
            </w:pPr>
            <w:r>
              <w:rPr>
                <w:rFonts w:ascii="Calibri" w:hAnsi="Calibri"/>
                <w:b w:val="0"/>
                <w:sz w:val="19"/>
              </w:rPr>
              <w:t>170</w:t>
            </w:r>
          </w:p>
        </w:tc>
        <w:tc>
          <w:tcPr>
            <w:tcW w:type="dxa" w:w="2098"/>
            <w:vAlign w:val="center"/>
          </w:tcPr>
          <w:p>
            <w:pPr>
              <w:keepNext/>
              <w:keepLines/>
              <w:spacing w:line="240" w:lineRule="auto" w:before="40" w:after="40"/>
              <w:jc w:val="right"/>
            </w:pPr>
            <w:r>
              <w:rPr>
                <w:rFonts w:ascii="Calibri" w:hAnsi="Calibri"/>
                <w:b w:val="0"/>
                <w:sz w:val="19"/>
              </w:rPr>
              <w:t>30</w:t>
            </w:r>
          </w:p>
        </w:tc>
        <w:tc>
          <w:tcPr>
            <w:tcW w:type="dxa" w:w="3175"/>
            <w:vAlign w:val="center"/>
          </w:tcPr>
          <w:p>
            <w:pPr>
              <w:keepNext/>
              <w:keepLines/>
              <w:spacing w:line="240" w:lineRule="auto" w:before="40" w:after="40"/>
              <w:jc w:val="left"/>
            </w:pPr>
            <w:r>
              <w:rPr>
                <w:rFonts w:ascii="Calibri" w:hAnsi="Calibri"/>
                <w:b w:val="0"/>
                <w:sz w:val="19"/>
              </w:rPr>
              <w:t>Früher Anlauf; möglicher zu früher Anruf, wiederholt</w:t>
            </w:r>
          </w:p>
        </w:tc>
      </w:tr>
      <w:tr>
        <w:trPr>
          <w:cantSplit/>
        </w:trPr>
        <w:tc>
          <w:tcPr>
            <w:tcW w:type="dxa" w:w="1701"/>
            <w:vAlign w:val="center"/>
          </w:tcPr>
          <w:p>
            <w:pPr>
              <w:keepNext/>
              <w:keepLines/>
              <w:spacing w:line="240" w:lineRule="auto" w:before="40" w:after="40"/>
              <w:jc w:val="left"/>
            </w:pPr>
            <w:r>
              <w:rPr>
                <w:rFonts w:ascii="Calibri" w:hAnsi="Calibri"/>
                <w:b w:val="0"/>
                <w:sz w:val="19"/>
              </w:rPr>
              <w:t>AE02</w:t>
            </w:r>
          </w:p>
        </w:tc>
        <w:tc>
          <w:tcPr>
            <w:tcW w:type="dxa" w:w="2098"/>
            <w:vAlign w:val="center"/>
          </w:tcPr>
          <w:p>
            <w:pPr>
              <w:keepNext/>
              <w:keepLines/>
              <w:spacing w:line="240" w:lineRule="auto" w:before="40" w:after="40"/>
              <w:jc w:val="right"/>
            </w:pPr>
            <w:r>
              <w:rPr>
                <w:rFonts w:ascii="Calibri" w:hAnsi="Calibri"/>
                <w:b w:val="0"/>
                <w:sz w:val="19"/>
              </w:rPr>
              <w:t>158</w:t>
            </w:r>
          </w:p>
        </w:tc>
        <w:tc>
          <w:tcPr>
            <w:tcW w:type="dxa" w:w="2098"/>
            <w:vAlign w:val="center"/>
          </w:tcPr>
          <w:p>
            <w:pPr>
              <w:keepNext/>
              <w:keepLines/>
              <w:spacing w:line="240" w:lineRule="auto" w:before="40" w:after="40"/>
              <w:jc w:val="right"/>
            </w:pPr>
            <w:r>
              <w:rPr>
                <w:rFonts w:ascii="Calibri" w:hAnsi="Calibri"/>
                <w:b w:val="0"/>
                <w:sz w:val="19"/>
              </w:rPr>
              <w:t>12</w:t>
            </w:r>
          </w:p>
        </w:tc>
        <w:tc>
          <w:tcPr>
            <w:tcW w:type="dxa" w:w="3175"/>
            <w:vAlign w:val="center"/>
          </w:tcPr>
          <w:p>
            <w:pPr>
              <w:keepNext/>
              <w:keepLines/>
              <w:spacing w:line="240" w:lineRule="auto" w:before="40" w:after="40"/>
              <w:jc w:val="left"/>
            </w:pPr>
            <w:r>
              <w:rPr>
                <w:rFonts w:ascii="Calibri" w:hAnsi="Calibri"/>
                <w:b w:val="0"/>
                <w:sz w:val="19"/>
              </w:rPr>
              <w:t>Erneuter Abstimmungsversuch; ein ungültiges Fenster, wiederholt</w:t>
            </w:r>
          </w:p>
        </w:tc>
      </w:tr>
      <w:tr>
        <w:trPr>
          <w:cantSplit/>
        </w:trPr>
        <w:tc>
          <w:tcPr>
            <w:tcW w:type="dxa" w:w="1701"/>
            <w:vAlign w:val="center"/>
          </w:tcPr>
          <w:p>
            <w:pPr>
              <w:keepNext/>
              <w:keepLines/>
              <w:spacing w:line="240" w:lineRule="auto" w:before="40" w:after="40"/>
              <w:jc w:val="left"/>
            </w:pPr>
            <w:r>
              <w:rPr>
                <w:rFonts w:ascii="Calibri" w:hAnsi="Calibri"/>
                <w:b w:val="0"/>
                <w:sz w:val="19"/>
              </w:rPr>
              <w:t>AE03</w:t>
            </w:r>
          </w:p>
        </w:tc>
        <w:tc>
          <w:tcPr>
            <w:tcW w:type="dxa" w:w="2098"/>
            <w:vAlign w:val="center"/>
          </w:tcPr>
          <w:p>
            <w:pPr>
              <w:keepNext/>
              <w:keepLines/>
              <w:spacing w:line="240" w:lineRule="auto" w:before="40" w:after="40"/>
              <w:jc w:val="right"/>
            </w:pPr>
            <w:r>
              <w:rPr>
                <w:rFonts w:ascii="Calibri" w:hAnsi="Calibri"/>
                <w:b w:val="0"/>
                <w:sz w:val="19"/>
              </w:rPr>
              <w:t>184</w:t>
            </w:r>
          </w:p>
        </w:tc>
        <w:tc>
          <w:tcPr>
            <w:tcW w:type="dxa" w:w="2098"/>
            <w:vAlign w:val="center"/>
          </w:tcPr>
          <w:p>
            <w:pPr>
              <w:keepNext/>
              <w:keepLines/>
              <w:spacing w:line="240" w:lineRule="auto" w:before="40" w:after="40"/>
              <w:jc w:val="right"/>
            </w:pPr>
            <w:r>
              <w:rPr>
                <w:rFonts w:ascii="Calibri" w:hAnsi="Calibri"/>
                <w:b w:val="0"/>
                <w:sz w:val="19"/>
              </w:rPr>
              <w:t>11</w:t>
            </w:r>
          </w:p>
        </w:tc>
        <w:tc>
          <w:tcPr>
            <w:tcW w:type="dxa" w:w="3175"/>
            <w:vAlign w:val="center"/>
          </w:tcPr>
          <w:p>
            <w:pPr>
              <w:keepNext/>
              <w:keepLines/>
              <w:spacing w:line="240" w:lineRule="auto" w:before="40" w:after="40"/>
              <w:jc w:val="left"/>
            </w:pPr>
            <w:r>
              <w:rPr>
                <w:rFonts w:ascii="Calibri" w:hAnsi="Calibri"/>
                <w:b w:val="0"/>
                <w:sz w:val="19"/>
              </w:rPr>
              <w:t>Ausgewählter Autoencoder-Einzelprozess</w:t>
            </w:r>
          </w:p>
        </w:tc>
      </w:tr>
      <w:tr>
        <w:trPr>
          <w:cantSplit/>
        </w:trPr>
        <w:tc>
          <w:tcPr>
            <w:tcW w:type="dxa" w:w="1701"/>
            <w:vAlign w:val="center"/>
          </w:tcPr>
          <w:p>
            <w:pPr>
              <w:keepNext/>
              <w:keepLines/>
              <w:spacing w:line="240" w:lineRule="auto" w:before="40" w:after="40"/>
              <w:jc w:val="left"/>
            </w:pPr>
            <w:r>
              <w:rPr>
                <w:rFonts w:ascii="Calibri" w:hAnsi="Calibri"/>
                <w:b w:val="0"/>
                <w:sz w:val="19"/>
              </w:rPr>
              <w:t>IF01</w:t>
            </w:r>
          </w:p>
        </w:tc>
        <w:tc>
          <w:tcPr>
            <w:tcW w:type="dxa" w:w="2098"/>
            <w:vAlign w:val="center"/>
          </w:tcPr>
          <w:p>
            <w:pPr>
              <w:keepNext/>
              <w:keepLines/>
              <w:spacing w:line="240" w:lineRule="auto" w:before="40" w:after="40"/>
              <w:jc w:val="right"/>
            </w:pPr>
            <w:r>
              <w:rPr>
                <w:rFonts w:ascii="Calibri" w:hAnsi="Calibri"/>
                <w:b w:val="0"/>
                <w:sz w:val="19"/>
              </w:rPr>
              <w:t>154</w:t>
            </w:r>
          </w:p>
        </w:tc>
        <w:tc>
          <w:tcPr>
            <w:tcW w:type="dxa" w:w="2098"/>
            <w:vAlign w:val="center"/>
          </w:tcPr>
          <w:p>
            <w:pPr>
              <w:keepNext/>
              <w:keepLines/>
              <w:spacing w:line="240" w:lineRule="auto" w:before="40" w:after="40"/>
              <w:jc w:val="right"/>
            </w:pPr>
            <w:r>
              <w:rPr>
                <w:rFonts w:ascii="Calibri" w:hAnsi="Calibri"/>
                <w:b w:val="0"/>
                <w:sz w:val="19"/>
              </w:rPr>
              <w:t>7</w:t>
            </w:r>
          </w:p>
        </w:tc>
        <w:tc>
          <w:tcPr>
            <w:tcW w:type="dxa" w:w="3175"/>
            <w:vAlign w:val="center"/>
          </w:tcPr>
          <w:p>
            <w:pPr>
              <w:keepNext/>
              <w:keepLines/>
              <w:spacing w:line="240" w:lineRule="auto" w:before="40" w:after="40"/>
              <w:jc w:val="left"/>
            </w:pPr>
            <w:r>
              <w:rPr>
                <w:rFonts w:ascii="Calibri" w:hAnsi="Calibri"/>
                <w:b w:val="0"/>
                <w:sz w:val="19"/>
              </w:rPr>
              <w:t>Anrufkoordination unklar/verpasst, wiederholt</w:t>
            </w:r>
          </w:p>
        </w:tc>
      </w:tr>
      <w:tr>
        <w:trPr>
          <w:cantSplit/>
        </w:trPr>
        <w:tc>
          <w:tcPr>
            <w:tcW w:type="dxa" w:w="1701"/>
            <w:vAlign w:val="center"/>
          </w:tcPr>
          <w:p>
            <w:pPr>
              <w:keepNext/>
              <w:keepLines/>
              <w:spacing w:line="240" w:lineRule="auto" w:before="40" w:after="40"/>
              <w:jc w:val="left"/>
            </w:pPr>
            <w:r>
              <w:rPr>
                <w:rFonts w:ascii="Calibri" w:hAnsi="Calibri"/>
                <w:b w:val="0"/>
                <w:sz w:val="19"/>
              </w:rPr>
              <w:t>IF02</w:t>
            </w:r>
          </w:p>
        </w:tc>
        <w:tc>
          <w:tcPr>
            <w:tcW w:type="dxa" w:w="2098"/>
            <w:vAlign w:val="center"/>
          </w:tcPr>
          <w:p>
            <w:pPr>
              <w:keepNext/>
              <w:keepLines/>
              <w:spacing w:line="240" w:lineRule="auto" w:before="40" w:after="40"/>
              <w:jc w:val="right"/>
            </w:pPr>
            <w:r>
              <w:rPr>
                <w:rFonts w:ascii="Calibri" w:hAnsi="Calibri"/>
                <w:b w:val="0"/>
                <w:sz w:val="19"/>
              </w:rPr>
              <w:t>196</w:t>
            </w:r>
          </w:p>
        </w:tc>
        <w:tc>
          <w:tcPr>
            <w:tcW w:type="dxa" w:w="2098"/>
            <w:vAlign w:val="center"/>
          </w:tcPr>
          <w:p>
            <w:pPr>
              <w:keepNext/>
              <w:keepLines/>
              <w:spacing w:line="240" w:lineRule="auto" w:before="40" w:after="40"/>
              <w:jc w:val="right"/>
            </w:pPr>
            <w:r>
              <w:rPr>
                <w:rFonts w:ascii="Calibri" w:hAnsi="Calibri"/>
                <w:b w:val="0"/>
                <w:sz w:val="19"/>
              </w:rPr>
              <w:t>6</w:t>
            </w:r>
          </w:p>
        </w:tc>
        <w:tc>
          <w:tcPr>
            <w:tcW w:type="dxa" w:w="3175"/>
            <w:vAlign w:val="center"/>
          </w:tcPr>
          <w:p>
            <w:pPr>
              <w:keepNext/>
              <w:keepLines/>
              <w:spacing w:line="240" w:lineRule="auto" w:before="40" w:after="40"/>
              <w:jc w:val="left"/>
            </w:pPr>
            <w:r>
              <w:rPr>
                <w:rFonts w:ascii="Calibri" w:hAnsi="Calibri"/>
                <w:b w:val="0"/>
                <w:sz w:val="19"/>
              </w:rPr>
              <w:t>Ausgewählter Isolation-Forest-Einzelprozess</w:t>
            </w:r>
          </w:p>
        </w:tc>
      </w:tr>
      <w:tr>
        <w:trPr>
          <w:cantSplit/>
        </w:trPr>
        <w:tc>
          <w:tcPr>
            <w:tcW w:type="dxa" w:w="1701"/>
            <w:vAlign w:val="center"/>
          </w:tcPr>
          <w:p>
            <w:pPr>
              <w:keepNext/>
              <w:keepLines/>
              <w:spacing w:line="240" w:lineRule="auto" w:before="40" w:after="40"/>
              <w:jc w:val="left"/>
            </w:pPr>
            <w:r>
              <w:rPr>
                <w:rFonts w:ascii="Calibri" w:hAnsi="Calibri"/>
                <w:b w:val="0"/>
                <w:sz w:val="19"/>
              </w:rPr>
              <w:t>RMS01</w:t>
            </w:r>
          </w:p>
        </w:tc>
        <w:tc>
          <w:tcPr>
            <w:tcW w:type="dxa" w:w="2098"/>
            <w:vAlign w:val="center"/>
          </w:tcPr>
          <w:p>
            <w:pPr>
              <w:keepNext/>
              <w:keepLines/>
              <w:spacing w:line="240" w:lineRule="auto" w:before="40" w:after="40"/>
              <w:jc w:val="right"/>
            </w:pPr>
            <w:r>
              <w:rPr>
                <w:rFonts w:ascii="Calibri" w:hAnsi="Calibri"/>
                <w:b w:val="0"/>
                <w:sz w:val="19"/>
              </w:rPr>
              <w:t>234</w:t>
            </w:r>
          </w:p>
        </w:tc>
        <w:tc>
          <w:tcPr>
            <w:tcW w:type="dxa" w:w="2098"/>
            <w:vAlign w:val="center"/>
          </w:tcPr>
          <w:p>
            <w:pPr>
              <w:keepNext/>
              <w:keepLines/>
              <w:spacing w:line="240" w:lineRule="auto" w:before="40" w:after="40"/>
              <w:jc w:val="right"/>
            </w:pPr>
            <w:r>
              <w:rPr>
                <w:rFonts w:ascii="Calibri" w:hAnsi="Calibri"/>
                <w:b w:val="0"/>
                <w:sz w:val="19"/>
              </w:rPr>
              <w:t>6</w:t>
            </w:r>
          </w:p>
        </w:tc>
        <w:tc>
          <w:tcPr>
            <w:tcW w:type="dxa" w:w="3175"/>
            <w:vAlign w:val="center"/>
          </w:tcPr>
          <w:p>
            <w:pPr>
              <w:keepNext/>
              <w:keepLines/>
              <w:spacing w:line="240" w:lineRule="auto" w:before="40" w:after="40"/>
              <w:jc w:val="left"/>
            </w:pPr>
            <w:r>
              <w:rPr>
                <w:rFonts w:ascii="Calibri" w:hAnsi="Calibri"/>
                <w:b w:val="0"/>
                <w:sz w:val="19"/>
              </w:rPr>
              <w:t>Ausgewählter RMS-Einzelprozess</w:t>
            </w:r>
          </w:p>
        </w:tc>
      </w:tr>
      <w:tr>
        <w:trPr>
          <w:cantSplit/>
        </w:trPr>
        <w:tc>
          <w:tcPr>
            <w:tcW w:type="dxa" w:w="1701"/>
            <w:vAlign w:val="center"/>
          </w:tcPr>
          <w:p>
            <w:pPr>
              <w:keepNext w:val="0"/>
              <w:keepLines/>
              <w:spacing w:line="240" w:lineRule="auto" w:before="40" w:after="40"/>
              <w:jc w:val="left"/>
            </w:pPr>
            <w:r>
              <w:rPr>
                <w:rFonts w:ascii="Calibri" w:hAnsi="Calibri"/>
                <w:b w:val="0"/>
                <w:sz w:val="19"/>
              </w:rPr>
              <w:t>Gemeinsam01</w:t>
            </w:r>
          </w:p>
        </w:tc>
        <w:tc>
          <w:tcPr>
            <w:tcW w:type="dxa" w:w="2098"/>
            <w:vAlign w:val="center"/>
          </w:tcPr>
          <w:p>
            <w:pPr>
              <w:keepNext w:val="0"/>
              <w:keepLines/>
              <w:spacing w:line="240" w:lineRule="auto" w:before="40" w:after="40"/>
              <w:jc w:val="left"/>
            </w:pPr>
            <w:r>
              <w:rPr>
                <w:rFonts w:ascii="Calibri" w:hAnsi="Calibri"/>
                <w:b w:val="0"/>
                <w:sz w:val="19"/>
              </w:rPr>
              <w:t>197 je Methode</w:t>
            </w:r>
          </w:p>
        </w:tc>
        <w:tc>
          <w:tcPr>
            <w:tcW w:type="dxa" w:w="2098"/>
            <w:vAlign w:val="center"/>
          </w:tcPr>
          <w:p>
            <w:pPr>
              <w:keepNext w:val="0"/>
              <w:keepLines/>
              <w:spacing w:line="240" w:lineRule="auto" w:before="40" w:after="40"/>
              <w:jc w:val="left"/>
            </w:pPr>
            <w:r>
              <w:rPr>
                <w:rFonts w:ascii="Calibri" w:hAnsi="Calibri"/>
                <w:b w:val="0"/>
                <w:sz w:val="19"/>
              </w:rPr>
              <w:t>AE 11 / IF 7 / RMS 6</w:t>
            </w:r>
          </w:p>
        </w:tc>
        <w:tc>
          <w:tcPr>
            <w:tcW w:type="dxa" w:w="3175"/>
            <w:vAlign w:val="center"/>
          </w:tcPr>
          <w:p>
            <w:pPr>
              <w:keepNext w:val="0"/>
              <w:keepLines/>
              <w:spacing w:line="240" w:lineRule="auto" w:before="40" w:after="40"/>
              <w:jc w:val="left"/>
            </w:pPr>
            <w:r>
              <w:rPr>
                <w:rFonts w:ascii="Calibri" w:hAnsi="Calibri"/>
                <w:b w:val="0"/>
                <w:sz w:val="19"/>
              </w:rPr>
              <w:t>Gemeinsamer Live-Vergleich</w:t>
            </w:r>
          </w:p>
        </w:tc>
      </w:tr>
    </w:tbl>
    <w:p>
      <w:r>
        <w:t>Technische Funktionsprüfungen im Ordner technical_checks sind nicht Teil dieser Ergebnisstichprobe. AE03, IF02 und RMS01 entsprechen den vollständigen Ordnernamen autoencoder_awaiting_call_03, isolation_forest_awaiting_call_02 und rms_awaiting_call_01. Gemeinsam01 liegt unter joint_trials/all_methods_01. Diese Zuordnung verhindert die Verwechslung von Wiederholungsanläufen und ausgewerteten Aufnahmen.</w:t>
      </w:r>
    </w:p>
    <w:p>
      <w:bookmarkStart w:id="10020" w:name="phone_heading_10020"/>
      <w:pPr>
        <w:pStyle w:val="Heading2"/>
        <w:numPr>
          <w:ilvl w:val="1"/>
          <w:numId w:val="2"/>
        </w:numPr>
        <w:jc w:val="left"/>
      </w:pPr>
      <w:r>
        <w:t>Datenintegrität und Reproduzierbarkeit</w:t>
      </w:r>
      <w:bookmarkEnd w:id="10020"/>
    </w:p>
    <w:p>
      <w:r>
        <w:t>Die drei ausgewählten Einzelaufnahmen enthalten zusammen 78.843 XYZ-Punkte, 614 vollständige Fenster und 251 gespeicherte Restpunkte. Der gemeinsame Lauf enthält 25.270 XYZ-Punkte, 197 vollständige Fenster und 54 Restpunkte. Damit liegen 811 verschiedene vollständige Rohfenster der vier ausgewählten Aufnahmen vor. Der gemeinsame Lauf erzeugt daraus 591 Entscheidungen; zusammen mit den 614 Einzelentscheidungen sind es 1.205 ursprüngliche Live-Entscheidungen. Diese Anzahl ist keine Zahl unabhängiger Versuche.</w:t>
      </w:r>
    </w:p>
    <w:p>
      <w:r>
        <w:t>In diesen vier Aufnahmen wurden keine ungültigen Modellfenster, verworfenen Fenster, Gap- oder Overrun-Ereignisse und keine Sättigungsflags protokolliert. Im gemeinsamen Lauf verblieben nach Abschluss keine vollständigen unverarbeiteten Fenster. Solche Nullbefunde belegen die protokollierte Integrität, nicht die Abwesenheit aller denkbaren unbekannten Messfehler.</w:t>
      </w:r>
    </w:p>
    <w:p>
      <w:r>
        <w:t>Alle 614 ursprünglichen Einzelentscheidungen lassen sich beim Replay exakt reproduzieren; die größte Scoreabweichung beträgt 0. Auch die 591 Entscheidungen des gemeinsamen Laufs wurden aus denselben Rohfenstern exakt reproduziert. Für alle 197 gemeinsamen Fenster stimmen die Eingabehashes der drei Methoden überein. Zusätzlich wurden vor dem gemeinsamen Lauf 1.842 Auswertungen der drei Methoden auf den 614 gespeicherten Einzelfenstern abgeglichen. Diese Softwareprüfungen bestätigen Konsistenz, nicht zusätzliche unabhängige Erkennungsereignisse.</w:t>
      </w:r>
    </w:p>
    <w:p>
      <w:bookmarkStart w:id="10021" w:name="phone_table_10021"/>
      <w:pPr>
        <w:pStyle w:val="Tabellenbeschriftung"/>
      </w:pPr>
      <w:r>
        <w:t>Tabelle 7-2: Ausgewählte Aufnahmen und Verteilung der gültigen Fenster</w:t>
      </w:r>
      <w:bookmarkEnd w:id="10021"/>
    </w:p>
    <w:tbl>
      <w:tblPr>
        <w:tblStyle w:val="Tabellenraster"/>
        <w:jc w:val="center"/>
        <w:tblLayout w:type="fixed"/>
        <w:tblLook w:firstColumn="1" w:firstRow="1" w:lastColumn="0" w:lastRow="0" w:noHBand="0" w:noVBand="1" w:val="04A0"/>
        <w:tblW w:w="9071" w:type="dxa"/>
      </w:tblPr>
      <w:tblGrid>
        <w:gridCol w:w="2268"/>
        <w:gridCol w:w="1417"/>
        <w:gridCol w:w="1701"/>
        <w:gridCol w:w="1814"/>
        <w:gridCol w:w="1871"/>
      </w:tblGrid>
      <w:tr>
        <w:trPr>
          <w:cantSplit/>
          <w:tblHeader/>
        </w:trPr>
        <w:tc>
          <w:tcPr>
            <w:tcW w:type="dxa" w:w="2268"/>
            <w:vAlign w:val="center"/>
            <w:shd w:fill="E7EDF2" w:val="clear"/>
          </w:tcPr>
          <w:p>
            <w:pPr>
              <w:keepNext/>
              <w:keepLines/>
              <w:spacing w:line="240" w:lineRule="auto" w:before="40" w:after="40"/>
              <w:jc w:val="left"/>
            </w:pPr>
            <w:r>
              <w:rPr>
                <w:rFonts w:ascii="Calibri" w:hAnsi="Calibri"/>
                <w:b/>
                <w:sz w:val="19"/>
              </w:rPr>
              <w:t>Aufnahme</w:t>
            </w:r>
          </w:p>
        </w:tc>
        <w:tc>
          <w:tcPr>
            <w:tcW w:type="dxa" w:w="1417"/>
            <w:vAlign w:val="center"/>
            <w:shd w:fill="E7EDF2" w:val="clear"/>
          </w:tcPr>
          <w:p>
            <w:pPr>
              <w:keepNext/>
              <w:keepLines/>
              <w:spacing w:line="240" w:lineRule="auto" w:before="40" w:after="40"/>
              <w:jc w:val="left"/>
            </w:pPr>
            <w:r>
              <w:rPr>
                <w:rFonts w:ascii="Calibri" w:hAnsi="Calibri"/>
                <w:b/>
                <w:sz w:val="19"/>
              </w:rPr>
              <w:t>Rohpunkte / Rest</w:t>
            </w:r>
          </w:p>
        </w:tc>
        <w:tc>
          <w:tcPr>
            <w:tcW w:type="dxa" w:w="1701"/>
            <w:vAlign w:val="center"/>
            <w:shd w:fill="E7EDF2" w:val="clear"/>
          </w:tcPr>
          <w:p>
            <w:pPr>
              <w:keepNext/>
              <w:keepLines/>
              <w:spacing w:line="240" w:lineRule="auto" w:before="40" w:after="40"/>
              <w:jc w:val="left"/>
            </w:pPr>
            <w:r>
              <w:rPr>
                <w:rFonts w:ascii="Calibri" w:hAnsi="Calibri"/>
                <w:b/>
                <w:sz w:val="19"/>
              </w:rPr>
              <w:t>Vor Marker</w:t>
            </w:r>
          </w:p>
        </w:tc>
        <w:tc>
          <w:tcPr>
            <w:tcW w:type="dxa" w:w="1814"/>
            <w:vAlign w:val="center"/>
            <w:shd w:fill="E7EDF2" w:val="clear"/>
          </w:tcPr>
          <w:p>
            <w:pPr>
              <w:keepNext/>
              <w:keepLines/>
              <w:spacing w:line="240" w:lineRule="auto" w:before="40" w:after="40"/>
              <w:jc w:val="left"/>
            </w:pPr>
            <w:r>
              <w:rPr>
                <w:rFonts w:ascii="Calibri" w:hAnsi="Calibri"/>
                <w:b/>
                <w:sz w:val="19"/>
              </w:rPr>
              <w:t>Zwischen Markern</w:t>
            </w:r>
          </w:p>
        </w:tc>
        <w:tc>
          <w:tcPr>
            <w:tcW w:type="dxa" w:w="1871"/>
            <w:vAlign w:val="center"/>
            <w:shd w:fill="E7EDF2" w:val="clear"/>
          </w:tcPr>
          <w:p>
            <w:pPr>
              <w:keepNext/>
              <w:keepLines/>
              <w:spacing w:line="240" w:lineRule="auto" w:before="40" w:after="40"/>
              <w:jc w:val="left"/>
            </w:pPr>
            <w:r>
              <w:rPr>
                <w:rFonts w:ascii="Calibri" w:hAnsi="Calibri"/>
                <w:b/>
                <w:sz w:val="19"/>
              </w:rPr>
              <w:t>Nach Marker / übergreifend</w:t>
            </w:r>
          </w:p>
        </w:tc>
      </w:tr>
      <w:tr>
        <w:trPr>
          <w:cantSplit/>
        </w:trPr>
        <w:tc>
          <w:tcPr>
            <w:tcW w:type="dxa" w:w="2268"/>
            <w:vAlign w:val="center"/>
          </w:tcPr>
          <w:p>
            <w:pPr>
              <w:keepNext/>
              <w:keepLines/>
              <w:spacing w:line="240" w:lineRule="auto" w:before="40" w:after="40"/>
              <w:jc w:val="left"/>
            </w:pPr>
            <w:r>
              <w:rPr>
                <w:rFonts w:ascii="Calibri" w:hAnsi="Calibri"/>
                <w:b w:val="0"/>
                <w:sz w:val="19"/>
              </w:rPr>
              <w:t>AE03</w:t>
            </w:r>
          </w:p>
        </w:tc>
        <w:tc>
          <w:tcPr>
            <w:tcW w:type="dxa" w:w="1417"/>
            <w:vAlign w:val="center"/>
          </w:tcPr>
          <w:p>
            <w:pPr>
              <w:keepNext/>
              <w:keepLines/>
              <w:spacing w:line="240" w:lineRule="auto" w:before="40" w:after="40"/>
              <w:jc w:val="right"/>
            </w:pPr>
            <w:r>
              <w:rPr>
                <w:rFonts w:ascii="Calibri" w:hAnsi="Calibri"/>
                <w:b w:val="0"/>
                <w:sz w:val="19"/>
              </w:rPr>
              <w:t>23.617 / 65</w:t>
            </w:r>
          </w:p>
        </w:tc>
        <w:tc>
          <w:tcPr>
            <w:tcW w:type="dxa" w:w="1701"/>
            <w:vAlign w:val="center"/>
          </w:tcPr>
          <w:p>
            <w:pPr>
              <w:keepNext/>
              <w:keepLines/>
              <w:spacing w:line="240" w:lineRule="auto" w:before="40" w:after="40"/>
              <w:jc w:val="right"/>
            </w:pPr>
            <w:r>
              <w:rPr>
                <w:rFonts w:ascii="Calibri" w:hAnsi="Calibri"/>
                <w:b w:val="0"/>
                <w:sz w:val="19"/>
              </w:rPr>
              <w:t>83</w:t>
            </w:r>
          </w:p>
        </w:tc>
        <w:tc>
          <w:tcPr>
            <w:tcW w:type="dxa" w:w="1814"/>
            <w:vAlign w:val="center"/>
          </w:tcPr>
          <w:p>
            <w:pPr>
              <w:keepNext/>
              <w:keepLines/>
              <w:spacing w:line="240" w:lineRule="auto" w:before="40" w:after="40"/>
              <w:jc w:val="right"/>
            </w:pPr>
            <w:r>
              <w:rPr>
                <w:rFonts w:ascii="Calibri" w:hAnsi="Calibri"/>
                <w:b w:val="0"/>
                <w:sz w:val="19"/>
              </w:rPr>
              <w:t>52</w:t>
            </w:r>
          </w:p>
        </w:tc>
        <w:tc>
          <w:tcPr>
            <w:tcW w:type="dxa" w:w="1871"/>
            <w:vAlign w:val="center"/>
          </w:tcPr>
          <w:p>
            <w:pPr>
              <w:keepNext/>
              <w:keepLines/>
              <w:spacing w:line="240" w:lineRule="auto" w:before="40" w:after="40"/>
              <w:jc w:val="right"/>
            </w:pPr>
            <w:r>
              <w:rPr>
                <w:rFonts w:ascii="Calibri" w:hAnsi="Calibri"/>
                <w:b w:val="0"/>
                <w:sz w:val="19"/>
              </w:rPr>
              <w:t>47 / 2</w:t>
            </w:r>
          </w:p>
        </w:tc>
      </w:tr>
      <w:tr>
        <w:trPr>
          <w:cantSplit/>
        </w:trPr>
        <w:tc>
          <w:tcPr>
            <w:tcW w:type="dxa" w:w="2268"/>
            <w:vAlign w:val="center"/>
          </w:tcPr>
          <w:p>
            <w:pPr>
              <w:keepNext/>
              <w:keepLines/>
              <w:spacing w:line="240" w:lineRule="auto" w:before="40" w:after="40"/>
              <w:jc w:val="left"/>
            </w:pPr>
            <w:r>
              <w:rPr>
                <w:rFonts w:ascii="Calibri" w:hAnsi="Calibri"/>
                <w:b w:val="0"/>
                <w:sz w:val="19"/>
              </w:rPr>
              <w:t>IF02</w:t>
            </w:r>
          </w:p>
        </w:tc>
        <w:tc>
          <w:tcPr>
            <w:tcW w:type="dxa" w:w="1417"/>
            <w:vAlign w:val="center"/>
          </w:tcPr>
          <w:p>
            <w:pPr>
              <w:keepNext/>
              <w:keepLines/>
              <w:spacing w:line="240" w:lineRule="auto" w:before="40" w:after="40"/>
              <w:jc w:val="right"/>
            </w:pPr>
            <w:r>
              <w:rPr>
                <w:rFonts w:ascii="Calibri" w:hAnsi="Calibri"/>
                <w:b w:val="0"/>
                <w:sz w:val="19"/>
              </w:rPr>
              <w:t>25.170 / 82</w:t>
            </w:r>
          </w:p>
        </w:tc>
        <w:tc>
          <w:tcPr>
            <w:tcW w:type="dxa" w:w="1701"/>
            <w:vAlign w:val="center"/>
          </w:tcPr>
          <w:p>
            <w:pPr>
              <w:keepNext/>
              <w:keepLines/>
              <w:spacing w:line="240" w:lineRule="auto" w:before="40" w:after="40"/>
              <w:jc w:val="right"/>
            </w:pPr>
            <w:r>
              <w:rPr>
                <w:rFonts w:ascii="Calibri" w:hAnsi="Calibri"/>
                <w:b w:val="0"/>
                <w:sz w:val="19"/>
              </w:rPr>
              <w:t>76</w:t>
            </w:r>
          </w:p>
        </w:tc>
        <w:tc>
          <w:tcPr>
            <w:tcW w:type="dxa" w:w="1814"/>
            <w:vAlign w:val="center"/>
          </w:tcPr>
          <w:p>
            <w:pPr>
              <w:keepNext/>
              <w:keepLines/>
              <w:spacing w:line="240" w:lineRule="auto" w:before="40" w:after="40"/>
              <w:jc w:val="right"/>
            </w:pPr>
            <w:r>
              <w:rPr>
                <w:rFonts w:ascii="Calibri" w:hAnsi="Calibri"/>
                <w:b w:val="0"/>
                <w:sz w:val="19"/>
              </w:rPr>
              <w:t>59</w:t>
            </w:r>
          </w:p>
        </w:tc>
        <w:tc>
          <w:tcPr>
            <w:tcW w:type="dxa" w:w="1871"/>
            <w:vAlign w:val="center"/>
          </w:tcPr>
          <w:p>
            <w:pPr>
              <w:keepNext/>
              <w:keepLines/>
              <w:spacing w:line="240" w:lineRule="auto" w:before="40" w:after="40"/>
              <w:jc w:val="right"/>
            </w:pPr>
            <w:r>
              <w:rPr>
                <w:rFonts w:ascii="Calibri" w:hAnsi="Calibri"/>
                <w:b w:val="0"/>
                <w:sz w:val="19"/>
              </w:rPr>
              <w:t>59 / 2</w:t>
            </w:r>
          </w:p>
        </w:tc>
      </w:tr>
      <w:tr>
        <w:trPr>
          <w:cantSplit/>
        </w:trPr>
        <w:tc>
          <w:tcPr>
            <w:tcW w:type="dxa" w:w="2268"/>
            <w:vAlign w:val="center"/>
          </w:tcPr>
          <w:p>
            <w:pPr>
              <w:keepNext/>
              <w:keepLines/>
              <w:spacing w:line="240" w:lineRule="auto" w:before="40" w:after="40"/>
              <w:jc w:val="left"/>
            </w:pPr>
            <w:r>
              <w:rPr>
                <w:rFonts w:ascii="Calibri" w:hAnsi="Calibri"/>
                <w:b w:val="0"/>
                <w:sz w:val="19"/>
              </w:rPr>
              <w:t>RMS01</w:t>
            </w:r>
          </w:p>
        </w:tc>
        <w:tc>
          <w:tcPr>
            <w:tcW w:type="dxa" w:w="1417"/>
            <w:vAlign w:val="center"/>
          </w:tcPr>
          <w:p>
            <w:pPr>
              <w:keepNext/>
              <w:keepLines/>
              <w:spacing w:line="240" w:lineRule="auto" w:before="40" w:after="40"/>
              <w:jc w:val="right"/>
            </w:pPr>
            <w:r>
              <w:rPr>
                <w:rFonts w:ascii="Calibri" w:hAnsi="Calibri"/>
                <w:b w:val="0"/>
                <w:sz w:val="19"/>
              </w:rPr>
              <w:t>30.056 / 104</w:t>
            </w:r>
          </w:p>
        </w:tc>
        <w:tc>
          <w:tcPr>
            <w:tcW w:type="dxa" w:w="1701"/>
            <w:vAlign w:val="center"/>
          </w:tcPr>
          <w:p>
            <w:pPr>
              <w:keepNext/>
              <w:keepLines/>
              <w:spacing w:line="240" w:lineRule="auto" w:before="40" w:after="40"/>
              <w:jc w:val="right"/>
            </w:pPr>
            <w:r>
              <w:rPr>
                <w:rFonts w:ascii="Calibri" w:hAnsi="Calibri"/>
                <w:b w:val="0"/>
                <w:sz w:val="19"/>
              </w:rPr>
              <w:t>83</w:t>
            </w:r>
          </w:p>
        </w:tc>
        <w:tc>
          <w:tcPr>
            <w:tcW w:type="dxa" w:w="1814"/>
            <w:vAlign w:val="center"/>
          </w:tcPr>
          <w:p>
            <w:pPr>
              <w:keepNext/>
              <w:keepLines/>
              <w:spacing w:line="240" w:lineRule="auto" w:before="40" w:after="40"/>
              <w:jc w:val="right"/>
            </w:pPr>
            <w:r>
              <w:rPr>
                <w:rFonts w:ascii="Calibri" w:hAnsi="Calibri"/>
                <w:b w:val="0"/>
                <w:sz w:val="19"/>
              </w:rPr>
              <w:t>109</w:t>
            </w:r>
          </w:p>
        </w:tc>
        <w:tc>
          <w:tcPr>
            <w:tcW w:type="dxa" w:w="1871"/>
            <w:vAlign w:val="center"/>
          </w:tcPr>
          <w:p>
            <w:pPr>
              <w:keepNext/>
              <w:keepLines/>
              <w:spacing w:line="240" w:lineRule="auto" w:before="40" w:after="40"/>
              <w:jc w:val="right"/>
            </w:pPr>
            <w:r>
              <w:rPr>
                <w:rFonts w:ascii="Calibri" w:hAnsi="Calibri"/>
                <w:b w:val="0"/>
                <w:sz w:val="19"/>
              </w:rPr>
              <w:t>40 / 2</w:t>
            </w:r>
          </w:p>
        </w:tc>
      </w:tr>
      <w:tr>
        <w:trPr>
          <w:cantSplit/>
        </w:trPr>
        <w:tc>
          <w:tcPr>
            <w:tcW w:type="dxa" w:w="2268"/>
            <w:vAlign w:val="center"/>
          </w:tcPr>
          <w:p>
            <w:pPr>
              <w:keepNext w:val="0"/>
              <w:keepLines/>
              <w:spacing w:line="240" w:lineRule="auto" w:before="40" w:after="40"/>
              <w:jc w:val="left"/>
            </w:pPr>
            <w:r>
              <w:rPr>
                <w:rFonts w:ascii="Calibri" w:hAnsi="Calibri"/>
                <w:b w:val="0"/>
                <w:sz w:val="19"/>
              </w:rPr>
              <w:t>Gemeinsam01</w:t>
            </w:r>
          </w:p>
        </w:tc>
        <w:tc>
          <w:tcPr>
            <w:tcW w:type="dxa" w:w="1417"/>
            <w:vAlign w:val="center"/>
          </w:tcPr>
          <w:p>
            <w:pPr>
              <w:keepNext w:val="0"/>
              <w:keepLines/>
              <w:spacing w:line="240" w:lineRule="auto" w:before="40" w:after="40"/>
              <w:jc w:val="right"/>
            </w:pPr>
            <w:r>
              <w:rPr>
                <w:rFonts w:ascii="Calibri" w:hAnsi="Calibri"/>
                <w:b w:val="0"/>
                <w:sz w:val="19"/>
              </w:rPr>
              <w:t>25.270 / 54</w:t>
            </w:r>
          </w:p>
        </w:tc>
        <w:tc>
          <w:tcPr>
            <w:tcW w:type="dxa" w:w="1701"/>
            <w:vAlign w:val="center"/>
          </w:tcPr>
          <w:p>
            <w:pPr>
              <w:keepNext w:val="0"/>
              <w:keepLines/>
              <w:spacing w:line="240" w:lineRule="auto" w:before="40" w:after="40"/>
              <w:jc w:val="right"/>
            </w:pPr>
            <w:r>
              <w:rPr>
                <w:rFonts w:ascii="Calibri" w:hAnsi="Calibri"/>
                <w:b w:val="0"/>
                <w:sz w:val="19"/>
              </w:rPr>
              <w:t>77</w:t>
            </w:r>
          </w:p>
        </w:tc>
        <w:tc>
          <w:tcPr>
            <w:tcW w:type="dxa" w:w="1814"/>
            <w:vAlign w:val="center"/>
          </w:tcPr>
          <w:p>
            <w:pPr>
              <w:keepNext w:val="0"/>
              <w:keepLines/>
              <w:spacing w:line="240" w:lineRule="auto" w:before="40" w:after="40"/>
              <w:jc w:val="right"/>
            </w:pPr>
            <w:r>
              <w:rPr>
                <w:rFonts w:ascii="Calibri" w:hAnsi="Calibri"/>
                <w:b w:val="0"/>
                <w:sz w:val="19"/>
              </w:rPr>
              <w:t>79</w:t>
            </w:r>
          </w:p>
        </w:tc>
        <w:tc>
          <w:tcPr>
            <w:tcW w:type="dxa" w:w="1871"/>
            <w:vAlign w:val="center"/>
          </w:tcPr>
          <w:p>
            <w:pPr>
              <w:keepNext w:val="0"/>
              <w:keepLines/>
              <w:spacing w:line="240" w:lineRule="auto" w:before="40" w:after="40"/>
              <w:jc w:val="right"/>
            </w:pPr>
            <w:r>
              <w:rPr>
                <w:rFonts w:ascii="Calibri" w:hAnsi="Calibri"/>
                <w:b w:val="0"/>
                <w:sz w:val="19"/>
              </w:rPr>
              <w:t>39 / 2</w:t>
            </w:r>
          </w:p>
        </w:tc>
      </w:tr>
    </w:tbl>
    <w:p>
      <w:bookmarkStart w:id="10022" w:name="phone_heading_10022"/>
      <w:pPr>
        <w:pStyle w:val="Heading2"/>
        <w:numPr>
          <w:ilvl w:val="1"/>
          <w:numId w:val="2"/>
        </w:numPr>
        <w:jc w:val="left"/>
      </w:pPr>
      <w:r>
        <w:t>Einzelbetrieb und Vergleich auf identischen Replay-Fenstern</w:t>
      </w:r>
      <w:bookmarkEnd w:id="10022"/>
    </w:p>
    <w:p>
      <w:r>
        <w:t>Im ausgewählten Einzelbetrieb markiert der Autoencoder elf Fenster, Isolation Forest sechs und RMS sechs. Die Alarme liegen jeweils vollständig zwischen den Bedienmarkern. Vor der Anrufaufforderung und nach der Enderückmeldung treten in diesen ausgewählten Läufen keine Alarme auf. Weil Anrufe und Zeitverläufe voneinander abweichen, sind diese Zahlen allein weder ein Geschwindigkeitsranking noch eine faire Erkennungsquote.</w:t>
      </w:r>
    </w:p>
    <w:p>
      <w:r>
        <w:t>Der Offline-Vergleich wertet deshalb jede dieser drei Rohaufnahmen mit allen drei eingefrorenen Methoden aus. Auf AE03 markieren alle Methoden erstmals Fenster 97. Auf IF02 markiert der Autoencoder Fenster 93, die beiden Baselines erst Fenster 94. Auf RMS01 beginnen alle drei bei Fenster 155. Der Autoencoder ist somit in diesen drei Aufnahmen nie später im ersten Alarmfenster, einmal früher und zweimal gleichauf. Die drei Befunde stammen von drei verschiedenen Anrufen; zusätzliche Verallgemeinerung erfordert mehr unabhängige Wiederholungen.</w:t>
      </w:r>
    </w:p>
    <w:p>
      <w:bookmarkStart w:id="10023" w:name="phone_table_10023"/>
      <w:pPr>
        <w:pStyle w:val="Tabellenbeschriftung"/>
      </w:pPr>
      <w:r>
        <w:t>Tabelle 7-3: Replay derselben Rohfenster; erstes Alarmfenster und gesamte Alarmfenster</w:t>
      </w:r>
      <w:bookmarkEnd w:id="10023"/>
    </w:p>
    <w:tbl>
      <w:tblPr>
        <w:tblStyle w:val="Tabellenraster"/>
        <w:jc w:val="center"/>
        <w:tblLayout w:type="fixed"/>
        <w:tblLook w:firstColumn="1" w:firstRow="1" w:lastColumn="0" w:lastRow="0" w:noHBand="0" w:noVBand="1" w:val="04A0"/>
        <w:tblW w:w="9071" w:type="dxa"/>
      </w:tblPr>
      <w:tblGrid>
        <w:gridCol w:w="1701"/>
        <w:gridCol w:w="2098"/>
        <w:gridCol w:w="2098"/>
        <w:gridCol w:w="3175"/>
      </w:tblGrid>
      <w:tr>
        <w:trPr>
          <w:cantSplit/>
          <w:tblHeader/>
        </w:trPr>
        <w:tc>
          <w:tcPr>
            <w:tcW w:type="dxa" w:w="1701"/>
            <w:vAlign w:val="center"/>
            <w:shd w:fill="E7EDF2" w:val="clear"/>
          </w:tcPr>
          <w:p>
            <w:pPr>
              <w:keepNext/>
              <w:keepLines/>
              <w:spacing w:line="240" w:lineRule="auto" w:before="40" w:after="40"/>
              <w:jc w:val="left"/>
            </w:pPr>
            <w:r>
              <w:rPr>
                <w:rFonts w:ascii="Calibri" w:hAnsi="Calibri"/>
                <w:b/>
                <w:sz w:val="19"/>
              </w:rPr>
              <w:t>Aufnahme</w:t>
            </w:r>
          </w:p>
        </w:tc>
        <w:tc>
          <w:tcPr>
            <w:tcW w:type="dxa" w:w="2098"/>
            <w:vAlign w:val="center"/>
            <w:shd w:fill="E7EDF2" w:val="clear"/>
          </w:tcPr>
          <w:p>
            <w:pPr>
              <w:keepNext/>
              <w:keepLines/>
              <w:spacing w:line="240" w:lineRule="auto" w:before="40" w:after="40"/>
              <w:jc w:val="left"/>
            </w:pPr>
            <w:r>
              <w:rPr>
                <w:rFonts w:ascii="Calibri" w:hAnsi="Calibri"/>
                <w:b/>
                <w:sz w:val="19"/>
              </w:rPr>
              <w:t>Autoencoder</w:t>
            </w:r>
          </w:p>
        </w:tc>
        <w:tc>
          <w:tcPr>
            <w:tcW w:type="dxa" w:w="2098"/>
            <w:vAlign w:val="center"/>
            <w:shd w:fill="E7EDF2" w:val="clear"/>
          </w:tcPr>
          <w:p>
            <w:pPr>
              <w:keepNext/>
              <w:keepLines/>
              <w:spacing w:line="240" w:lineRule="auto" w:before="40" w:after="40"/>
              <w:jc w:val="left"/>
            </w:pPr>
            <w:r>
              <w:rPr>
                <w:rFonts w:ascii="Calibri" w:hAnsi="Calibri"/>
                <w:b/>
                <w:sz w:val="19"/>
              </w:rPr>
              <w:t>Isolation Forest</w:t>
            </w:r>
          </w:p>
        </w:tc>
        <w:tc>
          <w:tcPr>
            <w:tcW w:type="dxa" w:w="3175"/>
            <w:vAlign w:val="center"/>
            <w:shd w:fill="E7EDF2" w:val="clear"/>
          </w:tcPr>
          <w:p>
            <w:pPr>
              <w:keepNext/>
              <w:keepLines/>
              <w:spacing w:line="240" w:lineRule="auto" w:before="40" w:after="40"/>
              <w:jc w:val="left"/>
            </w:pPr>
            <w:r>
              <w:rPr>
                <w:rFonts w:ascii="Calibri" w:hAnsi="Calibri"/>
                <w:b/>
                <w:sz w:val="19"/>
              </w:rPr>
              <w:t>RMS</w:t>
            </w:r>
          </w:p>
        </w:tc>
      </w:tr>
      <w:tr>
        <w:trPr>
          <w:cantSplit/>
        </w:trPr>
        <w:tc>
          <w:tcPr>
            <w:tcW w:type="dxa" w:w="1701"/>
            <w:vAlign w:val="center"/>
          </w:tcPr>
          <w:p>
            <w:pPr>
              <w:keepNext/>
              <w:keepLines/>
              <w:spacing w:line="240" w:lineRule="auto" w:before="40" w:after="40"/>
              <w:jc w:val="left"/>
            </w:pPr>
            <w:r>
              <w:rPr>
                <w:rFonts w:ascii="Calibri" w:hAnsi="Calibri"/>
                <w:b w:val="0"/>
                <w:sz w:val="19"/>
              </w:rPr>
              <w:t>AE03</w:t>
            </w:r>
          </w:p>
        </w:tc>
        <w:tc>
          <w:tcPr>
            <w:tcW w:type="dxa" w:w="2098"/>
            <w:vAlign w:val="center"/>
          </w:tcPr>
          <w:p>
            <w:pPr>
              <w:keepNext/>
              <w:keepLines/>
              <w:spacing w:line="240" w:lineRule="auto" w:before="40" w:after="40"/>
              <w:jc w:val="left"/>
            </w:pPr>
            <w:r>
              <w:rPr>
                <w:rFonts w:ascii="Calibri" w:hAnsi="Calibri"/>
                <w:b w:val="0"/>
                <w:sz w:val="19"/>
              </w:rPr>
              <w:t>erstes 97; 11 Alarme</w:t>
            </w:r>
          </w:p>
        </w:tc>
        <w:tc>
          <w:tcPr>
            <w:tcW w:type="dxa" w:w="2098"/>
            <w:vAlign w:val="center"/>
          </w:tcPr>
          <w:p>
            <w:pPr>
              <w:keepNext/>
              <w:keepLines/>
              <w:spacing w:line="240" w:lineRule="auto" w:before="40" w:after="40"/>
              <w:jc w:val="left"/>
            </w:pPr>
            <w:r>
              <w:rPr>
                <w:rFonts w:ascii="Calibri" w:hAnsi="Calibri"/>
                <w:b w:val="0"/>
                <w:sz w:val="19"/>
              </w:rPr>
              <w:t>erstes 97; 6 Alarme</w:t>
            </w:r>
          </w:p>
        </w:tc>
        <w:tc>
          <w:tcPr>
            <w:tcW w:type="dxa" w:w="3175"/>
            <w:vAlign w:val="center"/>
          </w:tcPr>
          <w:p>
            <w:pPr>
              <w:keepNext/>
              <w:keepLines/>
              <w:spacing w:line="240" w:lineRule="auto" w:before="40" w:after="40"/>
              <w:jc w:val="left"/>
            </w:pPr>
            <w:r>
              <w:rPr>
                <w:rFonts w:ascii="Calibri" w:hAnsi="Calibri"/>
                <w:b w:val="0"/>
                <w:sz w:val="19"/>
              </w:rPr>
              <w:t>erstes 97; 8 Alarme</w:t>
            </w:r>
          </w:p>
        </w:tc>
      </w:tr>
      <w:tr>
        <w:trPr>
          <w:cantSplit/>
        </w:trPr>
        <w:tc>
          <w:tcPr>
            <w:tcW w:type="dxa" w:w="1701"/>
            <w:vAlign w:val="center"/>
          </w:tcPr>
          <w:p>
            <w:pPr>
              <w:keepNext/>
              <w:keepLines/>
              <w:spacing w:line="240" w:lineRule="auto" w:before="40" w:after="40"/>
              <w:jc w:val="left"/>
            </w:pPr>
            <w:r>
              <w:rPr>
                <w:rFonts w:ascii="Calibri" w:hAnsi="Calibri"/>
                <w:b w:val="0"/>
                <w:sz w:val="19"/>
              </w:rPr>
              <w:t>IF02</w:t>
            </w:r>
          </w:p>
        </w:tc>
        <w:tc>
          <w:tcPr>
            <w:tcW w:type="dxa" w:w="2098"/>
            <w:vAlign w:val="center"/>
          </w:tcPr>
          <w:p>
            <w:pPr>
              <w:keepNext/>
              <w:keepLines/>
              <w:spacing w:line="240" w:lineRule="auto" w:before="40" w:after="40"/>
              <w:jc w:val="left"/>
            </w:pPr>
            <w:r>
              <w:rPr>
                <w:rFonts w:ascii="Calibri" w:hAnsi="Calibri"/>
                <w:b w:val="0"/>
                <w:sz w:val="19"/>
              </w:rPr>
              <w:t>erstes 93; 9 Alarme</w:t>
            </w:r>
          </w:p>
        </w:tc>
        <w:tc>
          <w:tcPr>
            <w:tcW w:type="dxa" w:w="2098"/>
            <w:vAlign w:val="center"/>
          </w:tcPr>
          <w:p>
            <w:pPr>
              <w:keepNext/>
              <w:keepLines/>
              <w:spacing w:line="240" w:lineRule="auto" w:before="40" w:after="40"/>
              <w:jc w:val="left"/>
            </w:pPr>
            <w:r>
              <w:rPr>
                <w:rFonts w:ascii="Calibri" w:hAnsi="Calibri"/>
                <w:b w:val="0"/>
                <w:sz w:val="19"/>
              </w:rPr>
              <w:t>erstes 94; 6 Alarme</w:t>
            </w:r>
          </w:p>
        </w:tc>
        <w:tc>
          <w:tcPr>
            <w:tcW w:type="dxa" w:w="3175"/>
            <w:vAlign w:val="center"/>
          </w:tcPr>
          <w:p>
            <w:pPr>
              <w:keepNext/>
              <w:keepLines/>
              <w:spacing w:line="240" w:lineRule="auto" w:before="40" w:after="40"/>
              <w:jc w:val="left"/>
            </w:pPr>
            <w:r>
              <w:rPr>
                <w:rFonts w:ascii="Calibri" w:hAnsi="Calibri"/>
                <w:b w:val="0"/>
                <w:sz w:val="19"/>
              </w:rPr>
              <w:t>erstes 94; 6 Alarme</w:t>
            </w:r>
          </w:p>
        </w:tc>
      </w:tr>
      <w:tr>
        <w:trPr>
          <w:cantSplit/>
        </w:trPr>
        <w:tc>
          <w:tcPr>
            <w:tcW w:type="dxa" w:w="1701"/>
            <w:vAlign w:val="center"/>
          </w:tcPr>
          <w:p>
            <w:pPr>
              <w:keepNext w:val="0"/>
              <w:keepLines/>
              <w:spacing w:line="240" w:lineRule="auto" w:before="40" w:after="40"/>
              <w:jc w:val="left"/>
            </w:pPr>
            <w:r>
              <w:rPr>
                <w:rFonts w:ascii="Calibri" w:hAnsi="Calibri"/>
                <w:b w:val="0"/>
                <w:sz w:val="19"/>
              </w:rPr>
              <w:t>RMS01</w:t>
            </w:r>
          </w:p>
        </w:tc>
        <w:tc>
          <w:tcPr>
            <w:tcW w:type="dxa" w:w="2098"/>
            <w:vAlign w:val="center"/>
          </w:tcPr>
          <w:p>
            <w:pPr>
              <w:keepNext w:val="0"/>
              <w:keepLines/>
              <w:spacing w:line="240" w:lineRule="auto" w:before="40" w:after="40"/>
              <w:jc w:val="left"/>
            </w:pPr>
            <w:r>
              <w:rPr>
                <w:rFonts w:ascii="Calibri" w:hAnsi="Calibri"/>
                <w:b w:val="0"/>
                <w:sz w:val="19"/>
              </w:rPr>
              <w:t>erstes 155; 9 Alarme</w:t>
            </w:r>
          </w:p>
        </w:tc>
        <w:tc>
          <w:tcPr>
            <w:tcW w:type="dxa" w:w="2098"/>
            <w:vAlign w:val="center"/>
          </w:tcPr>
          <w:p>
            <w:pPr>
              <w:keepNext w:val="0"/>
              <w:keepLines/>
              <w:spacing w:line="240" w:lineRule="auto" w:before="40" w:after="40"/>
              <w:jc w:val="left"/>
            </w:pPr>
            <w:r>
              <w:rPr>
                <w:rFonts w:ascii="Calibri" w:hAnsi="Calibri"/>
                <w:b w:val="0"/>
                <w:sz w:val="19"/>
              </w:rPr>
              <w:t>erstes 155; 6 Alarme</w:t>
            </w:r>
          </w:p>
        </w:tc>
        <w:tc>
          <w:tcPr>
            <w:tcW w:type="dxa" w:w="3175"/>
            <w:vAlign w:val="center"/>
          </w:tcPr>
          <w:p>
            <w:pPr>
              <w:keepNext w:val="0"/>
              <w:keepLines/>
              <w:spacing w:line="240" w:lineRule="auto" w:before="40" w:after="40"/>
              <w:jc w:val="left"/>
            </w:pPr>
            <w:r>
              <w:rPr>
                <w:rFonts w:ascii="Calibri" w:hAnsi="Calibri"/>
                <w:b w:val="0"/>
                <w:sz w:val="19"/>
              </w:rPr>
              <w:t>erstes 155; 6 Alarme</w:t>
            </w:r>
          </w:p>
        </w:tc>
      </w:tr>
    </w:tbl>
    <w:p>
      <w:pPr>
        <w:keepNext/>
        <w:spacing w:after="0"/>
        <w:jc w:val="center"/>
      </w:pPr>
      <w:r/>
      <w:r>
        <w:drawing>
          <wp:inline xmlns:a="http://schemas.openxmlformats.org/drawingml/2006/main">
            <wp:extent cx="5760000" cy="2805352"/>
            <wp:docPr id="4" name="Picture 4"/>
            <wp:cNvGraphicFramePr>
              <a:graphicFrameLocks noChangeAspect="1"/>
            </wp:cNvGraphicFramePr>
            <a:graphic>
              <a:graphicData uri="http://schemas.openxmlformats.org/drawingml/2006/picture">
                <pic:pic>
                  <pic:nvPicPr>
                    <pic:cNvPr id="0" name="replay_onsets.png"/>
                    <pic:cNvPicPr/>
                  </pic:nvPicPr>
                  <pic:blipFill>
                    <a:blip r:embed="rId74"/>
                    <a:stretch>
                      <a:fillRect/>
                    </a:stretch>
                  </pic:blipFill>
                  <pic:spPr>
                    <a:xfrm>
                      <a:off x="0" y="0"/>
                      <a:ext cx="5760000" cy="2805352"/>
                    </a:xfrm>
                    <a:prstGeom prst="rect"/>
                  </pic:spPr>
                </pic:pic>
              </a:graphicData>
            </a:graphic>
          </wp:inline>
        </w:drawing>
      </w:r>
    </w:p>
    <w:p>
      <w:bookmarkStart w:id="10024" w:name="phone_figure_10024"/>
      <w:pPr>
        <w:pStyle w:val="Abbildungsbeschriftung"/>
      </w:pPr>
      <w:r>
        <w:t>Abbildung 7-1: Erstes Alarmfenster im Offline-Replay. Die Zahlen an den Punkten sind Fensterindizes; die vertikale Achse zeigt den Abstand zum frühesten Alarmfenster derselben Aufnahme. Eine Null bedeutet Gleichstand auf Fensterebene, keine gleichzeitig gemessene Live-Ausgabe. Quelle: B12, replay_v1/summary.json.</w:t>
      </w:r>
      <w:bookmarkEnd w:id="10024"/>
    </w:p>
    <w:p>
      <w:bookmarkStart w:id="10025" w:name="phone_heading_10025"/>
      <w:pPr>
        <w:pStyle w:val="Heading2"/>
        <w:numPr>
          <w:ilvl w:val="1"/>
          <w:numId w:val="2"/>
        </w:numPr>
        <w:jc w:val="left"/>
      </w:pPr>
      <w:r>
        <w:t>Gemeinsamer Live-Lauf: Signal und Alarmreihenfolge</w:t>
      </w:r>
      <w:bookmarkEnd w:id="10025"/>
    </w:p>
    <w:p>
      <w:r>
        <w:t>Im gemeinsamen Lauf erhalten alle Methoden dieselben 197 Fenster. Die Anrufaufforderung liegt 48,019 s, die protokollierte Enderückmeldung 97,322 s nach dem Aufnahmestart. Dazwischen befinden sich 79 vollständige Fenster. Der Autoencoder markiert elf, Isolation Forest sieben und RMS sechs davon. In den 77 Fenstern vor der Aufforderung, den 39 Fenstern nach der Rückmeldung und den zwei markerübergreifenden Fenstern gibt es bei keiner Methode einen Alarm. Diese Nullwerte beschreiben die gespeicherte Folge, nicht eine nachgewiesene allgemeine Fehlalarmrate von 0 %.</w:t>
      </w:r>
    </w:p>
    <w:p>
      <w:pPr>
        <w:keepNext/>
        <w:spacing w:after="0"/>
        <w:jc w:val="center"/>
      </w:pPr>
      <w:r/>
      <w:r>
        <w:drawing>
          <wp:inline xmlns:a="http://schemas.openxmlformats.org/drawingml/2006/main">
            <wp:extent cx="5760000" cy="4562170"/>
            <wp:docPr id="5" name="Picture 5"/>
            <wp:cNvGraphicFramePr>
              <a:graphicFrameLocks noChangeAspect="1"/>
            </wp:cNvGraphicFramePr>
            <a:graphic>
              <a:graphicData uri="http://schemas.openxmlformats.org/drawingml/2006/picture">
                <pic:pic>
                  <pic:nvPicPr>
                    <pic:cNvPr id="0" name="joint_signals.png"/>
                    <pic:cNvPicPr/>
                  </pic:nvPicPr>
                  <pic:blipFill>
                    <a:blip r:embed="rId75"/>
                    <a:stretch>
                      <a:fillRect/>
                    </a:stretch>
                  </pic:blipFill>
                  <pic:spPr>
                    <a:xfrm>
                      <a:off x="0" y="0"/>
                      <a:ext cx="5760000" cy="4562170"/>
                    </a:xfrm>
                    <a:prstGeom prst="rect"/>
                  </pic:spPr>
                </pic:pic>
              </a:graphicData>
            </a:graphic>
          </wp:inline>
        </w:drawing>
      </w:r>
    </w:p>
    <w:p>
      <w:bookmarkStart w:id="10026" w:name="phone_figure_10026"/>
      <w:pPr>
        <w:pStyle w:val="Abbildungsbeschriftung"/>
      </w:pPr>
      <w:r>
        <w:t>Abbildung 7-2: Gemeinsamer Rohdaten- und Scoreverlauf. Graue Bereiche liegen zwischen den Bedienmarkern, nicht zwischen unabhängig gemessenem Vibrationsbeginn und -ende. Die Scoreachse ist logarithmisch und auf die jeweilige Schwelle normiert; der Wert 1 kennzeichnet die Alarmgrenze. Quelle: B12, Gemeinsam01.</w:t>
      </w:r>
      <w:bookmarkEnd w:id="10026"/>
    </w:p>
    <w:p>
      <w:bookmarkStart w:id="10027" w:name="phone_table_10027"/>
      <w:pPr>
        <w:pStyle w:val="Tabellenbeschriftung"/>
      </w:pPr>
      <w:r>
        <w:t>Tabelle 7-4: Erste Alarme im gemeinsamen Live-Lauf</w:t>
      </w:r>
      <w:bookmarkEnd w:id="10027"/>
    </w:p>
    <w:tbl>
      <w:tblPr>
        <w:tblStyle w:val="Tabellenraster"/>
        <w:jc w:val="center"/>
        <w:tblLayout w:type="fixed"/>
        <w:tblLook w:firstColumn="1" w:firstRow="1" w:lastColumn="0" w:lastRow="0" w:noHBand="0" w:noVBand="1" w:val="04A0"/>
        <w:tblW w:w="9071" w:type="dxa"/>
      </w:tblPr>
      <w:tblGrid>
        <w:gridCol w:w="2268"/>
        <w:gridCol w:w="1417"/>
        <w:gridCol w:w="1701"/>
        <w:gridCol w:w="1814"/>
        <w:gridCol w:w="1871"/>
      </w:tblGrid>
      <w:tr>
        <w:trPr>
          <w:cantSplit/>
          <w:tblHeader/>
        </w:trPr>
        <w:tc>
          <w:tcPr>
            <w:tcW w:type="dxa" w:w="2268"/>
            <w:vAlign w:val="center"/>
            <w:shd w:fill="E7EDF2" w:val="clear"/>
          </w:tcPr>
          <w:p>
            <w:pPr>
              <w:keepNext/>
              <w:keepLines/>
              <w:spacing w:line="240" w:lineRule="auto" w:before="40" w:after="40"/>
              <w:jc w:val="left"/>
            </w:pPr>
            <w:r>
              <w:rPr>
                <w:rFonts w:ascii="Calibri" w:hAnsi="Calibri"/>
                <w:b/>
                <w:sz w:val="19"/>
              </w:rPr>
              <w:t>Methode</w:t>
            </w:r>
          </w:p>
        </w:tc>
        <w:tc>
          <w:tcPr>
            <w:tcW w:type="dxa" w:w="1417"/>
            <w:vAlign w:val="center"/>
            <w:shd w:fill="E7EDF2" w:val="clear"/>
          </w:tcPr>
          <w:p>
            <w:pPr>
              <w:keepNext/>
              <w:keepLines/>
              <w:spacing w:line="240" w:lineRule="auto" w:before="40" w:after="40"/>
              <w:jc w:val="left"/>
            </w:pPr>
            <w:r>
              <w:rPr>
                <w:rFonts w:ascii="Calibri" w:hAnsi="Calibri"/>
                <w:b/>
                <w:sz w:val="19"/>
              </w:rPr>
              <w:t>Erstes Alarmfenster</w:t>
            </w:r>
          </w:p>
        </w:tc>
        <w:tc>
          <w:tcPr>
            <w:tcW w:type="dxa" w:w="1701"/>
            <w:vAlign w:val="center"/>
            <w:shd w:fill="E7EDF2" w:val="clear"/>
          </w:tcPr>
          <w:p>
            <w:pPr>
              <w:keepNext/>
              <w:keepLines/>
              <w:spacing w:line="240" w:lineRule="auto" w:before="40" w:after="40"/>
              <w:jc w:val="left"/>
            </w:pPr>
            <w:r>
              <w:rPr>
                <w:rFonts w:ascii="Calibri" w:hAnsi="Calibri"/>
                <w:b/>
                <w:sz w:val="19"/>
              </w:rPr>
              <w:t>Rang des Fensters</w:t>
            </w:r>
          </w:p>
        </w:tc>
        <w:tc>
          <w:tcPr>
            <w:tcW w:type="dxa" w:w="1814"/>
            <w:vAlign w:val="center"/>
            <w:shd w:fill="E7EDF2" w:val="clear"/>
          </w:tcPr>
          <w:p>
            <w:pPr>
              <w:keepNext/>
              <w:keepLines/>
              <w:spacing w:line="240" w:lineRule="auto" w:before="40" w:after="40"/>
              <w:jc w:val="left"/>
            </w:pPr>
            <w:r>
              <w:rPr>
                <w:rFonts w:ascii="Calibri" w:hAnsi="Calibri"/>
                <w:b/>
                <w:sz w:val="19"/>
              </w:rPr>
              <w:t>Rang der Ausgabe</w:t>
            </w:r>
          </w:p>
        </w:tc>
        <w:tc>
          <w:tcPr>
            <w:tcW w:type="dxa" w:w="1871"/>
            <w:vAlign w:val="center"/>
            <w:shd w:fill="E7EDF2" w:val="clear"/>
          </w:tcPr>
          <w:p>
            <w:pPr>
              <w:keepNext/>
              <w:keepLines/>
              <w:spacing w:line="240" w:lineRule="auto" w:before="40" w:after="40"/>
              <w:jc w:val="left"/>
            </w:pPr>
            <w:r>
              <w:rPr>
                <w:rFonts w:ascii="Calibri" w:hAnsi="Calibri"/>
                <w:b/>
                <w:sz w:val="19"/>
              </w:rPr>
              <w:t>Abstand zur ersten Ausgabe [ms]</w:t>
            </w:r>
          </w:p>
        </w:tc>
      </w:tr>
      <w:tr>
        <w:trPr>
          <w:cantSplit/>
        </w:trPr>
        <w:tc>
          <w:tcPr>
            <w:tcW w:type="dxa" w:w="2268"/>
            <w:vAlign w:val="center"/>
          </w:tcPr>
          <w:p>
            <w:pPr>
              <w:keepNext/>
              <w:keepLines/>
              <w:spacing w:line="240" w:lineRule="auto" w:before="40" w:after="40"/>
              <w:jc w:val="left"/>
            </w:pPr>
            <w:r>
              <w:rPr>
                <w:rFonts w:ascii="Calibri" w:hAnsi="Calibri"/>
                <w:b w:val="0"/>
                <w:sz w:val="19"/>
              </w:rPr>
              <w:t>Autoencoder</w:t>
            </w:r>
          </w:p>
        </w:tc>
        <w:tc>
          <w:tcPr>
            <w:tcW w:type="dxa" w:w="1417"/>
            <w:vAlign w:val="center"/>
          </w:tcPr>
          <w:p>
            <w:pPr>
              <w:keepNext/>
              <w:keepLines/>
              <w:spacing w:line="240" w:lineRule="auto" w:before="40" w:after="40"/>
              <w:jc w:val="right"/>
            </w:pPr>
            <w:r>
              <w:rPr>
                <w:rFonts w:ascii="Calibri" w:hAnsi="Calibri"/>
                <w:b w:val="0"/>
                <w:sz w:val="19"/>
              </w:rPr>
              <w:t>108</w:t>
            </w:r>
          </w:p>
        </w:tc>
        <w:tc>
          <w:tcPr>
            <w:tcW w:type="dxa" w:w="1701"/>
            <w:vAlign w:val="center"/>
          </w:tcPr>
          <w:p>
            <w:pPr>
              <w:keepNext/>
              <w:keepLines/>
              <w:spacing w:line="240" w:lineRule="auto" w:before="40" w:after="40"/>
              <w:jc w:val="left"/>
            </w:pPr>
            <w:r>
              <w:rPr>
                <w:rFonts w:ascii="Calibri" w:hAnsi="Calibri"/>
                <w:b w:val="0"/>
                <w:sz w:val="19"/>
              </w:rPr>
              <w:t>1, gleichauf mit IF</w:t>
            </w:r>
          </w:p>
        </w:tc>
        <w:tc>
          <w:tcPr>
            <w:tcW w:type="dxa" w:w="1814"/>
            <w:vAlign w:val="center"/>
          </w:tcPr>
          <w:p>
            <w:pPr>
              <w:keepNext/>
              <w:keepLines/>
              <w:spacing w:line="240" w:lineRule="auto" w:before="40" w:after="40"/>
              <w:jc w:val="right"/>
            </w:pPr>
            <w:r>
              <w:rPr>
                <w:rFonts w:ascii="Calibri" w:hAnsi="Calibri"/>
                <w:b w:val="0"/>
                <w:sz w:val="19"/>
              </w:rPr>
              <w:t>1</w:t>
            </w:r>
          </w:p>
        </w:tc>
        <w:tc>
          <w:tcPr>
            <w:tcW w:type="dxa" w:w="1871"/>
            <w:vAlign w:val="center"/>
          </w:tcPr>
          <w:p>
            <w:pPr>
              <w:keepNext/>
              <w:keepLines/>
              <w:spacing w:line="240" w:lineRule="auto" w:before="40" w:after="40"/>
              <w:jc w:val="right"/>
            </w:pPr>
            <w:r>
              <w:rPr>
                <w:rFonts w:ascii="Calibri" w:hAnsi="Calibri"/>
                <w:b w:val="0"/>
                <w:sz w:val="19"/>
              </w:rPr>
              <w:t>0,000</w:t>
            </w:r>
          </w:p>
        </w:tc>
      </w:tr>
      <w:tr>
        <w:trPr>
          <w:cantSplit/>
        </w:trPr>
        <w:tc>
          <w:tcPr>
            <w:tcW w:type="dxa" w:w="2268"/>
            <w:vAlign w:val="center"/>
          </w:tcPr>
          <w:p>
            <w:pPr>
              <w:keepNext/>
              <w:keepLines/>
              <w:spacing w:line="240" w:lineRule="auto" w:before="40" w:after="40"/>
              <w:jc w:val="left"/>
            </w:pPr>
            <w:r>
              <w:rPr>
                <w:rFonts w:ascii="Calibri" w:hAnsi="Calibri"/>
                <w:b w:val="0"/>
                <w:sz w:val="19"/>
              </w:rPr>
              <w:t>Isolation Forest</w:t>
            </w:r>
          </w:p>
        </w:tc>
        <w:tc>
          <w:tcPr>
            <w:tcW w:type="dxa" w:w="1417"/>
            <w:vAlign w:val="center"/>
          </w:tcPr>
          <w:p>
            <w:pPr>
              <w:keepNext/>
              <w:keepLines/>
              <w:spacing w:line="240" w:lineRule="auto" w:before="40" w:after="40"/>
              <w:jc w:val="right"/>
            </w:pPr>
            <w:r>
              <w:rPr>
                <w:rFonts w:ascii="Calibri" w:hAnsi="Calibri"/>
                <w:b w:val="0"/>
                <w:sz w:val="19"/>
              </w:rPr>
              <w:t>108</w:t>
            </w:r>
          </w:p>
        </w:tc>
        <w:tc>
          <w:tcPr>
            <w:tcW w:type="dxa" w:w="1701"/>
            <w:vAlign w:val="center"/>
          </w:tcPr>
          <w:p>
            <w:pPr>
              <w:keepNext/>
              <w:keepLines/>
              <w:spacing w:line="240" w:lineRule="auto" w:before="40" w:after="40"/>
              <w:jc w:val="left"/>
            </w:pPr>
            <w:r>
              <w:rPr>
                <w:rFonts w:ascii="Calibri" w:hAnsi="Calibri"/>
                <w:b w:val="0"/>
                <w:sz w:val="19"/>
              </w:rPr>
              <w:t>1, gleichauf mit AE</w:t>
            </w:r>
          </w:p>
        </w:tc>
        <w:tc>
          <w:tcPr>
            <w:tcW w:type="dxa" w:w="1814"/>
            <w:vAlign w:val="center"/>
          </w:tcPr>
          <w:p>
            <w:pPr>
              <w:keepNext/>
              <w:keepLines/>
              <w:spacing w:line="240" w:lineRule="auto" w:before="40" w:after="40"/>
              <w:jc w:val="right"/>
            </w:pPr>
            <w:r>
              <w:rPr>
                <w:rFonts w:ascii="Calibri" w:hAnsi="Calibri"/>
                <w:b w:val="0"/>
                <w:sz w:val="19"/>
              </w:rPr>
              <w:t>2</w:t>
            </w:r>
          </w:p>
        </w:tc>
        <w:tc>
          <w:tcPr>
            <w:tcW w:type="dxa" w:w="1871"/>
            <w:vAlign w:val="center"/>
          </w:tcPr>
          <w:p>
            <w:pPr>
              <w:keepNext/>
              <w:keepLines/>
              <w:spacing w:line="240" w:lineRule="auto" w:before="40" w:after="40"/>
              <w:jc w:val="right"/>
            </w:pPr>
            <w:r>
              <w:rPr>
                <w:rFonts w:ascii="Calibri" w:hAnsi="Calibri"/>
                <w:b w:val="0"/>
                <w:sz w:val="19"/>
              </w:rPr>
              <w:t>19,061</w:t>
            </w:r>
          </w:p>
        </w:tc>
      </w:tr>
      <w:tr>
        <w:trPr>
          <w:cantSplit/>
        </w:trPr>
        <w:tc>
          <w:tcPr>
            <w:tcW w:type="dxa" w:w="2268"/>
            <w:vAlign w:val="center"/>
          </w:tcPr>
          <w:p>
            <w:pPr>
              <w:keepNext w:val="0"/>
              <w:keepLines/>
              <w:spacing w:line="240" w:lineRule="auto" w:before="40" w:after="40"/>
              <w:jc w:val="left"/>
            </w:pPr>
            <w:r>
              <w:rPr>
                <w:rFonts w:ascii="Calibri" w:hAnsi="Calibri"/>
                <w:b w:val="0"/>
                <w:sz w:val="19"/>
              </w:rPr>
              <w:t>RMS</w:t>
            </w:r>
          </w:p>
        </w:tc>
        <w:tc>
          <w:tcPr>
            <w:tcW w:type="dxa" w:w="1417"/>
            <w:vAlign w:val="center"/>
          </w:tcPr>
          <w:p>
            <w:pPr>
              <w:keepNext w:val="0"/>
              <w:keepLines/>
              <w:spacing w:line="240" w:lineRule="auto" w:before="40" w:after="40"/>
              <w:jc w:val="right"/>
            </w:pPr>
            <w:r>
              <w:rPr>
                <w:rFonts w:ascii="Calibri" w:hAnsi="Calibri"/>
                <w:b w:val="0"/>
                <w:sz w:val="19"/>
              </w:rPr>
              <w:t>109</w:t>
            </w:r>
          </w:p>
        </w:tc>
        <w:tc>
          <w:tcPr>
            <w:tcW w:type="dxa" w:w="1701"/>
            <w:vAlign w:val="center"/>
          </w:tcPr>
          <w:p>
            <w:pPr>
              <w:keepNext w:val="0"/>
              <w:keepLines/>
              <w:spacing w:line="240" w:lineRule="auto" w:before="40" w:after="40"/>
              <w:jc w:val="right"/>
            </w:pPr>
            <w:r>
              <w:rPr>
                <w:rFonts w:ascii="Calibri" w:hAnsi="Calibri"/>
                <w:b w:val="0"/>
                <w:sz w:val="19"/>
              </w:rPr>
              <w:t>2</w:t>
            </w:r>
          </w:p>
        </w:tc>
        <w:tc>
          <w:tcPr>
            <w:tcW w:type="dxa" w:w="1814"/>
            <w:vAlign w:val="center"/>
          </w:tcPr>
          <w:p>
            <w:pPr>
              <w:keepNext w:val="0"/>
              <w:keepLines/>
              <w:spacing w:line="240" w:lineRule="auto" w:before="40" w:after="40"/>
              <w:jc w:val="right"/>
            </w:pPr>
            <w:r>
              <w:rPr>
                <w:rFonts w:ascii="Calibri" w:hAnsi="Calibri"/>
                <w:b w:val="0"/>
                <w:sz w:val="19"/>
              </w:rPr>
              <w:t>3</w:t>
            </w:r>
          </w:p>
        </w:tc>
        <w:tc>
          <w:tcPr>
            <w:tcW w:type="dxa" w:w="1871"/>
            <w:vAlign w:val="center"/>
          </w:tcPr>
          <w:p>
            <w:pPr>
              <w:keepNext w:val="0"/>
              <w:keepLines/>
              <w:spacing w:line="240" w:lineRule="auto" w:before="40" w:after="40"/>
              <w:jc w:val="right"/>
            </w:pPr>
            <w:r>
              <w:rPr>
                <w:rFonts w:ascii="Calibri" w:hAnsi="Calibri"/>
                <w:b w:val="0"/>
                <w:sz w:val="19"/>
              </w:rPr>
              <w:t>615,659</w:t>
            </w:r>
          </w:p>
        </w:tc>
      </w:tr>
    </w:tbl>
    <w:p>
      <w:r>
        <w:t>Der Autoencoder und Isolation Forest überschreiten ihre Schwelle erstmals auf demselben Fenster 108. Die Autoencoder-Entscheidung liegt um 19,061 ms früher vor. RMS benötigt wesentlich weniger Rechenzeit, markiert dieses Fenster aber noch nicht als auffällig. Seine erste Alarmausgabe erfolgt für Fenster 109 und damit 615,659 ms nach derjenigen des Autoencoders. Die Trennung zwischen erstem Alarmfenster und Ausgabezeitpunkt ist entscheidend: Das spätere RMS-Ergebnis entsteht hier nicht durch langsame RMS-Berechnung, sondern überwiegend durch die spätere Schwellenüberschreitung.</w:t>
      </w:r>
    </w:p>
    <w:p>
      <w:pPr>
        <w:keepNext/>
        <w:spacing w:after="0"/>
        <w:jc w:val="center"/>
      </w:pPr>
      <w:r/>
      <w:r>
        <w:drawing>
          <wp:inline xmlns:a="http://schemas.openxmlformats.org/drawingml/2006/main">
            <wp:extent cx="5760000" cy="2687305"/>
            <wp:docPr id="6" name="Picture 6"/>
            <wp:cNvGraphicFramePr>
              <a:graphicFrameLocks noChangeAspect="1"/>
            </wp:cNvGraphicFramePr>
            <a:graphic>
              <a:graphicData uri="http://schemas.openxmlformats.org/drawingml/2006/picture">
                <pic:pic>
                  <pic:nvPicPr>
                    <pic:cNvPr id="0" name="alarm_order.png"/>
                    <pic:cNvPicPr/>
                  </pic:nvPicPr>
                  <pic:blipFill>
                    <a:blip r:embed="rId76"/>
                    <a:stretch>
                      <a:fillRect/>
                    </a:stretch>
                  </pic:blipFill>
                  <pic:spPr>
                    <a:xfrm>
                      <a:off x="0" y="0"/>
                      <a:ext cx="5760000" cy="2687305"/>
                    </a:xfrm>
                    <a:prstGeom prst="rect"/>
                  </pic:spPr>
                </pic:pic>
              </a:graphicData>
            </a:graphic>
          </wp:inline>
        </w:drawing>
      </w:r>
    </w:p>
    <w:p>
      <w:bookmarkStart w:id="10028" w:name="phone_figure_10028"/>
      <w:pPr>
        <w:pStyle w:val="Abbildungsbeschriftung"/>
      </w:pPr>
      <w:r>
        <w:t>Abbildung 7-3: Nummerierte Reihenfolge der ersten Alarmausgaben im gemeinsamen Lauf und zugehörige Fensterindizes. Null ist der Zeitpunkt des ersten Autoencoder-Alarms, nicht der physische Störungsbeginn. AE und IF sind auf Fensterebene gleichauf; die Ausgabezeitpunkte unterscheiden sich. Quelle: B12, Entscheidungen von Gemeinsam01.</w:t>
      </w:r>
      <w:bookmarkEnd w:id="10028"/>
    </w:p>
    <w:p>
      <w:r>
        <w:t>Die relative Zeitdifferenz wird aus der monotonen Uhr berechnet: Δtₘ = (tₘ,erste Alarmausgabe − minₖ tₖ,erste Alarmausgabe) / 10⁶ in Millisekunden. Dabei werden die tatsächlichen Entscheidungszeitpunkte verwendet, nicht die Reihenfolge der Methodenliste oder der CSV-Zeilen. Die Daten belegen den Ausgabevorsprung des Autoencoders für diesen Lauf. Eine absolute Reaktionszeit ab Beginn der Handyvibration ist mangels unabhängiger Referenz nicht bestimmbar.</w:t>
      </w:r>
    </w:p>
    <w:p>
      <w:bookmarkStart w:id="10029" w:name="phone_heading_10029"/>
      <w:pPr>
        <w:pStyle w:val="Heading2"/>
        <w:numPr>
          <w:ilvl w:val="1"/>
          <w:numId w:val="2"/>
        </w:numPr>
        <w:jc w:val="left"/>
      </w:pPr>
      <w:r>
        <w:t>Warum unterscheiden sich die ersten Alarme?</w:t>
      </w:r>
      <w:bookmarkEnd w:id="10029"/>
    </w:p>
    <w:p>
      <w:bookmarkStart w:id="10030" w:name="phone_table_10030"/>
      <w:pPr>
        <w:pStyle w:val="Tabellenbeschriftung"/>
      </w:pPr>
      <w:r>
        <w:t>Tabelle 7-5: Unmittelbarer Schwellenvergleich auf dem gemeinsamen Fenster 108</w:t>
      </w:r>
      <w:bookmarkEnd w:id="10030"/>
    </w:p>
    <w:tbl>
      <w:tblPr>
        <w:tblStyle w:val="Tabellenraster"/>
        <w:jc w:val="center"/>
        <w:tblLayout w:type="fixed"/>
        <w:tblLook w:firstColumn="1" w:firstRow="1" w:lastColumn="0" w:lastRow="0" w:noHBand="0" w:noVBand="1" w:val="04A0"/>
        <w:tblW w:w="9071" w:type="dxa"/>
      </w:tblPr>
      <w:tblGrid>
        <w:gridCol w:w="1701"/>
        <w:gridCol w:w="2098"/>
        <w:gridCol w:w="2098"/>
        <w:gridCol w:w="3175"/>
      </w:tblGrid>
      <w:tr>
        <w:trPr>
          <w:cantSplit/>
          <w:tblHeader/>
        </w:trPr>
        <w:tc>
          <w:tcPr>
            <w:tcW w:type="dxa" w:w="1701"/>
            <w:vAlign w:val="center"/>
            <w:shd w:fill="E7EDF2" w:val="clear"/>
          </w:tcPr>
          <w:p>
            <w:pPr>
              <w:keepNext/>
              <w:keepLines/>
              <w:spacing w:line="240" w:lineRule="auto" w:before="40" w:after="40"/>
              <w:jc w:val="left"/>
            </w:pPr>
            <w:r>
              <w:rPr>
                <w:rFonts w:ascii="Calibri" w:hAnsi="Calibri"/>
                <w:b/>
                <w:sz w:val="19"/>
              </w:rPr>
              <w:t>Methode</w:t>
            </w:r>
          </w:p>
        </w:tc>
        <w:tc>
          <w:tcPr>
            <w:tcW w:type="dxa" w:w="2098"/>
            <w:vAlign w:val="center"/>
            <w:shd w:fill="E7EDF2" w:val="clear"/>
          </w:tcPr>
          <w:p>
            <w:pPr>
              <w:keepNext/>
              <w:keepLines/>
              <w:spacing w:line="240" w:lineRule="auto" w:before="40" w:after="40"/>
              <w:jc w:val="left"/>
            </w:pPr>
            <w:r>
              <w:rPr>
                <w:rFonts w:ascii="Calibri" w:hAnsi="Calibri"/>
                <w:b/>
                <w:sz w:val="19"/>
              </w:rPr>
              <w:t>Score</w:t>
            </w:r>
          </w:p>
        </w:tc>
        <w:tc>
          <w:tcPr>
            <w:tcW w:type="dxa" w:w="2098"/>
            <w:vAlign w:val="center"/>
            <w:shd w:fill="E7EDF2" w:val="clear"/>
          </w:tcPr>
          <w:p>
            <w:pPr>
              <w:keepNext/>
              <w:keepLines/>
              <w:spacing w:line="240" w:lineRule="auto" w:before="40" w:after="40"/>
              <w:jc w:val="left"/>
            </w:pPr>
            <w:r>
              <w:rPr>
                <w:rFonts w:ascii="Calibri" w:hAnsi="Calibri"/>
                <w:b/>
                <w:sz w:val="19"/>
              </w:rPr>
              <w:t>Eingefrorene Schwelle</w:t>
            </w:r>
          </w:p>
        </w:tc>
        <w:tc>
          <w:tcPr>
            <w:tcW w:type="dxa" w:w="3175"/>
            <w:vAlign w:val="center"/>
            <w:shd w:fill="E7EDF2" w:val="clear"/>
          </w:tcPr>
          <w:p>
            <w:pPr>
              <w:keepNext/>
              <w:keepLines/>
              <w:spacing w:line="240" w:lineRule="auto" w:before="40" w:after="40"/>
              <w:jc w:val="left"/>
            </w:pPr>
            <w:r>
              <w:rPr>
                <w:rFonts w:ascii="Calibri" w:hAnsi="Calibri"/>
                <w:b/>
                <w:sz w:val="19"/>
              </w:rPr>
              <w:t>Entscheidung</w:t>
            </w:r>
          </w:p>
        </w:tc>
      </w:tr>
      <w:tr>
        <w:trPr>
          <w:cantSplit/>
        </w:trPr>
        <w:tc>
          <w:tcPr>
            <w:tcW w:type="dxa" w:w="1701"/>
            <w:vAlign w:val="center"/>
          </w:tcPr>
          <w:p>
            <w:pPr>
              <w:keepNext/>
              <w:keepLines/>
              <w:spacing w:line="240" w:lineRule="auto" w:before="40" w:after="40"/>
              <w:jc w:val="left"/>
            </w:pPr>
            <w:r>
              <w:rPr>
                <w:rFonts w:ascii="Calibri" w:hAnsi="Calibri"/>
                <w:b w:val="0"/>
                <w:sz w:val="19"/>
              </w:rPr>
              <w:t>Autoencoder</w:t>
            </w:r>
          </w:p>
        </w:tc>
        <w:tc>
          <w:tcPr>
            <w:tcW w:type="dxa" w:w="2098"/>
            <w:vAlign w:val="center"/>
          </w:tcPr>
          <w:p>
            <w:pPr>
              <w:keepNext/>
              <w:keepLines/>
              <w:spacing w:line="240" w:lineRule="auto" w:before="40" w:after="40"/>
              <w:jc w:val="right"/>
            </w:pPr>
            <w:r>
              <w:rPr>
                <w:rFonts w:ascii="Calibri" w:hAnsi="Calibri"/>
                <w:b w:val="0"/>
                <w:sz w:val="19"/>
              </w:rPr>
              <w:t>1,631938754</w:t>
            </w:r>
          </w:p>
        </w:tc>
        <w:tc>
          <w:tcPr>
            <w:tcW w:type="dxa" w:w="2098"/>
            <w:vAlign w:val="center"/>
          </w:tcPr>
          <w:p>
            <w:pPr>
              <w:keepNext/>
              <w:keepLines/>
              <w:spacing w:line="240" w:lineRule="auto" w:before="40" w:after="40"/>
              <w:jc w:val="right"/>
            </w:pPr>
            <w:r>
              <w:rPr>
                <w:rFonts w:ascii="Calibri" w:hAnsi="Calibri"/>
                <w:b w:val="0"/>
                <w:sz w:val="19"/>
              </w:rPr>
              <w:t>0,477202599</w:t>
            </w:r>
          </w:p>
        </w:tc>
        <w:tc>
          <w:tcPr>
            <w:tcW w:type="dxa" w:w="3175"/>
            <w:vAlign w:val="center"/>
          </w:tcPr>
          <w:p>
            <w:pPr>
              <w:keepNext/>
              <w:keepLines/>
              <w:spacing w:line="240" w:lineRule="auto" w:before="40" w:after="40"/>
              <w:jc w:val="left"/>
            </w:pPr>
            <w:r>
              <w:rPr>
                <w:rFonts w:ascii="Calibri" w:hAnsi="Calibri"/>
                <w:b w:val="0"/>
                <w:sz w:val="19"/>
              </w:rPr>
              <w:t>Alarm</w:t>
            </w:r>
          </w:p>
        </w:tc>
      </w:tr>
      <w:tr>
        <w:trPr>
          <w:cantSplit/>
        </w:trPr>
        <w:tc>
          <w:tcPr>
            <w:tcW w:type="dxa" w:w="1701"/>
            <w:vAlign w:val="center"/>
          </w:tcPr>
          <w:p>
            <w:pPr>
              <w:keepNext/>
              <w:keepLines/>
              <w:spacing w:line="240" w:lineRule="auto" w:before="40" w:after="40"/>
              <w:jc w:val="left"/>
            </w:pPr>
            <w:r>
              <w:rPr>
                <w:rFonts w:ascii="Calibri" w:hAnsi="Calibri"/>
                <w:b w:val="0"/>
                <w:sz w:val="19"/>
              </w:rPr>
              <w:t>Isolation Forest</w:t>
            </w:r>
          </w:p>
        </w:tc>
        <w:tc>
          <w:tcPr>
            <w:tcW w:type="dxa" w:w="2098"/>
            <w:vAlign w:val="center"/>
          </w:tcPr>
          <w:p>
            <w:pPr>
              <w:keepNext/>
              <w:keepLines/>
              <w:spacing w:line="240" w:lineRule="auto" w:before="40" w:after="40"/>
              <w:jc w:val="right"/>
            </w:pPr>
            <w:r>
              <w:rPr>
                <w:rFonts w:ascii="Calibri" w:hAnsi="Calibri"/>
                <w:b w:val="0"/>
                <w:sz w:val="19"/>
              </w:rPr>
              <w:t>0,484321113</w:t>
            </w:r>
          </w:p>
        </w:tc>
        <w:tc>
          <w:tcPr>
            <w:tcW w:type="dxa" w:w="2098"/>
            <w:vAlign w:val="center"/>
          </w:tcPr>
          <w:p>
            <w:pPr>
              <w:keepNext/>
              <w:keepLines/>
              <w:spacing w:line="240" w:lineRule="auto" w:before="40" w:after="40"/>
              <w:jc w:val="right"/>
            </w:pPr>
            <w:r>
              <w:rPr>
                <w:rFonts w:ascii="Calibri" w:hAnsi="Calibri"/>
                <w:b w:val="0"/>
                <w:sz w:val="19"/>
              </w:rPr>
              <w:t>0,483354740</w:t>
            </w:r>
          </w:p>
        </w:tc>
        <w:tc>
          <w:tcPr>
            <w:tcW w:type="dxa" w:w="3175"/>
            <w:vAlign w:val="center"/>
          </w:tcPr>
          <w:p>
            <w:pPr>
              <w:keepNext/>
              <w:keepLines/>
              <w:spacing w:line="240" w:lineRule="auto" w:before="40" w:after="40"/>
              <w:jc w:val="left"/>
            </w:pPr>
            <w:r>
              <w:rPr>
                <w:rFonts w:ascii="Calibri" w:hAnsi="Calibri"/>
                <w:b w:val="0"/>
                <w:sz w:val="19"/>
              </w:rPr>
              <w:t>Alarm</w:t>
            </w:r>
          </w:p>
        </w:tc>
      </w:tr>
      <w:tr>
        <w:trPr>
          <w:cantSplit/>
        </w:trPr>
        <w:tc>
          <w:tcPr>
            <w:tcW w:type="dxa" w:w="1701"/>
            <w:vAlign w:val="center"/>
          </w:tcPr>
          <w:p>
            <w:pPr>
              <w:keepNext w:val="0"/>
              <w:keepLines/>
              <w:spacing w:line="240" w:lineRule="auto" w:before="40" w:after="40"/>
              <w:jc w:val="left"/>
            </w:pPr>
            <w:r>
              <w:rPr>
                <w:rFonts w:ascii="Calibri" w:hAnsi="Calibri"/>
                <w:b w:val="0"/>
                <w:sz w:val="19"/>
              </w:rPr>
              <w:t>RMS</w:t>
            </w:r>
          </w:p>
        </w:tc>
        <w:tc>
          <w:tcPr>
            <w:tcW w:type="dxa" w:w="2098"/>
            <w:vAlign w:val="center"/>
          </w:tcPr>
          <w:p>
            <w:pPr>
              <w:keepNext w:val="0"/>
              <w:keepLines/>
              <w:spacing w:line="240" w:lineRule="auto" w:before="40" w:after="40"/>
              <w:jc w:val="right"/>
            </w:pPr>
            <w:r>
              <w:rPr>
                <w:rFonts w:ascii="Calibri" w:hAnsi="Calibri"/>
                <w:b w:val="0"/>
                <w:sz w:val="19"/>
              </w:rPr>
              <w:t>1,282930084</w:t>
            </w:r>
          </w:p>
        </w:tc>
        <w:tc>
          <w:tcPr>
            <w:tcW w:type="dxa" w:w="2098"/>
            <w:vAlign w:val="center"/>
          </w:tcPr>
          <w:p>
            <w:pPr>
              <w:keepNext w:val="0"/>
              <w:keepLines/>
              <w:spacing w:line="240" w:lineRule="auto" w:before="40" w:after="40"/>
              <w:jc w:val="right"/>
            </w:pPr>
            <w:r>
              <w:rPr>
                <w:rFonts w:ascii="Calibri" w:hAnsi="Calibri"/>
                <w:b w:val="0"/>
                <w:sz w:val="19"/>
              </w:rPr>
              <w:t>1,296361073</w:t>
            </w:r>
          </w:p>
        </w:tc>
        <w:tc>
          <w:tcPr>
            <w:tcW w:type="dxa" w:w="3175"/>
            <w:vAlign w:val="center"/>
          </w:tcPr>
          <w:p>
            <w:pPr>
              <w:keepNext w:val="0"/>
              <w:keepLines/>
              <w:spacing w:line="240" w:lineRule="auto" w:before="40" w:after="40"/>
              <w:jc w:val="left"/>
            </w:pPr>
            <w:r>
              <w:rPr>
                <w:rFonts w:ascii="Calibri" w:hAnsi="Calibri"/>
                <w:b w:val="0"/>
                <w:sz w:val="19"/>
              </w:rPr>
              <w:t>Normal</w:t>
            </w:r>
          </w:p>
        </w:tc>
      </w:tr>
    </w:tbl>
    <w:p>
      <w:r>
        <w:t>Auf Fenster 108 liegt der Autoencoder-Fehler deutlich oberhalb seiner Normalgrenze. Isolation Forest liegt nur knapp darüber. RMS liegt knapp darunter und überschreitet seine Schwelle erst in Fenster 109 mit einem Score von etwa 1,97525. Fenster 107 ist noch bei allen drei Methoden unauffällig. Die Werte erklären die protokollierte Rangfolge direkt und ohne eine nachträgliche Anpassung der Schwellen.</w:t>
      </w:r>
    </w:p>
    <w:p>
      <w:pPr>
        <w:keepNext/>
        <w:spacing w:after="0"/>
        <w:jc w:val="center"/>
      </w:pPr>
      <w:r/>
      <w:r>
        <w:drawing>
          <wp:inline xmlns:a="http://schemas.openxmlformats.org/drawingml/2006/main">
            <wp:extent cx="5760000" cy="2725497"/>
            <wp:docPr id="7" name="Picture 7"/>
            <wp:cNvGraphicFramePr>
              <a:graphicFrameLocks noChangeAspect="1"/>
            </wp:cNvGraphicFramePr>
            <a:graphic>
              <a:graphicData uri="http://schemas.openxmlformats.org/drawingml/2006/picture">
                <pic:pic>
                  <pic:nvPicPr>
                    <pic:cNvPr id="0" name="threshold_crossing.png"/>
                    <pic:cNvPicPr/>
                  </pic:nvPicPr>
                  <pic:blipFill>
                    <a:blip r:embed="rId77"/>
                    <a:stretch>
                      <a:fillRect/>
                    </a:stretch>
                  </pic:blipFill>
                  <pic:spPr>
                    <a:xfrm>
                      <a:off x="0" y="0"/>
                      <a:ext cx="5760000" cy="2725497"/>
                    </a:xfrm>
                    <a:prstGeom prst="rect"/>
                  </pic:spPr>
                </pic:pic>
              </a:graphicData>
            </a:graphic>
          </wp:inline>
        </w:drawing>
      </w:r>
    </w:p>
    <w:p>
      <w:bookmarkStart w:id="10031" w:name="phone_figure_10031"/>
      <w:pPr>
        <w:pStyle w:val="Abbildungsbeschriftung"/>
      </w:pPr>
      <w:r>
        <w:t>Abbildung 7-4: Schwellenübergang der Fenster 107 bis 109. Die Normierung erleichtert das Ablesen der jeweiligen Grenzüberschreitung; die Quotienten sind weder Wahrscheinlichkeiten noch untereinander kalibrierte Störungsschweregrade. Quelle: B12, Gemeinsam01.</w:t>
      </w:r>
      <w:bookmarkEnd w:id="10031"/>
    </w:p>
    <w:p>
      <w:r>
        <w:t>Als methodische Erklärung ist plausibel, dass der Autoencoder Veränderungen der gelernten Rekonstruktionsstruktur erfasst, während RMS die standardisierten Werte auf einen einzigen Energiekennwert verdichtet. Der Isolation Forest bewertet die Lage des gesamten abgeflachten Fensters im gelernten Merkmalsraum. Diese unterschiedlichen Scorefunktionen, ihre Normaldatenkalibrierung und die konkrete Lage der Störung im Fenster beeinflussen die erste Überschreitung. Eine isolierte kausale Überlegenheit der Architektur lässt sich aus einem Ereignis nicht ableiten. Dafür müssten unter anderem Normalprofil, Vorverarbeitung und Schwellencharakteristik gezielt variiert werden.</w:t>
      </w:r>
    </w:p>
    <w:p>
      <w:r>
        <w:t>Die Verarbeitung des ersten Alarmfensters dauert beim Autoencoder etwa 2,789 ms und beim Isolation Forest etwa 21,733 ms. Der Ausgabeabstand von 19,061 ms entsteht im selben gemeinsam gestarteten Fenster und ist mit diesem Aufwandsunterschied vereinbar; Scheduling und weitere Übergaben sind ebenfalls enthalten. RMS benötigt im ersten eigenen Alarmfenster nur etwa 0,183 ms. Rechenzeit und frühzeitige Anomalieausgabe sind somit unterschiedliche Bewertungskriterien.</w:t>
      </w:r>
    </w:p>
    <w:p>
      <w:bookmarkStart w:id="10032" w:name="phone_heading_10032"/>
      <w:pPr>
        <w:pStyle w:val="Heading2"/>
        <w:numPr>
          <w:ilvl w:val="1"/>
          <w:numId w:val="2"/>
        </w:numPr>
        <w:jc w:val="left"/>
      </w:pPr>
      <w:r>
        <w:t>Rechenaufwand und Verhalten des Raspberry Pi</w:t>
      </w:r>
      <w:bookmarkEnd w:id="10032"/>
    </w:p>
    <w:p>
      <w:r>
        <w:t>Die Hardware wird für die neue Reihe nicht geändert. Neu gemessen werden jedoch Prozessauslastung und zeitliches Verhalten im tatsächlich verwendeten Recorder. Die Einzelprozesse und der gemeinsame Prozess besitzen unterschiedliche aktive Methoden, Bibliotheken und Konkurrenzsituationen. Identische Hardware begründet deshalb keine identischen CPU-, RAM- oder Latenzwerte. Die bisherigen Ressourcenmessungen werden im Anhang unverändert erhalten und nicht durch die neuen Zahlen ersetzt.</w:t>
      </w:r>
    </w:p>
    <w:p>
      <w:bookmarkStart w:id="10033" w:name="phone_table_10033"/>
      <w:pPr>
        <w:pStyle w:val="Tabellenbeschriftung"/>
      </w:pPr>
      <w:r>
        <w:t>Tabelle 7-6: Verarbeitungszeit im jeweiligen Auswerteraufruf; ms</w:t>
      </w:r>
      <w:bookmarkEnd w:id="10033"/>
    </w:p>
    <w:tbl>
      <w:tblPr>
        <w:tblStyle w:val="Tabellenraster"/>
        <w:jc w:val="center"/>
        <w:tblLayout w:type="fixed"/>
        <w:tblLook w:firstColumn="1" w:firstRow="1" w:lastColumn="0" w:lastRow="0" w:noHBand="0" w:noVBand="1" w:val="04A0"/>
        <w:tblW w:w="9071" w:type="dxa"/>
      </w:tblPr>
      <w:tblGrid>
        <w:gridCol w:w="2268"/>
        <w:gridCol w:w="1417"/>
        <w:gridCol w:w="1701"/>
        <w:gridCol w:w="1814"/>
        <w:gridCol w:w="1871"/>
      </w:tblGrid>
      <w:tr>
        <w:trPr>
          <w:cantSplit/>
          <w:tblHeader/>
        </w:trPr>
        <w:tc>
          <w:tcPr>
            <w:tcW w:type="dxa" w:w="2268"/>
            <w:vAlign w:val="center"/>
            <w:shd w:fill="E7EDF2" w:val="clear"/>
          </w:tcPr>
          <w:p>
            <w:pPr>
              <w:keepNext/>
              <w:keepLines/>
              <w:spacing w:line="240" w:lineRule="auto" w:before="40" w:after="40"/>
              <w:jc w:val="left"/>
            </w:pPr>
            <w:r>
              <w:rPr>
                <w:rFonts w:ascii="Calibri" w:hAnsi="Calibri"/>
                <w:b/>
                <w:sz w:val="19"/>
              </w:rPr>
              <w:t>Methode</w:t>
            </w:r>
          </w:p>
        </w:tc>
        <w:tc>
          <w:tcPr>
            <w:tcW w:type="dxa" w:w="1417"/>
            <w:vAlign w:val="center"/>
            <w:shd w:fill="E7EDF2" w:val="clear"/>
          </w:tcPr>
          <w:p>
            <w:pPr>
              <w:keepNext/>
              <w:keepLines/>
              <w:spacing w:line="240" w:lineRule="auto" w:before="40" w:after="40"/>
              <w:jc w:val="left"/>
            </w:pPr>
            <w:r>
              <w:rPr>
                <w:rFonts w:ascii="Calibri" w:hAnsi="Calibri"/>
                <w:b/>
                <w:sz w:val="19"/>
              </w:rPr>
              <w:t>Einzelbetrieb Median</w:t>
            </w:r>
          </w:p>
        </w:tc>
        <w:tc>
          <w:tcPr>
            <w:tcW w:type="dxa" w:w="1701"/>
            <w:vAlign w:val="center"/>
            <w:shd w:fill="E7EDF2" w:val="clear"/>
          </w:tcPr>
          <w:p>
            <w:pPr>
              <w:keepNext/>
              <w:keepLines/>
              <w:spacing w:line="240" w:lineRule="auto" w:before="40" w:after="40"/>
              <w:jc w:val="left"/>
            </w:pPr>
            <w:r>
              <w:rPr>
                <w:rFonts w:ascii="Calibri" w:hAnsi="Calibri"/>
                <w:b/>
                <w:sz w:val="19"/>
              </w:rPr>
              <w:t>Einzelbetrieb P95</w:t>
            </w:r>
          </w:p>
        </w:tc>
        <w:tc>
          <w:tcPr>
            <w:tcW w:type="dxa" w:w="1814"/>
            <w:vAlign w:val="center"/>
            <w:shd w:fill="E7EDF2" w:val="clear"/>
          </w:tcPr>
          <w:p>
            <w:pPr>
              <w:keepNext/>
              <w:keepLines/>
              <w:spacing w:line="240" w:lineRule="auto" w:before="40" w:after="40"/>
              <w:jc w:val="left"/>
            </w:pPr>
            <w:r>
              <w:rPr>
                <w:rFonts w:ascii="Calibri" w:hAnsi="Calibri"/>
                <w:b/>
                <w:sz w:val="19"/>
              </w:rPr>
              <w:t>Gemeinsam Median</w:t>
            </w:r>
          </w:p>
        </w:tc>
        <w:tc>
          <w:tcPr>
            <w:tcW w:type="dxa" w:w="1871"/>
            <w:vAlign w:val="center"/>
            <w:shd w:fill="E7EDF2" w:val="clear"/>
          </w:tcPr>
          <w:p>
            <w:pPr>
              <w:keepNext/>
              <w:keepLines/>
              <w:spacing w:line="240" w:lineRule="auto" w:before="40" w:after="40"/>
              <w:jc w:val="left"/>
            </w:pPr>
            <w:r>
              <w:rPr>
                <w:rFonts w:ascii="Calibri" w:hAnsi="Calibri"/>
                <w:b/>
                <w:sz w:val="19"/>
              </w:rPr>
              <w:t>Gemeinsam P95</w:t>
            </w:r>
          </w:p>
        </w:tc>
      </w:tr>
      <w:tr>
        <w:trPr>
          <w:cantSplit/>
        </w:trPr>
        <w:tc>
          <w:tcPr>
            <w:tcW w:type="dxa" w:w="2268"/>
            <w:vAlign w:val="center"/>
          </w:tcPr>
          <w:p>
            <w:pPr>
              <w:keepNext/>
              <w:keepLines/>
              <w:spacing w:line="240" w:lineRule="auto" w:before="40" w:after="40"/>
              <w:jc w:val="left"/>
            </w:pPr>
            <w:r>
              <w:rPr>
                <w:rFonts w:ascii="Calibri" w:hAnsi="Calibri"/>
                <w:b w:val="0"/>
                <w:sz w:val="19"/>
              </w:rPr>
              <w:t>Autoencoder</w:t>
            </w:r>
          </w:p>
        </w:tc>
        <w:tc>
          <w:tcPr>
            <w:tcW w:type="dxa" w:w="1417"/>
            <w:vAlign w:val="center"/>
          </w:tcPr>
          <w:p>
            <w:pPr>
              <w:keepNext/>
              <w:keepLines/>
              <w:spacing w:line="240" w:lineRule="auto" w:before="40" w:after="40"/>
              <w:jc w:val="right"/>
            </w:pPr>
            <w:r>
              <w:rPr>
                <w:rFonts w:ascii="Calibri" w:hAnsi="Calibri"/>
                <w:b w:val="0"/>
                <w:sz w:val="19"/>
              </w:rPr>
              <w:t>0,459</w:t>
            </w:r>
          </w:p>
        </w:tc>
        <w:tc>
          <w:tcPr>
            <w:tcW w:type="dxa" w:w="1701"/>
            <w:vAlign w:val="center"/>
          </w:tcPr>
          <w:p>
            <w:pPr>
              <w:keepNext/>
              <w:keepLines/>
              <w:spacing w:line="240" w:lineRule="auto" w:before="40" w:after="40"/>
              <w:jc w:val="right"/>
            </w:pPr>
            <w:r>
              <w:rPr>
                <w:rFonts w:ascii="Calibri" w:hAnsi="Calibri"/>
                <w:b w:val="0"/>
                <w:sz w:val="19"/>
              </w:rPr>
              <w:t>0,585</w:t>
            </w:r>
          </w:p>
        </w:tc>
        <w:tc>
          <w:tcPr>
            <w:tcW w:type="dxa" w:w="1814"/>
            <w:vAlign w:val="center"/>
          </w:tcPr>
          <w:p>
            <w:pPr>
              <w:keepNext/>
              <w:keepLines/>
              <w:spacing w:line="240" w:lineRule="auto" w:before="40" w:after="40"/>
              <w:jc w:val="right"/>
            </w:pPr>
            <w:r>
              <w:rPr>
                <w:rFonts w:ascii="Calibri" w:hAnsi="Calibri"/>
                <w:b w:val="0"/>
                <w:sz w:val="19"/>
              </w:rPr>
              <w:t>2,040</w:t>
            </w:r>
          </w:p>
        </w:tc>
        <w:tc>
          <w:tcPr>
            <w:tcW w:type="dxa" w:w="1871"/>
            <w:vAlign w:val="center"/>
          </w:tcPr>
          <w:p>
            <w:pPr>
              <w:keepNext/>
              <w:keepLines/>
              <w:spacing w:line="240" w:lineRule="auto" w:before="40" w:after="40"/>
              <w:jc w:val="right"/>
            </w:pPr>
            <w:r>
              <w:rPr>
                <w:rFonts w:ascii="Calibri" w:hAnsi="Calibri"/>
                <w:b w:val="0"/>
                <w:sz w:val="19"/>
              </w:rPr>
              <w:t>5,571</w:t>
            </w:r>
          </w:p>
        </w:tc>
      </w:tr>
      <w:tr>
        <w:trPr>
          <w:cantSplit/>
        </w:trPr>
        <w:tc>
          <w:tcPr>
            <w:tcW w:type="dxa" w:w="2268"/>
            <w:vAlign w:val="center"/>
          </w:tcPr>
          <w:p>
            <w:pPr>
              <w:keepNext/>
              <w:keepLines/>
              <w:spacing w:line="240" w:lineRule="auto" w:before="40" w:after="40"/>
              <w:jc w:val="left"/>
            </w:pPr>
            <w:r>
              <w:rPr>
                <w:rFonts w:ascii="Calibri" w:hAnsi="Calibri"/>
                <w:b w:val="0"/>
                <w:sz w:val="19"/>
              </w:rPr>
              <w:t>Isolation Forest</w:t>
            </w:r>
          </w:p>
        </w:tc>
        <w:tc>
          <w:tcPr>
            <w:tcW w:type="dxa" w:w="1417"/>
            <w:vAlign w:val="center"/>
          </w:tcPr>
          <w:p>
            <w:pPr>
              <w:keepNext/>
              <w:keepLines/>
              <w:spacing w:line="240" w:lineRule="auto" w:before="40" w:after="40"/>
              <w:jc w:val="right"/>
            </w:pPr>
            <w:r>
              <w:rPr>
                <w:rFonts w:ascii="Calibri" w:hAnsi="Calibri"/>
                <w:b w:val="0"/>
                <w:sz w:val="19"/>
              </w:rPr>
              <w:t>23,429</w:t>
            </w:r>
          </w:p>
        </w:tc>
        <w:tc>
          <w:tcPr>
            <w:tcW w:type="dxa" w:w="1701"/>
            <w:vAlign w:val="center"/>
          </w:tcPr>
          <w:p>
            <w:pPr>
              <w:keepNext/>
              <w:keepLines/>
              <w:spacing w:line="240" w:lineRule="auto" w:before="40" w:after="40"/>
              <w:jc w:val="right"/>
            </w:pPr>
            <w:r>
              <w:rPr>
                <w:rFonts w:ascii="Calibri" w:hAnsi="Calibri"/>
                <w:b w:val="0"/>
                <w:sz w:val="19"/>
              </w:rPr>
              <w:t>32,061</w:t>
            </w:r>
          </w:p>
        </w:tc>
        <w:tc>
          <w:tcPr>
            <w:tcW w:type="dxa" w:w="1814"/>
            <w:vAlign w:val="center"/>
          </w:tcPr>
          <w:p>
            <w:pPr>
              <w:keepNext/>
              <w:keepLines/>
              <w:spacing w:line="240" w:lineRule="auto" w:before="40" w:after="40"/>
              <w:jc w:val="right"/>
            </w:pPr>
            <w:r>
              <w:rPr>
                <w:rFonts w:ascii="Calibri" w:hAnsi="Calibri"/>
                <w:b w:val="0"/>
                <w:sz w:val="19"/>
              </w:rPr>
              <w:t>23,237</w:t>
            </w:r>
          </w:p>
        </w:tc>
        <w:tc>
          <w:tcPr>
            <w:tcW w:type="dxa" w:w="1871"/>
            <w:vAlign w:val="center"/>
          </w:tcPr>
          <w:p>
            <w:pPr>
              <w:keepNext/>
              <w:keepLines/>
              <w:spacing w:line="240" w:lineRule="auto" w:before="40" w:after="40"/>
              <w:jc w:val="right"/>
            </w:pPr>
            <w:r>
              <w:rPr>
                <w:rFonts w:ascii="Calibri" w:hAnsi="Calibri"/>
                <w:b w:val="0"/>
                <w:sz w:val="19"/>
              </w:rPr>
              <w:t>31,527</w:t>
            </w:r>
          </w:p>
        </w:tc>
      </w:tr>
      <w:tr>
        <w:trPr>
          <w:cantSplit/>
        </w:trPr>
        <w:tc>
          <w:tcPr>
            <w:tcW w:type="dxa" w:w="2268"/>
            <w:vAlign w:val="center"/>
          </w:tcPr>
          <w:p>
            <w:pPr>
              <w:keepNext w:val="0"/>
              <w:keepLines/>
              <w:spacing w:line="240" w:lineRule="auto" w:before="40" w:after="40"/>
              <w:jc w:val="left"/>
            </w:pPr>
            <w:r>
              <w:rPr>
                <w:rFonts w:ascii="Calibri" w:hAnsi="Calibri"/>
                <w:b w:val="0"/>
                <w:sz w:val="19"/>
              </w:rPr>
              <w:t>RMS</w:t>
            </w:r>
          </w:p>
        </w:tc>
        <w:tc>
          <w:tcPr>
            <w:tcW w:type="dxa" w:w="1417"/>
            <w:vAlign w:val="center"/>
          </w:tcPr>
          <w:p>
            <w:pPr>
              <w:keepNext w:val="0"/>
              <w:keepLines/>
              <w:spacing w:line="240" w:lineRule="auto" w:before="40" w:after="40"/>
              <w:jc w:val="right"/>
            </w:pPr>
            <w:r>
              <w:rPr>
                <w:rFonts w:ascii="Calibri" w:hAnsi="Calibri"/>
                <w:b w:val="0"/>
                <w:sz w:val="19"/>
              </w:rPr>
              <w:t>0,285</w:t>
            </w:r>
          </w:p>
        </w:tc>
        <w:tc>
          <w:tcPr>
            <w:tcW w:type="dxa" w:w="1701"/>
            <w:vAlign w:val="center"/>
          </w:tcPr>
          <w:p>
            <w:pPr>
              <w:keepNext w:val="0"/>
              <w:keepLines/>
              <w:spacing w:line="240" w:lineRule="auto" w:before="40" w:after="40"/>
              <w:jc w:val="right"/>
            </w:pPr>
            <w:r>
              <w:rPr>
                <w:rFonts w:ascii="Calibri" w:hAnsi="Calibri"/>
                <w:b w:val="0"/>
                <w:sz w:val="19"/>
              </w:rPr>
              <w:t>0,352</w:t>
            </w:r>
          </w:p>
        </w:tc>
        <w:tc>
          <w:tcPr>
            <w:tcW w:type="dxa" w:w="1814"/>
            <w:vAlign w:val="center"/>
          </w:tcPr>
          <w:p>
            <w:pPr>
              <w:keepNext w:val="0"/>
              <w:keepLines/>
              <w:spacing w:line="240" w:lineRule="auto" w:before="40" w:after="40"/>
              <w:jc w:val="right"/>
            </w:pPr>
            <w:r>
              <w:rPr>
                <w:rFonts w:ascii="Calibri" w:hAnsi="Calibri"/>
                <w:b w:val="0"/>
                <w:sz w:val="19"/>
              </w:rPr>
              <w:t>0,264</w:t>
            </w:r>
          </w:p>
        </w:tc>
        <w:tc>
          <w:tcPr>
            <w:tcW w:type="dxa" w:w="1871"/>
            <w:vAlign w:val="center"/>
          </w:tcPr>
          <w:p>
            <w:pPr>
              <w:keepNext w:val="0"/>
              <w:keepLines/>
              <w:spacing w:line="240" w:lineRule="auto" w:before="40" w:after="40"/>
              <w:jc w:val="right"/>
            </w:pPr>
            <w:r>
              <w:rPr>
                <w:rFonts w:ascii="Calibri" w:hAnsi="Calibri"/>
                <w:b w:val="0"/>
                <w:sz w:val="19"/>
              </w:rPr>
              <w:t>0,317</w:t>
            </w:r>
          </w:p>
        </w:tc>
      </w:tr>
    </w:tbl>
    <w:p>
      <w:pPr>
        <w:keepNext/>
        <w:spacing w:after="0"/>
        <w:jc w:val="center"/>
      </w:pPr>
      <w:r/>
      <w:r>
        <w:drawing>
          <wp:inline xmlns:a="http://schemas.openxmlformats.org/drawingml/2006/main">
            <wp:extent cx="5760000" cy="2885208"/>
            <wp:docPr id="8" name="Picture 8"/>
            <wp:cNvGraphicFramePr>
              <a:graphicFrameLocks noChangeAspect="1"/>
            </wp:cNvGraphicFramePr>
            <a:graphic>
              <a:graphicData uri="http://schemas.openxmlformats.org/drawingml/2006/picture">
                <pic:pic>
                  <pic:nvPicPr>
                    <pic:cNvPr id="0" name="processing.png"/>
                    <pic:cNvPicPr/>
                  </pic:nvPicPr>
                  <pic:blipFill>
                    <a:blip r:embed="rId78"/>
                    <a:stretch>
                      <a:fillRect/>
                    </a:stretch>
                  </pic:blipFill>
                  <pic:spPr>
                    <a:xfrm>
                      <a:off x="0" y="0"/>
                      <a:ext cx="5760000" cy="2885208"/>
                    </a:xfrm>
                    <a:prstGeom prst="rect"/>
                  </pic:spPr>
                </pic:pic>
              </a:graphicData>
            </a:graphic>
          </wp:inline>
        </w:drawing>
      </w:r>
    </w:p>
    <w:p>
      <w:bookmarkStart w:id="10034" w:name="phone_figure_10034"/>
      <w:pPr>
        <w:pStyle w:val="Abbildungsbeschriftung"/>
      </w:pPr>
      <w:r>
        <w:t>Abbildung 7-5: Verarbeitungszeiten im Einzelbetrieb und im gemeinsamen Prozess. Symbole zeigen Median, rechte Striche P95; die Zeitachse ist logarithmisch. Erfasst wird der instrumentierte Auswerteraufruf einschließlich seiner Vorverarbeitung, nicht eine einheitlich isolierte Modellkernzeit. Quelle: B12, ausgewählte decisions.csv.</w:t>
      </w:r>
      <w:bookmarkEnd w:id="10034"/>
    </w:p>
    <w:p>
      <w:r>
        <w:t>Der Isolation Forest benötigt in beiden Modi die meiste Verarbeitungszeit. RMS ist am schnellsten berechnet. Der Autoencoder liegt dazwischen; seine gemessene Zeit steigt im gemeinsamen Prozess. Diese Beobachtung ist mit zusätzlicher Konkurrenz und anderem Scheduling vereinbar, ist aber ohne kontrollierte Wiederholungsmatrix keine isolierte Ursache-Wirkungs-Messung. Die Einzelaufnahmen unterscheiden sich außerdem in Dauer und Ereignisverlauf.</w:t>
      </w:r>
    </w:p>
    <w:p>
      <w:r>
        <w:t>Die CPU-Kennzahl ist der Median der im jeweiligen Lauf protokollierten Prozessmessungen; 100 % entsprechen einem logischen Kern. Sie umfasst den gesamten Aufnahmeprozess einschließlich Erfassung und Protokollierung. Der RSS-Wert ist der größte während der protokollierten Fenster abgetastete residente Prozessspeicher. Er ist weder der gesamte RAM des Raspberry Pi noch zwingend der höchste Wert während Import, Modellstart oder Prozesslebensdauer. Ein Punkt zwischen zwei Messproben kann unbemerkt bleiben.</w:t>
      </w:r>
    </w:p>
    <w:p>
      <w:bookmarkStart w:id="10035" w:name="phone_table_10035"/>
      <w:pPr>
        <w:pStyle w:val="Tabellenbeschriftung"/>
      </w:pPr>
      <w:r>
        <w:t>Tabelle 7-7: Prozessressourcen der ausgewählten Handyaufnahmen</w:t>
      </w:r>
      <w:bookmarkEnd w:id="10035"/>
    </w:p>
    <w:tbl>
      <w:tblPr>
        <w:tblStyle w:val="Tabellenraster"/>
        <w:jc w:val="center"/>
        <w:tblLayout w:type="fixed"/>
        <w:tblLook w:firstColumn="1" w:firstRow="1" w:lastColumn="0" w:lastRow="0" w:noHBand="0" w:noVBand="1" w:val="04A0"/>
        <w:tblW w:w="9071" w:type="dxa"/>
      </w:tblPr>
      <w:tblGrid>
        <w:gridCol w:w="1701"/>
        <w:gridCol w:w="2098"/>
        <w:gridCol w:w="2098"/>
        <w:gridCol w:w="3175"/>
      </w:tblGrid>
      <w:tr>
        <w:trPr>
          <w:cantSplit/>
          <w:tblHeader/>
        </w:trPr>
        <w:tc>
          <w:tcPr>
            <w:tcW w:type="dxa" w:w="1701"/>
            <w:vAlign w:val="center"/>
            <w:shd w:fill="E7EDF2" w:val="clear"/>
          </w:tcPr>
          <w:p>
            <w:pPr>
              <w:keepNext/>
              <w:keepLines/>
              <w:spacing w:line="240" w:lineRule="auto" w:before="40" w:after="40"/>
              <w:jc w:val="left"/>
            </w:pPr>
            <w:r>
              <w:rPr>
                <w:rFonts w:ascii="Calibri" w:hAnsi="Calibri"/>
                <w:b/>
                <w:sz w:val="19"/>
              </w:rPr>
              <w:t>Betriebsart</w:t>
            </w:r>
          </w:p>
        </w:tc>
        <w:tc>
          <w:tcPr>
            <w:tcW w:type="dxa" w:w="2098"/>
            <w:vAlign w:val="center"/>
            <w:shd w:fill="E7EDF2" w:val="clear"/>
          </w:tcPr>
          <w:p>
            <w:pPr>
              <w:keepNext/>
              <w:keepLines/>
              <w:spacing w:line="240" w:lineRule="auto" w:before="40" w:after="40"/>
              <w:jc w:val="left"/>
            </w:pPr>
            <w:r>
              <w:rPr>
                <w:rFonts w:ascii="Calibri" w:hAnsi="Calibri"/>
                <w:b/>
                <w:sz w:val="19"/>
              </w:rPr>
              <w:t>CPU-Median [% eines Kerns]</w:t>
            </w:r>
          </w:p>
        </w:tc>
        <w:tc>
          <w:tcPr>
            <w:tcW w:type="dxa" w:w="2098"/>
            <w:vAlign w:val="center"/>
            <w:shd w:fill="E7EDF2" w:val="clear"/>
          </w:tcPr>
          <w:p>
            <w:pPr>
              <w:keepNext/>
              <w:keepLines/>
              <w:spacing w:line="240" w:lineRule="auto" w:before="40" w:after="40"/>
              <w:jc w:val="left"/>
            </w:pPr>
            <w:r>
              <w:rPr>
                <w:rFonts w:ascii="Calibri" w:hAnsi="Calibri"/>
                <w:b/>
                <w:sz w:val="19"/>
              </w:rPr>
              <w:t>Größter abgetasteter RSS [MiB]</w:t>
            </w:r>
          </w:p>
        </w:tc>
        <w:tc>
          <w:tcPr>
            <w:tcW w:type="dxa" w:w="3175"/>
            <w:vAlign w:val="center"/>
            <w:shd w:fill="E7EDF2" w:val="clear"/>
          </w:tcPr>
          <w:p>
            <w:pPr>
              <w:keepNext/>
              <w:keepLines/>
              <w:spacing w:line="240" w:lineRule="auto" w:before="40" w:after="40"/>
              <w:jc w:val="left"/>
            </w:pPr>
            <w:r>
              <w:rPr>
                <w:rFonts w:ascii="Calibri" w:hAnsi="Calibri"/>
                <w:b/>
                <w:sz w:val="19"/>
              </w:rPr>
              <w:t>Umfang</w:t>
            </w:r>
          </w:p>
        </w:tc>
      </w:tr>
      <w:tr>
        <w:trPr>
          <w:cantSplit/>
        </w:trPr>
        <w:tc>
          <w:tcPr>
            <w:tcW w:type="dxa" w:w="1701"/>
            <w:vAlign w:val="center"/>
          </w:tcPr>
          <w:p>
            <w:pPr>
              <w:keepNext/>
              <w:keepLines/>
              <w:spacing w:line="240" w:lineRule="auto" w:before="40" w:after="40"/>
              <w:jc w:val="left"/>
            </w:pPr>
            <w:r>
              <w:rPr>
                <w:rFonts w:ascii="Calibri" w:hAnsi="Calibri"/>
                <w:b w:val="0"/>
                <w:sz w:val="19"/>
              </w:rPr>
              <w:t>Autoencoder allein</w:t>
            </w:r>
          </w:p>
        </w:tc>
        <w:tc>
          <w:tcPr>
            <w:tcW w:type="dxa" w:w="2098"/>
            <w:vAlign w:val="center"/>
          </w:tcPr>
          <w:p>
            <w:pPr>
              <w:keepNext/>
              <w:keepLines/>
              <w:spacing w:line="240" w:lineRule="auto" w:before="40" w:after="40"/>
              <w:jc w:val="right"/>
            </w:pPr>
            <w:r>
              <w:rPr>
                <w:rFonts w:ascii="Calibri" w:hAnsi="Calibri"/>
                <w:b w:val="0"/>
                <w:sz w:val="19"/>
              </w:rPr>
              <w:t>9,72</w:t>
            </w:r>
          </w:p>
        </w:tc>
        <w:tc>
          <w:tcPr>
            <w:tcW w:type="dxa" w:w="2098"/>
            <w:vAlign w:val="center"/>
          </w:tcPr>
          <w:p>
            <w:pPr>
              <w:keepNext/>
              <w:keepLines/>
              <w:spacing w:line="240" w:lineRule="auto" w:before="40" w:after="40"/>
              <w:jc w:val="right"/>
            </w:pPr>
            <w:r>
              <w:rPr>
                <w:rFonts w:ascii="Calibri" w:hAnsi="Calibri"/>
                <w:b w:val="0"/>
                <w:sz w:val="19"/>
              </w:rPr>
              <w:t>48,80</w:t>
            </w:r>
          </w:p>
        </w:tc>
        <w:tc>
          <w:tcPr>
            <w:tcW w:type="dxa" w:w="3175"/>
            <w:vAlign w:val="center"/>
          </w:tcPr>
          <w:p>
            <w:pPr>
              <w:keepNext/>
              <w:keepLines/>
              <w:spacing w:line="240" w:lineRule="auto" w:before="40" w:after="40"/>
              <w:jc w:val="left"/>
            </w:pPr>
            <w:r>
              <w:rPr>
                <w:rFonts w:ascii="Calibri" w:hAnsi="Calibri"/>
                <w:b w:val="0"/>
                <w:sz w:val="19"/>
              </w:rPr>
              <w:t>184 Fenster</w:t>
            </w:r>
          </w:p>
        </w:tc>
      </w:tr>
      <w:tr>
        <w:trPr>
          <w:cantSplit/>
        </w:trPr>
        <w:tc>
          <w:tcPr>
            <w:tcW w:type="dxa" w:w="1701"/>
            <w:vAlign w:val="center"/>
          </w:tcPr>
          <w:p>
            <w:pPr>
              <w:keepNext/>
              <w:keepLines/>
              <w:spacing w:line="240" w:lineRule="auto" w:before="40" w:after="40"/>
              <w:jc w:val="left"/>
            </w:pPr>
            <w:r>
              <w:rPr>
                <w:rFonts w:ascii="Calibri" w:hAnsi="Calibri"/>
                <w:b w:val="0"/>
                <w:sz w:val="19"/>
              </w:rPr>
              <w:t>Isolation Forest allein</w:t>
            </w:r>
          </w:p>
        </w:tc>
        <w:tc>
          <w:tcPr>
            <w:tcW w:type="dxa" w:w="2098"/>
            <w:vAlign w:val="center"/>
          </w:tcPr>
          <w:p>
            <w:pPr>
              <w:keepNext/>
              <w:keepLines/>
              <w:spacing w:line="240" w:lineRule="auto" w:before="40" w:after="40"/>
              <w:jc w:val="right"/>
            </w:pPr>
            <w:r>
              <w:rPr>
                <w:rFonts w:ascii="Calibri" w:hAnsi="Calibri"/>
                <w:b w:val="0"/>
                <w:sz w:val="19"/>
              </w:rPr>
              <w:t>12,98</w:t>
            </w:r>
          </w:p>
        </w:tc>
        <w:tc>
          <w:tcPr>
            <w:tcW w:type="dxa" w:w="2098"/>
            <w:vAlign w:val="center"/>
          </w:tcPr>
          <w:p>
            <w:pPr>
              <w:keepNext/>
              <w:keepLines/>
              <w:spacing w:line="240" w:lineRule="auto" w:before="40" w:after="40"/>
              <w:jc w:val="right"/>
            </w:pPr>
            <w:r>
              <w:rPr>
                <w:rFonts w:ascii="Calibri" w:hAnsi="Calibri"/>
                <w:b w:val="0"/>
                <w:sz w:val="19"/>
              </w:rPr>
              <w:t>167,11</w:t>
            </w:r>
          </w:p>
        </w:tc>
        <w:tc>
          <w:tcPr>
            <w:tcW w:type="dxa" w:w="3175"/>
            <w:vAlign w:val="center"/>
          </w:tcPr>
          <w:p>
            <w:pPr>
              <w:keepNext/>
              <w:keepLines/>
              <w:spacing w:line="240" w:lineRule="auto" w:before="40" w:after="40"/>
              <w:jc w:val="left"/>
            </w:pPr>
            <w:r>
              <w:rPr>
                <w:rFonts w:ascii="Calibri" w:hAnsi="Calibri"/>
                <w:b w:val="0"/>
                <w:sz w:val="19"/>
              </w:rPr>
              <w:t>196 Fenster</w:t>
            </w:r>
          </w:p>
        </w:tc>
      </w:tr>
      <w:tr>
        <w:trPr>
          <w:cantSplit/>
        </w:trPr>
        <w:tc>
          <w:tcPr>
            <w:tcW w:type="dxa" w:w="1701"/>
            <w:vAlign w:val="center"/>
          </w:tcPr>
          <w:p>
            <w:pPr>
              <w:keepNext/>
              <w:keepLines/>
              <w:spacing w:line="240" w:lineRule="auto" w:before="40" w:after="40"/>
              <w:jc w:val="left"/>
            </w:pPr>
            <w:r>
              <w:rPr>
                <w:rFonts w:ascii="Calibri" w:hAnsi="Calibri"/>
                <w:b w:val="0"/>
                <w:sz w:val="19"/>
              </w:rPr>
              <w:t>RMS allein</w:t>
            </w:r>
          </w:p>
        </w:tc>
        <w:tc>
          <w:tcPr>
            <w:tcW w:type="dxa" w:w="2098"/>
            <w:vAlign w:val="center"/>
          </w:tcPr>
          <w:p>
            <w:pPr>
              <w:keepNext/>
              <w:keepLines/>
              <w:spacing w:line="240" w:lineRule="auto" w:before="40" w:after="40"/>
              <w:jc w:val="right"/>
            </w:pPr>
            <w:r>
              <w:rPr>
                <w:rFonts w:ascii="Calibri" w:hAnsi="Calibri"/>
                <w:b w:val="0"/>
                <w:sz w:val="19"/>
              </w:rPr>
              <w:t>9,69</w:t>
            </w:r>
          </w:p>
        </w:tc>
        <w:tc>
          <w:tcPr>
            <w:tcW w:type="dxa" w:w="2098"/>
            <w:vAlign w:val="center"/>
          </w:tcPr>
          <w:p>
            <w:pPr>
              <w:keepNext/>
              <w:keepLines/>
              <w:spacing w:line="240" w:lineRule="auto" w:before="40" w:after="40"/>
              <w:jc w:val="right"/>
            </w:pPr>
            <w:r>
              <w:rPr>
                <w:rFonts w:ascii="Calibri" w:hAnsi="Calibri"/>
                <w:b w:val="0"/>
                <w:sz w:val="19"/>
              </w:rPr>
              <w:t>39,31</w:t>
            </w:r>
          </w:p>
        </w:tc>
        <w:tc>
          <w:tcPr>
            <w:tcW w:type="dxa" w:w="3175"/>
            <w:vAlign w:val="center"/>
          </w:tcPr>
          <w:p>
            <w:pPr>
              <w:keepNext/>
              <w:keepLines/>
              <w:spacing w:line="240" w:lineRule="auto" w:before="40" w:after="40"/>
              <w:jc w:val="left"/>
            </w:pPr>
            <w:r>
              <w:rPr>
                <w:rFonts w:ascii="Calibri" w:hAnsi="Calibri"/>
                <w:b w:val="0"/>
                <w:sz w:val="19"/>
              </w:rPr>
              <w:t>234 Fenster</w:t>
            </w:r>
          </w:p>
        </w:tc>
      </w:tr>
      <w:tr>
        <w:trPr>
          <w:cantSplit/>
        </w:trPr>
        <w:tc>
          <w:tcPr>
            <w:tcW w:type="dxa" w:w="1701"/>
            <w:vAlign w:val="center"/>
          </w:tcPr>
          <w:p>
            <w:pPr>
              <w:keepNext w:val="0"/>
              <w:keepLines/>
              <w:spacing w:line="240" w:lineRule="auto" w:before="40" w:after="40"/>
              <w:jc w:val="left"/>
            </w:pPr>
            <w:r>
              <w:rPr>
                <w:rFonts w:ascii="Calibri" w:hAnsi="Calibri"/>
                <w:b w:val="0"/>
                <w:sz w:val="19"/>
              </w:rPr>
              <w:t>Alle drei gemeinsam</w:t>
            </w:r>
          </w:p>
        </w:tc>
        <w:tc>
          <w:tcPr>
            <w:tcW w:type="dxa" w:w="2098"/>
            <w:vAlign w:val="center"/>
          </w:tcPr>
          <w:p>
            <w:pPr>
              <w:keepNext w:val="0"/>
              <w:keepLines/>
              <w:spacing w:line="240" w:lineRule="auto" w:before="40" w:after="40"/>
              <w:jc w:val="right"/>
            </w:pPr>
            <w:r>
              <w:rPr>
                <w:rFonts w:ascii="Calibri" w:hAnsi="Calibri"/>
                <w:b w:val="0"/>
                <w:sz w:val="19"/>
              </w:rPr>
              <w:t>13,04</w:t>
            </w:r>
          </w:p>
        </w:tc>
        <w:tc>
          <w:tcPr>
            <w:tcW w:type="dxa" w:w="2098"/>
            <w:vAlign w:val="center"/>
          </w:tcPr>
          <w:p>
            <w:pPr>
              <w:keepNext w:val="0"/>
              <w:keepLines/>
              <w:spacing w:line="240" w:lineRule="auto" w:before="40" w:after="40"/>
              <w:jc w:val="right"/>
            </w:pPr>
            <w:r>
              <w:rPr>
                <w:rFonts w:ascii="Calibri" w:hAnsi="Calibri"/>
                <w:b w:val="0"/>
                <w:sz w:val="19"/>
              </w:rPr>
              <w:t>174,42</w:t>
            </w:r>
          </w:p>
        </w:tc>
        <w:tc>
          <w:tcPr>
            <w:tcW w:type="dxa" w:w="3175"/>
            <w:vAlign w:val="center"/>
          </w:tcPr>
          <w:p>
            <w:pPr>
              <w:keepNext w:val="0"/>
              <w:keepLines/>
              <w:spacing w:line="240" w:lineRule="auto" w:before="40" w:after="40"/>
              <w:jc w:val="left"/>
            </w:pPr>
            <w:r>
              <w:rPr>
                <w:rFonts w:ascii="Calibri" w:hAnsi="Calibri"/>
                <w:b w:val="0"/>
                <w:sz w:val="19"/>
              </w:rPr>
              <w:t>197 gemeinsame Fenster</w:t>
            </w:r>
          </w:p>
        </w:tc>
      </w:tr>
    </w:tbl>
    <w:p>
      <w:pPr>
        <w:keepNext/>
        <w:spacing w:after="0"/>
        <w:jc w:val="center"/>
      </w:pPr>
      <w:r/>
      <w:r>
        <w:drawing>
          <wp:inline xmlns:a="http://schemas.openxmlformats.org/drawingml/2006/main">
            <wp:extent cx="5760000" cy="3044918"/>
            <wp:docPr id="9" name="Picture 9"/>
            <wp:cNvGraphicFramePr>
              <a:graphicFrameLocks noChangeAspect="1"/>
            </wp:cNvGraphicFramePr>
            <a:graphic>
              <a:graphicData uri="http://schemas.openxmlformats.org/drawingml/2006/picture">
                <pic:pic>
                  <pic:nvPicPr>
                    <pic:cNvPr id="0" name="resources.png"/>
                    <pic:cNvPicPr/>
                  </pic:nvPicPr>
                  <pic:blipFill>
                    <a:blip r:embed="rId79"/>
                    <a:stretch>
                      <a:fillRect/>
                    </a:stretch>
                  </pic:blipFill>
                  <pic:spPr>
                    <a:xfrm>
                      <a:off x="0" y="0"/>
                      <a:ext cx="5760000" cy="3044918"/>
                    </a:xfrm>
                    <a:prstGeom prst="rect"/>
                  </pic:spPr>
                </pic:pic>
              </a:graphicData>
            </a:graphic>
          </wp:inline>
        </w:drawing>
      </w:r>
    </w:p>
    <w:p>
      <w:bookmarkStart w:id="10036" w:name="phone_figure_10036"/>
      <w:pPr>
        <w:pStyle w:val="Abbildungsbeschriftung"/>
      </w:pPr>
      <w:r>
        <w:t>Abbildung 7-6: CPU und RAM im Einzelbetrieb und gemeinsamen Live-Prozess. Es handelt sich um Prozessmessungen mit unterschiedlichen Laufdauern; die gemeinsame Auslastung darf nicht pro Methode aufgeteilt oder aus den Einzelwerten addiert werden. Quelle: B12, decisions.csv und resources.csv.</w:t>
      </w:r>
      <w:bookmarkEnd w:id="10036"/>
    </w:p>
    <w:p>
      <w:r>
        <w:t>Die gemeinsame Speichernutzung liegt in diesem Lauf etwas oberhalb des Isolation-Forest-Einzelprozesses, nicht bei der Summe aller Einzelprozesse. Im gemeinsamen Prozess werden Teile der Erfassung, Laufzeitumgebung und geladenen Bibliotheken geteilt. Eine genaue Zuordnung einzelner Speicheranteile wurde nicht instrumentiert. Die Ergebnisse zeigen im untersuchten Umfang eine Ausführung ohne protokollierten Fensterrückstand oder Datenverlust; sie sind kein unbegrenzter Dauerbetriebsnachweis.</w:t>
      </w:r>
    </w:p>
    <w:p>
      <w:r>
        <w:t>Im gemeinsamen Lauf liegt das empirische P99 der Zeit vom vollständigen Fenster bis zur Entscheidung bei rund 9,156 ms für AE, 45,008 ms für IF und 8,793 ms für RMS. Die größten beobachteten Werte betragen 12,205 ms, 83,893 ms und 11,455 ms. Sie liegen deutlich unter dem nominellen 640-ms-Fensterbudget. Dieses Ergebnis ist von der früheren vorab definierten Laufzeitmatrix zu unterscheiden; der damalige vollständige Fristtest bleibt separat im Anhang dokumentiert. Ein kleines Verarbeitungs-P99 beseitigt weder die Fensterfüllzeit noch die Unsicherheit des physikalischen Störungsbeginns.</w:t>
      </w:r>
    </w:p>
    <w:p>
      <w:pPr>
        <w:keepNext/>
        <w:spacing w:after="0"/>
        <w:jc w:val="center"/>
      </w:pPr>
      <w:r/>
      <w:r>
        <w:drawing>
          <wp:inline xmlns:a="http://schemas.openxmlformats.org/drawingml/2006/main">
            <wp:extent cx="5760000" cy="4562170"/>
            <wp:docPr id="10" name="Picture 10"/>
            <wp:cNvGraphicFramePr>
              <a:graphicFrameLocks noChangeAspect="1"/>
            </wp:cNvGraphicFramePr>
            <a:graphic>
              <a:graphicData uri="http://schemas.openxmlformats.org/drawingml/2006/picture">
                <pic:pic>
                  <pic:nvPicPr>
                    <pic:cNvPr id="0" name="joint_operating.png"/>
                    <pic:cNvPicPr/>
                  </pic:nvPicPr>
                  <pic:blipFill>
                    <a:blip r:embed="rId80"/>
                    <a:stretch>
                      <a:fillRect/>
                    </a:stretch>
                  </pic:blipFill>
                  <pic:spPr>
                    <a:xfrm>
                      <a:off x="0" y="0"/>
                      <a:ext cx="5760000" cy="4562170"/>
                    </a:xfrm>
                    <a:prstGeom prst="rect"/>
                  </pic:spPr>
                </pic:pic>
              </a:graphicData>
            </a:graphic>
          </wp:inline>
        </w:drawing>
      </w:r>
    </w:p>
    <w:p>
      <w:bookmarkStart w:id="10037" w:name="phone_figure_10037"/>
      <w:pPr>
        <w:pStyle w:val="Abbildungsbeschriftung"/>
      </w:pPr>
      <w:r>
        <w:t>Abbildung 7-7: Zeitlicher Ressourcenverlauf des gemeinsamen Prozesses. Grau: Zeitraum zwischen Bedienmarkern. Temperatur und CPU-Takt sind zusätzliche Betriebsdiagnosen, keine Leistungs- oder Energiemessung. Quelle: B12, Gemeinsam01/resources.csv.</w:t>
      </w:r>
      <w:bookmarkEnd w:id="10037"/>
    </w:p>
    <w:p>
      <w:r>
        <w:t>Im gemeinsamen Lauf wurden Temperaturen von 52,35 bis 60,60 °C und CPU-Frequenzen von 1,5 bis 2,4 GHz protokolliert. Über die ausgewählten Einzelprozesse reichen die Temperaturproben von 51,80 bis 61,15 °C. Aus wechselnder CPU-Frequenz allein folgt kein Nachweis thermischer Drosselung. Für diese Reihe liegt keine vollständige unabhängige Drosselungsanalyse vor. Ein unauffälliger kurzer Versuch schließt spätere Temperatur- oder Speicherprobleme nicht aus.</w:t>
      </w:r>
    </w:p>
    <w:p>
      <w:r>
        <w:t>Unter Verbrauch wird in dieser Auswertung ausschließlich der beobachtete Rechen- und Speicherbedarf verstanden. Elektrische Leistung in Watt, Stromaufnahme und Energie in Wh wurden nicht gemessen. CPU-Auslastung ist kein hinreichender Ersatz dafür. Auch die externe 12-V-Lüfterversorgung gehört nicht automatisch zum erfassten Raspberry-Pi-Prozessbedarf. Eine Aussage wie „der Autoencoder verbraucht weniger elektrische Energie“ wird deshalb nicht aus diesen Daten abgeleitet.</w:t>
      </w:r>
    </w:p>
    <w:p>
      <w:bookmarkStart w:id="10038" w:name="phone_heading_10038"/>
      <w:pPr>
        <w:pStyle w:val="Heading2"/>
        <w:numPr>
          <w:ilvl w:val="1"/>
          <w:numId w:val="2"/>
        </w:numPr>
        <w:jc w:val="left"/>
      </w:pPr>
      <w:r>
        <w:t>Einordnung der früheren Prüfreihe</w:t>
      </w:r>
      <w:bookmarkEnd w:id="10038"/>
    </w:p>
    <w:p>
      <w:r>
        <w:t>Die frühere Untersuchung vom 11./12. September verwendete dasselbe Hardwareprinzip, aber das v4-Paket mit fensterweiser Zentrierung, anderen Trainingsaufnahmen, Gewichten, Skalierungen und Schwellen. Die Anregung war eine separat befestigte Platte zur Änderung des Luftstroms. Die Handyreihe untersucht eine andere äußere Einwirkung. Ein Unterschied der Ergebnisse ist deshalb nicht allein einer geänderten Anregung oder allein einer Methode zurechenbar.</w:t>
      </w:r>
    </w:p>
    <w:p>
      <w:r>
        <w:t>Die negativen früheren Ergebnisse bleiben erhalten: In der vollständigen Folge Normal → Luftstromänderung → Normal markierten RMS sieben, IF vier und AE keines von 194 gültigen Fenstern des geänderten Zustands. Die F1-Werte dieser gesamten historischen Folge betrugen 6,93 %, 4,04 % und 0 %. H1 war dort nicht bestätigt. Die neue frühere Autoencoder-Alarmausgabe macht aus diesem alten Ergebnis keinen höheren F1-Wert. Tabellen A-2 bis A-4 dokumentieren die ursprünglichen Zählungen unverändert.</w:t>
      </w:r>
    </w:p>
    <w:p>
      <w:r>
        <w:t>Die frühere Ressourcenprüfung umfasste drei getrennte Prozesse je Methode und Betriebsart, insgesamt neun Sensor- und neun Replay-Prozesse mit je 300 s Aufnahme beziehungsweise Wiedergabe. Bewertet wurde [180,300) s. Ihre CPU-Werte sind zeitgewichtete Mittel aus ungefähr 100-ms-Proben; die Handyreihe verwendet dagegen Mediane der laufbezogenen Proben. Außerdem unterscheiden sich Vorverarbeitung, Recorder und Speicherhaltung. Die historischen Zahlen in Tabellen A-5 und A-6 bleiben deshalb gültig für ihren damaligen Messumfang, sind aber kein austauschbarer Schätzer des aktuellen Bedarfs.</w:t>
      </w:r>
    </w:p>
    <w:p>
      <w:bookmarkStart w:id="10039" w:name="phone_heading_10039"/>
      <w:pPr>
        <w:pStyle w:val="Heading2"/>
        <w:numPr>
          <w:ilvl w:val="1"/>
          <w:numId w:val="2"/>
        </w:numPr>
        <w:jc w:val="left"/>
      </w:pPr>
      <w:r>
        <w:t>Forschungsfragen und Nachweisstand</w:t>
      </w:r>
      <w:bookmarkEnd w:id="10039"/>
    </w:p>
    <w:p>
      <w:bookmarkStart w:id="10040" w:name="phone_table_10040"/>
      <w:pPr>
        <w:pStyle w:val="Tabellenbeschriftung"/>
      </w:pPr>
      <w:r>
        <w:t>Tabelle 7-8: Bewertung der Forschungsfragen und Hypothesen</w:t>
      </w:r>
      <w:bookmarkEnd w:id="10040"/>
    </w:p>
    <w:tbl>
      <w:tblPr>
        <w:tblStyle w:val="Tabellenraster"/>
        <w:jc w:val="center"/>
        <w:tblLayout w:type="fixed"/>
        <w:tblLook w:firstColumn="1" w:firstRow="1" w:lastColumn="0" w:lastRow="0" w:noHBand="0" w:noVBand="1" w:val="04A0"/>
        <w:tblW w:w="9071" w:type="dxa"/>
      </w:tblPr>
      <w:tblGrid>
        <w:gridCol w:w="1984"/>
        <w:gridCol w:w="2665"/>
        <w:gridCol w:w="4422"/>
      </w:tblGrid>
      <w:tr>
        <w:trPr>
          <w:cantSplit/>
          <w:tblHeader/>
        </w:trPr>
        <w:tc>
          <w:tcPr>
            <w:tcW w:type="dxa" w:w="1984"/>
            <w:vAlign w:val="center"/>
            <w:shd w:fill="E7EDF2" w:val="clear"/>
          </w:tcPr>
          <w:p>
            <w:pPr>
              <w:keepNext/>
              <w:keepLines/>
              <w:spacing w:line="240" w:lineRule="auto" w:before="40" w:after="40"/>
              <w:jc w:val="left"/>
            </w:pPr>
            <w:r>
              <w:rPr>
                <w:rFonts w:ascii="Calibri" w:hAnsi="Calibri"/>
                <w:b/>
                <w:sz w:val="19"/>
              </w:rPr>
              <w:t>Gegenstand</w:t>
            </w:r>
          </w:p>
        </w:tc>
        <w:tc>
          <w:tcPr>
            <w:tcW w:type="dxa" w:w="2665"/>
            <w:vAlign w:val="center"/>
            <w:shd w:fill="E7EDF2" w:val="clear"/>
          </w:tcPr>
          <w:p>
            <w:pPr>
              <w:keepNext/>
              <w:keepLines/>
              <w:spacing w:line="240" w:lineRule="auto" w:before="40" w:after="40"/>
              <w:jc w:val="left"/>
            </w:pPr>
            <w:r>
              <w:rPr>
                <w:rFonts w:ascii="Calibri" w:hAnsi="Calibri"/>
                <w:b/>
                <w:sz w:val="19"/>
              </w:rPr>
              <w:t>Beobachtung</w:t>
            </w:r>
          </w:p>
        </w:tc>
        <w:tc>
          <w:tcPr>
            <w:tcW w:type="dxa" w:w="4422"/>
            <w:vAlign w:val="center"/>
            <w:shd w:fill="E7EDF2" w:val="clear"/>
          </w:tcPr>
          <w:p>
            <w:pPr>
              <w:keepNext/>
              <w:keepLines/>
              <w:spacing w:line="240" w:lineRule="auto" w:before="40" w:after="40"/>
              <w:jc w:val="left"/>
            </w:pPr>
            <w:r>
              <w:rPr>
                <w:rFonts w:ascii="Calibri" w:hAnsi="Calibri"/>
                <w:b/>
                <w:sz w:val="19"/>
              </w:rPr>
              <w:t>Bewertung</w:t>
            </w:r>
          </w:p>
        </w:tc>
      </w:tr>
      <w:tr>
        <w:trPr>
          <w:cantSplit/>
        </w:trPr>
        <w:tc>
          <w:tcPr>
            <w:tcW w:type="dxa" w:w="1984"/>
            <w:vAlign w:val="center"/>
          </w:tcPr>
          <w:p>
            <w:pPr>
              <w:keepNext/>
              <w:keepLines/>
              <w:spacing w:line="240" w:lineRule="auto" w:before="40" w:after="40"/>
              <w:jc w:val="left"/>
            </w:pPr>
            <w:r>
              <w:rPr>
                <w:rFonts w:ascii="Calibri" w:hAnsi="Calibri"/>
                <w:b w:val="0"/>
                <w:sz w:val="19"/>
              </w:rPr>
              <w:t>FF1: technische Auswahl</w:t>
            </w:r>
          </w:p>
        </w:tc>
        <w:tc>
          <w:tcPr>
            <w:tcW w:type="dxa" w:w="2665"/>
            <w:vAlign w:val="center"/>
          </w:tcPr>
          <w:p>
            <w:pPr>
              <w:keepNext/>
              <w:keepLines/>
              <w:spacing w:line="240" w:lineRule="auto" w:before="40" w:after="40"/>
              <w:jc w:val="left"/>
            </w:pPr>
            <w:r>
              <w:rPr>
                <w:rFonts w:ascii="Calibri" w:hAnsi="Calibri"/>
                <w:b w:val="0"/>
                <w:sz w:val="19"/>
              </w:rPr>
              <w:t>Raspberry Pi, ADXL345 und lokale Pipeline eingesetzt</w:t>
            </w:r>
          </w:p>
        </w:tc>
        <w:tc>
          <w:tcPr>
            <w:tcW w:type="dxa" w:w="4422"/>
            <w:vAlign w:val="center"/>
          </w:tcPr>
          <w:p>
            <w:pPr>
              <w:keepNext/>
              <w:keepLines/>
              <w:spacing w:line="240" w:lineRule="auto" w:before="40" w:after="40"/>
              <w:jc w:val="left"/>
            </w:pPr>
            <w:r>
              <w:rPr>
                <w:rFonts w:ascii="Calibri" w:hAnsi="Calibri"/>
                <w:b w:val="0"/>
                <w:sz w:val="19"/>
              </w:rPr>
              <w:t>Ausführbarkeit im untersuchten Umfang gezeigt; Messqualität nur teilweise abgesichert</w:t>
            </w:r>
          </w:p>
        </w:tc>
      </w:tr>
      <w:tr>
        <w:trPr>
          <w:cantSplit/>
        </w:trPr>
        <w:tc>
          <w:tcPr>
            <w:tcW w:type="dxa" w:w="1984"/>
            <w:vAlign w:val="center"/>
          </w:tcPr>
          <w:p>
            <w:pPr>
              <w:keepNext/>
              <w:keepLines/>
              <w:spacing w:line="240" w:lineRule="auto" w:before="40" w:after="40"/>
              <w:jc w:val="left"/>
            </w:pPr>
            <w:r>
              <w:rPr>
                <w:rFonts w:ascii="Calibri" w:hAnsi="Calibri"/>
                <w:b w:val="0"/>
                <w:sz w:val="19"/>
              </w:rPr>
              <w:t>FF2 / H1: Erkennungsqualität</w:t>
            </w:r>
          </w:p>
        </w:tc>
        <w:tc>
          <w:tcPr>
            <w:tcW w:type="dxa" w:w="2665"/>
            <w:vAlign w:val="center"/>
          </w:tcPr>
          <w:p>
            <w:pPr>
              <w:keepNext/>
              <w:keepLines/>
              <w:spacing w:line="240" w:lineRule="auto" w:before="40" w:after="40"/>
              <w:jc w:val="left"/>
            </w:pPr>
            <w:r>
              <w:rPr>
                <w:rFonts w:ascii="Calibri" w:hAnsi="Calibri"/>
                <w:b w:val="0"/>
                <w:sz w:val="19"/>
              </w:rPr>
              <w:t>Historisches F1 für AE nicht besser; Handyreihe ohne unabhängiges Zeitlabel</w:t>
            </w:r>
          </w:p>
        </w:tc>
        <w:tc>
          <w:tcPr>
            <w:tcW w:type="dxa" w:w="4422"/>
            <w:vAlign w:val="center"/>
          </w:tcPr>
          <w:p>
            <w:pPr>
              <w:keepNext/>
              <w:keepLines/>
              <w:spacing w:line="240" w:lineRule="auto" w:before="40" w:after="40"/>
              <w:jc w:val="left"/>
            </w:pPr>
            <w:r>
              <w:rPr>
                <w:rFonts w:ascii="Calibri" w:hAnsi="Calibri"/>
                <w:b w:val="0"/>
                <w:sz w:val="19"/>
              </w:rPr>
              <w:t>H1 nicht bestätigt; Handyreihe liefert keinen Ersatz-F1</w:t>
            </w:r>
          </w:p>
        </w:tc>
      </w:tr>
      <w:tr>
        <w:trPr>
          <w:cantSplit/>
        </w:trPr>
        <w:tc>
          <w:tcPr>
            <w:tcW w:type="dxa" w:w="1984"/>
            <w:vAlign w:val="center"/>
          </w:tcPr>
          <w:p>
            <w:pPr>
              <w:keepNext/>
              <w:keepLines/>
              <w:spacing w:line="240" w:lineRule="auto" w:before="40" w:after="40"/>
              <w:jc w:val="left"/>
            </w:pPr>
            <w:r>
              <w:rPr>
                <w:rFonts w:ascii="Calibri" w:hAnsi="Calibri"/>
                <w:b w:val="0"/>
                <w:sz w:val="19"/>
              </w:rPr>
              <w:t>Ergänzende Zeitfrage</w:t>
            </w:r>
          </w:p>
        </w:tc>
        <w:tc>
          <w:tcPr>
            <w:tcW w:type="dxa" w:w="2665"/>
            <w:vAlign w:val="center"/>
          </w:tcPr>
          <w:p>
            <w:pPr>
              <w:keepNext/>
              <w:keepLines/>
              <w:spacing w:line="240" w:lineRule="auto" w:before="40" w:after="40"/>
              <w:jc w:val="left"/>
            </w:pPr>
            <w:r>
              <w:rPr>
                <w:rFonts w:ascii="Calibri" w:hAnsi="Calibri"/>
                <w:b w:val="0"/>
                <w:sz w:val="19"/>
              </w:rPr>
              <w:t>AE-Ausgabe zuerst; IF im selben Fenster, RMS ein Fenster später</w:t>
            </w:r>
          </w:p>
        </w:tc>
        <w:tc>
          <w:tcPr>
            <w:tcW w:type="dxa" w:w="4422"/>
            <w:vAlign w:val="center"/>
          </w:tcPr>
          <w:p>
            <w:pPr>
              <w:keepNext/>
              <w:keepLines/>
              <w:spacing w:line="240" w:lineRule="auto" w:before="40" w:after="40"/>
              <w:jc w:val="left"/>
            </w:pPr>
            <w:r>
              <w:rPr>
                <w:rFonts w:ascii="Calibri" w:hAnsi="Calibri"/>
                <w:b w:val="0"/>
                <w:sz w:val="19"/>
              </w:rPr>
              <w:t>Beobachteter AE-Vorteil im gemeinsamen Lauf; keine allgemeine Rangfolge</w:t>
            </w:r>
          </w:p>
        </w:tc>
      </w:tr>
      <w:tr>
        <w:trPr>
          <w:cantSplit/>
        </w:trPr>
        <w:tc>
          <w:tcPr>
            <w:tcW w:type="dxa" w:w="1984"/>
            <w:vAlign w:val="center"/>
          </w:tcPr>
          <w:p>
            <w:pPr>
              <w:keepNext/>
              <w:keepLines/>
              <w:spacing w:line="240" w:lineRule="auto" w:before="40" w:after="40"/>
              <w:jc w:val="left"/>
            </w:pPr>
            <w:r>
              <w:rPr>
                <w:rFonts w:ascii="Calibri" w:hAnsi="Calibri"/>
                <w:b w:val="0"/>
                <w:sz w:val="19"/>
              </w:rPr>
              <w:t>FF3 / H2: Zeitbudget und Ressourcen</w:t>
            </w:r>
          </w:p>
        </w:tc>
        <w:tc>
          <w:tcPr>
            <w:tcW w:type="dxa" w:w="2665"/>
            <w:vAlign w:val="center"/>
          </w:tcPr>
          <w:p>
            <w:pPr>
              <w:keepNext/>
              <w:keepLines/>
              <w:spacing w:line="240" w:lineRule="auto" w:before="40" w:after="40"/>
              <w:jc w:val="left"/>
            </w:pPr>
            <w:r>
              <w:rPr>
                <w:rFonts w:ascii="Calibri" w:hAnsi="Calibri"/>
                <w:b w:val="0"/>
                <w:sz w:val="19"/>
              </w:rPr>
              <w:t>Historischer Fristtest ohne Überschreitungen; neue Verarbeitung deutlich unter Fensterbudget</w:t>
            </w:r>
          </w:p>
        </w:tc>
        <w:tc>
          <w:tcPr>
            <w:tcW w:type="dxa" w:w="4422"/>
            <w:vAlign w:val="center"/>
          </w:tcPr>
          <w:p>
            <w:pPr>
              <w:keepNext/>
              <w:keepLines/>
              <w:spacing w:line="240" w:lineRule="auto" w:before="40" w:after="40"/>
              <w:jc w:val="left"/>
            </w:pPr>
            <w:r>
              <w:rPr>
                <w:rFonts w:ascii="Calibri" w:hAnsi="Calibri"/>
                <w:b w:val="0"/>
                <w:sz w:val="19"/>
              </w:rPr>
              <w:t>Ausführbarkeit gestützt, keine Garantie harter Echtzeit oder Dauerbetrieb</w:t>
            </w:r>
          </w:p>
        </w:tc>
      </w:tr>
      <w:tr>
        <w:trPr>
          <w:cantSplit/>
        </w:trPr>
        <w:tc>
          <w:tcPr>
            <w:tcW w:type="dxa" w:w="1984"/>
            <w:vAlign w:val="center"/>
          </w:tcPr>
          <w:p>
            <w:pPr>
              <w:keepNext/>
              <w:keepLines/>
              <w:spacing w:line="240" w:lineRule="auto" w:before="40" w:after="40"/>
              <w:jc w:val="left"/>
            </w:pPr>
            <w:r>
              <w:rPr>
                <w:rFonts w:ascii="Calibri" w:hAnsi="Calibri"/>
                <w:b w:val="0"/>
                <w:sz w:val="19"/>
              </w:rPr>
              <w:t>FF4 / H3: geänderter Normalbetrieb</w:t>
            </w:r>
          </w:p>
        </w:tc>
        <w:tc>
          <w:tcPr>
            <w:tcW w:type="dxa" w:w="2665"/>
            <w:vAlign w:val="center"/>
          </w:tcPr>
          <w:p>
            <w:pPr>
              <w:keepNext/>
              <w:keepLines/>
              <w:spacing w:line="240" w:lineRule="auto" w:before="40" w:after="40"/>
              <w:jc w:val="left"/>
            </w:pPr>
            <w:r>
              <w:rPr>
                <w:rFonts w:ascii="Calibri" w:hAnsi="Calibri"/>
                <w:b w:val="0"/>
                <w:sz w:val="19"/>
              </w:rPr>
              <w:t>Frühere 50-%-Versuche methoden-/aufnahmeabhängig</w:t>
            </w:r>
          </w:p>
        </w:tc>
        <w:tc>
          <w:tcPr>
            <w:tcW w:type="dxa" w:w="4422"/>
            <w:vAlign w:val="center"/>
          </w:tcPr>
          <w:p>
            <w:pPr>
              <w:keepNext/>
              <w:keepLines/>
              <w:spacing w:line="240" w:lineRule="auto" w:before="40" w:after="40"/>
              <w:jc w:val="left"/>
            </w:pPr>
            <w:r>
              <w:rPr>
                <w:rFonts w:ascii="Calibri" w:hAnsi="Calibri"/>
                <w:b w:val="0"/>
                <w:sz w:val="19"/>
              </w:rPr>
              <w:t>Keine einheitliche Bestätigung; Handyreihe enthält keinen neuen Drehzahlvergleich</w:t>
            </w:r>
          </w:p>
        </w:tc>
      </w:tr>
      <w:tr>
        <w:trPr>
          <w:cantSplit/>
        </w:trPr>
        <w:tc>
          <w:tcPr>
            <w:tcW w:type="dxa" w:w="1984"/>
            <w:vAlign w:val="center"/>
          </w:tcPr>
          <w:p>
            <w:pPr>
              <w:keepNext w:val="0"/>
              <w:keepLines/>
              <w:spacing w:line="240" w:lineRule="auto" w:before="40" w:after="40"/>
              <w:jc w:val="left"/>
            </w:pPr>
            <w:r>
              <w:rPr>
                <w:rFonts w:ascii="Calibri" w:hAnsi="Calibri"/>
                <w:b w:val="0"/>
                <w:sz w:val="19"/>
              </w:rPr>
              <w:t>Wiederholbarkeit</w:t>
            </w:r>
          </w:p>
        </w:tc>
        <w:tc>
          <w:tcPr>
            <w:tcW w:type="dxa" w:w="2665"/>
            <w:vAlign w:val="center"/>
          </w:tcPr>
          <w:p>
            <w:pPr>
              <w:keepNext w:val="0"/>
              <w:keepLines/>
              <w:spacing w:line="240" w:lineRule="auto" w:before="40" w:after="40"/>
              <w:jc w:val="left"/>
            </w:pPr>
            <w:r>
              <w:rPr>
                <w:rFonts w:ascii="Calibri" w:hAnsi="Calibri"/>
                <w:b w:val="0"/>
                <w:sz w:val="19"/>
              </w:rPr>
              <w:t>Wenige Anrufe und erhaltene Fehlanläufe</w:t>
            </w:r>
          </w:p>
        </w:tc>
        <w:tc>
          <w:tcPr>
            <w:tcW w:type="dxa" w:w="4422"/>
            <w:vAlign w:val="center"/>
          </w:tcPr>
          <w:p>
            <w:pPr>
              <w:keepNext w:val="0"/>
              <w:keepLines/>
              <w:spacing w:line="240" w:lineRule="auto" w:before="40" w:after="40"/>
              <w:jc w:val="left"/>
            </w:pPr>
            <w:r>
              <w:rPr>
                <w:rFonts w:ascii="Calibri" w:hAnsi="Calibri"/>
                <w:b w:val="0"/>
                <w:sz w:val="19"/>
              </w:rPr>
              <w:t>Pilotnachweis, keine statistisch belastbare Überlegenheit</w:t>
            </w:r>
          </w:p>
        </w:tc>
      </w:tr>
    </w:tbl>
    <w:p>
      <w:r>
        <w:t>Die ursprünglichen Anforderungen an Nachvollziehbarkeit, gleiche Eingaben, Datentrennung und Ressourcenmessung werden durch Dateien, Hashes und getrennte Vergleichsmodi gestützt. Die Anforderungen an vollständig verifizierte Messqualität, Drehzahl, physikalische Referenz und reproduzierbare Anregung bleiben teilweise offen. Eine nachträgliche Definition günstigerer Erfolgskriterien wird nicht vorgenommen.</w:t>
      </w:r>
    </w:p>
    <w:p>
      <w:bookmarkStart w:id="10041" w:name="phone_table_10041"/>
      <w:pPr>
        <w:pStyle w:val="Tabellenbeschriftung"/>
      </w:pPr>
      <w:r>
        <w:t>Tabelle 7-9: Rückbindung an die unveränderten Anforderungen aus Kapitel 4</w:t>
      </w:r>
      <w:bookmarkEnd w:id="10041"/>
    </w:p>
    <w:tbl>
      <w:tblPr>
        <w:tblStyle w:val="Tabellenraster"/>
        <w:jc w:val="center"/>
        <w:tblLayout w:type="fixed"/>
        <w:tblLook w:firstColumn="1" w:firstRow="1" w:lastColumn="0" w:lastRow="0" w:noHBand="0" w:noVBand="1" w:val="04A0"/>
        <w:tblW w:w="9071" w:type="dxa"/>
      </w:tblPr>
      <w:tblGrid>
        <w:gridCol w:w="1984"/>
        <w:gridCol w:w="2665"/>
        <w:gridCol w:w="4422"/>
      </w:tblGrid>
      <w:tr>
        <w:trPr>
          <w:cantSplit/>
          <w:tblHeader/>
        </w:trPr>
        <w:tc>
          <w:tcPr>
            <w:tcW w:type="dxa" w:w="1984"/>
            <w:vAlign w:val="center"/>
            <w:shd w:fill="E7EDF2" w:val="clear"/>
          </w:tcPr>
          <w:p>
            <w:pPr>
              <w:keepNext/>
              <w:keepLines/>
              <w:spacing w:line="240" w:lineRule="auto" w:before="40" w:after="40"/>
              <w:jc w:val="left"/>
            </w:pPr>
            <w:r>
              <w:rPr>
                <w:rFonts w:ascii="Calibri" w:hAnsi="Calibri"/>
                <w:b/>
                <w:sz w:val="19"/>
              </w:rPr>
              <w:t>Anforderung</w:t>
            </w:r>
          </w:p>
        </w:tc>
        <w:tc>
          <w:tcPr>
            <w:tcW w:type="dxa" w:w="2665"/>
            <w:vAlign w:val="center"/>
            <w:shd w:fill="E7EDF2" w:val="clear"/>
          </w:tcPr>
          <w:p>
            <w:pPr>
              <w:keepNext/>
              <w:keepLines/>
              <w:spacing w:line="240" w:lineRule="auto" w:before="40" w:after="40"/>
              <w:jc w:val="left"/>
            </w:pPr>
            <w:r>
              <w:rPr>
                <w:rFonts w:ascii="Calibri" w:hAnsi="Calibri"/>
                <w:b/>
                <w:sz w:val="19"/>
              </w:rPr>
              <w:t>Stand der Handyreihe</w:t>
            </w:r>
          </w:p>
        </w:tc>
        <w:tc>
          <w:tcPr>
            <w:tcW w:type="dxa" w:w="4422"/>
            <w:vAlign w:val="center"/>
            <w:shd w:fill="E7EDF2" w:val="clear"/>
          </w:tcPr>
          <w:p>
            <w:pPr>
              <w:keepNext/>
              <w:keepLines/>
              <w:spacing w:line="240" w:lineRule="auto" w:before="40" w:after="40"/>
              <w:jc w:val="left"/>
            </w:pPr>
            <w:r>
              <w:rPr>
                <w:rFonts w:ascii="Calibri" w:hAnsi="Calibri"/>
                <w:b/>
                <w:sz w:val="19"/>
              </w:rPr>
              <w:t>Abgrenzung / Nachweis</w:t>
            </w:r>
          </w:p>
        </w:tc>
      </w:tr>
      <w:tr>
        <w:trPr>
          <w:cantSplit/>
        </w:trPr>
        <w:tc>
          <w:tcPr>
            <w:tcW w:type="dxa" w:w="1984"/>
            <w:vAlign w:val="center"/>
          </w:tcPr>
          <w:p>
            <w:pPr>
              <w:keepNext/>
              <w:keepLines/>
              <w:spacing w:line="240" w:lineRule="auto" w:before="40" w:after="40"/>
              <w:jc w:val="left"/>
            </w:pPr>
            <w:r>
              <w:rPr>
                <w:rFonts w:ascii="Calibri" w:hAnsi="Calibri"/>
                <w:b w:val="0"/>
                <w:sz w:val="19"/>
              </w:rPr>
              <w:t>A1 Messqualität</w:t>
            </w:r>
          </w:p>
        </w:tc>
        <w:tc>
          <w:tcPr>
            <w:tcW w:type="dxa" w:w="2665"/>
            <w:vAlign w:val="center"/>
          </w:tcPr>
          <w:p>
            <w:pPr>
              <w:keepNext/>
              <w:keepLines/>
              <w:spacing w:line="240" w:lineRule="auto" w:before="40" w:after="40"/>
              <w:jc w:val="left"/>
            </w:pPr>
            <w:r>
              <w:rPr>
                <w:rFonts w:ascii="Calibri" w:hAnsi="Calibri"/>
                <w:b w:val="0"/>
                <w:sz w:val="19"/>
              </w:rPr>
              <w:t>Teilnachweis</w:t>
            </w:r>
          </w:p>
        </w:tc>
        <w:tc>
          <w:tcPr>
            <w:tcW w:type="dxa" w:w="4422"/>
            <w:vAlign w:val="center"/>
          </w:tcPr>
          <w:p>
            <w:pPr>
              <w:keepNext/>
              <w:keepLines/>
              <w:spacing w:line="240" w:lineRule="auto" w:before="40" w:after="40"/>
              <w:jc w:val="left"/>
            </w:pPr>
            <w:r>
              <w:rPr>
                <w:rFonts w:ascii="Calibri" w:hAnsi="Calibri"/>
                <w:b w:val="0"/>
                <w:sz w:val="19"/>
              </w:rPr>
              <w:t>Integritätsflags geprüft; Bandbreite, Signal-Rausch-Abstand und Sensortakt nicht vollständig unabhängig abgesichert</w:t>
            </w:r>
          </w:p>
        </w:tc>
      </w:tr>
      <w:tr>
        <w:trPr>
          <w:cantSplit/>
        </w:trPr>
        <w:tc>
          <w:tcPr>
            <w:tcW w:type="dxa" w:w="1984"/>
            <w:vAlign w:val="center"/>
          </w:tcPr>
          <w:p>
            <w:pPr>
              <w:keepNext/>
              <w:keepLines/>
              <w:spacing w:line="240" w:lineRule="auto" w:before="40" w:after="40"/>
              <w:jc w:val="left"/>
            </w:pPr>
            <w:r>
              <w:rPr>
                <w:rFonts w:ascii="Calibri" w:hAnsi="Calibri"/>
                <w:b w:val="0"/>
                <w:sz w:val="19"/>
              </w:rPr>
              <w:t>A2 Datentrennung</w:t>
            </w:r>
          </w:p>
        </w:tc>
        <w:tc>
          <w:tcPr>
            <w:tcW w:type="dxa" w:w="2665"/>
            <w:vAlign w:val="center"/>
          </w:tcPr>
          <w:p>
            <w:pPr>
              <w:keepNext/>
              <w:keepLines/>
              <w:spacing w:line="240" w:lineRule="auto" w:before="40" w:after="40"/>
              <w:jc w:val="left"/>
            </w:pPr>
            <w:r>
              <w:rPr>
                <w:rFonts w:ascii="Calibri" w:hAnsi="Calibri"/>
                <w:b w:val="0"/>
                <w:sz w:val="19"/>
              </w:rPr>
              <w:t>Im dokumentierten Umfang erfüllt</w:t>
            </w:r>
          </w:p>
        </w:tc>
        <w:tc>
          <w:tcPr>
            <w:tcW w:type="dxa" w:w="4422"/>
            <w:vAlign w:val="center"/>
          </w:tcPr>
          <w:p>
            <w:pPr>
              <w:keepNext/>
              <w:keepLines/>
              <w:spacing w:line="240" w:lineRule="auto" w:before="40" w:after="40"/>
              <w:jc w:val="left"/>
            </w:pPr>
            <w:r>
              <w:rPr>
                <w:rFonts w:ascii="Calibri" w:hAnsi="Calibri"/>
                <w:b w:val="0"/>
                <w:sz w:val="19"/>
              </w:rPr>
              <w:t>Drei normale Trainingsdateien, eine getrennte normale Validierungsdatei, spätere Handyaufnahmen</w:t>
            </w:r>
          </w:p>
        </w:tc>
      </w:tr>
      <w:tr>
        <w:trPr>
          <w:cantSplit/>
        </w:trPr>
        <w:tc>
          <w:tcPr>
            <w:tcW w:type="dxa" w:w="1984"/>
            <w:vAlign w:val="center"/>
          </w:tcPr>
          <w:p>
            <w:pPr>
              <w:keepNext/>
              <w:keepLines/>
              <w:spacing w:line="240" w:lineRule="auto" w:before="40" w:after="40"/>
              <w:jc w:val="left"/>
            </w:pPr>
            <w:r>
              <w:rPr>
                <w:rFonts w:ascii="Calibri" w:hAnsi="Calibri"/>
                <w:b w:val="0"/>
                <w:sz w:val="19"/>
              </w:rPr>
              <w:t>A3 Einheitlicher Vergleich</w:t>
            </w:r>
          </w:p>
        </w:tc>
        <w:tc>
          <w:tcPr>
            <w:tcW w:type="dxa" w:w="2665"/>
            <w:vAlign w:val="center"/>
          </w:tcPr>
          <w:p>
            <w:pPr>
              <w:keepNext/>
              <w:keepLines/>
              <w:spacing w:line="240" w:lineRule="auto" w:before="40" w:after="40"/>
              <w:jc w:val="left"/>
            </w:pPr>
            <w:r>
              <w:rPr>
                <w:rFonts w:ascii="Calibri" w:hAnsi="Calibri"/>
                <w:b w:val="0"/>
                <w:sz w:val="19"/>
              </w:rPr>
              <w:t>Teilnachweis</w:t>
            </w:r>
          </w:p>
        </w:tc>
        <w:tc>
          <w:tcPr>
            <w:tcW w:type="dxa" w:w="4422"/>
            <w:vAlign w:val="center"/>
          </w:tcPr>
          <w:p>
            <w:pPr>
              <w:keepNext/>
              <w:keepLines/>
              <w:spacing w:line="240" w:lineRule="auto" w:before="40" w:after="40"/>
              <w:jc w:val="left"/>
            </w:pPr>
            <w:r>
              <w:rPr>
                <w:rFonts w:ascii="Calibri" w:hAnsi="Calibri"/>
                <w:b w:val="0"/>
                <w:sz w:val="19"/>
              </w:rPr>
              <w:t>Identische Eingaben und P99-Regel; unabhängige physikalische Zeitlabels fehlen</w:t>
            </w:r>
          </w:p>
        </w:tc>
      </w:tr>
      <w:tr>
        <w:trPr>
          <w:cantSplit/>
        </w:trPr>
        <w:tc>
          <w:tcPr>
            <w:tcW w:type="dxa" w:w="1984"/>
            <w:vAlign w:val="center"/>
          </w:tcPr>
          <w:p>
            <w:pPr>
              <w:keepNext/>
              <w:keepLines/>
              <w:spacing w:line="240" w:lineRule="auto" w:before="40" w:after="40"/>
              <w:jc w:val="left"/>
            </w:pPr>
            <w:r>
              <w:rPr>
                <w:rFonts w:ascii="Calibri" w:hAnsi="Calibri"/>
                <w:b w:val="0"/>
                <w:sz w:val="19"/>
              </w:rPr>
              <w:t>A4 Lokale Auswertung</w:t>
            </w:r>
          </w:p>
        </w:tc>
        <w:tc>
          <w:tcPr>
            <w:tcW w:type="dxa" w:w="2665"/>
            <w:vAlign w:val="center"/>
          </w:tcPr>
          <w:p>
            <w:pPr>
              <w:keepNext/>
              <w:keepLines/>
              <w:spacing w:line="240" w:lineRule="auto" w:before="40" w:after="40"/>
              <w:jc w:val="left"/>
            </w:pPr>
            <w:r>
              <w:rPr>
                <w:rFonts w:ascii="Calibri" w:hAnsi="Calibri"/>
                <w:b w:val="0"/>
                <w:sz w:val="19"/>
              </w:rPr>
              <w:t>Im dokumentierten Umfang erfüllt</w:t>
            </w:r>
          </w:p>
        </w:tc>
        <w:tc>
          <w:tcPr>
            <w:tcW w:type="dxa" w:w="4422"/>
            <w:vAlign w:val="center"/>
          </w:tcPr>
          <w:p>
            <w:pPr>
              <w:keepNext/>
              <w:keepLines/>
              <w:spacing w:line="240" w:lineRule="auto" w:before="40" w:after="40"/>
              <w:jc w:val="left"/>
            </w:pPr>
            <w:r>
              <w:rPr>
                <w:rFonts w:ascii="Calibri" w:hAnsi="Calibri"/>
                <w:b w:val="0"/>
                <w:sz w:val="19"/>
              </w:rPr>
              <w:t>Entscheidungen lokal auf dem Pi; kein Cloud-Dienst für die Inferenz</w:t>
            </w:r>
          </w:p>
        </w:tc>
      </w:tr>
      <w:tr>
        <w:trPr>
          <w:cantSplit/>
        </w:trPr>
        <w:tc>
          <w:tcPr>
            <w:tcW w:type="dxa" w:w="1984"/>
            <w:vAlign w:val="center"/>
          </w:tcPr>
          <w:p>
            <w:pPr>
              <w:keepNext/>
              <w:keepLines/>
              <w:spacing w:line="240" w:lineRule="auto" w:before="40" w:after="40"/>
              <w:jc w:val="left"/>
            </w:pPr>
            <w:r>
              <w:rPr>
                <w:rFonts w:ascii="Calibri" w:hAnsi="Calibri"/>
                <w:b w:val="0"/>
                <w:sz w:val="19"/>
              </w:rPr>
              <w:t>A5 Nachvollziehbarkeit</w:t>
            </w:r>
          </w:p>
        </w:tc>
        <w:tc>
          <w:tcPr>
            <w:tcW w:type="dxa" w:w="2665"/>
            <w:vAlign w:val="center"/>
          </w:tcPr>
          <w:p>
            <w:pPr>
              <w:keepNext/>
              <w:keepLines/>
              <w:spacing w:line="240" w:lineRule="auto" w:before="40" w:after="40"/>
              <w:jc w:val="left"/>
            </w:pPr>
            <w:r>
              <w:rPr>
                <w:rFonts w:ascii="Calibri" w:hAnsi="Calibri"/>
                <w:b w:val="0"/>
                <w:sz w:val="19"/>
              </w:rPr>
              <w:t>Im dokumentierten Umfang erfüllt</w:t>
            </w:r>
          </w:p>
        </w:tc>
        <w:tc>
          <w:tcPr>
            <w:tcW w:type="dxa" w:w="4422"/>
            <w:vAlign w:val="center"/>
          </w:tcPr>
          <w:p>
            <w:pPr>
              <w:keepNext/>
              <w:keepLines/>
              <w:spacing w:line="240" w:lineRule="auto" w:before="40" w:after="40"/>
              <w:jc w:val="left"/>
            </w:pPr>
            <w:r>
              <w:rPr>
                <w:rFonts w:ascii="Calibri" w:hAnsi="Calibri"/>
                <w:b w:val="0"/>
                <w:sz w:val="19"/>
              </w:rPr>
              <w:t>Laufkennungen, Rohdaten, Bündel-/Dateihashes und Softwareprovenienz vorhanden</w:t>
            </w:r>
          </w:p>
        </w:tc>
      </w:tr>
      <w:tr>
        <w:trPr>
          <w:cantSplit/>
        </w:trPr>
        <w:tc>
          <w:tcPr>
            <w:tcW w:type="dxa" w:w="1984"/>
            <w:vAlign w:val="center"/>
          </w:tcPr>
          <w:p>
            <w:pPr>
              <w:keepNext/>
              <w:keepLines/>
              <w:spacing w:line="240" w:lineRule="auto" w:before="40" w:after="40"/>
              <w:jc w:val="left"/>
            </w:pPr>
            <w:r>
              <w:rPr>
                <w:rFonts w:ascii="Calibri" w:hAnsi="Calibri"/>
                <w:b w:val="0"/>
                <w:sz w:val="19"/>
              </w:rPr>
              <w:t>A6 Modellkompatibilität</w:t>
            </w:r>
          </w:p>
        </w:tc>
        <w:tc>
          <w:tcPr>
            <w:tcW w:type="dxa" w:w="2665"/>
            <w:vAlign w:val="center"/>
          </w:tcPr>
          <w:p>
            <w:pPr>
              <w:keepNext/>
              <w:keepLines/>
              <w:spacing w:line="240" w:lineRule="auto" w:before="40" w:after="40"/>
              <w:jc w:val="left"/>
            </w:pPr>
            <w:r>
              <w:rPr>
                <w:rFonts w:ascii="Calibri" w:hAnsi="Calibri"/>
                <w:b w:val="0"/>
                <w:sz w:val="19"/>
              </w:rPr>
              <w:t>Im dokumentierten Umfang erfüllt</w:t>
            </w:r>
          </w:p>
        </w:tc>
        <w:tc>
          <w:tcPr>
            <w:tcW w:type="dxa" w:w="4422"/>
            <w:vAlign w:val="center"/>
          </w:tcPr>
          <w:p>
            <w:pPr>
              <w:keepNext/>
              <w:keepLines/>
              <w:spacing w:line="240" w:lineRule="auto" w:before="40" w:after="40"/>
              <w:jc w:val="left"/>
            </w:pPr>
            <w:r>
              <w:rPr>
                <w:rFonts w:ascii="Calibri" w:hAnsi="Calibri"/>
                <w:b w:val="0"/>
                <w:sz w:val="19"/>
              </w:rPr>
              <w:t>Keras-/TFLite-Prüfung und exakte Reproduktion der Live-Entscheidungen</w:t>
            </w:r>
          </w:p>
        </w:tc>
      </w:tr>
      <w:tr>
        <w:trPr>
          <w:cantSplit/>
        </w:trPr>
        <w:tc>
          <w:tcPr>
            <w:tcW w:type="dxa" w:w="1984"/>
            <w:vAlign w:val="center"/>
          </w:tcPr>
          <w:p>
            <w:pPr>
              <w:keepNext/>
              <w:keepLines/>
              <w:spacing w:line="240" w:lineRule="auto" w:before="40" w:after="40"/>
              <w:jc w:val="left"/>
            </w:pPr>
            <w:r>
              <w:rPr>
                <w:rFonts w:ascii="Calibri" w:hAnsi="Calibri"/>
                <w:b w:val="0"/>
                <w:sz w:val="19"/>
              </w:rPr>
              <w:t>A7 Latenzziel</w:t>
            </w:r>
          </w:p>
        </w:tc>
        <w:tc>
          <w:tcPr>
            <w:tcW w:type="dxa" w:w="2665"/>
            <w:vAlign w:val="center"/>
          </w:tcPr>
          <w:p>
            <w:pPr>
              <w:keepNext/>
              <w:keepLines/>
              <w:spacing w:line="240" w:lineRule="auto" w:before="40" w:after="40"/>
              <w:jc w:val="left"/>
            </w:pPr>
            <w:r>
              <w:rPr>
                <w:rFonts w:ascii="Calibri" w:hAnsi="Calibri"/>
                <w:b w:val="0"/>
                <w:sz w:val="19"/>
              </w:rPr>
              <w:t>Historisch geprüft; neuer Teilnachweis</w:t>
            </w:r>
          </w:p>
        </w:tc>
        <w:tc>
          <w:tcPr>
            <w:tcW w:type="dxa" w:w="4422"/>
            <w:vAlign w:val="center"/>
          </w:tcPr>
          <w:p>
            <w:pPr>
              <w:keepNext/>
              <w:keepLines/>
              <w:spacing w:line="240" w:lineRule="auto" w:before="40" w:after="40"/>
              <w:jc w:val="left"/>
            </w:pPr>
            <w:r>
              <w:rPr>
                <w:rFonts w:ascii="Calibri" w:hAnsi="Calibri"/>
                <w:b w:val="0"/>
                <w:sz w:val="19"/>
              </w:rPr>
              <w:t>Aktuelle Zeitverteilungen deutlich unter Fensterbudget; keine identische Wiederholung der früheren Fristmatrix</w:t>
            </w:r>
          </w:p>
        </w:tc>
      </w:tr>
      <w:tr>
        <w:trPr>
          <w:cantSplit/>
        </w:trPr>
        <w:tc>
          <w:tcPr>
            <w:tcW w:type="dxa" w:w="1984"/>
            <w:vAlign w:val="center"/>
          </w:tcPr>
          <w:p>
            <w:pPr>
              <w:keepNext/>
              <w:keepLines/>
              <w:spacing w:line="240" w:lineRule="auto" w:before="40" w:after="40"/>
              <w:jc w:val="left"/>
            </w:pPr>
            <w:r>
              <w:rPr>
                <w:rFonts w:ascii="Calibri" w:hAnsi="Calibri"/>
                <w:b w:val="0"/>
                <w:sz w:val="19"/>
              </w:rPr>
              <w:t>A8 Speicher und Rückstand</w:t>
            </w:r>
          </w:p>
        </w:tc>
        <w:tc>
          <w:tcPr>
            <w:tcW w:type="dxa" w:w="2665"/>
            <w:vAlign w:val="center"/>
          </w:tcPr>
          <w:p>
            <w:pPr>
              <w:keepNext/>
              <w:keepLines/>
              <w:spacing w:line="240" w:lineRule="auto" w:before="40" w:after="40"/>
              <w:jc w:val="left"/>
            </w:pPr>
            <w:r>
              <w:rPr>
                <w:rFonts w:ascii="Calibri" w:hAnsi="Calibri"/>
                <w:b w:val="0"/>
                <w:sz w:val="19"/>
              </w:rPr>
              <w:t>Teilnachweis</w:t>
            </w:r>
          </w:p>
        </w:tc>
        <w:tc>
          <w:tcPr>
            <w:tcW w:type="dxa" w:w="4422"/>
            <w:vAlign w:val="center"/>
          </w:tcPr>
          <w:p>
            <w:pPr>
              <w:keepNext/>
              <w:keepLines/>
              <w:spacing w:line="240" w:lineRule="auto" w:before="40" w:after="40"/>
              <w:jc w:val="left"/>
            </w:pPr>
            <w:r>
              <w:rPr>
                <w:rFonts w:ascii="Calibri" w:hAnsi="Calibri"/>
                <w:b w:val="0"/>
                <w:sz w:val="19"/>
              </w:rPr>
              <w:t>Kurze Läufe ohne protokollierten Abbruch/Rückstand; kein Dauerbetriebs- oder vollständig kontrollierter Lastnachweis</w:t>
            </w:r>
          </w:p>
        </w:tc>
      </w:tr>
      <w:tr>
        <w:trPr>
          <w:cantSplit/>
        </w:trPr>
        <w:tc>
          <w:tcPr>
            <w:tcW w:type="dxa" w:w="1984"/>
            <w:vAlign w:val="center"/>
          </w:tcPr>
          <w:p>
            <w:pPr>
              <w:keepNext/>
              <w:keepLines/>
              <w:spacing w:line="240" w:lineRule="auto" w:before="40" w:after="40"/>
              <w:jc w:val="left"/>
            </w:pPr>
            <w:r>
              <w:rPr>
                <w:rFonts w:ascii="Calibri" w:hAnsi="Calibri"/>
                <w:b w:val="0"/>
                <w:sz w:val="19"/>
              </w:rPr>
              <w:t>A9 Erkennungsqualität</w:t>
            </w:r>
          </w:p>
        </w:tc>
        <w:tc>
          <w:tcPr>
            <w:tcW w:type="dxa" w:w="2665"/>
            <w:vAlign w:val="center"/>
          </w:tcPr>
          <w:p>
            <w:pPr>
              <w:keepNext/>
              <w:keepLines/>
              <w:spacing w:line="240" w:lineRule="auto" w:before="40" w:after="40"/>
              <w:jc w:val="left"/>
            </w:pPr>
            <w:r>
              <w:rPr>
                <w:rFonts w:ascii="Calibri" w:hAnsi="Calibri"/>
                <w:b w:val="0"/>
                <w:sz w:val="19"/>
              </w:rPr>
              <w:t>In der Handyreihe offen</w:t>
            </w:r>
          </w:p>
        </w:tc>
        <w:tc>
          <w:tcPr>
            <w:tcW w:type="dxa" w:w="4422"/>
            <w:vAlign w:val="center"/>
          </w:tcPr>
          <w:p>
            <w:pPr>
              <w:keepNext/>
              <w:keepLines/>
              <w:spacing w:line="240" w:lineRule="auto" w:before="40" w:after="40"/>
              <w:jc w:val="left"/>
            </w:pPr>
            <w:r>
              <w:rPr>
                <w:rFonts w:ascii="Calibri" w:hAnsi="Calibri"/>
                <w:b w:val="0"/>
                <w:sz w:val="19"/>
              </w:rPr>
              <w:t>Keine belastbare Konfusionsmatrix ohne physische Referenz; historische Zustandskennzahlen bleiben separat</w:t>
            </w:r>
          </w:p>
        </w:tc>
      </w:tr>
      <w:tr>
        <w:trPr>
          <w:cantSplit/>
        </w:trPr>
        <w:tc>
          <w:tcPr>
            <w:tcW w:type="dxa" w:w="1984"/>
            <w:vAlign w:val="center"/>
          </w:tcPr>
          <w:p>
            <w:pPr>
              <w:keepNext/>
              <w:keepLines/>
              <w:spacing w:line="240" w:lineRule="auto" w:before="40" w:after="40"/>
              <w:jc w:val="left"/>
            </w:pPr>
            <w:r>
              <w:rPr>
                <w:rFonts w:ascii="Calibri" w:hAnsi="Calibri"/>
                <w:b w:val="0"/>
                <w:sz w:val="19"/>
              </w:rPr>
              <w:t>A10 Andere Normalbedingungen</w:t>
            </w:r>
          </w:p>
        </w:tc>
        <w:tc>
          <w:tcPr>
            <w:tcW w:type="dxa" w:w="2665"/>
            <w:vAlign w:val="center"/>
          </w:tcPr>
          <w:p>
            <w:pPr>
              <w:keepNext/>
              <w:keepLines/>
              <w:spacing w:line="240" w:lineRule="auto" w:before="40" w:after="40"/>
              <w:jc w:val="left"/>
            </w:pPr>
            <w:r>
              <w:rPr>
                <w:rFonts w:ascii="Calibri" w:hAnsi="Calibri"/>
                <w:b w:val="0"/>
                <w:sz w:val="19"/>
              </w:rPr>
              <w:t>Kein neuer Nachweis</w:t>
            </w:r>
          </w:p>
        </w:tc>
        <w:tc>
          <w:tcPr>
            <w:tcW w:type="dxa" w:w="4422"/>
            <w:vAlign w:val="center"/>
          </w:tcPr>
          <w:p>
            <w:pPr>
              <w:keepNext/>
              <w:keepLines/>
              <w:spacing w:line="240" w:lineRule="auto" w:before="40" w:after="40"/>
              <w:jc w:val="left"/>
            </w:pPr>
            <w:r>
              <w:rPr>
                <w:rFonts w:ascii="Calibri" w:hAnsi="Calibri"/>
                <w:b w:val="0"/>
                <w:sz w:val="19"/>
              </w:rPr>
              <w:t>Aktuell nur 75 % PWM; frühere 50-%-Tests unter B6</w:t>
            </w:r>
          </w:p>
        </w:tc>
      </w:tr>
      <w:tr>
        <w:trPr>
          <w:cantSplit/>
        </w:trPr>
        <w:tc>
          <w:tcPr>
            <w:tcW w:type="dxa" w:w="1984"/>
            <w:vAlign w:val="center"/>
          </w:tcPr>
          <w:p>
            <w:pPr>
              <w:keepNext/>
              <w:keepLines/>
              <w:spacing w:line="240" w:lineRule="auto" w:before="40" w:after="40"/>
              <w:jc w:val="left"/>
            </w:pPr>
            <w:r>
              <w:rPr>
                <w:rFonts w:ascii="Calibri" w:hAnsi="Calibri"/>
                <w:b w:val="0"/>
                <w:sz w:val="19"/>
              </w:rPr>
              <w:t>A11 Reproduzierbarkeit</w:t>
            </w:r>
          </w:p>
        </w:tc>
        <w:tc>
          <w:tcPr>
            <w:tcW w:type="dxa" w:w="2665"/>
            <w:vAlign w:val="center"/>
          </w:tcPr>
          <w:p>
            <w:pPr>
              <w:keepNext/>
              <w:keepLines/>
              <w:spacing w:line="240" w:lineRule="auto" w:before="40" w:after="40"/>
              <w:jc w:val="left"/>
            </w:pPr>
            <w:r>
              <w:rPr>
                <w:rFonts w:ascii="Calibri" w:hAnsi="Calibri"/>
                <w:b w:val="0"/>
                <w:sz w:val="19"/>
              </w:rPr>
              <w:t>Teilnachweis</w:t>
            </w:r>
          </w:p>
        </w:tc>
        <w:tc>
          <w:tcPr>
            <w:tcW w:type="dxa" w:w="4422"/>
            <w:vAlign w:val="center"/>
          </w:tcPr>
          <w:p>
            <w:pPr>
              <w:keepNext/>
              <w:keepLines/>
              <w:spacing w:line="240" w:lineRule="auto" w:before="40" w:after="40"/>
              <w:jc w:val="left"/>
            </w:pPr>
            <w:r>
              <w:rPr>
                <w:rFonts w:ascii="Calibri" w:hAnsi="Calibri"/>
                <w:b w:val="0"/>
                <w:sz w:val="19"/>
              </w:rPr>
              <w:t>Protokoll und Daten erhalten; Handygeometrie und Wiederholungsgleichheit nicht vollständig bestätigt</w:t>
            </w:r>
          </w:p>
        </w:tc>
      </w:tr>
      <w:tr>
        <w:trPr>
          <w:cantSplit/>
        </w:trPr>
        <w:tc>
          <w:tcPr>
            <w:tcW w:type="dxa" w:w="1984"/>
            <w:vAlign w:val="center"/>
          </w:tcPr>
          <w:p>
            <w:pPr>
              <w:keepNext/>
              <w:keepLines/>
              <w:spacing w:line="240" w:lineRule="auto" w:before="40" w:after="40"/>
              <w:jc w:val="left"/>
            </w:pPr>
            <w:r>
              <w:rPr>
                <w:rFonts w:ascii="Calibri" w:hAnsi="Calibri"/>
                <w:b w:val="0"/>
                <w:sz w:val="19"/>
              </w:rPr>
              <w:t>A12 Live-GUI</w:t>
            </w:r>
          </w:p>
        </w:tc>
        <w:tc>
          <w:tcPr>
            <w:tcW w:type="dxa" w:w="2665"/>
            <w:vAlign w:val="center"/>
          </w:tcPr>
          <w:p>
            <w:pPr>
              <w:keepNext/>
              <w:keepLines/>
              <w:spacing w:line="240" w:lineRule="auto" w:before="40" w:after="40"/>
              <w:jc w:val="left"/>
            </w:pPr>
            <w:r>
              <w:rPr>
                <w:rFonts w:ascii="Calibri" w:hAnsi="Calibri"/>
                <w:b w:val="0"/>
                <w:sz w:val="19"/>
              </w:rPr>
              <w:t>Nicht Gegenstand dieser Messung</w:t>
            </w:r>
          </w:p>
        </w:tc>
        <w:tc>
          <w:tcPr>
            <w:tcW w:type="dxa" w:w="4422"/>
            <w:vAlign w:val="center"/>
          </w:tcPr>
          <w:p>
            <w:pPr>
              <w:keepNext/>
              <w:keepLines/>
              <w:spacing w:line="240" w:lineRule="auto" w:before="40" w:after="40"/>
              <w:jc w:val="left"/>
            </w:pPr>
            <w:r>
              <w:rPr>
                <w:rFonts w:ascii="Calibri" w:hAnsi="Calibri"/>
                <w:b w:val="0"/>
                <w:sz w:val="19"/>
              </w:rPr>
              <w:t>GUI vorhanden, Aufnahme ohne GUI; Zusatzaufwand nicht bestimmt</w:t>
            </w:r>
          </w:p>
        </w:tc>
      </w:tr>
      <w:tr>
        <w:trPr>
          <w:cantSplit/>
        </w:trPr>
        <w:tc>
          <w:tcPr>
            <w:tcW w:type="dxa" w:w="1984"/>
            <w:vAlign w:val="center"/>
          </w:tcPr>
          <w:p>
            <w:pPr>
              <w:keepNext w:val="0"/>
              <w:keepLines/>
              <w:spacing w:line="240" w:lineRule="auto" w:before="40" w:after="40"/>
              <w:jc w:val="left"/>
            </w:pPr>
            <w:r>
              <w:rPr>
                <w:rFonts w:ascii="Calibri" w:hAnsi="Calibri"/>
                <w:b w:val="0"/>
                <w:sz w:val="19"/>
              </w:rPr>
              <w:t>A13 Geordnetes Starten/Stoppen</w:t>
            </w:r>
          </w:p>
        </w:tc>
        <w:tc>
          <w:tcPr>
            <w:tcW w:type="dxa" w:w="2665"/>
            <w:vAlign w:val="center"/>
          </w:tcPr>
          <w:p>
            <w:pPr>
              <w:keepNext w:val="0"/>
              <w:keepLines/>
              <w:spacing w:line="240" w:lineRule="auto" w:before="40" w:after="40"/>
              <w:jc w:val="left"/>
            </w:pPr>
            <w:r>
              <w:rPr>
                <w:rFonts w:ascii="Calibri" w:hAnsi="Calibri"/>
                <w:b w:val="0"/>
                <w:sz w:val="19"/>
              </w:rPr>
              <w:t>Im dokumentierten Umfang erfüllt</w:t>
            </w:r>
          </w:p>
        </w:tc>
        <w:tc>
          <w:tcPr>
            <w:tcW w:type="dxa" w:w="4422"/>
            <w:vAlign w:val="center"/>
          </w:tcPr>
          <w:p>
            <w:pPr>
              <w:keepNext w:val="0"/>
              <w:keepLines/>
              <w:spacing w:line="240" w:lineRule="auto" w:before="40" w:after="40"/>
              <w:jc w:val="left"/>
            </w:pPr>
            <w:r>
              <w:rPr>
                <w:rFonts w:ascii="Calibri" w:hAnsi="Calibri"/>
                <w:b w:val="0"/>
                <w:sz w:val="19"/>
              </w:rPr>
              <w:t>Abgeschlossene Journale, gespeicherte Reste und keine verbliebenen vollständigen Fenster</w:t>
            </w:r>
          </w:p>
        </w:tc>
      </w:tr>
    </w:tbl>
    <w:p>
      <w:bookmarkStart w:id="10042" w:name="phone_heading_10042"/>
      <w:pPr>
        <w:pStyle w:val="Heading1"/>
        <w:numPr>
          <w:ilvl w:val="0"/>
          <w:numId w:val="2"/>
        </w:numPr>
        <w:jc w:val="left"/>
      </w:pPr>
      <w:r>
        <w:t>Diskussion</w:t>
      </w:r>
      <w:bookmarkEnd w:id="10042"/>
    </w:p>
    <w:p>
      <w:bookmarkStart w:id="10043" w:name="phone_heading_10043"/>
      <w:pPr>
        <w:pStyle w:val="Heading2"/>
        <w:numPr>
          <w:ilvl w:val="1"/>
          <w:numId w:val="2"/>
        </w:numPr>
        <w:jc w:val="left"/>
      </w:pPr>
      <w:r>
        <w:t>Beobachteter Vorteil des Autoencoders</w:t>
      </w:r>
      <w:bookmarkEnd w:id="10043"/>
    </w:p>
    <w:p>
      <w:r>
        <w:t>Für die konkrete Frage „Welche Methode gibt beim gemeinsamen Ereignis zuerst einen Alarm aus?“ lautet das Ergebnis dieses Laufs: Autoencoder vor Isolation Forest vor RMS. Der Autoencoder verbindet hier eine frühe Schwellenüberschreitung mit geringerem Verarbeitungsaufwand als der Isolation Forest. Gegenüber RMS liegt der entscheidende Unterschied auf der Erkennungsseite: RMS ist rechnerisch schneller, überschreitet aber erst beim nächsten Fenster seine Grenze. Der beobachtete Autoencoder-Vorteil ist dadurch sowohl im Zeitjournal als auch im Scoreverlauf nachvollziehbar.</w:t>
      </w:r>
    </w:p>
    <w:p>
      <w:r>
        <w:t>Auf Fensterebene sind AE und IF im gemeinsamen Lauf gleichauf. Ein alleiniger „Erkennungssieg“ des AE gegenüber IF wäre daher ungenau, wenn damit ein früheres betroffenes Sensorfenster gemeint wäre. Der Vorsprung von 19,061 ms betrifft die verfügbare Ausgabe. Im zusätzlichen Offline-Vergleich ist AE auf einer von drei Rohaufnahmen ein Fenster früher als beide Baselines und auf den anderen beiden gleichauf. Das stützt seine Eignung für weitere Untersuchungen, reicht aber nicht für einen universellen Leistungsnachweis.</w:t>
      </w:r>
    </w:p>
    <w:p>
      <w:bookmarkStart w:id="10044" w:name="phone_heading_10044"/>
      <w:pPr>
        <w:pStyle w:val="Heading2"/>
        <w:numPr>
          <w:ilvl w:val="1"/>
          <w:numId w:val="2"/>
        </w:numPr>
        <w:jc w:val="left"/>
      </w:pPr>
      <w:r>
        <w:t>Schwellen, Alarmhäufigkeit und faire Bewertung</w:t>
      </w:r>
      <w:bookmarkEnd w:id="10044"/>
    </w:p>
    <w:p>
      <w:r>
        <w:t>Eine niedriger aussehende MSE-Schwelle ist nicht automatisch falsch: Ihr Zahlenwert gehört zur standardisierten Eingabe und zur Rekonstruktionsfehlerverteilung des trainierten Modells. Ein hoher MSE im Betrieb bedeutet zunächst eine Abweichung von dieser Referenz. Mögliche Ursachen sind die beabsichtigte Anregung, veränderte Montage, Orientierung oder Normalbedingungen. Ein Schwellenwert darf nicht nur deshalb erhöht werden, weil ein aktueller Versuch viele Alarme liefert. Umgekehrt ist ein niedriger Schwellenwert kein unabhängiger Beleg hoher Qualität.</w:t>
      </w:r>
    </w:p>
    <w:p>
      <w:r>
        <w:t>Die Normierung Score/Schwelle macht den Grenzübertritt sichtbar, gleicht aber die Verteilungen der drei Methoden nicht an. Ein Verhältnis von 3 beim Autoencoder ist nicht dreimal so viel physische Störung wie ein Verhältnis von 1 beim Isolation Forest. Die gemeinsame P99-Regel ist ein nachvollziehbarer Kalibrierungsansatz, garantiert aber bei kleinen und zeitlich abhängigen Normaldaten keine identische Sensitivität oder Spezifität im Test.</w:t>
      </w:r>
    </w:p>
    <w:p>
      <w:r>
        <w:t>Mehr Alarmfenster können längere Empfindlichkeit, Nachschwingen oder Fehlalarme bedeuten. Ohne unabhängige Ereignisreferenz lässt sich dies nicht vollständig trennen. Ebenso ist „kein Alarm außerhalb der Bedienmarker“ ein nützlicher Kontrollbefund, aber kein statistischer Nachweis einer Fehlalarmrate von null. Alarmfenster desselben Anrufs dürfen nicht als unabhängige erfolgreiche Wiederholungen gezählt werden.</w:t>
      </w:r>
    </w:p>
    <w:p>
      <w:bookmarkStart w:id="10045" w:name="phone_heading_10045"/>
      <w:pPr>
        <w:pStyle w:val="Heading2"/>
        <w:numPr>
          <w:ilvl w:val="1"/>
          <w:numId w:val="2"/>
        </w:numPr>
        <w:jc w:val="left"/>
      </w:pPr>
      <w:r>
        <w:t>Vergleichbarkeit und interne Gültigkeit</w:t>
      </w:r>
      <w:bookmarkEnd w:id="10045"/>
    </w:p>
    <w:p>
      <w:r>
        <w:t>Der gemeinsame Live-Lauf ist für die Rangfolge im konkreten Ereignis am aussagekräftigsten, weil alle Methoden dieselben Rohfenster erhalten. Er beantwortet jedoch nicht den isolierten Ressourcenbedarf jedes Verfahrens. Die Einzelprozesse helfen bei dieser zweiten Frage, sind aber aufgrund unterschiedlicher Eingaben, Laufdauern und fehlender Wiederholungsmatrix nur deskriptiv vergleichbar. Replay trennt die Wirkung der Eingabedaten von unterschiedlichen Anrufen, ersetzt aber keine physikalische Wiederholung.</w:t>
      </w:r>
    </w:p>
    <w:p>
      <w:r>
        <w:t>Weitere Unsicherheit entsteht durch die Kopplung Handy–Tisch–Aufbau–Sensor. Position, Unterlage und Vibrationsmuster wurden nicht unabhängig quantifiziert. Das aktuelle Normalprofil ist setupbezogen; eine Änderung des mechanischen Wegs kann bereits die Normalverteilung verschieben. Die fehlende vollständige Bestätigung der finalen Handygeometrie und der Entwicklungsstatus der Messkette werden deshalb nicht durch einen positiven Einzelbefund aufgehoben.</w:t>
      </w:r>
    </w:p>
    <w:p>
      <w:r>
        <w:t>Die nominelle Sensorrate, die Host-Zeitstempel und der physikalische Beginn sind verschiedene Größen. Die zeitliche Lage einer Störung innerhalb des etwa 0,62-s-Fensters beeinflusst, wann ein genügend auffälliges Fenster vollständig vorliegt. Eine sehr kurze Modellberechnung allein garantiert deshalb keine entsprechend kurze Ende-zu-Ende-Erkennung. Gleichzeitige Worker-Starts beseitigen außerdem weder Betriebssystem-Scheduling noch Konkurrenz in Python und nativen Bibliotheken.</w:t>
      </w:r>
    </w:p>
    <w:p>
      <w:bookmarkStart w:id="10046" w:name="phone_heading_10046"/>
      <w:pPr>
        <w:pStyle w:val="Heading2"/>
        <w:numPr>
          <w:ilvl w:val="1"/>
          <w:numId w:val="2"/>
        </w:numPr>
        <w:jc w:val="left"/>
      </w:pPr>
      <w:r>
        <w:t>Raspberry-Pi-Bedarf und Grenzen der Übertragung</w:t>
      </w:r>
      <w:bookmarkEnd w:id="10046"/>
    </w:p>
    <w:p>
      <w:r>
        <w:t>Im beobachteten Einzelbetrieb benötigt RMS den geringsten Speicher und Rechenaufwand. Isolation Forest besitzt hier den größten Prozess-RSS und die längste Verarbeitung. Der Autoencoder ist deutlich sparsamer im beobachteten Prozessspeicher als IF und gibt im gemeinsamen Ereignis früher Alarm aus. Diese Kombination ist für die untersuchte Aufgabe günstig. Gegenüber RMS ist dagegen kein pauschaler Ressourcen- oder Energiegewinn nachgewiesen.</w:t>
      </w:r>
    </w:p>
    <w:p>
      <w:r>
        <w:t>Die gemeinsame Ausführung bleibt in der kurzen Messung innerhalb des verfügbaren Fensterbudgets. Daraus folgt weder eine garantierte Reaktion unter jeder Systemlast noch ein Nachweis unbegrenzten Dauerbetriebs. Die Hardwaredaten selbst bleiben gleich; Last, Speicher und Temperaturen sind jedoch Betriebswerte und müssen für jeden Messmodus gesondert ausgewiesen werden. Die alten Messwerte werden deshalb nicht als unveränderliche Eigenschaften des Raspberry Pi dargestellt.</w:t>
      </w:r>
    </w:p>
    <w:p>
      <w:bookmarkStart w:id="10047" w:name="phone_heading_10047"/>
      <w:pPr>
        <w:pStyle w:val="Heading1"/>
        <w:numPr>
          <w:ilvl w:val="0"/>
          <w:numId w:val="2"/>
        </w:numPr>
        <w:jc w:val="left"/>
      </w:pPr>
      <w:r>
        <w:t>Ausblick</w:t>
      </w:r>
      <w:bookmarkEnd w:id="10047"/>
    </w:p>
    <w:p>
      <w:r>
        <w:t>Für eine belastbare Fortsetzung ist zuerst die physische Referenz zu verbessern. Vibrationsbeginn und -ende sollten mit einer unabhängigen, zeitlich zugeordneten Referenz erfasst werden. Handyposition, Auflage und Anregungsmuster sind fest zu dokumentieren. Ein automatisiertes reproduzierbares Vibrationssignal wäre für Wiederholungen geeigneter als nur die manuelle Bestätigung eines Anrufs. Es bleibt dabei zu prüfen, welche reale Fehlerklasse durch eine äußere Tischanregung tatsächlich repräsentiert wird.</w:t>
      </w:r>
    </w:p>
    <w:p>
      <w:r>
        <w:t>Danach sind mehrere unabhängige Ereignisse und längere Normalaufnahmen mit unverändert eingefrorenen Modellen nötig. Die Auswertung sollte vorab festlegen, wie ein Ereignis als erkannt gilt, wie Nachschwingen behandelt wird und welche Zeitabweichung akzeptiert wird. Eine Train-/Validierungs-/Testtrennung nach vollständigen Aufnahmen bleibt notwendig. Erst mit solchen Daten sind Erkennungsquote, Fehlalarmrate und Erkennungsverzögerung mit sinnvoller Unsicherheit vergleichbar.</w:t>
      </w:r>
    </w:p>
    <w:p>
      <w:r>
        <w:t>Für den Raspberry-Pi-Vergleich sollten alle Methoden wiederholt auf denselben gespeicherten Daten in getrennten Prozessen laufen, ergänzt um gemeinsame Live-Versuche. Reihenfolge, Warmup, Messdauer, CPU-Konfiguration und Hintergrundlast sind festzulegen beziehungsweise zu rotieren. GUI-Last und Modellstart sind bei Bedarf getrennt zu messen. Elektrische Leistung erfordert eine zusätzliche Spannungs-/Strommessung mit klarer Systemgrenze; erst dann sind Energie pro Fenster oder Energie pro erkanntem Ereignis sinnvoll bestimmbar.</w:t>
      </w:r>
    </w:p>
    <w:p>
      <w:r>
        <w:t>Der Autoencoder ist aufgrund der hier beobachteten frühen Ausgabe ein begründeter Kandidat für diese Weiterführung. Eine Auswahl für einen produktiven Einsatz muss jedoch gemeinsam Erkennungsqualität, Fehlalarme, Zeitverhalten, Rechenbedarf und Messkettenqualität berücksichtigen. Die nächsten Versuche sollen die vorliegende Interpretation prüfen und nicht nur einen bevorzugten Sieger bestätigen.</w:t>
      </w:r>
    </w:p>
    <w:p>
      <w:bookmarkStart w:id="10048" w:name="phone_heading_10048"/>
      <w:pPr>
        <w:pStyle w:val="Heading1"/>
        <w:numPr>
          <w:ilvl w:val="0"/>
          <w:numId w:val="2"/>
        </w:numPr>
        <w:jc w:val="left"/>
      </w:pPr>
      <w:r>
        <w:t>Fazit</w:t>
      </w:r>
      <w:bookmarkEnd w:id="10048"/>
    </w:p>
    <w:p>
      <w:r>
        <w:t>Die aktualisierte Arbeit zeigt einen nachvollziehbaren Vergleich von RMS, Isolation Forest und TFLite-Autoencoder bei einer über den Tisch eingeleiteten Handyvibration. Raspberry Pi 5, ADXL345 und Lüfterhardware bleiben unverändert; der aktuelle Betriebspunkt ist 75 % PWM. Die neue Anregung benötigt keine Platte. Normalprofil, Vorverarbeitung und Versuchsdaten sind vom früheren v4-Stand getrennt dokumentiert.</w:t>
      </w:r>
    </w:p>
    <w:p>
      <w:r>
        <w:t>Im gemeinsamen Live-Lauf liegen für alle drei Verfahren dieselben 197 Rohfenster vor. Der Autoencoder liefert den ersten Alarm. Isolation Forest markiert dasselbe Fenster 108, gibt seine Entscheidung aber 19,061 ms später aus. RMS markiert erst Fenster 109 und folgt 615,659 ms nach der ersten AE-Ausgabe. Der Autoencoder erzielt damit für das konkret gemessene Kriterium der frühesten Alarmausgabe das beste Ergebnis dieses Laufs. Der Replay-Vergleich ergänzt einen früheren AE-Fensterbeginn auf einer von drei Aufnahmen bei zwei Gleichständen.</w:t>
      </w:r>
    </w:p>
    <w:p>
      <w:r>
        <w:t>Der Ressourcenvergleich zeigt einen anderen Schwerpunkt: RMS wird am schnellsten berechnet und benötigt den kleinsten beobachteten Prozessspeicher. Isolation Forest ist hier aufwendiger als der Autoencoder. Der gemeinsame Prozess erreicht einen CPU-Median von 13,04 % eines logischen Kerns und maximal 174,42 MiB abgetasteten RSS, ohne protokollierte Fensterverluste. Das belegt die lokale Ausführbarkeit im beobachteten Umfang, nicht den elektrischen Energieverbrauch oder einen unbegrenzten Dauerbetrieb.</w:t>
      </w:r>
    </w:p>
    <w:p>
      <w:r>
        <w:t>Die ursprüngliche Hypothese eines höheren Autoencoder-F1 wird durch den neuen Zeitbefund nicht bestätigt: Für die Handyreihe fehlen unabhängig gemessene physische Ereignisgrenzen, für die frühere Zustandsfolge bleiben die negativen Ergebnisse bestehen. Der Bericht schließt daher mit einem konkret belegten Autoencoder-Vorteil bei der beobachteten Alarmausgabe, einer transparenten Ressourcenabwägung und offenen Nachweisen für allgemeine Zuverlässigkeit, Wiederholbarkeit und absolute Fehler-Erkennungszeit.</w:t>
      </w:r>
    </w:p>
    <w:p>
      <w:bookmarkStart w:id="10049" w:name="phone_heading_10049"/>
      <w:pPr>
        <w:pStyle w:val="Heading1"/>
        <w:numPr>
          <w:ilvl w:val="0"/>
          <w:numId w:val="0"/>
        </w:numPr>
        <w:jc w:val="left"/>
      </w:pPr>
      <w:r>
        <w:t>Anhang</w:t>
      </w:r>
      <w:bookmarkEnd w:id="10049"/>
    </w:p>
    <w:p>
      <w:bookmarkStart w:id="10050" w:name="phone_heading_10050"/>
      <w:pPr>
        <w:pStyle w:val="Heading2"/>
        <w:numPr>
          <w:ilvl w:val="1"/>
          <w:numId w:val="0"/>
        </w:numPr>
        <w:jc w:val="left"/>
      </w:pPr>
      <w:r>
        <w:t>Digitale Belege und Fassungszuordnung</w:t>
      </w:r>
      <w:bookmarkEnd w:id="10050"/>
    </w:p>
    <w:p>
      <w:r>
        <w:t>Die folgenden Pfade sind relativ zum Projektstamm masterarbeit-edge-ai zu lesen. B1 bis B11 dokumentieren frühere Entwicklungs-, Prüf- und Berichtsstände. B12 ist die Quelle der Handyreihe; B13 dokumentiert diese Word-Revision. Historische Werte bleiben ihren ursprünglichen Eingaben, Zeitabschnitten und Modellständen zugeordnet.</w:t>
      </w:r>
    </w:p>
    <w:p>
      <w:bookmarkStart w:id="10051" w:name="phone_table_10051"/>
      <w:pPr>
        <w:pStyle w:val="Tabellenbeschriftung"/>
      </w:pPr>
      <w:r>
        <w:t>Tabelle A-1: Nachweisverzeichnis</w:t>
      </w:r>
      <w:bookmarkEnd w:id="10051"/>
    </w:p>
    <w:tbl>
      <w:tblPr>
        <w:tblStyle w:val="Tabellenraster"/>
        <w:jc w:val="center"/>
        <w:tblInd w:w="0" w:type="dxa"/>
        <w:tblLayout w:type="fixed"/>
        <w:tblCellMar>
          <w:top w:w="0" w:type="dxa"/>
          <w:start w:w="108" w:type="dxa"/>
          <w:bottom w:w="0" w:type="dxa"/>
          <w:end w:w="108" w:type="dxa"/>
        </w:tblCellMar>
        <w:tblLook w:val="04a0" w:noHBand="0" w:noVBand="1" w:firstColumn="1" w:lastRow="0" w:lastColumn="0" w:firstRow="1"/>
        <w:tblW w:w="9071" w:type="dxa"/>
      </w:tblPr>
      <w:tblGrid>
        <w:gridCol w:w="794"/>
        <w:gridCol w:w="2835"/>
        <w:gridCol w:w="5443"/>
      </w:tblGrid>
      <w:tr>
        <w:trPr>
          <w:tblHeader w:val="true"/>
          <w:cantSplit w:val="true"/>
        </w:trPr>
        <w:tc>
          <w:tcPr>
            <w:tcW w:w="794" w:type="dxa"/>
            <w:tcBorders/>
            <w:shd w:fill="E7EDF2" w:val="clear"/>
            <w:vAlign w:val="center"/>
            <w:shd w:fill="E7EDF2" w:val="clear"/>
          </w:tcPr>
          <w:p>
            <w:pPr>
              <w:pStyle w:val="Normal"/>
              <w:keepNext/>
              <w:keepLines/>
              <w:spacing w:lineRule="auto" w:line="240" w:before="40" w:after="40"/>
              <w:jc w:val="left"/>
              <w:rPr>
                <w:sz w:val="22"/>
              </w:rPr>
            </w:pPr>
            <w:r>
              <w:rPr>
                <w:rFonts w:ascii="Calibri" w:hAnsi="Calibri"/>
                <w:b/>
                <w:sz w:val="19"/>
              </w:rPr>
              <w:t>ID</w:t>
            </w:r>
          </w:p>
        </w:tc>
        <w:tc>
          <w:tcPr>
            <w:tcW w:w="2835" w:type="dxa"/>
            <w:tcBorders/>
            <w:shd w:fill="E7EDF2" w:val="clear"/>
            <w:vAlign w:val="cente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Inhalt</w:t>
            </w:r>
          </w:p>
        </w:tc>
        <w:tc>
          <w:tcPr>
            <w:tcW w:w="5443" w:type="dxa"/>
            <w:tcBorders/>
            <w:shd w:fill="E7EDF2" w:val="clear"/>
            <w:vAlign w:val="cente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Projektpfad</w:t>
            </w:r>
          </w:p>
        </w:tc>
      </w:tr>
      <w:tr>
        <w:trPr>
          <w:cantSplit w:val="true"/>
        </w:trPr>
        <w:tc>
          <w:tcPr>
            <w:tcW w:w="794"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B1</w:t>
            </w:r>
          </w:p>
        </w:tc>
        <w:tc>
          <w:tcPr>
            <w:tcW w:w="2835"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Eingefrorenes Modellpaket und Trainingsnachweis</w:t>
            </w:r>
          </w:p>
        </w:tc>
        <w:tc>
          <w:tcPr>
            <w:tcW w:w="5443"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results/​upright_​v4_​training_​pilot_​20260911_​130614/​run_​001/​</w:t>
            </w:r>
          </w:p>
        </w:tc>
      </w:tr>
      <w:tr>
        <w:trPr>
          <w:cantSplit w:val="true"/>
        </w:trPr>
        <w:tc>
          <w:tcPr>
            <w:tcW w:w="794"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B2</w:t>
            </w:r>
          </w:p>
        </w:tc>
        <w:tc>
          <w:tcPr>
            <w:tcW w:w="2835"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Drei unabhängige normale 75-%-Tests</w:t>
            </w:r>
          </w:p>
        </w:tc>
        <w:tc>
          <w:tcPr>
            <w:tcW w:w="5443"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results/​upright_​v4_​independent_​normal_​20260911_​133047/​</w:t>
            </w:r>
          </w:p>
        </w:tc>
      </w:tr>
      <w:tr>
        <w:trPr>
          <w:cantSplit w:val="true"/>
        </w:trPr>
        <w:tc>
          <w:tcPr>
            <w:tcW w:w="794"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B3</w:t>
            </w:r>
          </w:p>
        </w:tc>
        <w:tc>
          <w:tcPr>
            <w:tcW w:w="2835"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Zusätzlicher Normaltest und dokumentierter abgebrochener Plattenstart</w:t>
            </w:r>
          </w:p>
        </w:tc>
        <w:tc>
          <w:tcPr>
            <w:tcW w:w="5443"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results/​upright_​v4_​frozen_​airflow_​test_​20260911_​164040/​</w:t>
            </w:r>
          </w:p>
        </w:tc>
      </w:tr>
      <w:tr>
        <w:trPr>
          <w:cantSplit w:val="true"/>
        </w:trPr>
        <w:tc>
          <w:tcPr>
            <w:tcW w:w="794"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B4</w:t>
            </w:r>
          </w:p>
        </w:tc>
        <w:tc>
          <w:tcPr>
            <w:tcW w:w="2835"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Vollständiger unabhängiger Test Normal → Platte → Normal</w:t>
            </w:r>
          </w:p>
        </w:tc>
        <w:tc>
          <w:tcPr>
            <w:tcW w:w="5443"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results/​upright_​v4_​frozen_​airflow_​test_​20260912_​073015/​</w:t>
            </w:r>
          </w:p>
        </w:tc>
      </w:tr>
      <w:tr>
        <w:trPr>
          <w:cantSplit w:val="true"/>
        </w:trPr>
        <w:tc>
          <w:tcPr>
            <w:tcW w:w="794"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B5</w:t>
            </w:r>
          </w:p>
        </w:tc>
        <w:tc>
          <w:tcPr>
            <w:tcW w:w="2835"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Explorative Fehleranalyse auf identischen Modellfenstern</w:t>
            </w:r>
          </w:p>
        </w:tc>
        <w:tc>
          <w:tcPr>
            <w:tcW w:w="5443"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results/​upright_​v4_​exploratory_​diagnosis_​20260912_​081728/​</w:t>
            </w:r>
          </w:p>
        </w:tc>
      </w:tr>
      <w:tr>
        <w:trPr>
          <w:cantSplit w:val="true"/>
        </w:trPr>
        <w:tc>
          <w:tcPr>
            <w:tcW w:w="794"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B6</w:t>
            </w:r>
          </w:p>
        </w:tc>
        <w:tc>
          <w:tcPr>
            <w:tcW w:w="2835"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Drei unabhängige normale 50-%-Tests</w:t>
            </w:r>
          </w:p>
        </w:tc>
        <w:tc>
          <w:tcPr>
            <w:tcW w:w="5443"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results/​upright_​v4_​second_​pwm50_​20260912_​091000/​</w:t>
            </w:r>
          </w:p>
        </w:tc>
      </w:tr>
      <w:tr>
        <w:trPr>
          <w:cantSplit w:val="true"/>
        </w:trPr>
        <w:tc>
          <w:tcPr>
            <w:tcW w:w="794"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B7</w:t>
            </w:r>
          </w:p>
        </w:tc>
        <w:tc>
          <w:tcPr>
            <w:tcW w:w="2835"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Abschließende Sensor-/Replay-Laufzeitprüfung und Erhaltungsnachweis</w:t>
            </w:r>
          </w:p>
        </w:tc>
        <w:tc>
          <w:tcPr>
            <w:tcW w:w="5443"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results/​upright_​v4_​finalization_​20260912_​103145/​</w:t>
            </w:r>
          </w:p>
        </w:tc>
      </w:tr>
      <w:tr>
        <w:trPr>
          <w:cantSplit w:val="true"/>
        </w:trPr>
        <w:tc>
          <w:tcPr>
            <w:tcW w:w="794"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B8</w:t>
            </w:r>
          </w:p>
        </w:tc>
        <w:tc>
          <w:tcPr>
            <w:tcW w:w="2835"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Vor dem Training erstellte Spektralprüfung der Entwicklungsaufnahmen</w:t>
            </w:r>
          </w:p>
        </w:tc>
        <w:tc>
          <w:tcPr>
            <w:tcW w:w="5443" w:type="dxa"/>
            <w:tcBorders/>
            <w:vAlign w:val="cente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results/​upright_​v4_​spectral_​review_​20260911_​114502/​</w:t>
            </w:r>
          </w:p>
        </w:tc>
      </w:tr>
      <w:tr>
        <w:trPr>
          <w:cantSplit w:val="true"/>
        </w:trPr>
        <w:tc>
          <w:tcPr>
            <w:tcW w:w="794" w:type="dxa"/>
            <w:tcBorders/>
            <w:vAlign w:val="center"/>
          </w:tcPr>
          <w:p>
            <w:pPr>
              <w:pStyle w:val="Normal"/>
              <w:keepNext/>
              <w:keepLines/>
              <w:spacing w:lineRule="auto" w:line="240" w:before="40" w:after="40"/>
              <w:jc w:val="left"/>
              <w:rPr>
                <w:sz w:val="22"/>
              </w:rPr>
            </w:pPr>
            <w:r>
              <w:rPr>
                <w:rFonts w:ascii="Calibri" w:hAnsi="Calibri"/>
                <w:b w:val="0"/>
                <w:sz w:val="19"/>
              </w:rPr>
              <w:t>B9</w:t>
            </w:r>
          </w:p>
        </w:tc>
        <w:tc>
          <w:tcPr>
            <w:tcW w:w="2835" w:type="dxa"/>
            <w:tcBorders/>
            <w:vAlign w:val="center"/>
          </w:tcPr>
          <w:p>
            <w:pPr>
              <w:pStyle w:val="Normal"/>
              <w:keepNext/>
              <w:keepLines/>
              <w:spacing w:lineRule="auto" w:line="240" w:before="40" w:after="40"/>
              <w:jc w:val="left"/>
              <w:rPr>
                <w:sz w:val="22"/>
              </w:rPr>
            </w:pPr>
            <w:r>
              <w:rPr>
                <w:rFonts w:ascii="Calibri" w:hAnsi="Calibri"/>
                <w:b w:val="0"/>
                <w:sz w:val="19"/>
              </w:rPr>
              <w:t>Fachreview und unveränderte Zählung je Aufnahme vom 12.09.2026</w:t>
            </w:r>
          </w:p>
        </w:tc>
        <w:tc>
          <w:tcPr>
            <w:tcW w:w="5443" w:type="dxa"/>
            <w:tcBorders/>
            <w:vAlign w:val="center"/>
          </w:tcPr>
          <w:p>
            <w:pPr>
              <w:pStyle w:val="Normal"/>
              <w:keepNext/>
              <w:keepLines/>
              <w:spacing w:lineRule="auto" w:line="240" w:before="40" w:after="40"/>
              <w:jc w:val="left"/>
              <w:rPr>
                <w:sz w:val="22"/>
              </w:rPr>
            </w:pPr>
            <w:r>
              <w:rPr>
                <w:rFonts w:ascii="Calibri" w:hAnsi="Calibri"/>
                <w:b w:val="0"/>
                <w:sz w:val="19"/>
              </w:rPr>
              <w:t>results/​upright_​v4_​followup_​closure_​20260912/​</w:t>
            </w:r>
          </w:p>
        </w:tc>
      </w:tr>
      <w:tr>
        <w:trPr>
          <w:cantSplit w:val="true"/>
        </w:trPr>
        <w:tc>
          <w:tcPr>
            <w:tcW w:w="794" w:type="dxa"/>
            <w:tcBorders/>
            <w:vAlign w:val="center"/>
          </w:tcPr>
          <w:p>
            <w:pPr>
              <w:pStyle w:val="Normal"/>
              <w:keepNext/>
              <w:keepLines/>
              <w:spacing w:lineRule="auto" w:line="240" w:before="40" w:after="40"/>
              <w:jc w:val="left"/>
              <w:rPr>
                <w:sz w:val="22"/>
              </w:rPr>
            </w:pPr>
            <w:r>
              <w:rPr>
                <w:rFonts w:ascii="Calibri" w:hAnsi="Calibri"/>
                <w:b w:val="0"/>
                <w:sz w:val="19"/>
              </w:rPr>
              <w:t>B10</w:t>
            </w:r>
          </w:p>
        </w:tc>
        <w:tc>
          <w:tcPr>
            <w:tcW w:w="2835" w:type="dxa"/>
            <w:tcBorders/>
            <w:vAlign w:val="center"/>
          </w:tcPr>
          <w:p>
            <w:pPr>
              <w:pStyle w:val="Normal"/>
              <w:keepNext/>
              <w:keepLines/>
              <w:spacing w:lineRule="auto" w:line="240" w:before="40" w:after="40"/>
              <w:jc w:val="left"/>
              <w:rPr>
                <w:sz w:val="22"/>
              </w:rPr>
            </w:pPr>
            <w:r>
              <w:rPr>
                <w:rFonts w:ascii="Calibri" w:hAnsi="Calibri"/>
                <w:b w:val="0"/>
                <w:sz w:val="19"/>
              </w:rPr>
              <w:t>Abschluss als begrenzte Pilotstudie: Quellen-, Statistik- und Konsistenzprüfung; Änderungs- und Erhaltungsnachweis</w:t>
            </w:r>
          </w:p>
        </w:tc>
        <w:tc>
          <w:tcPr>
            <w:tcW w:w="5443" w:type="dxa"/>
            <w:tcBorders/>
            <w:vAlign w:val="center"/>
          </w:tcPr>
          <w:p>
            <w:pPr>
              <w:pStyle w:val="Normal"/>
              <w:keepNext/>
              <w:keepLines/>
              <w:spacing w:lineRule="auto" w:line="240" w:before="40" w:after="40"/>
              <w:jc w:val="left"/>
              <w:rPr>
                <w:sz w:val="22"/>
              </w:rPr>
            </w:pPr>
            <w:r>
              <w:rPr>
                <w:rFonts w:ascii="Calibri" w:hAnsi="Calibri"/>
                <w:b w:val="0"/>
                <w:sz w:val="19"/>
              </w:rPr>
              <w:t>results/​upright_​v4_​pilot_​manuscript_​20260913_​064035/​</w:t>
            </w:r>
          </w:p>
        </w:tc>
      </w:tr>
      <w:tr>
        <w:trPr>
          <w:cantSplit w:val="true"/>
        </w:trPr>
        <w:tc>
          <w:tcPr>
            <w:tcW w:w="794" w:type="dxa"/>
            <w:tcBorders/>
            <w:vAlign w:val="center"/>
          </w:tcPr>
          <w:p>
            <w:pPr>
              <w:pStyle w:val="Normal"/>
              <w:keepNext/>
              <w:keepLines/>
              <w:spacing w:lineRule="auto" w:line="240" w:before="40" w:after="40"/>
              <w:jc w:val="left"/>
              <w:rPr>
                <w:sz w:val="22"/>
              </w:rPr>
            </w:pPr>
            <w:r>
              <w:rPr>
                <w:rFonts w:ascii="Calibri" w:hAnsi="Calibri"/>
                <w:b w:val="0"/>
                <w:sz w:val="19"/>
              </w:rPr>
              <w:t>B11</w:t>
            </w:r>
          </w:p>
        </w:tc>
        <w:tc>
          <w:tcPr>
            <w:tcW w:w="2835" w:type="dxa"/>
            <w:tcBorders/>
            <w:vAlign w:val="center"/>
          </w:tcPr>
          <w:p>
            <w:pPr>
              <w:pStyle w:val="Normal"/>
              <w:keepNext/>
              <w:keepLines/>
              <w:spacing w:lineRule="auto" w:line="240" w:before="40" w:after="40"/>
              <w:jc w:val="left"/>
              <w:rPr>
                <w:sz w:val="22"/>
              </w:rPr>
            </w:pPr>
            <w:r>
              <w:rPr>
                <w:rFonts w:ascii="Calibri" w:hAnsi="Calibri"/>
                <w:b w:val="0"/>
                <w:sz w:val="19"/>
              </w:rPr>
              <w:t>Gezielte GUI-Dokumentation: Quell-/Profilprüfung, historische Nachweise, hardwarefreie Tests und Word-Änderungsnachweis</w:t>
            </w:r>
          </w:p>
        </w:tc>
        <w:tc>
          <w:tcPr>
            <w:tcW w:w="5443" w:type="dxa"/>
            <w:tcBorders/>
            <w:vAlign w:val="center"/>
          </w:tcPr>
          <w:p>
            <w:pPr>
              <w:pStyle w:val="Normal"/>
              <w:keepNext/>
              <w:keepLines/>
              <w:spacing w:lineRule="auto" w:line="240" w:before="40" w:after="40"/>
              <w:jc w:val="left"/>
              <w:rPr>
                <w:sz w:val="22"/>
              </w:rPr>
            </w:pPr>
            <w:r>
              <w:rPr>
                <w:rFonts w:ascii="Calibri" w:hAnsi="Calibri"/>
                <w:b w:val="0"/>
                <w:sz w:val="19"/>
              </w:rPr>
              <w:t>results/​gui_​documentation_​review_​20260913_​085052/​</w:t>
            </w:r>
          </w:p>
        </w:tc>
      </w:tr>
      <w:tr>
        <w:trPr>
          <w:cantSplit/>
        </w:trPr>
        <w:tc>
          <w:tcPr>
            <w:tcW w:type="dxa" w:w="794"/>
            <w:vAlign w:val="center"/>
          </w:tcPr>
          <w:p>
            <w:pPr>
              <w:keepNext/>
              <w:keepLines/>
              <w:spacing w:line="240" w:lineRule="auto" w:before="40" w:after="40"/>
              <w:jc w:val="left"/>
            </w:pPr>
            <w:r>
              <w:rPr>
                <w:rFonts w:ascii="Calibri" w:hAnsi="Calibri"/>
                <w:b w:val="0"/>
                <w:sz w:val="19"/>
              </w:rPr>
              <w:t>B12</w:t>
            </w:r>
          </w:p>
        </w:tc>
        <w:tc>
          <w:tcPr>
            <w:tcW w:type="dxa" w:w="2835"/>
            <w:vAlign w:val="center"/>
          </w:tcPr>
          <w:p>
            <w:pPr>
              <w:keepNext/>
              <w:keepLines/>
              <w:spacing w:line="240" w:lineRule="auto" w:before="40" w:after="40"/>
              <w:jc w:val="left"/>
            </w:pPr>
            <w:r>
              <w:rPr>
                <w:rFonts w:ascii="Calibri" w:hAnsi="Calibri"/>
                <w:b w:val="0"/>
                <w:sz w:val="19"/>
              </w:rPr>
              <w:t>Handyversuche, eingefrorenes Bündel, Einzel-/Replay-/Live-Vergleich und Präsentation</w:t>
            </w:r>
          </w:p>
        </w:tc>
        <w:tc>
          <w:tcPr>
            <w:tcW w:type="dxa" w:w="5443"/>
            <w:vAlign w:val="center"/>
          </w:tcPr>
          <w:p>
            <w:pPr>
              <w:keepNext/>
              <w:keepLines/>
              <w:spacing w:line="240" w:lineRule="auto" w:before="40" w:after="40"/>
              <w:jc w:val="left"/>
            </w:pPr>
            <w:r>
              <w:rPr>
                <w:rFonts w:ascii="Calibri" w:hAnsi="Calibri"/>
                <w:b w:val="0"/>
                <w:sz w:val="19"/>
              </w:rPr>
              <w:t>results/​phone_​vibration_​pilot_​20260919/​</w:t>
            </w:r>
          </w:p>
        </w:tc>
      </w:tr>
      <w:tr>
        <w:trPr>
          <w:cantSplit/>
        </w:trPr>
        <w:tc>
          <w:tcPr>
            <w:tcW w:type="dxa" w:w="794"/>
            <w:vAlign w:val="center"/>
          </w:tcPr>
          <w:p>
            <w:pPr>
              <w:keepNext w:val="0"/>
              <w:keepLines/>
              <w:spacing w:line="240" w:lineRule="auto" w:before="40" w:after="40"/>
              <w:jc w:val="left"/>
            </w:pPr>
            <w:r>
              <w:rPr>
                <w:rFonts w:ascii="Calibri" w:hAnsi="Calibri"/>
                <w:b w:val="0"/>
                <w:sz w:val="19"/>
              </w:rPr>
              <w:t>B13</w:t>
            </w:r>
          </w:p>
        </w:tc>
        <w:tc>
          <w:tcPr>
            <w:tcW w:type="dxa" w:w="2835"/>
            <w:vAlign w:val="center"/>
          </w:tcPr>
          <w:p>
            <w:pPr>
              <w:keepNext w:val="0"/>
              <w:keepLines/>
              <w:spacing w:line="240" w:lineRule="auto" w:before="40" w:after="40"/>
              <w:jc w:val="left"/>
            </w:pPr>
            <w:r>
              <w:rPr>
                <w:rFonts w:ascii="Calibri" w:hAnsi="Calibri"/>
                <w:b w:val="0"/>
                <w:sz w:val="19"/>
              </w:rPr>
              <w:t>Word-Revision, neue Diagramme, Quellenhashes und Layoutprüfung</w:t>
            </w:r>
          </w:p>
        </w:tc>
        <w:tc>
          <w:tcPr>
            <w:tcW w:type="dxa" w:w="5443"/>
            <w:vAlign w:val="center"/>
          </w:tcPr>
          <w:p>
            <w:pPr>
              <w:keepNext w:val="0"/>
              <w:keepLines/>
              <w:spacing w:line="240" w:lineRule="auto" w:before="40" w:after="40"/>
              <w:jc w:val="left"/>
            </w:pPr>
            <w:r>
              <w:rPr>
                <w:rFonts w:ascii="Calibri" w:hAnsi="Calibri"/>
                <w:b w:val="0"/>
                <w:sz w:val="19"/>
              </w:rPr>
              <w:t>results/​phone_​vibration_​word_​revision_​20260919/​</w:t>
            </w:r>
          </w:p>
        </w:tc>
      </w:tr>
    </w:tbl>
    <w:p>
      <w:r>
        <w:t>Das historische Modellpaket pilot_bundle.json im Unterverzeichnis frozen von B1 besitzt den SHA-256-Wert cec1859bfb354bafef77a619e6d2c1ffd85b50787c87595aba9a1e20a80cdae5. Das Bündel der Handyreihe ist über den in den Laufdateien und im Replay gespeicherten SHA-256-Wert dbfad8529b642d1e4c74119b3865b0600c3a7668198328e1112707c7502b2eb1 zugeordnet. Vollständige Artefaktmanifeste stehen in den jeweiligen Verzeichnissen. Diese Kennungen bezeichnen unterschiedliche Modell-/Messkettenstände und sind nicht austauschbar.</w:t>
      </w:r>
    </w:p>
    <w:p>
      <w:r>
        <w:t>Die Ausgangs-Worddatei ist unter docs/backups/Akz_Masterarbeit_Bericht(3)_vor_handyversuch_20260919.docx erhalten. B13 enthält die neue Textgrundlage, Diagramme als PNG/PDF, abgeleitete Kennwerte, Quellenhashes und den Änderungs-/Layoutnachweis. Rohdaten, Modellgewichte und Schwellen werden durch die Dokumentrevision nicht verändert.</w:t>
      </w:r>
    </w:p>
    <w:p>
      <w:bookmarkStart w:id="10052" w:name="phone_heading_10052"/>
      <w:pPr>
        <w:pStyle w:val="Heading2"/>
        <w:numPr>
          <w:ilvl w:val="1"/>
          <w:numId w:val="0"/>
        </w:numPr>
        <w:jc w:val="left"/>
      </w:pPr>
      <w:r>
        <w:t>Erhaltene historische Erkennungsergebnisse</w:t>
      </w:r>
      <w:bookmarkEnd w:id="10052"/>
    </w:p>
    <w:p>
      <w:r>
        <w:t>Die folgenden Tabellen übernehmen die früheren Zählungen unverändert. Positiv bezeichnet den vorab festgelegten Zustand airflow_modified der Plattenfolge vom 12. September; negativ sind die beiden Normalreferenzen derselben Folge. Bewertet werden jeweils 194 gültige Fenster im Abschnitt [180,300) s einer 300-s-Aufnahme. Diese Definition gilt nur für die historische Reihe und wird nicht auf die Handy-Bedienmarker übertragen.</w:t>
      </w:r>
    </w:p>
    <w:p>
      <w:bookmarkStart w:id="10053" w:name="phone_table_10053"/>
      <w:pPr>
        <w:pStyle w:val="Tabellenbeschriftung"/>
      </w:pPr>
      <w:r>
        <w:t>Tabelle A-2: Historische Verwechslungszahlen der einen Plattenfolge auf identischen Fenstern</w:t>
      </w:r>
      <w:bookmarkEnd w:id="1005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6"/>
        <w:gridCol w:w="1705"/>
        <w:gridCol w:w="1810"/>
        <w:gridCol w:w="1875"/>
      </w:tblGrid>
      <w:tr>
        <w:trPr>
          <w:tblHeader w:val="true"/>
          <w:cantSplit w:val="true"/>
        </w:trPr>
        <w:tc>
          <w:tcPr>
            <w:tcW w:w="2265"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1416"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TP: Änderung erkannt</w:t>
            </w:r>
          </w:p>
        </w:tc>
        <w:tc>
          <w:tcPr>
            <w:tcW w:w="1705"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FN: Änderung übersehen</w:t>
            </w:r>
          </w:p>
        </w:tc>
        <w:tc>
          <w:tcPr>
            <w:tcW w:w="1810"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FP: normal auffällig</w:t>
            </w:r>
          </w:p>
        </w:tc>
        <w:tc>
          <w:tcPr>
            <w:tcW w:w="1875"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TN: normal unauffällig</w:t>
            </w:r>
          </w:p>
        </w:tc>
      </w:tr>
      <w:tr>
        <w:trPr>
          <w:cantSplit w:val="true"/>
        </w:trPr>
        <w:tc>
          <w:tcPr>
            <w:tcW w:w="2265"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1416"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w:t>
            </w:r>
          </w:p>
        </w:tc>
        <w:tc>
          <w:tcPr>
            <w:tcW w:w="170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187</w:t>
            </w:r>
          </w:p>
        </w:tc>
        <w:tc>
          <w:tcPr>
            <w:tcW w:w="1810"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w:t>
            </w:r>
          </w:p>
        </w:tc>
        <w:tc>
          <w:tcPr>
            <w:tcW w:w="187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387</w:t>
            </w:r>
          </w:p>
        </w:tc>
      </w:tr>
      <w:tr>
        <w:trPr>
          <w:cantSplit w:val="true"/>
        </w:trPr>
        <w:tc>
          <w:tcPr>
            <w:tcW w:w="2265"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1416"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w:t>
            </w:r>
          </w:p>
        </w:tc>
        <w:tc>
          <w:tcPr>
            <w:tcW w:w="170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190</w:t>
            </w:r>
          </w:p>
        </w:tc>
        <w:tc>
          <w:tcPr>
            <w:tcW w:w="1810"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87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2265" w:type="dxa"/>
            <w:tcBorders/>
            <w:vAlign w:val="center"/>
          </w:tcPr>
          <w:p>
            <w:pPr>
              <w:pStyle w:val="Normal"/>
              <w:keepNext w:val="0"/>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1416" w:type="dxa"/>
            <w:tcBorders/>
            <w:vAlign w:val="center"/>
          </w:tcPr>
          <w:p>
            <w:pPr>
              <w:pStyle w:val="Normal"/>
              <w:keepNext w:val="0"/>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705" w:type="dxa"/>
            <w:tcBorders/>
            <w:vAlign w:val="center"/>
          </w:tcPr>
          <w:p>
            <w:pPr>
              <w:pStyle w:val="Normal"/>
              <w:keepNext w:val="0"/>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810" w:type="dxa"/>
            <w:tcBorders/>
            <w:vAlign w:val="center"/>
          </w:tcPr>
          <w:p>
            <w:pPr>
              <w:pStyle w:val="Normal"/>
              <w:keepNext w:val="0"/>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55</w:t>
            </w:r>
          </w:p>
        </w:tc>
        <w:tc>
          <w:tcPr>
            <w:tcW w:w="1875" w:type="dxa"/>
            <w:tcBorders/>
            <w:vAlign w:val="center"/>
          </w:tcPr>
          <w:p>
            <w:pPr>
              <w:pStyle w:val="Normal"/>
              <w:keepNext w:val="0"/>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333</w:t>
            </w:r>
          </w:p>
        </w:tc>
      </w:tr>
    </w:tbl>
    <w:p>
      <w:bookmarkStart w:id="10054" w:name="phone_table_10054"/>
      <w:pPr>
        <w:pStyle w:val="Tabellenbeschriftung"/>
      </w:pPr>
      <w:r>
        <w:t>Tabelle A-3: Historische deskriptive Kennzahlen für das Zustandslabel; Prozent</w:t>
      </w:r>
      <w:bookmarkEnd w:id="10054"/>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363"/>
        <w:gridCol w:w="1361"/>
        <w:gridCol w:w="1360"/>
        <w:gridCol w:w="1364"/>
        <w:gridCol w:w="1357"/>
      </w:tblGrid>
      <w:tr>
        <w:trPr>
          <w:tblHeader w:val="true"/>
          <w:cantSplit w:val="true"/>
        </w:trPr>
        <w:tc>
          <w:tcPr>
            <w:tcW w:w="2265"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Methode</w:t>
            </w:r>
          </w:p>
        </w:tc>
        <w:tc>
          <w:tcPr>
            <w:tcW w:w="1363"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Precision</w:t>
            </w:r>
          </w:p>
        </w:tc>
        <w:tc>
          <w:tcPr>
            <w:tcW w:w="1361"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Recall</w:t>
            </w:r>
          </w:p>
        </w:tc>
        <w:tc>
          <w:tcPr>
            <w:tcW w:w="1360"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F1</w:t>
            </w:r>
          </w:p>
        </w:tc>
        <w:tc>
          <w:tcPr>
            <w:tcW w:w="1364"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Fehlalarmrate</w:t>
            </w:r>
          </w:p>
        </w:tc>
        <w:tc>
          <w:tcPr>
            <w:tcW w:w="1357"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Accuracy</w:t>
            </w:r>
          </w:p>
        </w:tc>
      </w:tr>
      <w:tr>
        <w:trPr>
          <w:cantSplit w:val="true"/>
        </w:trPr>
        <w:tc>
          <w:tcPr>
            <w:tcW w:w="2265"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RMS</w:t>
            </w:r>
          </w:p>
        </w:tc>
        <w:tc>
          <w:tcPr>
            <w:tcW w:w="1363"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87,50</w:t>
            </w:r>
          </w:p>
        </w:tc>
        <w:tc>
          <w:tcPr>
            <w:tcW w:w="1361"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3,61</w:t>
            </w:r>
          </w:p>
        </w:tc>
        <w:tc>
          <w:tcPr>
            <w:tcW w:w="1360"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6,93</w:t>
            </w:r>
          </w:p>
        </w:tc>
        <w:tc>
          <w:tcPr>
            <w:tcW w:w="1364"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0,26</w:t>
            </w:r>
          </w:p>
        </w:tc>
        <w:tc>
          <w:tcPr>
            <w:tcW w:w="1357"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67,70</w:t>
            </w:r>
          </w:p>
        </w:tc>
      </w:tr>
      <w:tr>
        <w:trPr>
          <w:cantSplit w:val="true"/>
        </w:trPr>
        <w:tc>
          <w:tcPr>
            <w:tcW w:w="2265"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Isolation Forest</w:t>
            </w:r>
          </w:p>
        </w:tc>
        <w:tc>
          <w:tcPr>
            <w:tcW w:w="1363"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100,00</w:t>
            </w:r>
          </w:p>
        </w:tc>
        <w:tc>
          <w:tcPr>
            <w:tcW w:w="1361"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2,06</w:t>
            </w:r>
          </w:p>
        </w:tc>
        <w:tc>
          <w:tcPr>
            <w:tcW w:w="1360"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4,04</w:t>
            </w:r>
          </w:p>
        </w:tc>
        <w:tc>
          <w:tcPr>
            <w:tcW w:w="1364"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57"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67,35</w:t>
            </w:r>
          </w:p>
        </w:tc>
      </w:tr>
      <w:tr>
        <w:trPr>
          <w:cantSplit w:val="true"/>
        </w:trPr>
        <w:tc>
          <w:tcPr>
            <w:tcW w:w="2265" w:type="dxa"/>
            <w:tcBorders/>
            <w:vAlign w:val="center"/>
          </w:tcPr>
          <w:p>
            <w:pPr>
              <w:pStyle w:val="Normal"/>
              <w:keepNext w:val="0"/>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Autoencoder</w:t>
            </w:r>
          </w:p>
        </w:tc>
        <w:tc>
          <w:tcPr>
            <w:tcW w:w="1363" w:type="dxa"/>
            <w:tcBorders/>
            <w:vAlign w:val="center"/>
          </w:tcPr>
          <w:p>
            <w:pPr>
              <w:pStyle w:val="Normal"/>
              <w:keepNext w:val="0"/>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1" w:type="dxa"/>
            <w:tcBorders/>
            <w:vAlign w:val="center"/>
          </w:tcPr>
          <w:p>
            <w:pPr>
              <w:pStyle w:val="Normal"/>
              <w:keepNext w:val="0"/>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0" w:type="dxa"/>
            <w:tcBorders/>
            <w:vAlign w:val="center"/>
          </w:tcPr>
          <w:p>
            <w:pPr>
              <w:pStyle w:val="Normal"/>
              <w:keepNext w:val="0"/>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4" w:type="dxa"/>
            <w:tcBorders/>
            <w:vAlign w:val="center"/>
          </w:tcPr>
          <w:p>
            <w:pPr>
              <w:pStyle w:val="Normal"/>
              <w:keepNext w:val="0"/>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14,18</w:t>
            </w:r>
          </w:p>
        </w:tc>
        <w:tc>
          <w:tcPr>
            <w:tcW w:w="1357" w:type="dxa"/>
            <w:tcBorders/>
            <w:vAlign w:val="center"/>
          </w:tcPr>
          <w:p>
            <w:pPr>
              <w:pStyle w:val="Normal"/>
              <w:keepNext w:val="0"/>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57,22</w:t>
            </w:r>
          </w:p>
        </w:tc>
      </w:tr>
    </w:tbl>
    <w:p>
      <w:r>
        <w:t>Je Methode liegen 582 gültige Fenster vor, davon 388 aus zwei Normalaufnahmen und 194 aus einer veränderten Aufnahme. Die Precision von 100 % beim IF betrifft nur vier Alarme; 190 veränderte Fenster bleiben unmarkiert. Ein immer normales Verfahren erreichte auf dieser Klassenverteilung bereits 66,67 % Accuracy. Die Kennzahlen sind keine allgemeine Defekterkennungsleistung. Eine positive Aufnahme und zeitlich abhängige Fenster erlauben keinen unabhängigen Wiederholbarkeitsnachweis.</w:t>
      </w:r>
    </w:p>
    <w:p>
      <w:bookmarkStart w:id="10055" w:name="phone_table_10055"/>
      <w:pPr>
        <w:pStyle w:val="Tabellenbeschriftung"/>
      </w:pPr>
      <w:r>
        <w:t>Tabelle A-4: Historische Zählung je Aufnahme und Methode im Abschnitt [180,300) s</w:t>
      </w:r>
      <w:bookmarkEnd w:id="10055"/>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363"/>
        <w:gridCol w:w="1361"/>
        <w:gridCol w:w="1360"/>
        <w:gridCol w:w="1363"/>
        <w:gridCol w:w="1358"/>
      </w:tblGrid>
      <w:tr>
        <w:trPr>
          <w:tblHeader w:val="true"/>
          <w:cantSplit w:val="true"/>
        </w:trPr>
        <w:tc>
          <w:tcPr>
            <w:tcW w:w="2265" w:type="dxa"/>
            <w:tcBorders/>
            <w:shd w:fill="E7EDF2" w:val="clear"/>
            <w:vAlign w:val="center"/>
          </w:tcPr>
          <w:p>
            <w:pPr>
              <w:pStyle w:val="Normal"/>
              <w:keepNext/>
              <w:keepLines/>
              <w:spacing w:lineRule="auto" w:line="240" w:before="40" w:after="40"/>
              <w:jc w:val="start"/>
              <w:rPr>
                <w:sz w:val="22"/>
              </w:rPr>
            </w:pPr>
            <w:r>
              <w:rPr>
                <w:b/>
                <w:sz w:val="18"/>
              </w:rPr>
              <w:t>Aufnahme / Methode</w:t>
            </w:r>
          </w:p>
        </w:tc>
        <w:tc>
          <w:tcPr>
            <w:tcW w:w="1363" w:type="dxa"/>
            <w:tcBorders/>
            <w:shd w:fill="E7EDF2" w:val="clear"/>
            <w:vAlign w:val="center"/>
          </w:tcPr>
          <w:p>
            <w:pPr>
              <w:pStyle w:val="Normal"/>
              <w:keepNext/>
              <w:keepLines/>
              <w:spacing w:lineRule="auto" w:line="240" w:before="40" w:after="40"/>
              <w:jc w:val="start"/>
              <w:rPr>
                <w:sz w:val="22"/>
              </w:rPr>
            </w:pPr>
            <w:r>
              <w:rPr>
                <w:b/>
                <w:sz w:val="18"/>
              </w:rPr>
              <w:t>gültig / ungültig</w:t>
            </w:r>
          </w:p>
        </w:tc>
        <w:tc>
          <w:tcPr>
            <w:tcW w:w="1361" w:type="dxa"/>
            <w:tcBorders/>
            <w:shd w:fill="E7EDF2" w:val="clear"/>
            <w:vAlign w:val="center"/>
          </w:tcPr>
          <w:p>
            <w:pPr>
              <w:pStyle w:val="Normal"/>
              <w:keepNext/>
              <w:keepLines/>
              <w:spacing w:lineRule="auto" w:line="240" w:before="40" w:after="40"/>
              <w:jc w:val="start"/>
              <w:rPr>
                <w:sz w:val="22"/>
              </w:rPr>
            </w:pPr>
            <w:r>
              <w:rPr>
                <w:b/>
                <w:sz w:val="18"/>
              </w:rPr>
              <w:t>TP / FN</w:t>
            </w:r>
          </w:p>
        </w:tc>
        <w:tc>
          <w:tcPr>
            <w:tcW w:w="1360" w:type="dxa"/>
            <w:tcBorders/>
            <w:shd w:fill="E7EDF2" w:val="clear"/>
            <w:vAlign w:val="center"/>
          </w:tcPr>
          <w:p>
            <w:pPr>
              <w:pStyle w:val="Normal"/>
              <w:keepNext/>
              <w:keepLines/>
              <w:spacing w:lineRule="auto" w:line="240" w:before="40" w:after="40"/>
              <w:jc w:val="start"/>
              <w:rPr>
                <w:sz w:val="22"/>
              </w:rPr>
            </w:pPr>
            <w:r>
              <w:rPr>
                <w:b/>
                <w:sz w:val="18"/>
              </w:rPr>
              <w:t>FP / TN</w:t>
            </w:r>
          </w:p>
        </w:tc>
        <w:tc>
          <w:tcPr>
            <w:tcW w:w="1363" w:type="dxa"/>
            <w:tcBorders/>
            <w:shd w:fill="E7EDF2" w:val="clear"/>
            <w:vAlign w:val="center"/>
          </w:tcPr>
          <w:p>
            <w:pPr>
              <w:pStyle w:val="Normal"/>
              <w:keepNext/>
              <w:keepLines/>
              <w:spacing w:lineRule="auto" w:line="240" w:before="40" w:after="40"/>
              <w:jc w:val="start"/>
              <w:rPr>
                <w:sz w:val="22"/>
              </w:rPr>
            </w:pPr>
            <w:r>
              <w:rPr>
                <w:b/>
                <w:sz w:val="18"/>
              </w:rPr>
              <w:t>Anteil [%]</w:t>
            </w:r>
          </w:p>
        </w:tc>
        <w:tc>
          <w:tcPr>
            <w:tcW w:w="1358" w:type="dxa"/>
            <w:tcBorders/>
            <w:shd w:fill="E7EDF2" w:val="clear"/>
            <w:vAlign w:val="center"/>
          </w:tcPr>
          <w:p>
            <w:pPr>
              <w:pStyle w:val="Normal"/>
              <w:keepNext/>
              <w:keepLines/>
              <w:spacing w:lineRule="auto" w:line="240" w:before="40" w:after="40"/>
              <w:jc w:val="start"/>
              <w:rPr>
                <w:sz w:val="22"/>
              </w:rPr>
            </w:pPr>
            <w:r>
              <w:rPr>
                <w:b/>
                <w:sz w:val="18"/>
              </w:rPr>
              <w:t>Bedeutung</w:t>
            </w:r>
          </w:p>
        </w:tc>
      </w:tr>
      <w:tr>
        <w:trPr>
          <w:cantSplit w:val="true"/>
        </w:trPr>
        <w:tc>
          <w:tcPr>
            <w:tcW w:w="2265" w:type="dxa"/>
            <w:tcBorders/>
            <w:vAlign w:val="center"/>
          </w:tcPr>
          <w:p>
            <w:pPr>
              <w:pStyle w:val="Normal"/>
              <w:keepNext/>
              <w:keepLines/>
              <w:spacing w:lineRule="auto" w:line="240" w:before="40" w:after="40"/>
              <w:jc w:val="start"/>
              <w:rPr>
                <w:sz w:val="22"/>
              </w:rPr>
            </w:pPr>
            <w:r>
              <w:rPr>
                <w:b w:val="false"/>
                <w:sz w:val="18"/>
              </w:rPr>
              <w:t>Normal vorher / RMS</w:t>
            </w:r>
          </w:p>
        </w:tc>
        <w:tc>
          <w:tcPr>
            <w:tcW w:w="1363" w:type="dxa"/>
            <w:tcBorders/>
            <w:vAlign w:val="center"/>
          </w:tcPr>
          <w:p>
            <w:pPr>
              <w:pStyle w:val="Normal"/>
              <w:keepNext/>
              <w:keepLines/>
              <w:spacing w:lineRule="auto" w:line="240" w:before="40" w:after="40"/>
              <w:jc w:val="end"/>
              <w:rPr>
                <w:sz w:val="22"/>
              </w:rPr>
            </w:pPr>
            <w:r>
              <w:rPr>
                <w:b w:val="false"/>
                <w:sz w:val="18"/>
              </w:rPr>
              <w:t>194 / 0</w:t>
            </w:r>
          </w:p>
        </w:tc>
        <w:tc>
          <w:tcPr>
            <w:tcW w:w="1361" w:type="dxa"/>
            <w:tcBorders/>
            <w:vAlign w:val="center"/>
          </w:tcPr>
          <w:p>
            <w:pPr>
              <w:pStyle w:val="Normal"/>
              <w:keepNext/>
              <w:keepLines/>
              <w:spacing w:lineRule="auto" w:line="240" w:before="40" w:after="40"/>
              <w:jc w:val="end"/>
              <w:rPr>
                <w:sz w:val="22"/>
              </w:rPr>
            </w:pPr>
            <w:r>
              <w:rPr>
                <w:b w:val="false"/>
                <w:sz w:val="18"/>
              </w:rPr>
              <w:t>0 / 0</w:t>
            </w:r>
          </w:p>
        </w:tc>
        <w:tc>
          <w:tcPr>
            <w:tcW w:w="1360" w:type="dxa"/>
            <w:tcBorders/>
            <w:vAlign w:val="center"/>
          </w:tcPr>
          <w:p>
            <w:pPr>
              <w:pStyle w:val="Normal"/>
              <w:keepNext/>
              <w:keepLines/>
              <w:spacing w:lineRule="auto" w:line="240" w:before="40" w:after="40"/>
              <w:jc w:val="end"/>
              <w:rPr>
                <w:sz w:val="22"/>
              </w:rPr>
            </w:pPr>
            <w:r>
              <w:rPr>
                <w:b w:val="false"/>
                <w:sz w:val="18"/>
              </w:rPr>
              <w:t>1 / 193</w:t>
            </w:r>
          </w:p>
        </w:tc>
        <w:tc>
          <w:tcPr>
            <w:tcW w:w="1363" w:type="dxa"/>
            <w:tcBorders/>
            <w:vAlign w:val="center"/>
          </w:tcPr>
          <w:p>
            <w:pPr>
              <w:pStyle w:val="Normal"/>
              <w:keepNext/>
              <w:keepLines/>
              <w:spacing w:lineRule="auto" w:line="240" w:before="40" w:after="40"/>
              <w:jc w:val="end"/>
              <w:rPr>
                <w:sz w:val="22"/>
              </w:rPr>
            </w:pPr>
            <w:r>
              <w:rPr>
                <w:b w:val="false"/>
                <w:sz w:val="18"/>
              </w:rPr>
              <w:t>0,52</w:t>
            </w:r>
          </w:p>
        </w:tc>
        <w:tc>
          <w:tcPr>
            <w:tcW w:w="1358" w:type="dxa"/>
            <w:tcBorders/>
            <w:vAlign w:val="center"/>
          </w:tcPr>
          <w:p>
            <w:pPr>
              <w:pStyle w:val="Normal"/>
              <w:keepNext/>
              <w:keepLines/>
              <w:spacing w:lineRule="auto" w:line="240" w:before="40" w:after="40"/>
              <w:jc w:val="start"/>
              <w:rPr>
                <w:sz w:val="22"/>
              </w:rPr>
            </w:pPr>
            <w:r>
              <w:rPr>
                <w:b w:val="false"/>
                <w:sz w:val="18"/>
              </w:rPr>
              <w:t>Fehlalarme</w:t>
            </w:r>
          </w:p>
        </w:tc>
      </w:tr>
      <w:tr>
        <w:trPr>
          <w:cantSplit w:val="true"/>
        </w:trPr>
        <w:tc>
          <w:tcPr>
            <w:tcW w:w="2265" w:type="dxa"/>
            <w:tcBorders/>
            <w:vAlign w:val="center"/>
          </w:tcPr>
          <w:p>
            <w:pPr>
              <w:pStyle w:val="Normal"/>
              <w:keepNext/>
              <w:keepLines/>
              <w:spacing w:lineRule="auto" w:line="240" w:before="40" w:after="40"/>
              <w:jc w:val="start"/>
              <w:rPr>
                <w:sz w:val="22"/>
              </w:rPr>
            </w:pPr>
            <w:r>
              <w:rPr>
                <w:b w:val="false"/>
                <w:sz w:val="18"/>
              </w:rPr>
              <w:t>Normal vorher / IF</w:t>
            </w:r>
          </w:p>
        </w:tc>
        <w:tc>
          <w:tcPr>
            <w:tcW w:w="1363" w:type="dxa"/>
            <w:tcBorders/>
            <w:vAlign w:val="center"/>
          </w:tcPr>
          <w:p>
            <w:pPr>
              <w:pStyle w:val="Normal"/>
              <w:keepNext/>
              <w:keepLines/>
              <w:spacing w:lineRule="auto" w:line="240" w:before="40" w:after="40"/>
              <w:jc w:val="end"/>
              <w:rPr>
                <w:sz w:val="22"/>
              </w:rPr>
            </w:pPr>
            <w:r>
              <w:rPr>
                <w:b w:val="false"/>
                <w:sz w:val="18"/>
              </w:rPr>
              <w:t>194 / 0</w:t>
            </w:r>
          </w:p>
        </w:tc>
        <w:tc>
          <w:tcPr>
            <w:tcW w:w="1361" w:type="dxa"/>
            <w:tcBorders/>
            <w:vAlign w:val="center"/>
          </w:tcPr>
          <w:p>
            <w:pPr>
              <w:pStyle w:val="Normal"/>
              <w:keepNext/>
              <w:keepLines/>
              <w:spacing w:lineRule="auto" w:line="240" w:before="40" w:after="40"/>
              <w:jc w:val="end"/>
              <w:rPr>
                <w:sz w:val="22"/>
              </w:rPr>
            </w:pPr>
            <w:r>
              <w:rPr>
                <w:b w:val="false"/>
                <w:sz w:val="18"/>
              </w:rPr>
              <w:t>0 / 0</w:t>
            </w:r>
          </w:p>
        </w:tc>
        <w:tc>
          <w:tcPr>
            <w:tcW w:w="1360" w:type="dxa"/>
            <w:tcBorders/>
            <w:vAlign w:val="center"/>
          </w:tcPr>
          <w:p>
            <w:pPr>
              <w:pStyle w:val="Normal"/>
              <w:keepNext/>
              <w:keepLines/>
              <w:spacing w:lineRule="auto" w:line="240" w:before="40" w:after="40"/>
              <w:jc w:val="end"/>
              <w:rPr>
                <w:sz w:val="22"/>
              </w:rPr>
            </w:pPr>
            <w:r>
              <w:rPr>
                <w:b w:val="false"/>
                <w:sz w:val="18"/>
              </w:rPr>
              <w:t>0 / 194</w:t>
            </w:r>
          </w:p>
        </w:tc>
        <w:tc>
          <w:tcPr>
            <w:tcW w:w="1363" w:type="dxa"/>
            <w:tcBorders/>
            <w:vAlign w:val="center"/>
          </w:tcPr>
          <w:p>
            <w:pPr>
              <w:pStyle w:val="Normal"/>
              <w:keepNext/>
              <w:keepLines/>
              <w:spacing w:lineRule="auto" w:line="240" w:before="40" w:after="40"/>
              <w:jc w:val="end"/>
              <w:rPr>
                <w:sz w:val="22"/>
              </w:rPr>
            </w:pPr>
            <w:r>
              <w:rPr>
                <w:b w:val="false"/>
                <w:sz w:val="18"/>
              </w:rPr>
              <w:t>0,00</w:t>
            </w:r>
          </w:p>
        </w:tc>
        <w:tc>
          <w:tcPr>
            <w:tcW w:w="1358" w:type="dxa"/>
            <w:tcBorders/>
            <w:vAlign w:val="center"/>
          </w:tcPr>
          <w:p>
            <w:pPr>
              <w:pStyle w:val="Normal"/>
              <w:keepNext/>
              <w:keepLines/>
              <w:spacing w:lineRule="auto" w:line="240" w:before="40" w:after="40"/>
              <w:jc w:val="start"/>
              <w:rPr>
                <w:sz w:val="22"/>
              </w:rPr>
            </w:pPr>
            <w:r>
              <w:rPr>
                <w:b w:val="false"/>
                <w:sz w:val="18"/>
              </w:rPr>
              <w:t>Fehlalarme</w:t>
            </w:r>
          </w:p>
        </w:tc>
      </w:tr>
      <w:tr>
        <w:trPr>
          <w:cantSplit w:val="true"/>
        </w:trPr>
        <w:tc>
          <w:tcPr>
            <w:tcW w:w="2265" w:type="dxa"/>
            <w:tcBorders/>
            <w:vAlign w:val="center"/>
          </w:tcPr>
          <w:p>
            <w:pPr>
              <w:pStyle w:val="Normal"/>
              <w:keepNext/>
              <w:keepLines/>
              <w:spacing w:lineRule="auto" w:line="240" w:before="40" w:after="40"/>
              <w:jc w:val="start"/>
              <w:rPr>
                <w:sz w:val="22"/>
              </w:rPr>
            </w:pPr>
            <w:r>
              <w:rPr>
                <w:b w:val="false"/>
                <w:sz w:val="18"/>
              </w:rPr>
              <w:t>Normal vorher / AE</w:t>
            </w:r>
          </w:p>
        </w:tc>
        <w:tc>
          <w:tcPr>
            <w:tcW w:w="1363" w:type="dxa"/>
            <w:tcBorders/>
            <w:vAlign w:val="center"/>
          </w:tcPr>
          <w:p>
            <w:pPr>
              <w:pStyle w:val="Normal"/>
              <w:keepNext/>
              <w:keepLines/>
              <w:spacing w:lineRule="auto" w:line="240" w:before="40" w:after="40"/>
              <w:jc w:val="end"/>
              <w:rPr>
                <w:sz w:val="22"/>
              </w:rPr>
            </w:pPr>
            <w:r>
              <w:rPr>
                <w:b w:val="false"/>
                <w:sz w:val="18"/>
              </w:rPr>
              <w:t>194 / 0</w:t>
            </w:r>
          </w:p>
        </w:tc>
        <w:tc>
          <w:tcPr>
            <w:tcW w:w="1361" w:type="dxa"/>
            <w:tcBorders/>
            <w:vAlign w:val="center"/>
          </w:tcPr>
          <w:p>
            <w:pPr>
              <w:pStyle w:val="Normal"/>
              <w:keepNext/>
              <w:keepLines/>
              <w:spacing w:lineRule="auto" w:line="240" w:before="40" w:after="40"/>
              <w:jc w:val="end"/>
              <w:rPr>
                <w:sz w:val="22"/>
              </w:rPr>
            </w:pPr>
            <w:r>
              <w:rPr>
                <w:b w:val="false"/>
                <w:sz w:val="18"/>
              </w:rPr>
              <w:t>0 / 0</w:t>
            </w:r>
          </w:p>
        </w:tc>
        <w:tc>
          <w:tcPr>
            <w:tcW w:w="1360" w:type="dxa"/>
            <w:tcBorders/>
            <w:vAlign w:val="center"/>
          </w:tcPr>
          <w:p>
            <w:pPr>
              <w:pStyle w:val="Normal"/>
              <w:keepNext/>
              <w:keepLines/>
              <w:spacing w:lineRule="auto" w:line="240" w:before="40" w:after="40"/>
              <w:jc w:val="end"/>
              <w:rPr>
                <w:sz w:val="22"/>
              </w:rPr>
            </w:pPr>
            <w:r>
              <w:rPr>
                <w:b w:val="false"/>
                <w:sz w:val="18"/>
              </w:rPr>
              <w:t>51 / 143</w:t>
            </w:r>
          </w:p>
        </w:tc>
        <w:tc>
          <w:tcPr>
            <w:tcW w:w="1363" w:type="dxa"/>
            <w:tcBorders/>
            <w:vAlign w:val="center"/>
          </w:tcPr>
          <w:p>
            <w:pPr>
              <w:pStyle w:val="Normal"/>
              <w:keepNext/>
              <w:keepLines/>
              <w:spacing w:lineRule="auto" w:line="240" w:before="40" w:after="40"/>
              <w:jc w:val="end"/>
              <w:rPr>
                <w:sz w:val="22"/>
              </w:rPr>
            </w:pPr>
            <w:r>
              <w:rPr>
                <w:b w:val="false"/>
                <w:sz w:val="18"/>
              </w:rPr>
              <w:t>26,29</w:t>
            </w:r>
          </w:p>
        </w:tc>
        <w:tc>
          <w:tcPr>
            <w:tcW w:w="1358" w:type="dxa"/>
            <w:tcBorders/>
            <w:vAlign w:val="center"/>
          </w:tcPr>
          <w:p>
            <w:pPr>
              <w:pStyle w:val="Normal"/>
              <w:keepNext/>
              <w:keepLines/>
              <w:spacing w:lineRule="auto" w:line="240" w:before="40" w:after="40"/>
              <w:jc w:val="start"/>
              <w:rPr>
                <w:sz w:val="22"/>
              </w:rPr>
            </w:pPr>
            <w:r>
              <w:rPr>
                <w:b w:val="false"/>
                <w:sz w:val="18"/>
              </w:rPr>
              <w:t>Fehlalarme</w:t>
            </w:r>
          </w:p>
        </w:tc>
      </w:tr>
      <w:tr>
        <w:trPr>
          <w:cantSplit w:val="true"/>
        </w:trPr>
        <w:tc>
          <w:tcPr>
            <w:tcW w:w="2265" w:type="dxa"/>
            <w:tcBorders/>
            <w:vAlign w:val="center"/>
          </w:tcPr>
          <w:p>
            <w:pPr>
              <w:pStyle w:val="Normal"/>
              <w:keepNext/>
              <w:keepLines/>
              <w:spacing w:lineRule="auto" w:line="240" w:before="40" w:after="40"/>
              <w:jc w:val="start"/>
              <w:rPr>
                <w:sz w:val="22"/>
              </w:rPr>
            </w:pPr>
            <w:r>
              <w:rPr>
                <w:b w:val="false"/>
                <w:sz w:val="18"/>
              </w:rPr>
              <w:t>Luftstrom verändert / RMS</w:t>
            </w:r>
          </w:p>
        </w:tc>
        <w:tc>
          <w:tcPr>
            <w:tcW w:w="1363" w:type="dxa"/>
            <w:tcBorders/>
            <w:vAlign w:val="center"/>
          </w:tcPr>
          <w:p>
            <w:pPr>
              <w:pStyle w:val="Normal"/>
              <w:keepNext/>
              <w:keepLines/>
              <w:spacing w:lineRule="auto" w:line="240" w:before="40" w:after="40"/>
              <w:jc w:val="end"/>
              <w:rPr>
                <w:sz w:val="22"/>
              </w:rPr>
            </w:pPr>
            <w:r>
              <w:rPr>
                <w:b w:val="false"/>
                <w:sz w:val="18"/>
              </w:rPr>
              <w:t>194 / 0</w:t>
            </w:r>
          </w:p>
        </w:tc>
        <w:tc>
          <w:tcPr>
            <w:tcW w:w="1361" w:type="dxa"/>
            <w:tcBorders/>
            <w:vAlign w:val="center"/>
          </w:tcPr>
          <w:p>
            <w:pPr>
              <w:pStyle w:val="Normal"/>
              <w:keepNext/>
              <w:keepLines/>
              <w:spacing w:lineRule="auto" w:line="240" w:before="40" w:after="40"/>
              <w:jc w:val="end"/>
              <w:rPr>
                <w:sz w:val="22"/>
              </w:rPr>
            </w:pPr>
            <w:r>
              <w:rPr>
                <w:b w:val="false"/>
                <w:sz w:val="18"/>
              </w:rPr>
              <w:t>7 / 187</w:t>
            </w:r>
          </w:p>
        </w:tc>
        <w:tc>
          <w:tcPr>
            <w:tcW w:w="1360" w:type="dxa"/>
            <w:tcBorders/>
            <w:vAlign w:val="center"/>
          </w:tcPr>
          <w:p>
            <w:pPr>
              <w:pStyle w:val="Normal"/>
              <w:keepNext/>
              <w:keepLines/>
              <w:spacing w:lineRule="auto" w:line="240" w:before="40" w:after="40"/>
              <w:jc w:val="end"/>
              <w:rPr>
                <w:sz w:val="22"/>
              </w:rPr>
            </w:pPr>
            <w:r>
              <w:rPr>
                <w:b w:val="false"/>
                <w:sz w:val="18"/>
              </w:rPr>
              <w:t>0 / 0</w:t>
            </w:r>
          </w:p>
        </w:tc>
        <w:tc>
          <w:tcPr>
            <w:tcW w:w="1363" w:type="dxa"/>
            <w:tcBorders/>
            <w:vAlign w:val="center"/>
          </w:tcPr>
          <w:p>
            <w:pPr>
              <w:pStyle w:val="Normal"/>
              <w:keepNext/>
              <w:keepLines/>
              <w:spacing w:lineRule="auto" w:line="240" w:before="40" w:after="40"/>
              <w:jc w:val="end"/>
              <w:rPr>
                <w:sz w:val="22"/>
              </w:rPr>
            </w:pPr>
            <w:r>
              <w:rPr>
                <w:b w:val="false"/>
                <w:sz w:val="18"/>
              </w:rPr>
              <w:t>3,61</w:t>
            </w:r>
          </w:p>
        </w:tc>
        <w:tc>
          <w:tcPr>
            <w:tcW w:w="1358" w:type="dxa"/>
            <w:tcBorders/>
            <w:vAlign w:val="center"/>
          </w:tcPr>
          <w:p>
            <w:pPr>
              <w:pStyle w:val="Normal"/>
              <w:keepNext/>
              <w:keepLines/>
              <w:spacing w:lineRule="auto" w:line="240" w:before="40" w:after="40"/>
              <w:jc w:val="start"/>
              <w:rPr>
                <w:sz w:val="22"/>
              </w:rPr>
            </w:pPr>
            <w:r>
              <w:rPr>
                <w:b w:val="false"/>
                <w:sz w:val="18"/>
              </w:rPr>
              <w:t>Änderung markiert</w:t>
            </w:r>
          </w:p>
        </w:tc>
      </w:tr>
      <w:tr>
        <w:trPr>
          <w:cantSplit w:val="true"/>
        </w:trPr>
        <w:tc>
          <w:tcPr>
            <w:tcW w:w="2265" w:type="dxa"/>
            <w:tcBorders/>
            <w:vAlign w:val="center"/>
          </w:tcPr>
          <w:p>
            <w:pPr>
              <w:pStyle w:val="Normal"/>
              <w:keepNext/>
              <w:keepLines/>
              <w:spacing w:lineRule="auto" w:line="240" w:before="40" w:after="40"/>
              <w:jc w:val="start"/>
              <w:rPr>
                <w:sz w:val="22"/>
              </w:rPr>
            </w:pPr>
            <w:r>
              <w:rPr>
                <w:b w:val="false"/>
                <w:sz w:val="18"/>
              </w:rPr>
              <w:t>Luftstrom verändert / IF</w:t>
            </w:r>
          </w:p>
        </w:tc>
        <w:tc>
          <w:tcPr>
            <w:tcW w:w="1363" w:type="dxa"/>
            <w:tcBorders/>
            <w:vAlign w:val="center"/>
          </w:tcPr>
          <w:p>
            <w:pPr>
              <w:pStyle w:val="Normal"/>
              <w:keepNext/>
              <w:keepLines/>
              <w:spacing w:lineRule="auto" w:line="240" w:before="40" w:after="40"/>
              <w:jc w:val="end"/>
              <w:rPr>
                <w:sz w:val="22"/>
              </w:rPr>
            </w:pPr>
            <w:r>
              <w:rPr>
                <w:b w:val="false"/>
                <w:sz w:val="18"/>
              </w:rPr>
              <w:t>194 / 0</w:t>
            </w:r>
          </w:p>
        </w:tc>
        <w:tc>
          <w:tcPr>
            <w:tcW w:w="1361" w:type="dxa"/>
            <w:tcBorders/>
            <w:vAlign w:val="center"/>
          </w:tcPr>
          <w:p>
            <w:pPr>
              <w:pStyle w:val="Normal"/>
              <w:keepNext/>
              <w:keepLines/>
              <w:spacing w:lineRule="auto" w:line="240" w:before="40" w:after="40"/>
              <w:jc w:val="end"/>
              <w:rPr>
                <w:sz w:val="22"/>
              </w:rPr>
            </w:pPr>
            <w:r>
              <w:rPr>
                <w:b w:val="false"/>
                <w:sz w:val="18"/>
              </w:rPr>
              <w:t>4 / 190</w:t>
            </w:r>
          </w:p>
        </w:tc>
        <w:tc>
          <w:tcPr>
            <w:tcW w:w="1360" w:type="dxa"/>
            <w:tcBorders/>
            <w:vAlign w:val="center"/>
          </w:tcPr>
          <w:p>
            <w:pPr>
              <w:pStyle w:val="Normal"/>
              <w:keepNext/>
              <w:keepLines/>
              <w:spacing w:lineRule="auto" w:line="240" w:before="40" w:after="40"/>
              <w:jc w:val="end"/>
              <w:rPr>
                <w:sz w:val="22"/>
              </w:rPr>
            </w:pPr>
            <w:r>
              <w:rPr>
                <w:b w:val="false"/>
                <w:sz w:val="18"/>
              </w:rPr>
              <w:t>0 / 0</w:t>
            </w:r>
          </w:p>
        </w:tc>
        <w:tc>
          <w:tcPr>
            <w:tcW w:w="1363" w:type="dxa"/>
            <w:tcBorders/>
            <w:vAlign w:val="center"/>
          </w:tcPr>
          <w:p>
            <w:pPr>
              <w:pStyle w:val="Normal"/>
              <w:keepNext/>
              <w:keepLines/>
              <w:spacing w:lineRule="auto" w:line="240" w:before="40" w:after="40"/>
              <w:jc w:val="end"/>
              <w:rPr>
                <w:sz w:val="22"/>
              </w:rPr>
            </w:pPr>
            <w:r>
              <w:rPr>
                <w:b w:val="false"/>
                <w:sz w:val="18"/>
              </w:rPr>
              <w:t>2,06</w:t>
            </w:r>
          </w:p>
        </w:tc>
        <w:tc>
          <w:tcPr>
            <w:tcW w:w="1358" w:type="dxa"/>
            <w:tcBorders/>
            <w:vAlign w:val="center"/>
          </w:tcPr>
          <w:p>
            <w:pPr>
              <w:pStyle w:val="Normal"/>
              <w:keepNext/>
              <w:keepLines/>
              <w:spacing w:lineRule="auto" w:line="240" w:before="40" w:after="40"/>
              <w:jc w:val="start"/>
              <w:rPr>
                <w:sz w:val="22"/>
              </w:rPr>
            </w:pPr>
            <w:r>
              <w:rPr>
                <w:b w:val="false"/>
                <w:sz w:val="18"/>
              </w:rPr>
              <w:t>Änderung markiert</w:t>
            </w:r>
          </w:p>
        </w:tc>
      </w:tr>
      <w:tr>
        <w:trPr>
          <w:cantSplit w:val="true"/>
        </w:trPr>
        <w:tc>
          <w:tcPr>
            <w:tcW w:w="2265" w:type="dxa"/>
            <w:tcBorders/>
            <w:vAlign w:val="center"/>
          </w:tcPr>
          <w:p>
            <w:pPr>
              <w:pStyle w:val="Normal"/>
              <w:keepNext/>
              <w:keepLines/>
              <w:spacing w:lineRule="auto" w:line="240" w:before="40" w:after="40"/>
              <w:jc w:val="start"/>
              <w:rPr>
                <w:sz w:val="22"/>
              </w:rPr>
            </w:pPr>
            <w:r>
              <w:rPr>
                <w:b w:val="false"/>
                <w:sz w:val="18"/>
              </w:rPr>
              <w:t>Luftstrom verändert / AE</w:t>
            </w:r>
          </w:p>
        </w:tc>
        <w:tc>
          <w:tcPr>
            <w:tcW w:w="1363" w:type="dxa"/>
            <w:tcBorders/>
            <w:vAlign w:val="center"/>
          </w:tcPr>
          <w:p>
            <w:pPr>
              <w:pStyle w:val="Normal"/>
              <w:keepNext/>
              <w:keepLines/>
              <w:spacing w:lineRule="auto" w:line="240" w:before="40" w:after="40"/>
              <w:jc w:val="end"/>
              <w:rPr>
                <w:sz w:val="22"/>
              </w:rPr>
            </w:pPr>
            <w:r>
              <w:rPr>
                <w:b w:val="false"/>
                <w:sz w:val="18"/>
              </w:rPr>
              <w:t>194 / 0</w:t>
            </w:r>
          </w:p>
        </w:tc>
        <w:tc>
          <w:tcPr>
            <w:tcW w:w="1361" w:type="dxa"/>
            <w:tcBorders/>
            <w:vAlign w:val="center"/>
          </w:tcPr>
          <w:p>
            <w:pPr>
              <w:pStyle w:val="Normal"/>
              <w:keepNext/>
              <w:keepLines/>
              <w:spacing w:lineRule="auto" w:line="240" w:before="40" w:after="40"/>
              <w:jc w:val="end"/>
              <w:rPr>
                <w:sz w:val="22"/>
              </w:rPr>
            </w:pPr>
            <w:r>
              <w:rPr>
                <w:b w:val="false"/>
                <w:sz w:val="18"/>
              </w:rPr>
              <w:t>0 / 194</w:t>
            </w:r>
          </w:p>
        </w:tc>
        <w:tc>
          <w:tcPr>
            <w:tcW w:w="1360" w:type="dxa"/>
            <w:tcBorders/>
            <w:vAlign w:val="center"/>
          </w:tcPr>
          <w:p>
            <w:pPr>
              <w:pStyle w:val="Normal"/>
              <w:keepNext/>
              <w:keepLines/>
              <w:spacing w:lineRule="auto" w:line="240" w:before="40" w:after="40"/>
              <w:jc w:val="end"/>
              <w:rPr>
                <w:sz w:val="22"/>
              </w:rPr>
            </w:pPr>
            <w:r>
              <w:rPr>
                <w:b w:val="false"/>
                <w:sz w:val="18"/>
              </w:rPr>
              <w:t>0 / 0</w:t>
            </w:r>
          </w:p>
        </w:tc>
        <w:tc>
          <w:tcPr>
            <w:tcW w:w="1363" w:type="dxa"/>
            <w:tcBorders/>
            <w:vAlign w:val="center"/>
          </w:tcPr>
          <w:p>
            <w:pPr>
              <w:pStyle w:val="Normal"/>
              <w:keepNext/>
              <w:keepLines/>
              <w:spacing w:lineRule="auto" w:line="240" w:before="40" w:after="40"/>
              <w:jc w:val="end"/>
              <w:rPr>
                <w:sz w:val="22"/>
              </w:rPr>
            </w:pPr>
            <w:r>
              <w:rPr>
                <w:b w:val="false"/>
                <w:sz w:val="18"/>
              </w:rPr>
              <w:t>0,00</w:t>
            </w:r>
          </w:p>
        </w:tc>
        <w:tc>
          <w:tcPr>
            <w:tcW w:w="1358" w:type="dxa"/>
            <w:tcBorders/>
            <w:vAlign w:val="center"/>
          </w:tcPr>
          <w:p>
            <w:pPr>
              <w:pStyle w:val="Normal"/>
              <w:keepNext/>
              <w:keepLines/>
              <w:spacing w:lineRule="auto" w:line="240" w:before="40" w:after="40"/>
              <w:jc w:val="start"/>
              <w:rPr>
                <w:sz w:val="22"/>
              </w:rPr>
            </w:pPr>
            <w:r>
              <w:rPr>
                <w:b w:val="false"/>
                <w:sz w:val="18"/>
              </w:rPr>
              <w:t>Änderung markiert</w:t>
            </w:r>
          </w:p>
        </w:tc>
      </w:tr>
      <w:tr>
        <w:trPr>
          <w:cantSplit w:val="true"/>
        </w:trPr>
        <w:tc>
          <w:tcPr>
            <w:tcW w:w="2265" w:type="dxa"/>
            <w:tcBorders/>
            <w:vAlign w:val="center"/>
          </w:tcPr>
          <w:p>
            <w:pPr>
              <w:pStyle w:val="Normal"/>
              <w:keepNext/>
              <w:keepLines/>
              <w:spacing w:lineRule="auto" w:line="240" w:before="40" w:after="40"/>
              <w:jc w:val="start"/>
              <w:rPr>
                <w:sz w:val="22"/>
              </w:rPr>
            </w:pPr>
            <w:r>
              <w:rPr>
                <w:b w:val="false"/>
                <w:sz w:val="18"/>
              </w:rPr>
              <w:t>Normal nachher / RMS</w:t>
            </w:r>
          </w:p>
        </w:tc>
        <w:tc>
          <w:tcPr>
            <w:tcW w:w="1363" w:type="dxa"/>
            <w:tcBorders/>
            <w:vAlign w:val="center"/>
          </w:tcPr>
          <w:p>
            <w:pPr>
              <w:pStyle w:val="Normal"/>
              <w:keepNext/>
              <w:keepLines/>
              <w:spacing w:lineRule="auto" w:line="240" w:before="40" w:after="40"/>
              <w:jc w:val="end"/>
              <w:rPr>
                <w:sz w:val="22"/>
              </w:rPr>
            </w:pPr>
            <w:r>
              <w:rPr>
                <w:b w:val="false"/>
                <w:sz w:val="18"/>
              </w:rPr>
              <w:t>194 / 0</w:t>
            </w:r>
          </w:p>
        </w:tc>
        <w:tc>
          <w:tcPr>
            <w:tcW w:w="1361" w:type="dxa"/>
            <w:tcBorders/>
            <w:vAlign w:val="center"/>
          </w:tcPr>
          <w:p>
            <w:pPr>
              <w:pStyle w:val="Normal"/>
              <w:keepNext/>
              <w:keepLines/>
              <w:spacing w:lineRule="auto" w:line="240" w:before="40" w:after="40"/>
              <w:jc w:val="end"/>
              <w:rPr>
                <w:sz w:val="22"/>
              </w:rPr>
            </w:pPr>
            <w:r>
              <w:rPr>
                <w:b w:val="false"/>
                <w:sz w:val="18"/>
              </w:rPr>
              <w:t>0 / 0</w:t>
            </w:r>
          </w:p>
        </w:tc>
        <w:tc>
          <w:tcPr>
            <w:tcW w:w="1360" w:type="dxa"/>
            <w:tcBorders/>
            <w:vAlign w:val="center"/>
          </w:tcPr>
          <w:p>
            <w:pPr>
              <w:pStyle w:val="Normal"/>
              <w:keepNext/>
              <w:keepLines/>
              <w:spacing w:lineRule="auto" w:line="240" w:before="40" w:after="40"/>
              <w:jc w:val="end"/>
              <w:rPr>
                <w:sz w:val="22"/>
              </w:rPr>
            </w:pPr>
            <w:r>
              <w:rPr>
                <w:b w:val="false"/>
                <w:sz w:val="18"/>
              </w:rPr>
              <w:t>0 / 194</w:t>
            </w:r>
          </w:p>
        </w:tc>
        <w:tc>
          <w:tcPr>
            <w:tcW w:w="1363" w:type="dxa"/>
            <w:tcBorders/>
            <w:vAlign w:val="center"/>
          </w:tcPr>
          <w:p>
            <w:pPr>
              <w:pStyle w:val="Normal"/>
              <w:keepNext/>
              <w:keepLines/>
              <w:spacing w:lineRule="auto" w:line="240" w:before="40" w:after="40"/>
              <w:jc w:val="end"/>
              <w:rPr>
                <w:sz w:val="22"/>
              </w:rPr>
            </w:pPr>
            <w:r>
              <w:rPr>
                <w:b w:val="false"/>
                <w:sz w:val="18"/>
              </w:rPr>
              <w:t>0,00</w:t>
            </w:r>
          </w:p>
        </w:tc>
        <w:tc>
          <w:tcPr>
            <w:tcW w:w="1358" w:type="dxa"/>
            <w:tcBorders/>
            <w:vAlign w:val="center"/>
          </w:tcPr>
          <w:p>
            <w:pPr>
              <w:pStyle w:val="Normal"/>
              <w:keepNext/>
              <w:keepLines/>
              <w:spacing w:lineRule="auto" w:line="240" w:before="40" w:after="40"/>
              <w:jc w:val="start"/>
              <w:rPr>
                <w:sz w:val="22"/>
              </w:rPr>
            </w:pPr>
            <w:r>
              <w:rPr>
                <w:b w:val="false"/>
                <w:sz w:val="18"/>
              </w:rPr>
              <w:t>Fehlalarme</w:t>
            </w:r>
          </w:p>
        </w:tc>
      </w:tr>
      <w:tr>
        <w:trPr>
          <w:cantSplit w:val="true"/>
        </w:trPr>
        <w:tc>
          <w:tcPr>
            <w:tcW w:w="2265" w:type="dxa"/>
            <w:tcBorders/>
            <w:vAlign w:val="center"/>
          </w:tcPr>
          <w:p>
            <w:pPr>
              <w:pStyle w:val="Normal"/>
              <w:keepNext/>
              <w:keepLines/>
              <w:spacing w:lineRule="auto" w:line="240" w:before="40" w:after="40"/>
              <w:jc w:val="start"/>
              <w:rPr>
                <w:sz w:val="22"/>
              </w:rPr>
            </w:pPr>
            <w:r>
              <w:rPr>
                <w:b w:val="false"/>
                <w:sz w:val="18"/>
              </w:rPr>
              <w:t>Normal nachher / IF</w:t>
            </w:r>
          </w:p>
        </w:tc>
        <w:tc>
          <w:tcPr>
            <w:tcW w:w="1363" w:type="dxa"/>
            <w:tcBorders/>
            <w:vAlign w:val="center"/>
          </w:tcPr>
          <w:p>
            <w:pPr>
              <w:pStyle w:val="Normal"/>
              <w:keepNext/>
              <w:keepLines/>
              <w:spacing w:lineRule="auto" w:line="240" w:before="40" w:after="40"/>
              <w:jc w:val="end"/>
              <w:rPr>
                <w:sz w:val="22"/>
              </w:rPr>
            </w:pPr>
            <w:r>
              <w:rPr>
                <w:b w:val="false"/>
                <w:sz w:val="18"/>
              </w:rPr>
              <w:t>194 / 0</w:t>
            </w:r>
          </w:p>
        </w:tc>
        <w:tc>
          <w:tcPr>
            <w:tcW w:w="1361" w:type="dxa"/>
            <w:tcBorders/>
            <w:vAlign w:val="center"/>
          </w:tcPr>
          <w:p>
            <w:pPr>
              <w:pStyle w:val="Normal"/>
              <w:keepNext/>
              <w:keepLines/>
              <w:spacing w:lineRule="auto" w:line="240" w:before="40" w:after="40"/>
              <w:jc w:val="end"/>
              <w:rPr>
                <w:sz w:val="22"/>
              </w:rPr>
            </w:pPr>
            <w:r>
              <w:rPr>
                <w:b w:val="false"/>
                <w:sz w:val="18"/>
              </w:rPr>
              <w:t>0 / 0</w:t>
            </w:r>
          </w:p>
        </w:tc>
        <w:tc>
          <w:tcPr>
            <w:tcW w:w="1360" w:type="dxa"/>
            <w:tcBorders/>
            <w:vAlign w:val="center"/>
          </w:tcPr>
          <w:p>
            <w:pPr>
              <w:pStyle w:val="Normal"/>
              <w:keepNext/>
              <w:keepLines/>
              <w:spacing w:lineRule="auto" w:line="240" w:before="40" w:after="40"/>
              <w:jc w:val="end"/>
              <w:rPr>
                <w:sz w:val="22"/>
              </w:rPr>
            </w:pPr>
            <w:r>
              <w:rPr>
                <w:b w:val="false"/>
                <w:sz w:val="18"/>
              </w:rPr>
              <w:t>0 / 194</w:t>
            </w:r>
          </w:p>
        </w:tc>
        <w:tc>
          <w:tcPr>
            <w:tcW w:w="1363" w:type="dxa"/>
            <w:tcBorders/>
            <w:vAlign w:val="center"/>
          </w:tcPr>
          <w:p>
            <w:pPr>
              <w:pStyle w:val="Normal"/>
              <w:keepNext/>
              <w:keepLines/>
              <w:spacing w:lineRule="auto" w:line="240" w:before="40" w:after="40"/>
              <w:jc w:val="end"/>
              <w:rPr>
                <w:sz w:val="22"/>
              </w:rPr>
            </w:pPr>
            <w:r>
              <w:rPr>
                <w:b w:val="false"/>
                <w:sz w:val="18"/>
              </w:rPr>
              <w:t>0,00</w:t>
            </w:r>
          </w:p>
        </w:tc>
        <w:tc>
          <w:tcPr>
            <w:tcW w:w="1358" w:type="dxa"/>
            <w:tcBorders/>
            <w:vAlign w:val="center"/>
          </w:tcPr>
          <w:p>
            <w:pPr>
              <w:pStyle w:val="Normal"/>
              <w:keepNext/>
              <w:keepLines/>
              <w:spacing w:lineRule="auto" w:line="240" w:before="40" w:after="40"/>
              <w:jc w:val="start"/>
              <w:rPr>
                <w:sz w:val="22"/>
              </w:rPr>
            </w:pPr>
            <w:r>
              <w:rPr>
                <w:b w:val="false"/>
                <w:sz w:val="18"/>
              </w:rPr>
              <w:t>Fehlalarme</w:t>
            </w:r>
          </w:p>
        </w:tc>
      </w:tr>
      <w:tr>
        <w:trPr>
          <w:cantSplit w:val="true"/>
        </w:trPr>
        <w:tc>
          <w:tcPr>
            <w:tcW w:w="2265" w:type="dxa"/>
            <w:tcBorders/>
            <w:vAlign w:val="center"/>
          </w:tcPr>
          <w:p>
            <w:pPr>
              <w:pStyle w:val="Normal"/>
              <w:keepNext w:val="0"/>
              <w:keepLines/>
              <w:spacing w:lineRule="auto" w:line="240" w:before="40" w:after="40"/>
              <w:jc w:val="start"/>
              <w:rPr>
                <w:sz w:val="22"/>
              </w:rPr>
            </w:pPr>
            <w:r>
              <w:rPr>
                <w:b w:val="false"/>
                <w:sz w:val="18"/>
              </w:rPr>
              <w:t>Normal nachher / AE</w:t>
            </w:r>
          </w:p>
        </w:tc>
        <w:tc>
          <w:tcPr>
            <w:tcW w:w="1363" w:type="dxa"/>
            <w:tcBorders/>
            <w:vAlign w:val="center"/>
          </w:tcPr>
          <w:p>
            <w:pPr>
              <w:pStyle w:val="Normal"/>
              <w:keepNext w:val="0"/>
              <w:keepLines/>
              <w:spacing w:lineRule="auto" w:line="240" w:before="40" w:after="40"/>
              <w:jc w:val="end"/>
              <w:rPr>
                <w:sz w:val="22"/>
              </w:rPr>
            </w:pPr>
            <w:r>
              <w:rPr>
                <w:b w:val="false"/>
                <w:sz w:val="18"/>
              </w:rPr>
              <w:t>194 / 0</w:t>
            </w:r>
          </w:p>
        </w:tc>
        <w:tc>
          <w:tcPr>
            <w:tcW w:w="1361" w:type="dxa"/>
            <w:tcBorders/>
            <w:vAlign w:val="center"/>
          </w:tcPr>
          <w:p>
            <w:pPr>
              <w:pStyle w:val="Normal"/>
              <w:keepNext w:val="0"/>
              <w:keepLines/>
              <w:spacing w:lineRule="auto" w:line="240" w:before="40" w:after="40"/>
              <w:jc w:val="end"/>
              <w:rPr>
                <w:sz w:val="22"/>
              </w:rPr>
            </w:pPr>
            <w:r>
              <w:rPr>
                <w:b w:val="false"/>
                <w:sz w:val="18"/>
              </w:rPr>
              <w:t>0 / 0</w:t>
            </w:r>
          </w:p>
        </w:tc>
        <w:tc>
          <w:tcPr>
            <w:tcW w:w="1360" w:type="dxa"/>
            <w:tcBorders/>
            <w:vAlign w:val="center"/>
          </w:tcPr>
          <w:p>
            <w:pPr>
              <w:pStyle w:val="Normal"/>
              <w:keepNext w:val="0"/>
              <w:keepLines/>
              <w:spacing w:lineRule="auto" w:line="240" w:before="40" w:after="40"/>
              <w:jc w:val="end"/>
              <w:rPr>
                <w:sz w:val="22"/>
              </w:rPr>
            </w:pPr>
            <w:r>
              <w:rPr>
                <w:b w:val="false"/>
                <w:sz w:val="18"/>
              </w:rPr>
              <w:t>4 / 190</w:t>
            </w:r>
          </w:p>
        </w:tc>
        <w:tc>
          <w:tcPr>
            <w:tcW w:w="1363" w:type="dxa"/>
            <w:tcBorders/>
            <w:vAlign w:val="center"/>
          </w:tcPr>
          <w:p>
            <w:pPr>
              <w:pStyle w:val="Normal"/>
              <w:keepNext w:val="0"/>
              <w:keepLines/>
              <w:spacing w:lineRule="auto" w:line="240" w:before="40" w:after="40"/>
              <w:jc w:val="end"/>
              <w:rPr>
                <w:sz w:val="22"/>
              </w:rPr>
            </w:pPr>
            <w:r>
              <w:rPr>
                <w:b w:val="false"/>
                <w:sz w:val="18"/>
              </w:rPr>
              <w:t>2,06</w:t>
            </w:r>
          </w:p>
        </w:tc>
        <w:tc>
          <w:tcPr>
            <w:tcW w:w="1358" w:type="dxa"/>
            <w:tcBorders/>
            <w:vAlign w:val="center"/>
          </w:tcPr>
          <w:p>
            <w:pPr>
              <w:pStyle w:val="Normal"/>
              <w:keepNext w:val="0"/>
              <w:keepLines/>
              <w:spacing w:lineRule="auto" w:line="240" w:before="40" w:after="40"/>
              <w:jc w:val="start"/>
              <w:rPr>
                <w:sz w:val="22"/>
              </w:rPr>
            </w:pPr>
            <w:r>
              <w:rPr>
                <w:b w:val="false"/>
                <w:sz w:val="18"/>
              </w:rPr>
              <w:t>Fehlalarme</w:t>
            </w:r>
          </w:p>
        </w:tc>
      </w:tr>
    </w:tbl>
    <w:p>
      <w:r>
        <w:t>Die Berechnung und Quellenhashes der aufnahmespezifischen Werte stehen unter B9 in per_record_metrics.json; die Zustandsauswertung steht unter B7 in controlled_state_descriptive_metrics.json. Die früheren Normaltests bei 50 % PWM bleiben unter B6 erhalten. Sie zeigen keinen einheitlichen Anstieg der Fehlalarmrate aller Verfahren; der Autoencoder steigt in der damaligen zusammengefassten Auswertung von 5,50 % auf 6,01 %, während die beiden Baselines sinken. Dieser Befund gehört nicht zur neuen Handyreihe.</w:t>
      </w:r>
    </w:p>
    <w:p>
      <w:bookmarkStart w:id="10056" w:name="phone_heading_10056"/>
      <w:pPr>
        <w:pStyle w:val="Heading2"/>
        <w:numPr>
          <w:ilvl w:val="1"/>
          <w:numId w:val="0"/>
        </w:numPr>
        <w:jc w:val="left"/>
      </w:pPr>
      <w:r>
        <w:t>Erhaltene historische Raspberry-Pi-Messwerte</w:t>
      </w:r>
      <w:bookmarkEnd w:id="10056"/>
    </w:p>
    <w:p>
      <w:r>
        <w:t>Die Tabellen A-5 und A-6 bleiben zahlenmäßig unverändert gegenüber der Ausgangsfassung. Ihre Messmatrix umfasst drei neue Prozesse je Methode und Betriebsart, 300 s Erfassung beziehungsweise zeitgetreues Replay und den aktiven Bewertungsabschnitt [180,300) s. Zwanzig synthetische Aufwärmaufrufe liegen vor dem Messbeginn. Reihenfolgen wurden rotiert. Sensorstarts verwenden 75 % PWM bei 25 kHz; nach den damaligen Sensorläufen wurde 0 % zurückgelesen. Diese historische Stopplogik darf nicht als Verhalten der Handyrecorder beschrieben werden.</w:t>
      </w:r>
    </w:p>
    <w:p>
      <w:bookmarkStart w:id="10057" w:name="phone_table_10057"/>
      <w:pPr>
        <w:pStyle w:val="Tabellenbeschriftung"/>
      </w:pPr>
      <w:r>
        <w:t>Tabelle A-5: Historische Latenzen; Bereich von drei getrennten Prozessen je Zeile</w:t>
      </w:r>
      <w:bookmarkEnd w:id="1005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6"/>
        <w:gridCol w:w="1705"/>
        <w:gridCol w:w="1810"/>
        <w:gridCol w:w="1875"/>
      </w:tblGrid>
      <w:tr>
        <w:trPr>
          <w:tblHeader w:val="true"/>
          <w:cantSplit w:val="true"/>
        </w:trPr>
        <w:tc>
          <w:tcPr>
            <w:tcW w:w="2265"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6"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gesamt [ms]</w:t>
            </w:r>
          </w:p>
        </w:tc>
        <w:tc>
          <w:tcPr>
            <w:tcW w:w="1705"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Rechenkern [ms]</w:t>
            </w:r>
          </w:p>
        </w:tc>
        <w:tc>
          <w:tcPr>
            <w:tcW w:w="1810"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größtes Maximum gesamt [ms]</w:t>
            </w:r>
          </w:p>
        </w:tc>
        <w:tc>
          <w:tcPr>
            <w:tcW w:w="1875"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Überschreitungen</w:t>
            </w:r>
          </w:p>
        </w:tc>
      </w:tr>
      <w:tr>
        <w:trPr>
          <w:cantSplit w:val="true"/>
        </w:trPr>
        <w:tc>
          <w:tcPr>
            <w:tcW w:w="2265"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6"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6,113–6,203</w:t>
            </w:r>
          </w:p>
        </w:tc>
        <w:tc>
          <w:tcPr>
            <w:tcW w:w="170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0,045–0,049</w:t>
            </w:r>
          </w:p>
        </w:tc>
        <w:tc>
          <w:tcPr>
            <w:tcW w:w="1810"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7,908</w:t>
            </w:r>
          </w:p>
        </w:tc>
        <w:tc>
          <w:tcPr>
            <w:tcW w:w="187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6"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27,896–28,577</w:t>
            </w:r>
          </w:p>
        </w:tc>
        <w:tc>
          <w:tcPr>
            <w:tcW w:w="170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22,004–22,049</w:t>
            </w:r>
          </w:p>
        </w:tc>
        <w:tc>
          <w:tcPr>
            <w:tcW w:w="1810"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29,234</w:t>
            </w:r>
          </w:p>
        </w:tc>
        <w:tc>
          <w:tcPr>
            <w:tcW w:w="187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6"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6,261–7,062</w:t>
            </w:r>
          </w:p>
        </w:tc>
        <w:tc>
          <w:tcPr>
            <w:tcW w:w="170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0,086–0,114</w:t>
            </w:r>
          </w:p>
        </w:tc>
        <w:tc>
          <w:tcPr>
            <w:tcW w:w="1810"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8,207</w:t>
            </w:r>
          </w:p>
        </w:tc>
        <w:tc>
          <w:tcPr>
            <w:tcW w:w="187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6"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6,077–6,558</w:t>
            </w:r>
          </w:p>
        </w:tc>
        <w:tc>
          <w:tcPr>
            <w:tcW w:w="170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0,045–0,057</w:t>
            </w:r>
          </w:p>
        </w:tc>
        <w:tc>
          <w:tcPr>
            <w:tcW w:w="1810"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7,519</w:t>
            </w:r>
          </w:p>
        </w:tc>
        <w:tc>
          <w:tcPr>
            <w:tcW w:w="187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6"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27,802–29,325</w:t>
            </w:r>
          </w:p>
        </w:tc>
        <w:tc>
          <w:tcPr>
            <w:tcW w:w="170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21,884–22,957</w:t>
            </w:r>
          </w:p>
        </w:tc>
        <w:tc>
          <w:tcPr>
            <w:tcW w:w="1810"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32,462</w:t>
            </w:r>
          </w:p>
        </w:tc>
        <w:tc>
          <w:tcPr>
            <w:tcW w:w="187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0"/>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6" w:type="dxa"/>
            <w:tcBorders/>
            <w:vAlign w:val="center"/>
          </w:tcPr>
          <w:p>
            <w:pPr>
              <w:pStyle w:val="Normal"/>
              <w:keepNext w:val="0"/>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6,236–6,587</w:t>
            </w:r>
          </w:p>
        </w:tc>
        <w:tc>
          <w:tcPr>
            <w:tcW w:w="1705" w:type="dxa"/>
            <w:tcBorders/>
            <w:vAlign w:val="center"/>
          </w:tcPr>
          <w:p>
            <w:pPr>
              <w:pStyle w:val="Normal"/>
              <w:keepNext w:val="0"/>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0,099–0,116</w:t>
            </w:r>
          </w:p>
        </w:tc>
        <w:tc>
          <w:tcPr>
            <w:tcW w:w="1810" w:type="dxa"/>
            <w:tcBorders/>
            <w:vAlign w:val="center"/>
          </w:tcPr>
          <w:p>
            <w:pPr>
              <w:pStyle w:val="Normal"/>
              <w:keepNext w:val="0"/>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6,785</w:t>
            </w:r>
          </w:p>
        </w:tc>
        <w:tc>
          <w:tcPr>
            <w:tcW w:w="1875" w:type="dxa"/>
            <w:tcBorders/>
            <w:vAlign w:val="center"/>
          </w:tcPr>
          <w:p>
            <w:pPr>
              <w:pStyle w:val="Normal"/>
              <w:keepNext w:val="0"/>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r>
        <w:t>Die damalige gesamte Latenz beginnt beim Host-Leseabschluss des letzten XYZ-Punkts und endet vor dem Schreiben der Entscheidung ins Journal. Sie umfasst unter anderem Übergabe, Fensteraufbau, Qualitätsprüfung, fensterweise Mittelwertentfernung, Queue, Standardisierung und Auswertung. Die Rechenkernzeit bezeichnet nur die jeweils isoliert instrumentierte Berechnung, beim Autoencoder Interpreter.invoke. Sie ist nicht identisch mit processing_ms des aktuellen Handyrecorders. Die historische H2-Auswertung dokumentiert keine Fristüberschreitungen im untersuchten Umfang; sie ist kein Beleg harter Echtzeit.</w:t>
      </w:r>
    </w:p>
    <w:p>
      <w:bookmarkStart w:id="10058" w:name="phone_table_10058"/>
      <w:pPr>
        <w:pStyle w:val="Tabellenbeschriftung"/>
      </w:pPr>
      <w:r>
        <w:t>Tabelle A-6: Historische Ressourcen im aktiven Abschnitt [180,300) s; Bereich von drei Prozessen</w:t>
      </w:r>
      <w:bookmarkEnd w:id="1005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6"/>
        <w:gridCol w:w="1705"/>
        <w:gridCol w:w="1810"/>
        <w:gridCol w:w="1875"/>
      </w:tblGrid>
      <w:tr>
        <w:trPr>
          <w:tblHeader w:val="true"/>
          <w:cantSplit w:val="true"/>
        </w:trPr>
        <w:tc>
          <w:tcPr>
            <w:tcW w:w="2265"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6"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mittlere CPU [% eines Kerns]</w:t>
            </w:r>
          </w:p>
        </w:tc>
        <w:tc>
          <w:tcPr>
            <w:tcW w:w="1705"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maximales RSS [MiB]</w:t>
            </w:r>
          </w:p>
        </w:tc>
        <w:tc>
          <w:tcPr>
            <w:tcW w:w="1810"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 gesamt</w:t>
            </w:r>
          </w:p>
        </w:tc>
        <w:tc>
          <w:tcPr>
            <w:tcW w:w="1875" w:type="dxa"/>
            <w:tcBorders/>
            <w:shd w:fill="E7EDF2" w:val="clear"/>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verworfene Fenster</w:t>
            </w:r>
          </w:p>
        </w:tc>
      </w:tr>
      <w:tr>
        <w:trPr>
          <w:cantSplit w:val="true"/>
        </w:trPr>
        <w:tc>
          <w:tcPr>
            <w:tcW w:w="2265"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6"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5,02–5,12</w:t>
            </w:r>
          </w:p>
        </w:tc>
        <w:tc>
          <w:tcPr>
            <w:tcW w:w="170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75,47–75,48</w:t>
            </w:r>
          </w:p>
        </w:tc>
        <w:tc>
          <w:tcPr>
            <w:tcW w:w="1810"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6"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8,59–8,62</w:t>
            </w:r>
          </w:p>
        </w:tc>
        <w:tc>
          <w:tcPr>
            <w:tcW w:w="170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171,00–171,00</w:t>
            </w:r>
          </w:p>
        </w:tc>
        <w:tc>
          <w:tcPr>
            <w:tcW w:w="1810"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6"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5,02–5,16</w:t>
            </w:r>
          </w:p>
        </w:tc>
        <w:tc>
          <w:tcPr>
            <w:tcW w:w="170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86,30–86,42</w:t>
            </w:r>
          </w:p>
        </w:tc>
        <w:tc>
          <w:tcPr>
            <w:tcW w:w="1810"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6"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1,65–2,04</w:t>
            </w:r>
          </w:p>
        </w:tc>
        <w:tc>
          <w:tcPr>
            <w:tcW w:w="170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142,12–143,61</w:t>
            </w:r>
          </w:p>
        </w:tc>
        <w:tc>
          <w:tcPr>
            <w:tcW w:w="1810"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6"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5,06–5,32</w:t>
            </w:r>
          </w:p>
        </w:tc>
        <w:tc>
          <w:tcPr>
            <w:tcW w:w="170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238,47–238,48</w:t>
            </w:r>
          </w:p>
        </w:tc>
        <w:tc>
          <w:tcPr>
            <w:tcW w:w="1810"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5" w:type="dxa"/>
            <w:tcBorders/>
            <w:vAlign w:val="center"/>
          </w:tcPr>
          <w:p>
            <w:pPr>
              <w:pStyle w:val="Normal"/>
              <w:keepNext/>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0"/>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6" w:type="dxa"/>
            <w:tcBorders/>
            <w:vAlign w:val="center"/>
          </w:tcPr>
          <w:p>
            <w:pPr>
              <w:pStyle w:val="Normal"/>
              <w:keepNext w:val="0"/>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1,80–1,99</w:t>
            </w:r>
          </w:p>
        </w:tc>
        <w:tc>
          <w:tcPr>
            <w:tcW w:w="1705" w:type="dxa"/>
            <w:tcBorders/>
            <w:vAlign w:val="center"/>
          </w:tcPr>
          <w:p>
            <w:pPr>
              <w:pStyle w:val="Normal"/>
              <w:keepNext w:val="0"/>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153,38–153,41</w:t>
            </w:r>
          </w:p>
        </w:tc>
        <w:tc>
          <w:tcPr>
            <w:tcW w:w="1810" w:type="dxa"/>
            <w:tcBorders/>
            <w:vAlign w:val="center"/>
          </w:tcPr>
          <w:p>
            <w:pPr>
              <w:pStyle w:val="Normal"/>
              <w:keepNext w:val="0"/>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5" w:type="dxa"/>
            <w:tcBorders/>
            <w:vAlign w:val="center"/>
          </w:tcPr>
          <w:p>
            <w:pPr>
              <w:pStyle w:val="Normal"/>
              <w:keepNext w:val="0"/>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r>
        <w:t>Die historische CPU-Auslastung ist zeitgewichtet aus ungefähr 100-ms-Monitorproben berechnet. 100 % entsprechen einem logischen Kern. Der erste CPU-Wert ohne vorherigen Monitorzeitstempel ist aus dieser Gewichtung ausgeschlossen. RSS erfasst den vollständigen Python-Prozess. Beim Replay waren die Quelldaten bereits als DataFrame und Datensatzliste geladen; dieser Zusatzspeicher ist kein reiner Modellbedarf. Modellstart und abschließendes erneutes Laden von Daten liegen außerhalb des dargestellten aktiven Ressourcenverlaufs. Die Zahlen dürfen nicht unmittelbar gegen die anders definierten CPU-Mediane und abgetasteten RSS-Werte der Handyreihe als Optimierungsnachweis verrechnet werden.</w:t>
      </w:r>
    </w:p>
    <w:p>
      <w:r>
        <w:t>Umgebung der dokumentierten Ausführung: Raspberry Pi 5 mit vier logischen Kernen, 64-Bit-Linux und Python 3.13.5. Die Laufdateien der Handyaufnahme nennen NumPy 2.5.1, scikit-learn 1.9.0, ai-edge-litert 2.1.6 und psutil 7.2.2. Der Trainingsprofil-Snapshot stammt aus einer separat erfassten Umgebung und nennt unter anderem NumPy 2.5.2 und TensorFlow 2.21.0. Die jeweilige Provenienzdatei hat Vorrang vor einer pauschalen Gleichsetzung aller Softwarestände. Die Hardwareauswahl ist davon unberührt.</w:t>
      </w:r>
    </w:p>
    <w:p>
      <w:bookmarkStart w:id="10059" w:name="phone_heading_10059"/>
      <w:pPr>
        <w:pStyle w:val="Heading2"/>
        <w:numPr>
          <w:ilvl w:val="1"/>
          <w:numId w:val="0"/>
        </w:numPr>
        <w:jc w:val="left"/>
      </w:pPr>
      <w:r>
        <w:t>Lesen der aktuellen Messdateien</w:t>
      </w:r>
      <w:bookmarkEnd w:id="10059"/>
    </w:p>
    <w:p>
      <w:r>
        <w:t>raw.csv enthält sample_index, window_index, monotone und UTC-Hostzeit, x_g, y_g, z_g und Qualitätsmerkmale. Ein vollständiges Modellfenster besteht aus 128 aufeinanderfolgenden XYZ-Punkten desselben Laufs. Anders als in der früheren 300-s-Matrix wird im Handyversuch nicht nur [180,300) s ausgewertet. Die ganze nach Warmup gestartete Aufnahme liefert vollständige Fenster; Restpunkte bleiben dokumentiert.</w:t>
      </w:r>
    </w:p>
    <w:p>
      <w:r>
        <w:t>decisions.csv ordnet Score, eingefrorene Schwelle, Entscheidung und Fehlerstatus dem Fenster zu. Im gemeinsamen Lauf kommen method, input_sha256, dispatch_ns, worker_start_ns und decision_ns hinzu. window_to_decision_ms verwendet den Host-Abschluss des letzten Fensterpunkts. resources.csv gehört zum gemeinsamen Prozess, nicht zu einer isolierten Methode. CPU-Prozente, RSS, Temperatur und Takt sind Messproben des beobachteten Prozesses und Systems.</w:t>
      </w:r>
    </w:p>
    <w:p>
      <w:r>
        <w:t>cues.jsonl speichert die Bedienereignisse; run.json beschreibt Laufstatus, Sensor, PWM und Erfassungsintegrität. Eine Null oder ein fehlender Wert für true_detection_delay_ms, detection_rate beziehungsweise false_alarm_rate bedeutet nicht null Millisekunden oder null Prozent, sondern einen nicht bestimmbaren Nachweis. UTC-Einträge sind keine nachträglich erfundenen physikalischen Ereignisgrenzen. Bilder und Präsentationsansichten sind Ergebnisdarstellungen, keine zusätzlichen Messungen.</w:t>
      </w:r>
    </w:p>
    <w:p>
      <w:bookmarkStart w:id="10060" w:name="phone_heading_10060"/>
      <w:pPr>
        <w:pStyle w:val="Heading2"/>
        <w:numPr>
          <w:ilvl w:val="1"/>
          <w:numId w:val="0"/>
        </w:numPr>
        <w:jc w:val="left"/>
      </w:pPr>
      <w:r>
        <w:t>KI-Unterstützung und fachliche Verantwortung</w:t>
      </w:r>
      <w:bookmarkEnd w:id="10060"/>
    </w:p>
    <w:p>
      <w:r>
        <w:t>Bei der Bearbeitung wurde Codex von OpenAI als KI-gestütztes Werkzeug für Softwareentwicklung und Fehlersuche, Datenauswertung und Grafikaufbereitung, Quellenprüfung sowie die Formulierung, Überarbeitung und Formatprüfung des Berichts verwendet. Dies umfasst auch generierte und überarbeitete Textpassagen; die Unterstützung beschränkt sich nicht auf Rechtschreibkorrekturen. Die physische Einrichtung und die im Kontrolljournal ausgewiesenen Sichtbeobachtungen stammen aus Nutzerangaben. KI-Ausgaben gelten nicht als eigenständige wissenschaftliche Quellen oder als Ersatz für Messnachweise.</w:t>
      </w:r>
    </w:p>
    <w:p>
      <w:r>
        <w:t>Der digitale Nachweis B13 dokumentiert die aktuelle Überarbeitung anhand der archivierten Versuchsdaten; B10 und B11 enthalten frühere Unterstützungs- und Änderungsnachweise. Eine positive Darstellung des beobachteten Autoencoder-Vorteils darf weder fehlende Messungen ersetzen noch historische negative Ergebnisse verändern. Die persönliche fachliche Prüfung, die Eigenständigkeitserklärung und die Einhaltung der geltenden Hilfsmittelregeln können nicht durch die Software bestätigt werden.</w:t>
      </w:r>
    </w:p>
    <w:p>
      <w:pPr>
        <w:pStyle w:val="Heading1"/>
        <w:numPr>
          <w:ilvl w:val="0"/>
          <w:numId w:val="0"/>
        </w:numPr>
        <w:ind w:hanging="0" w:start="0"/>
        <w:rPr/>
      </w:pPr>
      <w:bookmarkStart w:id="280" w:name="__RefHeading___Toc14204_535938422"/>
      <w:bookmarkStart w:id="281" w:name="FinalHeading_10102"/>
      <w:bookmarkEnd w:id="280"/>
      <w:r>
        <w:rPr/>
        <w:t>Literaturverzeichnis</w:t>
      </w:r>
      <w:bookmarkEnd w:id="281"/>
    </w:p>
    <w:p>
      <w:pPr>
        <w:pStyle w:val="LiteratureEntry"/>
        <w:rPr/>
      </w:pPr>
      <w:r>
        <w:rPr/>
        <w:t xml:space="preserve">Analog Devices (2022). ADXL345: 3-Axis, ±2 g/±4 g/±8 g/±16 g Digital Accelerometer. Datenblatt, Revision G, Mai 2022. </w:t>
      </w:r>
      <w:hyperlink r:id="rId21">
        <w:r>
          <w:rPr>
            <w:rStyle w:val="Style"/>
            <w:color w:val="1F4E79"/>
          </w:rPr>
          <w:t>https://www.analog.com/media/en/technical-documentation/data-sheets/adxl345.pdf</w:t>
        </w:r>
      </w:hyperlink>
      <w:r>
        <w:rPr/>
        <w:t xml:space="preserve"> (Abruf: 12.09.2026.)</w:t>
      </w:r>
    </w:p>
    <w:p>
      <w:pPr>
        <w:pStyle w:val="LiteratureEntry"/>
        <w:rPr/>
      </w:pPr>
      <w:r>
        <w:rPr/>
        <w:t xml:space="preserve">Analog Devices (2025). ADXL354/ADXL355: Low Noise, Low Drift, Low Power, 3-Axis MEMS Accelerometers. Datenblatt, Revision D, Juni 2025. </w:t>
      </w:r>
      <w:hyperlink r:id="rId22">
        <w:r>
          <w:rPr>
            <w:rStyle w:val="Style"/>
            <w:color w:val="1F4E79"/>
          </w:rPr>
          <w:t>https://www.analog.com/media/en/technical-documentation/data-sheets/adxl354_adxl355.pdf</w:t>
        </w:r>
      </w:hyperlink>
      <w:r>
        <w:rPr/>
        <w:t xml:space="preserve"> (Abruf: 12.09.2026.)</w:t>
      </w:r>
    </w:p>
    <w:p>
      <w:pPr>
        <w:pStyle w:val="LiteratureEntry"/>
        <w:rPr/>
      </w:pPr>
      <w:r>
        <w:rPr/>
        <w:t xml:space="preserve">Antonini, M., Pincheira, M., Vecchio, M., &amp; Antonelli, F. (2023). An Adaptable and Unsupervised TinyML Anomaly Detection System for Extreme Industrial Environments. Sensors, 23(4), 2344. </w:t>
      </w:r>
      <w:hyperlink r:id="rId23">
        <w:r>
          <w:rPr>
            <w:rStyle w:val="Style"/>
            <w:color w:val="1F4E79"/>
          </w:rPr>
          <w:t>https://doi.org/10.3390/s23042344</w:t>
        </w:r>
      </w:hyperlink>
      <w:r>
        <w:rPr/>
        <w:t xml:space="preserve"> (Abruf: 12.09.2026.)</w:t>
      </w:r>
    </w:p>
    <w:p>
      <w:pPr>
        <w:pStyle w:val="LiteratureEntry"/>
        <w:rPr/>
      </w:pPr>
      <w:r>
        <w:rPr/>
        <w:t xml:space="preserve">ARCTIC (o. J.). Specifications: P12 Pro PST. Technisches Datenblatt. </w:t>
      </w:r>
      <w:hyperlink r:id="rId24">
        <w:r>
          <w:rPr>
            <w:rStyle w:val="Style"/>
            <w:color w:val="1F4E79"/>
          </w:rPr>
          <w:t>https://www.arctic.de/media/2c/de/c6/1750758983/Spec_Sheet_P12_Pro_PST_EN.pdf</w:t>
        </w:r>
      </w:hyperlink>
      <w:r>
        <w:rPr/>
        <w:t xml:space="preserve"> (Abruf: 12.09.2026.)</w:t>
      </w:r>
    </w:p>
    <w:p>
      <w:pPr>
        <w:pStyle w:val="LiteratureEntry"/>
        <w:rPr/>
      </w:pPr>
      <w:r>
        <w:rPr/>
        <w:t xml:space="preserve">Buttazzo, G. C. (2011). Hard Real-Time Computing Systems: Predictable Scheduling Algorithms and Applications (3. Aufl.). Springer. </w:t>
      </w:r>
      <w:hyperlink r:id="rId25">
        <w:r>
          <w:rPr>
            <w:rStyle w:val="Style"/>
            <w:color w:val="1F4E79"/>
          </w:rPr>
          <w:t>https://doi.org/10.1007/978-1-4614-0676-1</w:t>
        </w:r>
      </w:hyperlink>
      <w:r>
        <w:rPr/>
        <w:t xml:space="preserve"> (Abruf: 12.09.2026.)</w:t>
      </w:r>
    </w:p>
    <w:p>
      <w:pPr>
        <w:pStyle w:val="LiteratureEntry"/>
        <w:rPr/>
      </w:pPr>
      <w:r>
        <w:rPr/>
        <w:t xml:space="preserve">Chandola, V., Banerjee, A., &amp; Kumar, V. (2009). Anomaly Detection: A Survey. ACM Computing Surveys, 41(3), Artikel 15, 1–58. </w:t>
      </w:r>
      <w:hyperlink r:id="rId26">
        <w:r>
          <w:rPr>
            <w:rStyle w:val="Style"/>
            <w:color w:val="1F4E79"/>
          </w:rPr>
          <w:t>https://doi.org/10.1145/1541880.1541882</w:t>
        </w:r>
      </w:hyperlink>
      <w:r>
        <w:rPr/>
        <w:t xml:space="preserve"> (Abruf: 12.09.2026.)</w:t>
      </w:r>
    </w:p>
    <w:p>
      <w:pPr>
        <w:pStyle w:val="LiteratureEntry"/>
        <w:rPr/>
      </w:pPr>
      <w:r>
        <w:rPr/>
        <w:t xml:space="preserve">Department for Communities and Local Government (2009). Multi-criteria analysis: a manual. London. ISBN 978-1-4098-1023-0. </w:t>
      </w:r>
      <w:hyperlink r:id="rId27">
        <w:r>
          <w:rPr>
            <w:rStyle w:val="Style"/>
            <w:color w:val="1F4E79"/>
          </w:rPr>
          <w:t>https://www.gov.uk/government/publications/multi-criteria-analysis-manual-for-making-government-policy</w:t>
        </w:r>
      </w:hyperlink>
      <w:r>
        <w:rPr/>
        <w:t xml:space="preserve"> (Abruf: 12.09.2026.)</w:t>
      </w:r>
    </w:p>
    <w:p>
      <w:pPr>
        <w:pStyle w:val="LiteratureEntry"/>
        <w:rPr/>
      </w:pPr>
      <w:r>
        <w:rPr/>
        <w:t xml:space="preserve">Garay, C. E., Miranda Bonomi, F. A., Mansilla, G. N., Fagre, M., Guzmán, S. G., Ritorto, P. A., Perez, F. I., &amp; Katz, M. (2026). A Multimodal TinyML-Based Predictive Maintenance Architecture for Industrial IoT in the 6G Era. Sensors, 26(14), 4536. </w:t>
      </w:r>
      <w:hyperlink r:id="rId28">
        <w:r>
          <w:rPr>
            <w:rStyle w:val="Style"/>
            <w:color w:val="1F4E79"/>
          </w:rPr>
          <w:t>https://doi.org/10.3390/s26144536</w:t>
        </w:r>
      </w:hyperlink>
      <w:r>
        <w:rPr/>
        <w:t xml:space="preserve"> (Abruf: 12.09.2026.)</w:t>
      </w:r>
    </w:p>
    <w:p>
      <w:pPr>
        <w:pStyle w:val="LiteratureEntry"/>
        <w:rPr/>
      </w:pPr>
      <w:r>
        <w:rPr/>
        <w:t xml:space="preserve">Goodfellow, I., Bengio, Y., &amp; Courville, A. (2016). Deep Learning. MIT Press. Insbesondere Kapitel 14: Autoencoders. </w:t>
      </w:r>
      <w:hyperlink r:id="rId29">
        <w:r>
          <w:rPr>
            <w:rStyle w:val="Style"/>
            <w:color w:val="1F4E79"/>
          </w:rPr>
          <w:t>https://www.deeplearningbook.org/</w:t>
        </w:r>
      </w:hyperlink>
      <w:r>
        <w:rPr/>
        <w:t xml:space="preserve"> (Abruf: 12.09.2026.)</w:t>
      </w:r>
    </w:p>
    <w:p>
      <w:pPr>
        <w:pStyle w:val="LiteratureEntry"/>
        <w:rPr/>
      </w:pPr>
      <w:r>
        <w:rPr/>
        <w:t xml:space="preserve">Google (2026a). Convert TensorFlow models. LiteRT-Dokumentation, Stand 28.05.2026. </w:t>
      </w:r>
      <w:hyperlink r:id="rId30">
        <w:r>
          <w:rPr>
            <w:rStyle w:val="Style"/>
            <w:color w:val="1F4E79"/>
          </w:rPr>
          <w:t>https://developers.google.com/edge/litert/conversion/tensorflow/convert_tf</w:t>
        </w:r>
      </w:hyperlink>
      <w:r>
        <w:rPr/>
        <w:t xml:space="preserve"> (Abruf: 12.09.2026.)</w:t>
      </w:r>
    </w:p>
    <w:p>
      <w:pPr>
        <w:pStyle w:val="LiteratureEntry"/>
        <w:rPr/>
      </w:pPr>
      <w:r>
        <w:rPr/>
        <w:t xml:space="preserve">Google (2026b). Post-training quantization. LiteRT-Dokumentation, konsultierte Fassung 2026. </w:t>
      </w:r>
      <w:hyperlink r:id="rId31">
        <w:r>
          <w:rPr>
            <w:rStyle w:val="Style"/>
            <w:color w:val="1F4E79"/>
          </w:rPr>
          <w:t>https://developers.google.com/edge/litert/conversion/tensorflow/quantization/post_training_quantization</w:t>
        </w:r>
      </w:hyperlink>
      <w:r>
        <w:rPr/>
        <w:t xml:space="preserve"> (Abruf: 12.09.2026.)</w:t>
      </w:r>
    </w:p>
    <w:p>
      <w:pPr>
        <w:pStyle w:val="LiteratureEntry"/>
        <w:rPr/>
      </w:pPr>
      <w:r>
        <w:rPr/>
        <w:t xml:space="preserve">Google (2026c). Quickstart for Linux-based devices with Python. LiteRT-Dokumentation, konsultierte Fassung 2026. </w:t>
      </w:r>
      <w:hyperlink r:id="rId32">
        <w:r>
          <w:rPr>
            <w:rStyle w:val="Style"/>
            <w:color w:val="1F4E79"/>
          </w:rPr>
          <w:t>https://developers.google.com/edge/litert/microcontrollers/python</w:t>
        </w:r>
      </w:hyperlink>
      <w:r>
        <w:rPr/>
        <w:t xml:space="preserve"> </w:t>
      </w:r>
      <w:hyperlink r:id="rId33">
        <w:r>
          <w:rPr>
            <w:rStyle w:val="Style"/>
            <w:color w:val="1F4E79"/>
          </w:rPr>
          <w:t>https://developers.google.com/edge/api/tflite/python/tf/lite/Interpreter</w:t>
        </w:r>
      </w:hyperlink>
      <w:r>
        <w:rPr/>
        <w:t xml:space="preserve"> (Abruf: 12.09.2026.)</w:t>
      </w:r>
    </w:p>
    <w:p>
      <w:pPr>
        <w:pStyle w:val="LiteratureEntry"/>
        <w:rPr/>
      </w:pPr>
      <w:r>
        <w:rPr/>
        <w:t xml:space="preserve">Google (2026d). Install TensorFlow with pip. TensorFlow-Dokumentation, konsultierte Fassung 2026. </w:t>
      </w:r>
      <w:hyperlink r:id="rId34">
        <w:r>
          <w:rPr>
            <w:rStyle w:val="Style"/>
            <w:color w:val="1F4E79"/>
          </w:rPr>
          <w:t>https://www.tensorflow.org/install/pip</w:t>
        </w:r>
      </w:hyperlink>
      <w:r>
        <w:rPr/>
        <w:t xml:space="preserve"> (Abruf: 12.09.2026.)</w:t>
      </w:r>
    </w:p>
    <w:p>
      <w:pPr>
        <w:pStyle w:val="LiteratureEntry"/>
        <w:rPr/>
      </w:pPr>
      <w:r>
        <w:rPr/>
        <w:t xml:space="preserve">Jardine, A. K. S., Lin, D., &amp; Banjevic, D. (2006). A review on machinery diagnostics and prognostics implementing condition-based maintenance. Mechanical Systems and Signal Processing, 20(7), 1483–1510. </w:t>
      </w:r>
      <w:hyperlink r:id="rId35">
        <w:r>
          <w:rPr>
            <w:rStyle w:val="Style"/>
            <w:color w:val="1F4E79"/>
          </w:rPr>
          <w:t>https://doi.org/10.1016/j.ymssp.2005.09.012</w:t>
        </w:r>
      </w:hyperlink>
      <w:r>
        <w:rPr/>
        <w:t xml:space="preserve"> (Abruf: 12.09.2026.)</w:t>
      </w:r>
    </w:p>
    <w:p>
      <w:pPr>
        <w:pStyle w:val="LiteratureEntry"/>
        <w:rPr/>
      </w:pPr>
      <w:r>
        <w:rPr/>
        <w:t xml:space="preserve">Kaufman, S., Rosset, S., Perlich, C., &amp; Stitelman, O. (2012). Leakage in data mining: Formulation, detection, and avoidance. ACM Transactions on Knowledge Discovery from Data, 6(4), Artikel 15. </w:t>
      </w:r>
      <w:hyperlink r:id="rId36">
        <w:r>
          <w:rPr>
            <w:rStyle w:val="Style"/>
            <w:color w:val="1F4E79"/>
          </w:rPr>
          <w:t>https://doi.org/10.1145/2382577.2382579</w:t>
        </w:r>
      </w:hyperlink>
      <w:r>
        <w:rPr/>
        <w:t xml:space="preserve"> (Abruf: 12.09.2026.)</w:t>
      </w:r>
    </w:p>
    <w:p>
      <w:pPr>
        <w:pStyle w:val="LiteratureEntry"/>
        <w:rPr/>
      </w:pPr>
      <w:r>
        <w:rPr/>
        <w:t xml:space="preserve">Knap, P., Jachymczyk, U., &amp; Lalik, K. (2026). Leakage-Safe, Reproducible Benchmarking for Vibration-Based Fault Diagnosis. PHM Society European Conference, 9(1), 1–8. </w:t>
      </w:r>
      <w:hyperlink r:id="rId37">
        <w:r>
          <w:rPr>
            <w:rStyle w:val="Style"/>
            <w:color w:val="1F4E79"/>
          </w:rPr>
          <w:t>https://doi.org/10.36001/phme.2026.v9i1.4924</w:t>
        </w:r>
      </w:hyperlink>
      <w:r>
        <w:rPr/>
        <w:t xml:space="preserve"> (Abruf: 12.09.2026.)</w:t>
      </w:r>
    </w:p>
    <w:p>
      <w:pPr>
        <w:pStyle w:val="LiteratureEntry"/>
        <w:rPr/>
      </w:pPr>
      <w:r>
        <w:rPr/>
        <w:t>Lessmeier, C., Kimotho, J. K., Zimmer, D., &amp; Sextro, W. (2016). Condition Monitoring of Bearing Damage in Electromechanical Drive Systems by Using Motor Current Signals of Electric Motors: A Benchmark Data Set for Data-Driven Classification. PHM Society European Conference, 3(1). https://doi.org/10.36001/phme.2016.v3i1.1577. https://mb.uni-paderborn.de/fileadmin-mb/kat/PDF/Veroeffentlichungen/20160703_PHME16_CM_bearing.pdf (Abruf: 12.09.2026.)</w:t>
      </w:r>
    </w:p>
    <w:p>
      <w:pPr>
        <w:pStyle w:val="LiteratureEntry"/>
        <w:rPr/>
      </w:pPr>
      <w:r>
        <w:rPr/>
        <w:t xml:space="preserve">Liu, F. T., Ting, K. M., &amp; Zhou, Z.-H. (2008). Isolation Forest. Proceedings of the Eighth IEEE International Conference on Data Mining, 413–422. </w:t>
      </w:r>
      <w:hyperlink r:id="rId38">
        <w:r>
          <w:rPr>
            <w:rStyle w:val="Style"/>
            <w:color w:val="1F4E79"/>
          </w:rPr>
          <w:t>https://doi.org/10.1109/ICDM.2008.17</w:t>
        </w:r>
      </w:hyperlink>
      <w:r>
        <w:rPr/>
        <w:t xml:space="preserve"> (Abruf: 12.09.2026.)</w:t>
      </w:r>
    </w:p>
    <w:p>
      <w:pPr>
        <w:pStyle w:val="LiteratureEntry"/>
        <w:rPr/>
      </w:pPr>
      <w:r>
        <w:rPr/>
        <w:t xml:space="preserve">NASA (2023). 6.8 Decision Analysis. Webfassung des NASA Systems Engineering Handbook. </w:t>
      </w:r>
      <w:hyperlink r:id="rId39">
        <w:r>
          <w:rPr>
            <w:rStyle w:val="Style"/>
            <w:color w:val="1F4E79"/>
          </w:rPr>
          <w:t>https://www.nasa.gov/reference/6-8-decision-analysis/</w:t>
        </w:r>
      </w:hyperlink>
      <w:r>
        <w:rPr/>
        <w:t xml:space="preserve"> (Abruf: 12.09.2026.)</w:t>
      </w:r>
    </w:p>
    <w:p>
      <w:pPr>
        <w:pStyle w:val="LiteratureEntry"/>
        <w:rPr/>
      </w:pPr>
      <w:r>
        <w:rPr/>
        <w:t xml:space="preserve">NVIDIA (o. J.). Jetson Orin Nano Super Developer Kit. Technische Spezifikationen. </w:t>
      </w:r>
      <w:hyperlink r:id="rId40">
        <w:r>
          <w:rPr>
            <w:rStyle w:val="Style"/>
            <w:color w:val="1F4E79"/>
          </w:rPr>
          <w:t>https://www.nvidia.com/de-de/autonomous-machines/embedded-systems/jetson-orin/nano-super-developer-kit/</w:t>
        </w:r>
      </w:hyperlink>
      <w:r>
        <w:rPr/>
        <w:t xml:space="preserve"> (Abruf: 12.09.2026.)</w:t>
      </w:r>
    </w:p>
    <w:p>
      <w:pPr>
        <w:pStyle w:val="LiteratureEntry"/>
        <w:rPr/>
      </w:pPr>
      <w:r>
        <w:rPr/>
        <w:t xml:space="preserve">ONNX Runtime developers (o. J.). Python. ONNX Runtime-Dokumentation zur Installation und Ausführung. </w:t>
      </w:r>
      <w:hyperlink r:id="rId41">
        <w:r>
          <w:rPr>
            <w:rStyle w:val="Style"/>
            <w:color w:val="1F4E79"/>
          </w:rPr>
          <w:t>https://onnxruntime.ai/docs/get-started/with-python.html</w:t>
        </w:r>
      </w:hyperlink>
      <w:r>
        <w:rPr/>
        <w:t xml:space="preserve"> (Abruf: 12.09.2026.)</w:t>
      </w:r>
    </w:p>
    <w:p>
      <w:pPr>
        <w:pStyle w:val="LiteratureEntry"/>
        <w:rPr/>
      </w:pPr>
      <w:r>
        <w:rPr/>
        <w:t xml:space="preserve">Oriental Motor (o. J.). Servo Motor Features Overview. </w:t>
      </w:r>
      <w:hyperlink r:id="rId42">
        <w:r>
          <w:rPr>
            <w:rStyle w:val="Style"/>
            <w:color w:val="1F4E79"/>
          </w:rPr>
          <w:t>https://www.orientalmotor.com/servo-motors/technology/servo-motor-features.html</w:t>
        </w:r>
      </w:hyperlink>
      <w:r>
        <w:rPr/>
        <w:t xml:space="preserve"> (Abruf: 12.09.2026.)</w:t>
      </w:r>
    </w:p>
    <w:p>
      <w:pPr>
        <w:pStyle w:val="LiteratureEntry"/>
        <w:rPr/>
      </w:pPr>
      <w:r>
        <w:rPr/>
        <w:t xml:space="preserve">PCB Piezotronics (o. J.). Model 356A32: Triaxial Accelerometer. Technische Spezifikationen. </w:t>
      </w:r>
      <w:hyperlink r:id="rId43">
        <w:r>
          <w:rPr>
            <w:rStyle w:val="Style"/>
            <w:color w:val="1F4E79"/>
          </w:rPr>
          <w:t>https://www.pcb.com/products?m=356a32</w:t>
        </w:r>
      </w:hyperlink>
      <w:r>
        <w:rPr/>
        <w:t xml:space="preserve"> (Abruf: 12.09.2026.)</w:t>
      </w:r>
    </w:p>
    <w:p>
      <w:pPr>
        <w:pStyle w:val="LiteratureEntry"/>
        <w:rPr/>
      </w:pPr>
      <w:r>
        <w:rPr/>
        <w:t xml:space="preserve">Pittino, F., Puggl, M., Moldaschl, T., &amp; Hirschl, C. (2020). Automatic Anomaly Detection on In-Production Manufacturing Machines Using Statistical Learning Methods. Sensors, 20(8), 2344. </w:t>
      </w:r>
      <w:hyperlink r:id="rId44">
        <w:r>
          <w:rPr>
            <w:rStyle w:val="Style"/>
            <w:color w:val="1F4E79"/>
          </w:rPr>
          <w:t>https://doi.org/10.3390/s20082344</w:t>
        </w:r>
      </w:hyperlink>
      <w:r>
        <w:rPr/>
        <w:t xml:space="preserve"> (Abruf: 12.09.2026.)</w:t>
      </w:r>
    </w:p>
    <w:p>
      <w:pPr>
        <w:pStyle w:val="LiteratureEntry"/>
        <w:rPr/>
      </w:pPr>
      <w:r>
        <w:rPr/>
        <w:t xml:space="preserve">PyTorch (o. J.). ExecuTorch Documentation. Dokumentation zum Modellexport und zur lokalen Ausführung. </w:t>
      </w:r>
      <w:hyperlink r:id="rId45">
        <w:r>
          <w:rPr>
            <w:rStyle w:val="Style"/>
            <w:color w:val="1F4E79"/>
          </w:rPr>
          <w:t>https://docs.pytorch.org/executorch/stable/index.html</w:t>
        </w:r>
      </w:hyperlink>
      <w:r>
        <w:rPr/>
        <w:t xml:space="preserve"> (Abruf: 12.09.2026.)</w:t>
      </w:r>
    </w:p>
    <w:p>
      <w:pPr>
        <w:pStyle w:val="LiteratureEntry"/>
        <w:rPr/>
      </w:pPr>
      <w:r>
        <w:rPr/>
        <w:t xml:space="preserve">Randall, R. B., &amp; Antoni, J. (2011). Rolling element bearing diagnostics—A tutorial. Mechanical Systems and Signal Processing, 25(2), 485–520. </w:t>
      </w:r>
      <w:hyperlink r:id="rId46">
        <w:r>
          <w:rPr>
            <w:rStyle w:val="Style"/>
            <w:color w:val="1F4E79"/>
          </w:rPr>
          <w:t>https://doi.org/10.1016/j.ymssp.2010.07.017</w:t>
        </w:r>
      </w:hyperlink>
      <w:r>
        <w:rPr/>
        <w:t xml:space="preserve"> (Abruf: 12.09.2026.)</w:t>
      </w:r>
    </w:p>
    <w:p>
      <w:pPr>
        <w:pStyle w:val="LiteratureEntry"/>
        <w:rPr/>
      </w:pPr>
      <w:r>
        <w:rPr/>
        <w:t xml:space="preserve">Raspberry Pi Ltd. (o. J.). Raspberry Pi 5. Produktbeschreibung und technische Spezifikationen. </w:t>
      </w:r>
      <w:hyperlink r:id="rId47">
        <w:r>
          <w:rPr>
            <w:rStyle w:val="Style"/>
            <w:color w:val="1F4E79"/>
          </w:rPr>
          <w:t>https://www.raspberrypi.com/products/raspberry-pi-5/</w:t>
        </w:r>
      </w:hyperlink>
      <w:r>
        <w:rPr/>
        <w:t xml:space="preserve"> </w:t>
      </w:r>
      <w:hyperlink r:id="rId48">
        <w:r>
          <w:rPr>
            <w:rStyle w:val="Style"/>
            <w:color w:val="1F4E79"/>
          </w:rPr>
          <w:t>https://datasheets.raspberrypi.com/rpi5/raspberry-pi-5-product-brief.pdf</w:t>
        </w:r>
      </w:hyperlink>
      <w:r>
        <w:rPr/>
        <w:t xml:space="preserve"> (Abruf: 12.09.2026.)</w:t>
      </w:r>
    </w:p>
    <w:p>
      <w:pPr>
        <w:pStyle w:val="LiteratureEntry"/>
        <w:rPr/>
      </w:pPr>
      <w:r>
        <w:rPr/>
        <w:t xml:space="preserve">Raspberry Pi Ltd. (2026). Raspberry Pi 4 Model B. Product Brief, April 2026. </w:t>
      </w:r>
      <w:hyperlink r:id="rId49">
        <w:r>
          <w:rPr>
            <w:rStyle w:val="Style"/>
            <w:color w:val="1F4E79"/>
          </w:rPr>
          <w:t>https://pip-assets.raspberrypi.com/categories/545-raspberry-pi-4-model-b/documents/RP-008344-DS-1-raspberry-pi-4-product-brief</w:t>
        </w:r>
      </w:hyperlink>
      <w:r>
        <w:rPr/>
        <w:t xml:space="preserve"> (Abruf: 12.09.2026.)</w:t>
      </w:r>
    </w:p>
    <w:p>
      <w:pPr>
        <w:pStyle w:val="LiteratureEntry"/>
        <w:rPr/>
      </w:pPr>
      <w:r>
        <w:rPr/>
        <w:t xml:space="preserve">Ren, H., Anicic, D., &amp; Runkler, T. A. (2021). TinyOL: TinyML with Online-Learning on Microcontrollers. International Joint Conference on Neural Networks, 1–8. </w:t>
      </w:r>
      <w:hyperlink r:id="rId50">
        <w:r>
          <w:rPr>
            <w:rStyle w:val="Style"/>
            <w:color w:val="1F4E79"/>
          </w:rPr>
          <w:t>https://doi.org/10.1109/IJCNN52387.2021.9533927</w:t>
        </w:r>
      </w:hyperlink>
      <w:r>
        <w:rPr/>
        <w:t xml:space="preserve"> (Abruf: 12.09.2026.)</w:t>
      </w:r>
    </w:p>
    <w:p>
      <w:pPr>
        <w:pStyle w:val="LiteratureEntry"/>
        <w:rPr/>
      </w:pPr>
      <w:r>
        <w:rPr/>
        <w:t xml:space="preserve">Ruff, L., Kauffmann, J. R., Vandermeulen, R. A., Montavon, G., Samek, W., Kloft, M., Dietterich, T. G., &amp; Müller, K.-R. (2021). A Unifying Review of Deep and Shallow Anomaly Detection. Proceedings of the IEEE, 109(5), 756–795. </w:t>
      </w:r>
      <w:hyperlink r:id="rId51">
        <w:r>
          <w:rPr>
            <w:rStyle w:val="Style"/>
            <w:color w:val="1F4E79"/>
          </w:rPr>
          <w:t>https://doi.org/10.1109/JPROC.2021.3052449</w:t>
        </w:r>
      </w:hyperlink>
      <w:r>
        <w:rPr/>
        <w:t xml:space="preserve"> (Abruf: 12.09.2026.)</w:t>
      </w:r>
    </w:p>
    <w:p>
      <w:pPr>
        <w:pStyle w:val="LiteratureEntry"/>
        <w:rPr/>
      </w:pPr>
      <w:r>
        <w:rPr/>
        <w:t xml:space="preserve">scikit-learn developers (o. J. a). Common pitfalls and recommended practices. Benutzerhandbuch. </w:t>
      </w:r>
      <w:hyperlink r:id="rId52">
        <w:r>
          <w:rPr>
            <w:rStyle w:val="Style"/>
            <w:color w:val="1F4E79"/>
          </w:rPr>
          <w:t>https://scikit-learn.org/stable/common_pitfalls.html</w:t>
        </w:r>
      </w:hyperlink>
      <w:r>
        <w:rPr/>
        <w:t xml:space="preserve"> (Abruf: 12.09.2026.)</w:t>
      </w:r>
    </w:p>
    <w:p>
      <w:pPr>
        <w:pStyle w:val="LiteratureEntry"/>
        <w:rPr/>
      </w:pPr>
      <w:r>
        <w:rPr/>
        <w:t xml:space="preserve">scikit-learn developers (o. J. b). Cross-validation: evaluating estimator performance. Insbesondere Aufteilung gruppierter Daten. </w:t>
      </w:r>
      <w:hyperlink r:id="rId53">
        <w:r>
          <w:rPr>
            <w:rStyle w:val="Style"/>
            <w:color w:val="1F4E79"/>
          </w:rPr>
          <w:t>https://scikit-learn.org/stable/modules/cross_validation.html</w:t>
        </w:r>
      </w:hyperlink>
      <w:r>
        <w:rPr/>
        <w:t xml:space="preserve"> (Abruf: 12.09.2026.)</w:t>
      </w:r>
    </w:p>
    <w:p>
      <w:pPr>
        <w:pStyle w:val="LiteratureEntry"/>
        <w:rPr/>
      </w:pPr>
      <w:r>
        <w:rPr/>
        <w:t xml:space="preserve">scikit-learn developers (o. J. c). Metrics and scoring: quantifying the quality of predictions. </w:t>
      </w:r>
      <w:hyperlink r:id="rId54">
        <w:r>
          <w:rPr>
            <w:rStyle w:val="Style"/>
            <w:color w:val="1F4E79"/>
          </w:rPr>
          <w:t>https://scikit-learn.org/stable/modules/model_evaluation.html</w:t>
        </w:r>
      </w:hyperlink>
      <w:r>
        <w:rPr/>
        <w:t xml:space="preserve"> (Abruf: 12.09.2026.)</w:t>
      </w:r>
    </w:p>
    <w:p>
      <w:pPr>
        <w:pStyle w:val="LiteratureEntry"/>
        <w:rPr/>
      </w:pPr>
      <w:r>
        <w:rPr/>
        <w:t xml:space="preserve">scikit-learn developers (o. J. d). IsolationForest. API-Dokumentation. </w:t>
      </w:r>
      <w:hyperlink r:id="rId55">
        <w:r>
          <w:rPr>
            <w:rStyle w:val="Style"/>
            <w:color w:val="1F4E79"/>
          </w:rPr>
          <w:t>https://scikit-learn.org/stable/modules/generated/sklearn.ensemble.IsolationForest.html</w:t>
        </w:r>
      </w:hyperlink>
      <w:r>
        <w:rPr/>
        <w:t xml:space="preserve"> (Abruf: 12.09.2026.)</w:t>
      </w:r>
    </w:p>
    <w:p>
      <w:pPr>
        <w:pStyle w:val="LiteratureEntry"/>
        <w:rPr/>
      </w:pPr>
      <w:r>
        <w:rPr/>
        <w:t xml:space="preserve">SciPy developers (o. J. a). Discrete Fourier Transforms (scipy.fft). SciPy-Benutzerhandbuch. </w:t>
      </w:r>
      <w:hyperlink r:id="rId56">
        <w:r>
          <w:rPr>
            <w:rStyle w:val="Style"/>
            <w:color w:val="1F4E79"/>
          </w:rPr>
          <w:t>https://docs.scipy.org/doc/scipy/tutorial/fft.html</w:t>
        </w:r>
      </w:hyperlink>
      <w:r>
        <w:rPr/>
        <w:t xml:space="preserve"> (Abruf: 12.09.2026.)</w:t>
      </w:r>
    </w:p>
    <w:p>
      <w:pPr>
        <w:pStyle w:val="LiteratureEntry"/>
        <w:rPr/>
      </w:pPr>
      <w:r>
        <w:rPr/>
        <w:t xml:space="preserve">SciPy developers (o. J. b). Signal Processing (scipy.signal), Abschnitt Spectral Analysis. SciPy-Benutzerhandbuch. </w:t>
      </w:r>
      <w:r>
        <w:fldChar w:fldCharType="begin"/>
      </w:r>
      <w:r>
        <w:rPr>
          <w:rStyle w:val="Style"/>
          <w:color w:val="1F4E79"/>
        </w:rPr>
        <w:instrText xml:space="preserve"> HYPERLINK "https://docs.scipy.org/doc/scipy/tutorial/signal.html" \l "spectral-analysis"</w:instrText>
      </w:r>
      <w:r>
        <w:rPr>
          <w:rStyle w:val="Style"/>
          <w:color w:val="1F4E79"/>
        </w:rPr>
        <w:fldChar w:fldCharType="separate"/>
      </w:r>
      <w:r>
        <w:rPr>
          <w:rStyle w:val="Style"/>
          <w:color w:val="1F4E79"/>
        </w:rPr>
        <w:t>https://docs.scipy.org/doc/scipy/tutorial/signal.html#spectral-analysis</w:t>
      </w:r>
      <w:r>
        <w:rPr>
          <w:rStyle w:val="Style"/>
          <w:color w:val="1F4E79"/>
        </w:rPr>
        <w:fldChar w:fldCharType="end"/>
      </w:r>
      <w:r>
        <w:rPr/>
        <w:t xml:space="preserve"> (Abruf: 12.09.2026.)</w:t>
      </w:r>
    </w:p>
    <w:p>
      <w:pPr>
        <w:pStyle w:val="LiteratureEntry"/>
        <w:rPr/>
      </w:pPr>
      <w:r>
        <w:rPr/>
        <w:t xml:space="preserve">Shi, W., Cao, J., Zhang, Q., Li, Y., &amp; Xu, L. (2016). Edge Computing: Vision and Challenges. IEEE Internet of Things Journal, 3(5), 637–646. </w:t>
      </w:r>
      <w:hyperlink r:id="rId57">
        <w:r>
          <w:rPr>
            <w:rStyle w:val="Style"/>
            <w:color w:val="1F4E79"/>
          </w:rPr>
          <w:t>https://doi.org/10.1109/JIOT.2016.2579198</w:t>
        </w:r>
      </w:hyperlink>
      <w:r>
        <w:rPr/>
        <w:t xml:space="preserve"> (Abruf: 12.09.2026.)</w:t>
      </w:r>
    </w:p>
    <w:p>
      <w:pPr>
        <w:pStyle w:val="LiteratureEntry"/>
        <w:rPr/>
      </w:pPr>
      <w:r>
        <w:rPr/>
        <w:t xml:space="preserve">STMicroelectronics (2026). Migrating applications from STM32F7 to STM32H743/H753 MCUs. Application Note AN4936, Fassung vom 09.01.2026. </w:t>
      </w:r>
      <w:hyperlink r:id="rId58">
        <w:r>
          <w:rPr>
            <w:rStyle w:val="Style"/>
            <w:color w:val="1F4E79"/>
          </w:rPr>
          <w:t>https://www.st.com/resource/en/application_note/an4936-migrating-applications-from-stm32f7-to-stm32h743h753-mcus-stmicroelectronics.pdf</w:t>
        </w:r>
      </w:hyperlink>
      <w:r>
        <w:rPr/>
        <w:t xml:space="preserve"> </w:t>
      </w:r>
      <w:hyperlink r:id="rId59">
        <w:r>
          <w:rPr>
            <w:rStyle w:val="Style"/>
            <w:color w:val="1F4E79"/>
          </w:rPr>
          <w:t>https://www.st.com/en/microcontrollers-microprocessors/stm32h743-753.html</w:t>
        </w:r>
      </w:hyperlink>
      <w:r>
        <w:rPr/>
        <w:t xml:space="preserve"> (Abruf: 12.09.2026.)</w:t>
      </w:r>
    </w:p>
    <w:p>
      <w:pPr>
        <w:pStyle w:val="LiteratureEntry"/>
        <w:keepLines/>
        <w:spacing w:lineRule="auto" w:line="252" w:before="0" w:after="140"/>
        <w:ind w:hanging="283" w:start="283"/>
        <w:jc w:val="start"/>
        <w:rPr/>
      </w:pPr>
      <w:r>
        <w:rPr/>
        <w:t xml:space="preserve">Universität Paderborn, Lehrstuhl Konstruktions- und Antriebstechnik (o. J.). Bearing Data Center. Beschreibung des Lagerprüfstands und des Datensatzes. </w:t>
      </w:r>
      <w:hyperlink r:id="rId60">
        <w:r>
          <w:rPr>
            <w:rStyle w:val="Style"/>
            <w:color w:val="1F4E79"/>
          </w:rPr>
          <w:t>https://mb.uni-paderborn.de/en/kat/research/bearing-datacenter</w:t>
        </w:r>
      </w:hyperlink>
      <w:r>
        <w:rPr/>
        <w:t xml:space="preserve"> (Abruf: 12.09.2026.)</w:t>
      </w:r>
    </w:p>
    <w:sectPr>
      <w:headerReference w:type="even" r:id="rId61"/>
      <w:headerReference w:type="default" r:id="rId62"/>
      <w:headerReference w:type="first" r:id="rId63"/>
      <w:footerReference w:type="even" r:id="rId64"/>
      <w:footerReference w:type="default" r:id="rId65"/>
      <w:footerReference w:type="first" r:id="rId66"/>
      <w:type w:val="nextPage"/>
      <w:pgSz w:w="11906" w:h="16838"/>
      <w:pgMar w:left="1417" w:right="1417" w:gutter="0" w:header="567" w:top="1417"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rbel">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61</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61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useWord2013TrackBottomHyphenation" w:uri="http://schemas.microsoft.com/office/word" w:val="1"/>
  </w:compat>
  <w:themeFontLang w:val="de-D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rbel" w:hAnsi="Corbel" w:eastAsia="" w:cs="" w:asciiTheme="minorHAnsi" w:cstheme="minorBidi" w:eastAsiaTheme="minorEastAsia"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5db"/>
    <w:pPr>
      <w:widowControl/>
      <w:suppressAutoHyphens w:val="false"/>
      <w:bidi w:val="0"/>
      <w:spacing w:lineRule="auto" w:line="276" w:before="0" w:after="120"/>
      <w:jc w:val="both"/>
    </w:pPr>
    <w:rPr>
      <w:rFonts w:ascii="Calibri" w:hAnsi="Calibri" w:eastAsia="" w:cs="" w:cstheme="minorBidi" w:eastAsiaTheme="minorEastAsia"/>
      <w:color w:val="auto"/>
      <w:kern w:val="0"/>
      <w:sz w:val="24"/>
      <w:szCs w:val="22"/>
      <w:lang w:val="de-DE" w:eastAsia="en-US" w:bidi="ar-SA"/>
    </w:rPr>
  </w:style>
  <w:style w:type="paragraph" w:styleId="Heading1">
    <w:name w:val="heading 1"/>
    <w:basedOn w:val="Normal"/>
    <w:next w:val="Normal"/>
    <w:link w:val="berschrift1Zchn"/>
    <w:uiPriority w:val="9"/>
    <w:qFormat/>
    <w:rsid w:val="00245b59"/>
    <w:pPr>
      <w:keepNext w:val="true"/>
      <w:keepLines/>
      <w:pageBreakBefore/>
      <w:numPr>
        <w:ilvl w:val="0"/>
        <w:numId w:val="1"/>
      </w:numPr>
      <w:spacing w:lineRule="auto" w:line="264" w:before="0" w:after="160"/>
      <w:ind w:hanging="0" w:start="0"/>
      <w:outlineLvl w:val="0"/>
    </w:pPr>
    <w:rPr>
      <w:rFonts w:ascii="Calibri" w:hAnsi="Calibri" w:eastAsia="" w:cs="" w:cstheme="majorBidi" w:eastAsiaTheme="majorEastAsia"/>
      <w:b/>
      <w:color w:val="000000"/>
      <w:sz w:val="32"/>
      <w:szCs w:val="32"/>
    </w:rPr>
  </w:style>
  <w:style w:type="paragraph" w:styleId="Heading2">
    <w:name w:val="heading 2"/>
    <w:basedOn w:val="Normal"/>
    <w:next w:val="Normal"/>
    <w:link w:val="berschrift2Zchn"/>
    <w:uiPriority w:val="9"/>
    <w:unhideWhenUsed/>
    <w:qFormat/>
    <w:rsid w:val="00cb2d73"/>
    <w:pPr>
      <w:keepNext w:val="true"/>
      <w:keepLines/>
      <w:pageBreakBefore w:val="false"/>
      <w:numPr>
        <w:ilvl w:val="1"/>
        <w:numId w:val="1"/>
      </w:numPr>
      <w:spacing w:lineRule="auto" w:line="264" w:before="300" w:after="160"/>
      <w:ind w:hanging="0" w:start="0"/>
      <w:outlineLvl w:val="1"/>
    </w:pPr>
    <w:rPr>
      <w:rFonts w:ascii="Calibri" w:hAnsi="Calibri" w:eastAsia="" w:cs="" w:cstheme="majorBidi" w:eastAsiaTheme="majorEastAsia"/>
      <w:b/>
      <w:color w:val="000000"/>
      <w:sz w:val="28"/>
      <w:szCs w:val="28"/>
    </w:rPr>
  </w:style>
  <w:style w:type="paragraph" w:styleId="Heading3">
    <w:name w:val="heading 3"/>
    <w:basedOn w:val="Normal"/>
    <w:next w:val="Normal"/>
    <w:link w:val="berschrift3Zchn"/>
    <w:uiPriority w:val="9"/>
    <w:unhideWhenUsed/>
    <w:qFormat/>
    <w:rsid w:val="000813b6"/>
    <w:pPr>
      <w:keepNext w:val="true"/>
      <w:keepLines/>
      <w:pageBreakBefore w:val="false"/>
      <w:numPr>
        <w:ilvl w:val="2"/>
        <w:numId w:val="1"/>
      </w:numPr>
      <w:spacing w:lineRule="auto" w:line="264" w:before="300" w:after="160"/>
      <w:ind w:hanging="0" w:start="0"/>
      <w:outlineLvl w:val="2"/>
    </w:pPr>
    <w:rPr>
      <w:rFonts w:ascii="Calibri" w:hAnsi="Calibri" w:eastAsia="" w:cs="" w:cstheme="majorBidi" w:eastAsiaTheme="majorEastAsia"/>
      <w:b/>
      <w:color w:val="000000"/>
      <w:sz w:val="24"/>
      <w:szCs w:val="24"/>
    </w:rPr>
  </w:style>
  <w:style w:type="paragraph" w:styleId="Heading4">
    <w:name w:val="heading 4"/>
    <w:basedOn w:val="Normal"/>
    <w:next w:val="Normal"/>
    <w:link w:val="berschrift4Zchn"/>
    <w:uiPriority w:val="9"/>
    <w:unhideWhenUsed/>
    <w:qFormat/>
    <w:rsid w:val="00a03841"/>
    <w:pPr>
      <w:keepNext w:val="true"/>
      <w:keepLines/>
      <w:numPr>
        <w:ilvl w:val="3"/>
        <w:numId w:val="1"/>
      </w:numPr>
      <w:spacing w:before="40" w:after="0"/>
      <w:outlineLvl w:val="3"/>
    </w:pPr>
    <w:rPr>
      <w:i/>
      <w:iCs/>
    </w:rPr>
  </w:style>
  <w:style w:type="paragraph" w:styleId="Heading5">
    <w:name w:val="heading 5"/>
    <w:basedOn w:val="Normal"/>
    <w:next w:val="Normal"/>
    <w:link w:val="berschrift5Zchn"/>
    <w:uiPriority w:val="9"/>
    <w:semiHidden/>
    <w:unhideWhenUsed/>
    <w:qFormat/>
    <w:rsid w:val="00bf3ded"/>
    <w:pPr>
      <w:keepNext w:val="true"/>
      <w:keepLines/>
      <w:numPr>
        <w:ilvl w:val="4"/>
        <w:numId w:val="1"/>
      </w:numPr>
      <w:spacing w:before="40" w:after="0"/>
      <w:outlineLvl w:val="4"/>
    </w:pPr>
    <w:rPr>
      <w:color w:themeColor="text1" w:themeTint="bf" w:val="404040"/>
    </w:rPr>
  </w:style>
  <w:style w:type="paragraph" w:styleId="Heading6">
    <w:name w:val="heading 6"/>
    <w:basedOn w:val="Normal"/>
    <w:next w:val="Normal"/>
    <w:link w:val="berschrift6Zchn"/>
    <w:uiPriority w:val="9"/>
    <w:semiHidden/>
    <w:unhideWhenUsed/>
    <w:qFormat/>
    <w:rsid w:val="00bf3ded"/>
    <w:pPr>
      <w:keepNext w:val="true"/>
      <w:keepLines/>
      <w:numPr>
        <w:ilvl w:val="5"/>
        <w:numId w:val="1"/>
      </w:numPr>
      <w:spacing w:before="40" w:after="0"/>
      <w:outlineLvl w:val="5"/>
    </w:pPr>
    <w:rPr/>
  </w:style>
  <w:style w:type="paragraph" w:styleId="Heading7">
    <w:name w:val="heading 7"/>
    <w:basedOn w:val="Normal"/>
    <w:next w:val="Normal"/>
    <w:link w:val="berschrift7Zchn"/>
    <w:uiPriority w:val="9"/>
    <w:semiHidden/>
    <w:unhideWhenUsed/>
    <w:qFormat/>
    <w:rsid w:val="00bf3ded"/>
    <w:pPr>
      <w:keepNext w:val="true"/>
      <w:keepLines/>
      <w:numPr>
        <w:ilvl w:val="6"/>
        <w:numId w:val="1"/>
      </w:numPr>
      <w:spacing w:before="40" w:after="0"/>
      <w:outlineLvl w:val="6"/>
    </w:pPr>
    <w:rPr>
      <w:rFonts w:ascii="Corbel" w:hAnsi="Corbel" w:eastAsia="" w:cs="" w:asciiTheme="majorHAnsi" w:cstheme="majorBidi" w:eastAsiaTheme="majorEastAsia" w:hAnsiTheme="majorHAnsi"/>
      <w:i/>
      <w:iCs/>
    </w:rPr>
  </w:style>
  <w:style w:type="paragraph" w:styleId="Heading8">
    <w:name w:val="heading 8"/>
    <w:basedOn w:val="Normal"/>
    <w:next w:val="Normal"/>
    <w:link w:val="berschrift8Zchn"/>
    <w:uiPriority w:val="9"/>
    <w:semiHidden/>
    <w:unhideWhenUsed/>
    <w:qFormat/>
    <w:rsid w:val="00bf3ded"/>
    <w:pPr>
      <w:keepNext w:val="true"/>
      <w:keepLines/>
      <w:numPr>
        <w:ilvl w:val="7"/>
        <w:numId w:val="1"/>
      </w:numPr>
      <w:spacing w:before="40" w:after="0"/>
      <w:outlineLvl w:val="7"/>
    </w:pPr>
    <w:rPr>
      <w:color w:themeColor="text1" w:themeTint="d9" w:val="262626"/>
      <w:sz w:val="21"/>
      <w:szCs w:val="21"/>
    </w:rPr>
  </w:style>
  <w:style w:type="paragraph" w:styleId="Heading9">
    <w:name w:val="heading 9"/>
    <w:basedOn w:val="Normal"/>
    <w:next w:val="Normal"/>
    <w:link w:val="berschrift9Zchn"/>
    <w:uiPriority w:val="9"/>
    <w:semiHidden/>
    <w:unhideWhenUsed/>
    <w:qFormat/>
    <w:rsid w:val="00bf3ded"/>
    <w:pPr>
      <w:keepNext w:val="true"/>
      <w:keepLines/>
      <w:numPr>
        <w:ilvl w:val="8"/>
        <w:numId w:val="1"/>
      </w:numPr>
      <w:spacing w:before="40" w:after="0"/>
      <w:outlineLvl w:val="8"/>
    </w:pPr>
    <w:rPr>
      <w:rFonts w:ascii="Corbel" w:hAnsi="Corbel" w:eastAsia="" w:cs="" w:asciiTheme="majorHAnsi" w:cstheme="majorBidi" w:eastAsiaTheme="majorEastAsia" w:hAnsiTheme="majorHAnsi"/>
      <w:i/>
      <w:iCs/>
      <w:color w:themeColor="text1" w:themeTint="d9" w:val="262626"/>
      <w:sz w:val="21"/>
      <w:szCs w:val="21"/>
    </w:rPr>
  </w:style>
  <w:style w:type="character" w:styleId="DefaultParagraphFont" w:default="1">
    <w:name w:val="Default Paragraph Font"/>
    <w:uiPriority w:val="1"/>
    <w:semiHidden/>
    <w:unhideWhenUsed/>
    <w:qFormat/>
    <w:rPr/>
  </w:style>
  <w:style w:type="character" w:styleId="TextkrperZchn" w:customStyle="1">
    <w:name w:val="Textkörper Zchn"/>
    <w:basedOn w:val="DefaultParagraphFont"/>
    <w:uiPriority w:val="1"/>
    <w:qFormat/>
    <w:rsid w:val="00bf3ded"/>
    <w:rPr>
      <w:rFonts w:ascii="Calibri" w:hAnsi="Calibri" w:eastAsia="Calibri" w:cs="Calibri"/>
      <w:sz w:val="24"/>
      <w:szCs w:val="24"/>
    </w:rPr>
  </w:style>
  <w:style w:type="character" w:styleId="berschrift1Zchn" w:customStyle="1">
    <w:name w:val="Überschrift 1 Zchn"/>
    <w:basedOn w:val="DefaultParagraphFont"/>
    <w:link w:val="Heading1"/>
    <w:uiPriority w:val="9"/>
    <w:qFormat/>
    <w:rsid w:val="00245b59"/>
    <w:rPr>
      <w:rFonts w:ascii="Calibri" w:hAnsi="Calibri" w:eastAsia="" w:cs="" w:cstheme="majorBidi" w:eastAsiaTheme="majorEastAsia"/>
      <w:b/>
      <w:color w:themeColor="text1" w:themeTint="d9" w:val="262626"/>
      <w:sz w:val="32"/>
      <w:szCs w:val="32"/>
    </w:rPr>
  </w:style>
  <w:style w:type="character" w:styleId="berschrift2Zchn" w:customStyle="1">
    <w:name w:val="Überschrift 2 Zchn"/>
    <w:basedOn w:val="DefaultParagraphFont"/>
    <w:link w:val="Heading2"/>
    <w:uiPriority w:val="9"/>
    <w:qFormat/>
    <w:rsid w:val="00cb2d73"/>
    <w:rPr>
      <w:rFonts w:ascii="Calibri" w:hAnsi="Calibri" w:eastAsia="" w:cs="" w:cstheme="majorBidi" w:eastAsiaTheme="majorEastAsia"/>
      <w:color w:themeColor="text1" w:themeTint="d9" w:val="262626"/>
      <w:sz w:val="32"/>
      <w:szCs w:val="28"/>
    </w:rPr>
  </w:style>
  <w:style w:type="character" w:styleId="berschrift3Zchn" w:customStyle="1">
    <w:name w:val="Überschrift 3 Zchn"/>
    <w:basedOn w:val="DefaultParagraphFont"/>
    <w:link w:val="Heading3"/>
    <w:uiPriority w:val="9"/>
    <w:qFormat/>
    <w:rsid w:val="000813b6"/>
    <w:rPr>
      <w:rFonts w:ascii="Calibri" w:hAnsi="Calibri" w:eastAsia="" w:cs="" w:cstheme="majorBidi" w:eastAsiaTheme="majorEastAsia"/>
      <w:color w:themeColor="text1" w:themeTint="f2" w:val="0D0D0D"/>
      <w:sz w:val="30"/>
      <w:szCs w:val="24"/>
    </w:rPr>
  </w:style>
  <w:style w:type="character" w:styleId="berschrift4Zchn" w:customStyle="1">
    <w:name w:val="Überschrift 4 Zchn"/>
    <w:basedOn w:val="DefaultParagraphFont"/>
    <w:link w:val="Heading4"/>
    <w:uiPriority w:val="9"/>
    <w:qFormat/>
    <w:rsid w:val="00a03841"/>
    <w:rPr>
      <w:rFonts w:ascii="Calibri" w:hAnsi="Calibri"/>
      <w:i/>
      <w:iCs/>
      <w:sz w:val="24"/>
    </w:rPr>
  </w:style>
  <w:style w:type="character" w:styleId="berschrift5Zchn" w:customStyle="1">
    <w:name w:val="Überschrift 5 Zchn"/>
    <w:basedOn w:val="DefaultParagraphFont"/>
    <w:link w:val="Heading5"/>
    <w:uiPriority w:val="9"/>
    <w:semiHidden/>
    <w:qFormat/>
    <w:rsid w:val="00bf3ded"/>
    <w:rPr>
      <w:rFonts w:ascii="Calibri" w:hAnsi="Calibri"/>
      <w:color w:themeColor="text1" w:themeTint="bf" w:val="404040"/>
      <w:sz w:val="24"/>
    </w:rPr>
  </w:style>
  <w:style w:type="character" w:styleId="berschrift6Zchn" w:customStyle="1">
    <w:name w:val="Überschrift 6 Zchn"/>
    <w:basedOn w:val="DefaultParagraphFont"/>
    <w:link w:val="Heading6"/>
    <w:uiPriority w:val="9"/>
    <w:semiHidden/>
    <w:qFormat/>
    <w:rsid w:val="00bf3ded"/>
    <w:rPr>
      <w:rFonts w:ascii="Calibri" w:hAnsi="Calibri"/>
      <w:sz w:val="24"/>
    </w:rPr>
  </w:style>
  <w:style w:type="character" w:styleId="berschrift7Zchn" w:customStyle="1">
    <w:name w:val="Überschrift 7 Zchn"/>
    <w:basedOn w:val="DefaultParagraphFont"/>
    <w:link w:val="Heading7"/>
    <w:uiPriority w:val="9"/>
    <w:semiHidden/>
    <w:qFormat/>
    <w:rsid w:val="00bf3ded"/>
    <w:rPr>
      <w:rFonts w:ascii="Corbel" w:hAnsi="Corbel" w:eastAsia="" w:cs="" w:asciiTheme="majorHAnsi" w:cstheme="majorBidi" w:eastAsiaTheme="majorEastAsia" w:hAnsiTheme="majorHAnsi"/>
      <w:i/>
      <w:iCs/>
      <w:sz w:val="24"/>
    </w:rPr>
  </w:style>
  <w:style w:type="character" w:styleId="berschrift8Zchn" w:customStyle="1">
    <w:name w:val="Überschrift 8 Zchn"/>
    <w:basedOn w:val="DefaultParagraphFont"/>
    <w:link w:val="Heading8"/>
    <w:uiPriority w:val="9"/>
    <w:semiHidden/>
    <w:qFormat/>
    <w:rsid w:val="00bf3ded"/>
    <w:rPr>
      <w:rFonts w:ascii="Calibri" w:hAnsi="Calibri"/>
      <w:color w:themeColor="text1" w:themeTint="d9" w:val="262626"/>
      <w:sz w:val="21"/>
      <w:szCs w:val="21"/>
    </w:rPr>
  </w:style>
  <w:style w:type="character" w:styleId="berschrift9Zchn" w:customStyle="1">
    <w:name w:val="Überschrift 9 Zchn"/>
    <w:basedOn w:val="DefaultParagraphFont"/>
    <w:link w:val="Heading9"/>
    <w:uiPriority w:val="9"/>
    <w:semiHidden/>
    <w:qFormat/>
    <w:rsid w:val="00bf3ded"/>
    <w:rPr>
      <w:rFonts w:ascii="Corbel" w:hAnsi="Corbel" w:eastAsia="" w:cs="" w:asciiTheme="majorHAnsi" w:cstheme="majorBidi" w:eastAsiaTheme="majorEastAsia" w:hAnsiTheme="majorHAnsi"/>
      <w:i/>
      <w:iCs/>
      <w:color w:themeColor="text1" w:themeTint="d9" w:val="262626"/>
      <w:sz w:val="21"/>
      <w:szCs w:val="21"/>
    </w:rPr>
  </w:style>
  <w:style w:type="character" w:styleId="TitelZchn" w:customStyle="1">
    <w:name w:val="Titel Zchn"/>
    <w:basedOn w:val="DefaultParagraphFont"/>
    <w:link w:val="Title"/>
    <w:uiPriority w:val="10"/>
    <w:qFormat/>
    <w:rsid w:val="00bf3ded"/>
    <w:rPr>
      <w:rFonts w:ascii="Corbel" w:hAnsi="Corbel" w:eastAsia="" w:cs="" w:asciiTheme="majorHAnsi" w:cstheme="majorBidi" w:eastAsiaTheme="majorEastAsia" w:hAnsiTheme="majorHAnsi"/>
      <w:spacing w:val="-10"/>
      <w:sz w:val="56"/>
      <w:szCs w:val="56"/>
    </w:rPr>
  </w:style>
  <w:style w:type="character" w:styleId="UntertitelZchn" w:customStyle="1">
    <w:name w:val="Untertitel Zchn"/>
    <w:basedOn w:val="DefaultParagraphFont"/>
    <w:link w:val="Subtitle"/>
    <w:uiPriority w:val="11"/>
    <w:qFormat/>
    <w:rsid w:val="00bf3ded"/>
    <w:rPr>
      <w:color w:themeColor="text1" w:themeTint="a5" w:val="5A5A5A"/>
      <w:spacing w:val="15"/>
    </w:rPr>
  </w:style>
  <w:style w:type="character" w:styleId="Strong">
    <w:name w:val="Strong"/>
    <w:basedOn w:val="DefaultParagraphFont"/>
    <w:uiPriority w:val="22"/>
    <w:qFormat/>
    <w:rsid w:val="00bf3ded"/>
    <w:rPr>
      <w:b/>
      <w:bCs/>
      <w:color w:val="auto"/>
    </w:rPr>
  </w:style>
  <w:style w:type="character" w:styleId="Emphasis">
    <w:name w:val="Emphasis"/>
    <w:basedOn w:val="DefaultParagraphFont"/>
    <w:uiPriority w:val="20"/>
    <w:qFormat/>
    <w:rsid w:val="00bf3ded"/>
    <w:rPr>
      <w:i/>
      <w:iCs/>
      <w:color w:val="auto"/>
    </w:rPr>
  </w:style>
  <w:style w:type="character" w:styleId="ZitatZchn" w:customStyle="1">
    <w:name w:val="Zitat Zchn"/>
    <w:basedOn w:val="DefaultParagraphFont"/>
    <w:link w:val="Quote"/>
    <w:uiPriority w:val="29"/>
    <w:qFormat/>
    <w:rsid w:val="00bf3ded"/>
    <w:rPr>
      <w:i/>
      <w:iCs/>
      <w:color w:themeColor="text1" w:themeTint="bf" w:val="404040"/>
    </w:rPr>
  </w:style>
  <w:style w:type="character" w:styleId="IntensivesZitatZchn" w:customStyle="1">
    <w:name w:val="Intensives Zitat Zchn"/>
    <w:basedOn w:val="DefaultParagraphFont"/>
    <w:link w:val="IntenseQuote"/>
    <w:uiPriority w:val="30"/>
    <w:qFormat/>
    <w:rsid w:val="00bf3ded"/>
    <w:rPr>
      <w:i/>
      <w:iCs/>
      <w:color w:themeColor="text1" w:themeTint="bf" w:val="404040"/>
    </w:rPr>
  </w:style>
  <w:style w:type="character" w:styleId="SubtleEmphasis">
    <w:name w:val="Subtle Emphasis"/>
    <w:basedOn w:val="DefaultParagraphFont"/>
    <w:uiPriority w:val="19"/>
    <w:qFormat/>
    <w:rsid w:val="00bf3ded"/>
    <w:rPr>
      <w:i/>
      <w:iCs/>
      <w:color w:themeColor="text1" w:themeTint="bf" w:val="404040"/>
    </w:rPr>
  </w:style>
  <w:style w:type="character" w:styleId="IntenseEmphasis">
    <w:name w:val="Intense Emphasis"/>
    <w:basedOn w:val="DefaultParagraphFont"/>
    <w:uiPriority w:val="21"/>
    <w:qFormat/>
    <w:rsid w:val="00bf3ded"/>
    <w:rPr>
      <w:b/>
      <w:bCs/>
      <w:i/>
      <w:iCs/>
      <w:color w:val="auto"/>
    </w:rPr>
  </w:style>
  <w:style w:type="character" w:styleId="SubtleReference">
    <w:name w:val="Subtle Reference"/>
    <w:basedOn w:val="DefaultParagraphFont"/>
    <w:uiPriority w:val="31"/>
    <w:qFormat/>
    <w:rsid w:val="00bf3ded"/>
    <w:rPr>
      <w:smallCaps/>
      <w:color w:themeColor="text1" w:themeTint="bf" w:val="404040"/>
    </w:rPr>
  </w:style>
  <w:style w:type="character" w:styleId="IntenseReference">
    <w:name w:val="Intense Reference"/>
    <w:basedOn w:val="DefaultParagraphFont"/>
    <w:uiPriority w:val="32"/>
    <w:qFormat/>
    <w:rsid w:val="00bf3ded"/>
    <w:rPr>
      <w:b/>
      <w:bCs/>
      <w:smallCaps/>
      <w:color w:themeColor="text1" w:themeTint="bf" w:val="404040"/>
      <w:spacing w:val="5"/>
    </w:rPr>
  </w:style>
  <w:style w:type="character" w:styleId="BookTitle">
    <w:name w:val="Book Title"/>
    <w:basedOn w:val="DefaultParagraphFont"/>
    <w:uiPriority w:val="33"/>
    <w:qFormat/>
    <w:rsid w:val="00bf3ded"/>
    <w:rPr>
      <w:b/>
      <w:bCs/>
      <w:i/>
      <w:iCs/>
      <w:spacing w:val="5"/>
    </w:rPr>
  </w:style>
  <w:style w:type="character" w:styleId="KopfzeileZchn" w:customStyle="1">
    <w:name w:val="Kopfzeile Zchn"/>
    <w:basedOn w:val="DefaultParagraphFont"/>
    <w:link w:val="Header"/>
    <w:uiPriority w:val="99"/>
    <w:qFormat/>
    <w:rsid w:val="00ae0e53"/>
    <w:rPr>
      <w:rFonts w:ascii="Calibri" w:hAnsi="Calibri"/>
      <w:sz w:val="24"/>
    </w:rPr>
  </w:style>
  <w:style w:type="character" w:styleId="FuzeileZchn" w:customStyle="1">
    <w:name w:val="Fußzeile Zchn"/>
    <w:basedOn w:val="DefaultParagraphFont"/>
    <w:link w:val="Footer"/>
    <w:uiPriority w:val="99"/>
    <w:qFormat/>
    <w:rsid w:val="00ae0e53"/>
    <w:rPr>
      <w:rFonts w:ascii="Calibri" w:hAnsi="Calibri"/>
      <w:sz w:val="24"/>
    </w:rPr>
  </w:style>
  <w:style w:type="character" w:styleId="Hyperlink">
    <w:name w:val="Hyperlink"/>
    <w:basedOn w:val="DefaultParagraphFont"/>
    <w:uiPriority w:val="99"/>
    <w:unhideWhenUsed/>
    <w:rsid w:val="00fc3f22"/>
    <w:rPr>
      <w:color w:themeColor="hyperlink" w:val="F59E00"/>
      <w:u w:val="single"/>
    </w:rPr>
  </w:style>
  <w:style w:type="character" w:styleId="newwordinitemsuggestion" w:customStyle="1">
    <w:name w:val="newwordinitemsuggestion"/>
    <w:basedOn w:val="DefaultParagraphFont"/>
    <w:qFormat/>
    <w:rsid w:val="00997afd"/>
    <w:rPr/>
  </w:style>
  <w:style w:type="character" w:styleId="KommentartextZchn" w:customStyle="1">
    <w:name w:val="Kommentartext Zchn"/>
    <w:basedOn w:val="DefaultParagraphFont"/>
    <w:link w:val="CommentText"/>
    <w:uiPriority w:val="99"/>
    <w:qFormat/>
    <w:rsid w:val="009137b0"/>
    <w:rPr>
      <w:rFonts w:ascii="Calibri" w:hAnsi="Calibri"/>
      <w:sz w:val="20"/>
      <w:szCs w:val="20"/>
    </w:rPr>
  </w:style>
  <w:style w:type="character" w:styleId="UnresolvedMention">
    <w:name w:val="Unresolved Mention"/>
    <w:basedOn w:val="DefaultParagraphFont"/>
    <w:uiPriority w:val="99"/>
    <w:semiHidden/>
    <w:unhideWhenUsed/>
    <w:qFormat/>
    <w:rsid w:val="001840f7"/>
    <w:rPr>
      <w:color w:val="605E5C"/>
      <w:shd w:fill="E1DFDD" w:val="clear"/>
    </w:rPr>
  </w:style>
  <w:style w:type="character" w:styleId="EndnotentextZchn" w:customStyle="1">
    <w:name w:val="Endnotentext Zchn"/>
    <w:basedOn w:val="DefaultParagraphFont"/>
    <w:link w:val="EndnoteText"/>
    <w:uiPriority w:val="99"/>
    <w:semiHidden/>
    <w:qFormat/>
    <w:rsid w:val="00fe18a3"/>
    <w:rPr>
      <w:rFonts w:ascii="Calibri" w:hAnsi="Calibri"/>
      <w:sz w:val="20"/>
      <w:szCs w:val="20"/>
    </w:rPr>
  </w:style>
  <w:style w:type="character" w:styleId="EndnoteCharactersuser">
    <w:name w:val="Endnote Characters (user)"/>
    <w:uiPriority w:val="99"/>
    <w:semiHidden/>
    <w:unhideWhenUsed/>
    <w:qFormat/>
    <w:rsid w:val="00fe18a3"/>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unotentextZchn" w:customStyle="1">
    <w:name w:val="Fußnotentext Zchn"/>
    <w:basedOn w:val="DefaultParagraphFont"/>
    <w:link w:val="FootnoteText"/>
    <w:uiPriority w:val="99"/>
    <w:semiHidden/>
    <w:qFormat/>
    <w:rsid w:val="00fe18a3"/>
    <w:rPr>
      <w:rFonts w:ascii="Calibri" w:hAnsi="Calibri"/>
      <w:sz w:val="20"/>
      <w:szCs w:val="20"/>
    </w:rPr>
  </w:style>
  <w:style w:type="character" w:styleId="FootnoteCharactersuser">
    <w:name w:val="Footnote Characters (user)"/>
    <w:uiPriority w:val="99"/>
    <w:semiHidden/>
    <w:unhideWhenUsed/>
    <w:qFormat/>
    <w:rsid w:val="00fe18a3"/>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675145"/>
    <w:rPr>
      <w:sz w:val="16"/>
      <w:szCs w:val="16"/>
    </w:rPr>
  </w:style>
  <w:style w:type="character" w:styleId="PlaceholderText">
    <w:name w:val="Placeholder Text"/>
    <w:basedOn w:val="DefaultParagraphFont"/>
    <w:uiPriority w:val="99"/>
    <w:semiHidden/>
    <w:qFormat/>
    <w:rsid w:val="00b620f4"/>
    <w:rPr>
      <w:color w:val="808080"/>
    </w:rPr>
  </w:style>
  <w:style w:type="character" w:styleId="normaltextrun" w:customStyle="1">
    <w:name w:val="normaltextrun"/>
    <w:basedOn w:val="DefaultParagraphFont"/>
    <w:qFormat/>
    <w:rsid w:val="00b2380f"/>
    <w:rPr/>
  </w:style>
  <w:style w:type="character" w:styleId="eop" w:customStyle="1">
    <w:name w:val="eop"/>
    <w:basedOn w:val="DefaultParagraphFont"/>
    <w:qFormat/>
    <w:rsid w:val="00b2380f"/>
    <w:rPr/>
  </w:style>
  <w:style w:type="character" w:styleId="FollowedHyperlink">
    <w:name w:val="FollowedHyperlink"/>
    <w:basedOn w:val="DefaultParagraphFont"/>
    <w:uiPriority w:val="99"/>
    <w:semiHidden/>
    <w:unhideWhenUsed/>
    <w:rsid w:val="005064d5"/>
    <w:rPr>
      <w:color w:themeColor="followedHyperlink" w:val="B2B2B2"/>
      <w:u w:val="single"/>
    </w:rPr>
  </w:style>
  <w:style w:type="character" w:styleId="cf01" w:customStyle="1">
    <w:name w:val="cf01"/>
    <w:basedOn w:val="DefaultParagraphFont"/>
    <w:qFormat/>
    <w:rsid w:val="00ed138b"/>
    <w:rPr>
      <w:rFonts w:ascii="Segoe UI" w:hAnsi="Segoe UI" w:cs="Segoe UI"/>
      <w:sz w:val="18"/>
      <w:szCs w:val="18"/>
    </w:rPr>
  </w:style>
  <w:style w:type="character" w:styleId="KommentarthemaZchn" w:customStyle="1">
    <w:name w:val="Kommentarthema Zchn"/>
    <w:basedOn w:val="KommentartextZchn"/>
    <w:link w:val="annotationsubject"/>
    <w:uiPriority w:val="99"/>
    <w:semiHidden/>
    <w:qFormat/>
    <w:rsid w:val="008830c4"/>
    <w:rPr>
      <w:rFonts w:ascii="Calibri" w:hAnsi="Calibri"/>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TextkrperZchn"/>
    <w:uiPriority w:val="1"/>
    <w:rsid w:val="00bf3ded"/>
    <w:pPr>
      <w:widowControl w:val="false"/>
      <w:spacing w:lineRule="auto" w:line="240" w:before="0" w:after="0"/>
    </w:pPr>
    <w:rPr>
      <w:rFonts w:eastAsia="Calibri" w:cs="Calibri"/>
      <w:szCs w:val="24"/>
    </w:rPr>
  </w:style>
  <w:style w:type="paragraph" w:styleId="List">
    <w:name w:val="List"/>
    <w:basedOn w:val="BodyText"/>
    <w:pPr/>
    <w:rPr>
      <w:rFonts w:cs="FreeSans"/>
    </w:rPr>
  </w:style>
  <w:style w:type="paragraph" w:styleId="Caption">
    <w:name w:val="caption"/>
    <w:basedOn w:val="Normal"/>
    <w:next w:val="Normal"/>
    <w:uiPriority w:val="35"/>
    <w:unhideWhenUsed/>
    <w:qFormat/>
    <w:rsid w:val="00bf3ded"/>
    <w:pPr>
      <w:spacing w:lineRule="auto" w:line="240" w:before="0" w:after="200"/>
    </w:pPr>
    <w:rPr>
      <w:i/>
      <w:iCs/>
      <w:color w:themeColor="text2" w:val="565349"/>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elZchn"/>
    <w:uiPriority w:val="10"/>
    <w:qFormat/>
    <w:rsid w:val="00bf3ded"/>
    <w:pPr>
      <w:spacing w:lineRule="auto" w:line="240" w:before="0" w:after="0"/>
      <w:contextualSpacing/>
    </w:pPr>
    <w:rPr>
      <w:rFonts w:ascii="Corbel" w:hAnsi="Corbel" w:eastAsia="" w:cs="" w:asciiTheme="majorHAnsi" w:cstheme="majorBidi" w:eastAsiaTheme="majorEastAsia" w:hAnsiTheme="majorHAnsi"/>
      <w:spacing w:val="-10"/>
      <w:sz w:val="56"/>
      <w:szCs w:val="56"/>
    </w:rPr>
  </w:style>
  <w:style w:type="paragraph" w:styleId="Subtitle">
    <w:name w:val="Subtitle"/>
    <w:basedOn w:val="Normal"/>
    <w:next w:val="Normal"/>
    <w:link w:val="UntertitelZchn"/>
    <w:uiPriority w:val="11"/>
    <w:qFormat/>
    <w:rsid w:val="00bf3ded"/>
    <w:pPr/>
    <w:rPr>
      <w:color w:themeColor="text1" w:themeTint="a5" w:val="5A5A5A"/>
      <w:spacing w:val="15"/>
    </w:rPr>
  </w:style>
  <w:style w:type="paragraph" w:styleId="NoSpacing">
    <w:name w:val="No Spacing"/>
    <w:uiPriority w:val="1"/>
    <w:qFormat/>
    <w:rsid w:val="00bf3ded"/>
    <w:pPr>
      <w:widowControl/>
      <w:suppressAutoHyphens w:val="true"/>
      <w:bidi w:val="0"/>
      <w:spacing w:lineRule="auto" w:line="240" w:before="0" w:after="0"/>
      <w:jc w:val="start"/>
    </w:pPr>
    <w:rPr>
      <w:rFonts w:ascii="Corbel" w:hAnsi="Corbel" w:eastAsia="" w:cs="" w:asciiTheme="minorHAnsi" w:cstheme="minorBidi" w:eastAsiaTheme="minorEastAsia" w:hAnsiTheme="minorHAnsi"/>
      <w:color w:val="auto"/>
      <w:kern w:val="0"/>
      <w:sz w:val="22"/>
      <w:szCs w:val="22"/>
      <w:lang w:val="de-DE" w:eastAsia="en-US" w:bidi="ar-SA"/>
    </w:rPr>
  </w:style>
  <w:style w:type="paragraph" w:styleId="Quote">
    <w:name w:val="Quote"/>
    <w:basedOn w:val="Normal"/>
    <w:next w:val="Normal"/>
    <w:link w:val="ZitatZchn"/>
    <w:uiPriority w:val="29"/>
    <w:qFormat/>
    <w:rsid w:val="00bf3ded"/>
    <w:pPr>
      <w:spacing w:before="200" w:after="120"/>
      <w:ind w:start="864" w:end="864"/>
    </w:pPr>
    <w:rPr>
      <w:i/>
      <w:iCs/>
      <w:color w:themeColor="text1" w:themeTint="bf" w:val="404040"/>
    </w:rPr>
  </w:style>
  <w:style w:type="paragraph" w:styleId="IntenseQuote">
    <w:name w:val="Intense Quote"/>
    <w:basedOn w:val="Normal"/>
    <w:next w:val="Normal"/>
    <w:link w:val="IntensivesZitatZchn"/>
    <w:uiPriority w:val="30"/>
    <w:qFormat/>
    <w:rsid w:val="00bf3ded"/>
    <w:pPr>
      <w:pBdr>
        <w:top w:val="single" w:sz="4" w:space="10" w:color="404040" w:themeColor="dark1" w:themeTint="bf"/>
        <w:bottom w:val="single" w:sz="4" w:space="10" w:color="404040" w:themeColor="dark1" w:themeTint="bf"/>
      </w:pBdr>
      <w:spacing w:before="360" w:after="360"/>
      <w:ind w:start="864" w:end="864"/>
      <w:jc w:val="center"/>
    </w:pPr>
    <w:rPr>
      <w:i/>
      <w:iCs/>
      <w:color w:themeColor="text1" w:themeTint="bf" w:val="404040"/>
    </w:rPr>
  </w:style>
  <w:style w:type="paragraph" w:styleId="IndexHeading">
    <w:name w:val="index heading"/>
    <w:basedOn w:val="Heading"/>
    <w:pPr/>
    <w:rPr/>
  </w:style>
  <w:style w:type="paragraph" w:styleId="TOCHeading">
    <w:name w:val="TOC Heading"/>
    <w:basedOn w:val="Heading1"/>
    <w:next w:val="Normal"/>
    <w:uiPriority w:val="39"/>
    <w:unhideWhenUsed/>
    <w:qFormat/>
    <w:rsid w:val="00bf3ded"/>
    <w:pPr>
      <w:numPr>
        <w:ilvl w:val="0"/>
        <w:numId w:val="1"/>
      </w:numPr>
      <w:outlineLvl w:val="9"/>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ae0e53"/>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ae0e53"/>
    <w:pPr>
      <w:tabs>
        <w:tab w:val="clear" w:pos="708"/>
        <w:tab w:val="center" w:pos="4536" w:leader="none"/>
        <w:tab w:val="right" w:pos="9072" w:leader="none"/>
      </w:tabs>
      <w:spacing w:lineRule="auto" w:line="240" w:before="0" w:after="0"/>
    </w:pPr>
    <w:rPr/>
  </w:style>
  <w:style w:type="paragraph" w:styleId="TOC1" w:customStyle="1">
    <w:name w:val="toc 1"/>
    <w:basedOn w:val="Normal"/>
    <w:next w:val="Normal"/>
    <w:autoRedefine/>
    <w:pPr>
      <w:keepNext w:val="false"/>
      <w:keepLines/>
      <w:spacing w:lineRule="auto" w:line="240" w:before="0" w:after="60"/>
    </w:pPr>
    <w:rPr>
      <w:rFonts w:ascii="Calibri" w:hAnsi="Calibri"/>
      <w:b w:val="false"/>
      <w:color w:val="000000"/>
      <w:sz w:val="21"/>
    </w:rPr>
  </w:style>
  <w:style w:type="paragraph" w:styleId="TOC2" w:customStyle="1">
    <w:name w:val="toc 2"/>
    <w:basedOn w:val="Normal"/>
    <w:next w:val="Normal"/>
    <w:autoRedefine/>
    <w:pPr>
      <w:keepNext w:val="false"/>
      <w:keepLines/>
      <w:spacing w:lineRule="auto" w:line="240" w:before="0" w:after="60"/>
    </w:pPr>
    <w:rPr>
      <w:rFonts w:ascii="Calibri" w:hAnsi="Calibri"/>
      <w:b w:val="false"/>
      <w:color w:val="000000"/>
      <w:sz w:val="21"/>
    </w:rPr>
  </w:style>
  <w:style w:type="paragraph" w:styleId="TOC3" w:customStyle="1">
    <w:name w:val="toc 3"/>
    <w:basedOn w:val="Normal"/>
    <w:next w:val="Normal"/>
    <w:autoRedefine/>
    <w:pPr>
      <w:keepNext w:val="false"/>
      <w:keepLines/>
      <w:spacing w:lineRule="auto" w:line="240" w:before="0" w:after="60"/>
    </w:pPr>
    <w:rPr>
      <w:rFonts w:ascii="Calibri" w:hAnsi="Calibri"/>
      <w:b w:val="false"/>
      <w:color w:val="000000"/>
      <w:sz w:val="21"/>
    </w:rPr>
  </w:style>
  <w:style w:type="paragraph" w:styleId="ListParagraph">
    <w:name w:val="List Paragraph"/>
    <w:basedOn w:val="Normal"/>
    <w:uiPriority w:val="34"/>
    <w:qFormat/>
    <w:rsid w:val="001527f9"/>
    <w:pPr>
      <w:spacing w:before="0" w:after="120"/>
      <w:ind w:start="720"/>
      <w:contextualSpacing/>
    </w:pPr>
    <w:rPr/>
  </w:style>
  <w:style w:type="paragraph" w:styleId="Bibliography">
    <w:name w:val="Bibliography"/>
    <w:basedOn w:val="Normal"/>
    <w:next w:val="Normal"/>
    <w:uiPriority w:val="37"/>
    <w:unhideWhenUsed/>
    <w:qFormat/>
    <w:rsid w:val="00df04de"/>
    <w:pPr/>
    <w:rPr/>
  </w:style>
  <w:style w:type="paragraph" w:styleId="TableParagraph" w:customStyle="1">
    <w:name w:val="Table Paragraph"/>
    <w:basedOn w:val="Normal"/>
    <w:uiPriority w:val="1"/>
    <w:qFormat/>
    <w:rsid w:val="00a92eab"/>
    <w:pPr>
      <w:widowControl w:val="false"/>
      <w:spacing w:lineRule="auto" w:line="240" w:before="39" w:after="0"/>
      <w:ind w:start="69"/>
    </w:pPr>
    <w:rPr>
      <w:rFonts w:ascii="Arial" w:hAnsi="Arial" w:eastAsia="Arial" w:cs="Arial"/>
      <w:sz w:val="22"/>
      <w:lang w:val="en-US"/>
    </w:rPr>
  </w:style>
  <w:style w:type="paragraph" w:styleId="CommentText">
    <w:name w:val="annotation text"/>
    <w:basedOn w:val="Normal"/>
    <w:link w:val="KommentartextZchn"/>
    <w:uiPriority w:val="99"/>
    <w:unhideWhenUsed/>
    <w:rsid w:val="009137b0"/>
    <w:pPr>
      <w:spacing w:lineRule="auto" w:line="240"/>
    </w:pPr>
    <w:rPr>
      <w:sz w:val="20"/>
      <w:szCs w:val="20"/>
    </w:rPr>
  </w:style>
  <w:style w:type="paragraph" w:styleId="EndnoteText">
    <w:name w:val="endnote text"/>
    <w:basedOn w:val="Normal"/>
    <w:link w:val="EndnotentextZchn"/>
    <w:uiPriority w:val="99"/>
    <w:semiHidden/>
    <w:unhideWhenUsed/>
    <w:rsid w:val="00fe18a3"/>
    <w:pPr>
      <w:spacing w:lineRule="auto" w:line="240" w:before="0" w:after="0"/>
    </w:pPr>
    <w:rPr>
      <w:sz w:val="20"/>
      <w:szCs w:val="20"/>
    </w:rPr>
  </w:style>
  <w:style w:type="paragraph" w:styleId="FootnoteText">
    <w:name w:val="footnote text"/>
    <w:basedOn w:val="Normal"/>
    <w:link w:val="FunotentextZchn"/>
    <w:uiPriority w:val="99"/>
    <w:semiHidden/>
    <w:unhideWhenUsed/>
    <w:rsid w:val="00fe18a3"/>
    <w:pPr>
      <w:spacing w:lineRule="auto" w:line="240" w:before="0" w:after="0"/>
    </w:pPr>
    <w:rPr>
      <w:sz w:val="20"/>
      <w:szCs w:val="20"/>
    </w:rPr>
  </w:style>
  <w:style w:type="paragraph" w:styleId="NormalWeb">
    <w:name w:val="Normal (Web)"/>
    <w:basedOn w:val="Normal"/>
    <w:uiPriority w:val="99"/>
    <w:unhideWhenUsed/>
    <w:qFormat/>
    <w:rsid w:val="000727bf"/>
    <w:pPr>
      <w:spacing w:lineRule="auto" w:line="240" w:beforeAutospacing="1" w:afterAutospacing="1"/>
    </w:pPr>
    <w:rPr>
      <w:rFonts w:ascii="Times New Roman" w:hAnsi="Times New Roman" w:eastAsia="Times New Roman" w:cs="Times New Roman"/>
      <w:szCs w:val="24"/>
      <w:lang w:eastAsia="de-DE"/>
    </w:rPr>
  </w:style>
  <w:style w:type="paragraph" w:styleId="TableofFigures" w:customStyle="1">
    <w:name w:val="table of figures"/>
    <w:basedOn w:val="Normal"/>
    <w:next w:val="Normal"/>
    <w:pPr>
      <w:keepNext w:val="false"/>
      <w:keepLines/>
      <w:spacing w:lineRule="auto" w:line="240" w:before="0" w:after="60"/>
    </w:pPr>
    <w:rPr>
      <w:rFonts w:ascii="Calibri" w:hAnsi="Calibri"/>
      <w:b w:val="false"/>
      <w:color w:val="000000"/>
      <w:sz w:val="21"/>
    </w:rPr>
  </w:style>
  <w:style w:type="paragraph" w:styleId="TOC4">
    <w:name w:val="toc 4"/>
    <w:basedOn w:val="Normal"/>
    <w:next w:val="Normal"/>
    <w:autoRedefine/>
    <w:uiPriority w:val="39"/>
    <w:unhideWhenUsed/>
    <w:rsid w:val="00d55999"/>
    <w:pPr>
      <w:spacing w:lineRule="auto" w:line="259" w:before="0" w:after="100"/>
      <w:ind w:start="660"/>
    </w:pPr>
    <w:rPr>
      <w:rFonts w:ascii="Corbel" w:hAnsi="Corbel" w:asciiTheme="minorHAnsi" w:hAnsiTheme="minorHAnsi"/>
      <w:sz w:val="22"/>
      <w:lang w:eastAsia="de-DE"/>
    </w:rPr>
  </w:style>
  <w:style w:type="paragraph" w:styleId="TOC5">
    <w:name w:val="toc 5"/>
    <w:basedOn w:val="Normal"/>
    <w:next w:val="Normal"/>
    <w:autoRedefine/>
    <w:uiPriority w:val="39"/>
    <w:unhideWhenUsed/>
    <w:rsid w:val="00d55999"/>
    <w:pPr>
      <w:spacing w:lineRule="auto" w:line="259" w:before="0" w:after="100"/>
      <w:ind w:start="880"/>
    </w:pPr>
    <w:rPr>
      <w:rFonts w:ascii="Corbel" w:hAnsi="Corbel" w:asciiTheme="minorHAnsi" w:hAnsiTheme="minorHAnsi"/>
      <w:sz w:val="22"/>
      <w:lang w:eastAsia="de-DE"/>
    </w:rPr>
  </w:style>
  <w:style w:type="paragraph" w:styleId="TOC6">
    <w:name w:val="toc 6"/>
    <w:basedOn w:val="Normal"/>
    <w:next w:val="Normal"/>
    <w:autoRedefine/>
    <w:uiPriority w:val="39"/>
    <w:unhideWhenUsed/>
    <w:rsid w:val="00d55999"/>
    <w:pPr>
      <w:spacing w:lineRule="auto" w:line="259" w:before="0" w:after="100"/>
      <w:ind w:start="1100"/>
    </w:pPr>
    <w:rPr>
      <w:rFonts w:ascii="Corbel" w:hAnsi="Corbel" w:asciiTheme="minorHAnsi" w:hAnsiTheme="minorHAnsi"/>
      <w:sz w:val="22"/>
      <w:lang w:eastAsia="de-DE"/>
    </w:rPr>
  </w:style>
  <w:style w:type="paragraph" w:styleId="TOC7">
    <w:name w:val="toc 7"/>
    <w:basedOn w:val="Normal"/>
    <w:next w:val="Normal"/>
    <w:autoRedefine/>
    <w:uiPriority w:val="39"/>
    <w:unhideWhenUsed/>
    <w:rsid w:val="00d55999"/>
    <w:pPr>
      <w:spacing w:lineRule="auto" w:line="259" w:before="0" w:after="100"/>
      <w:ind w:start="1320"/>
    </w:pPr>
    <w:rPr>
      <w:rFonts w:ascii="Corbel" w:hAnsi="Corbel" w:asciiTheme="minorHAnsi" w:hAnsiTheme="minorHAnsi"/>
      <w:sz w:val="22"/>
      <w:lang w:eastAsia="de-DE"/>
    </w:rPr>
  </w:style>
  <w:style w:type="paragraph" w:styleId="TOC8">
    <w:name w:val="toc 8"/>
    <w:basedOn w:val="Normal"/>
    <w:next w:val="Normal"/>
    <w:autoRedefine/>
    <w:uiPriority w:val="39"/>
    <w:unhideWhenUsed/>
    <w:rsid w:val="00d55999"/>
    <w:pPr>
      <w:spacing w:lineRule="auto" w:line="259" w:before="0" w:after="100"/>
      <w:ind w:start="1540"/>
    </w:pPr>
    <w:rPr>
      <w:rFonts w:ascii="Corbel" w:hAnsi="Corbel" w:asciiTheme="minorHAnsi" w:hAnsiTheme="minorHAnsi"/>
      <w:sz w:val="22"/>
      <w:lang w:eastAsia="de-DE"/>
    </w:rPr>
  </w:style>
  <w:style w:type="paragraph" w:styleId="TOC9">
    <w:name w:val="toc 9"/>
    <w:basedOn w:val="Normal"/>
    <w:next w:val="Normal"/>
    <w:autoRedefine/>
    <w:uiPriority w:val="39"/>
    <w:unhideWhenUsed/>
    <w:rsid w:val="00d55999"/>
    <w:pPr>
      <w:spacing w:lineRule="auto" w:line="259" w:before="0" w:after="100"/>
      <w:ind w:start="1760"/>
    </w:pPr>
    <w:rPr>
      <w:rFonts w:ascii="Corbel" w:hAnsi="Corbel" w:asciiTheme="minorHAnsi" w:hAnsiTheme="minorHAnsi"/>
      <w:sz w:val="22"/>
      <w:lang w:eastAsia="de-DE"/>
    </w:rPr>
  </w:style>
  <w:style w:type="paragraph" w:styleId="Index1">
    <w:name w:val="index 1"/>
    <w:basedOn w:val="Normal"/>
    <w:next w:val="Normal"/>
    <w:autoRedefine/>
    <w:uiPriority w:val="99"/>
    <w:unhideWhenUsed/>
    <w:rsid w:val="00401f8a"/>
    <w:pPr>
      <w:spacing w:lineRule="auto" w:line="240" w:before="0" w:after="0"/>
      <w:ind w:hanging="240" w:start="240"/>
    </w:pPr>
    <w:rPr/>
  </w:style>
  <w:style w:type="paragraph" w:styleId="Index2">
    <w:name w:val="index 2"/>
    <w:basedOn w:val="Normal"/>
    <w:next w:val="Normal"/>
    <w:autoRedefine/>
    <w:uiPriority w:val="99"/>
    <w:semiHidden/>
    <w:unhideWhenUsed/>
    <w:rsid w:val="008f5ace"/>
    <w:pPr>
      <w:spacing w:lineRule="auto" w:line="240" w:before="0" w:after="0"/>
      <w:ind w:hanging="240" w:start="480"/>
    </w:pPr>
    <w:rPr/>
  </w:style>
  <w:style w:type="paragraph" w:styleId="Revision">
    <w:name w:val="Revision"/>
    <w:uiPriority w:val="99"/>
    <w:semiHidden/>
    <w:qFormat/>
    <w:rsid w:val="00864758"/>
    <w:pPr>
      <w:widowControl/>
      <w:suppressAutoHyphens w:val="true"/>
      <w:bidi w:val="0"/>
      <w:spacing w:lineRule="auto" w:line="240" w:before="0" w:after="0"/>
      <w:jc w:val="start"/>
    </w:pPr>
    <w:rPr>
      <w:rFonts w:ascii="Calibri" w:hAnsi="Calibri" w:eastAsia="" w:cs="" w:cstheme="minorBidi" w:eastAsiaTheme="minorEastAsia"/>
      <w:color w:val="auto"/>
      <w:kern w:val="0"/>
      <w:sz w:val="24"/>
      <w:szCs w:val="22"/>
      <w:lang w:val="de-DE" w:eastAsia="en-US" w:bidi="ar-SA"/>
    </w:rPr>
  </w:style>
  <w:style w:type="paragraph" w:styleId="msonormal" w:customStyle="1">
    <w:name w:val="msonormal"/>
    <w:basedOn w:val="Normal"/>
    <w:qFormat/>
    <w:rsid w:val="008830c4"/>
    <w:pPr>
      <w:spacing w:lineRule="auto" w:line="240" w:beforeAutospacing="1" w:afterAutospacing="1"/>
    </w:pPr>
    <w:rPr>
      <w:rFonts w:ascii="Times New Roman" w:hAnsi="Times New Roman" w:eastAsia="Times New Roman" w:cs="Times New Roman"/>
      <w:szCs w:val="24"/>
      <w:lang w:val="en-GB" w:eastAsia="en-GB"/>
    </w:rPr>
  </w:style>
  <w:style w:type="paragraph" w:styleId="annotationsubject">
    <w:name w:val="annotation subject"/>
    <w:basedOn w:val="CommentText"/>
    <w:next w:val="CommentText"/>
    <w:link w:val="KommentarthemaZchn"/>
    <w:uiPriority w:val="99"/>
    <w:semiHidden/>
    <w:unhideWhenUsed/>
    <w:qFormat/>
    <w:rsid w:val="008830c4"/>
    <w:pPr/>
    <w:rPr>
      <w:b/>
      <w:bCs/>
    </w:rPr>
  </w:style>
  <w:style w:type="paragraph" w:styleId="isselectedend" w:customStyle="1">
    <w:name w:val="isselectedend"/>
    <w:basedOn w:val="Normal"/>
    <w:qFormat/>
    <w:rsid w:val="00a601e0"/>
    <w:pPr>
      <w:spacing w:lineRule="auto" w:line="240" w:beforeAutospacing="1" w:afterAutospacing="1"/>
    </w:pPr>
    <w:rPr>
      <w:rFonts w:ascii="Times New Roman" w:hAnsi="Times New Roman" w:eastAsia="Times New Roman" w:cs="Times New Roman"/>
      <w:szCs w:val="24"/>
      <w:lang w:val="en-DE" w:eastAsia="en-DE"/>
    </w:rPr>
  </w:style>
  <w:style w:type="paragraph" w:styleId="TOCManual1" w:customStyle="1">
    <w:name w:val="TOCManual1"/>
    <w:qFormat/>
    <w:rsid w:val="00d47502"/>
    <w:pPr>
      <w:widowControl/>
      <w:suppressAutoHyphens w:val="true"/>
      <w:bidi w:val="0"/>
      <w:spacing w:lineRule="auto" w:line="240" w:before="0" w:after="40"/>
      <w:jc w:val="start"/>
    </w:pPr>
    <w:rPr>
      <w:rFonts w:ascii="Times New Roman" w:hAnsi="Times New Roman" w:eastAsia="" w:cs="" w:cstheme="minorBidi" w:eastAsiaTheme="minorEastAsia"/>
      <w:b/>
      <w:color w:val="auto"/>
      <w:kern w:val="0"/>
      <w:sz w:val="23"/>
      <w:szCs w:val="22"/>
      <w:lang w:val="en-US" w:eastAsia="en-US" w:bidi="ar-SA"/>
    </w:rPr>
  </w:style>
  <w:style w:type="paragraph" w:styleId="TOCManual2" w:customStyle="1">
    <w:name w:val="TOCManual2"/>
    <w:qFormat/>
    <w:rsid w:val="00d47502"/>
    <w:pPr>
      <w:widowControl/>
      <w:suppressAutoHyphens w:val="true"/>
      <w:bidi w:val="0"/>
      <w:spacing w:lineRule="auto" w:line="240" w:before="0" w:after="40"/>
      <w:ind w:start="340"/>
      <w:jc w:val="start"/>
    </w:pPr>
    <w:rPr>
      <w:rFonts w:ascii="Times New Roman" w:hAnsi="Times New Roman" w:eastAsia="" w:cs="" w:cstheme="minorBidi" w:eastAsiaTheme="minorEastAsia"/>
      <w:color w:val="auto"/>
      <w:kern w:val="0"/>
      <w:sz w:val="22"/>
      <w:szCs w:val="22"/>
      <w:lang w:val="en-US" w:eastAsia="en-US" w:bidi="ar-SA"/>
    </w:rPr>
  </w:style>
  <w:style w:type="paragraph" w:styleId="TOCManual3" w:customStyle="1">
    <w:name w:val="TOCManual3"/>
    <w:qFormat/>
    <w:rsid w:val="00d47502"/>
    <w:pPr>
      <w:widowControl/>
      <w:suppressAutoHyphens w:val="true"/>
      <w:bidi w:val="0"/>
      <w:spacing w:lineRule="auto" w:line="240" w:before="0" w:after="40"/>
      <w:ind w:start="680"/>
      <w:jc w:val="start"/>
    </w:pPr>
    <w:rPr>
      <w:rFonts w:ascii="Times New Roman" w:hAnsi="Times New Roman" w:eastAsia="" w:cs="" w:cstheme="minorBidi" w:eastAsiaTheme="minorEastAsia"/>
      <w:color w:val="auto"/>
      <w:kern w:val="0"/>
      <w:sz w:val="21"/>
      <w:szCs w:val="22"/>
      <w:lang w:val="en-US" w:eastAsia="en-US" w:bidi="ar-SA"/>
    </w:rPr>
  </w:style>
  <w:style w:type="paragraph" w:styleId="Tabellenbeschriftung" w:customStyle="1">
    <w:name w:val="Tabellenbeschriftung"/>
    <w:basedOn w:val="Caption"/>
    <w:qFormat/>
    <w:pPr>
      <w:keepNext w:val="true"/>
      <w:keepLines/>
      <w:spacing w:lineRule="auto" w:line="240" w:before="160" w:after="80"/>
    </w:pPr>
    <w:rPr>
      <w:rFonts w:ascii="Calibri" w:hAnsi="Calibri"/>
      <w:b w:val="false"/>
      <w:color w:themeColor="text2" w:val="000000"/>
      <w:sz w:val="19"/>
    </w:rPr>
  </w:style>
  <w:style w:type="paragraph" w:styleId="Abbildungsbeschriftung" w:customStyle="1">
    <w:name w:val="Abbildungsbeschriftung"/>
    <w:basedOn w:val="Caption"/>
    <w:qFormat/>
    <w:pPr>
      <w:keepNext w:val="false"/>
      <w:keepLines/>
      <w:spacing w:lineRule="auto" w:line="240" w:before="160" w:after="80"/>
    </w:pPr>
    <w:rPr>
      <w:rFonts w:ascii="Calibri" w:hAnsi="Calibri"/>
      <w:b w:val="false"/>
      <w:color w:themeColor="text2" w:val="000000"/>
      <w:sz w:val="19"/>
    </w:rPr>
  </w:style>
  <w:style w:type="paragraph" w:styleId="Verzeichnisberschrift" w:customStyle="1">
    <w:name w:val="Verzeichnisüberschrift"/>
    <w:basedOn w:val="Heading1"/>
    <w:qFormat/>
    <w:pPr>
      <w:numPr>
        <w:ilvl w:val="0"/>
        <w:numId w:val="1"/>
      </w:numPr>
      <w:outlineLvl w:val="9"/>
    </w:pPr>
    <w:rPr>
      <w:rFonts w:ascii="Calibri" w:hAnsi="Calibri"/>
      <w:b/>
      <w:color w:val="000000"/>
      <w:sz w:val="32"/>
    </w:rPr>
  </w:style>
  <w:style w:type="paragraph" w:styleId="FrontMatterHeading" w:customStyle="1">
    <w:name w:val="FrontMatterHeading"/>
    <w:basedOn w:val="Heading1"/>
    <w:qFormat/>
    <w:pPr>
      <w:numPr>
        <w:ilvl w:val="0"/>
        <w:numId w:val="1"/>
      </w:numPr>
    </w:pPr>
    <w:rPr>
      <w:rFonts w:ascii="Calibri" w:hAnsi="Calibri"/>
      <w:b/>
      <w:color w:val="000000"/>
      <w:sz w:val="32"/>
    </w:rPr>
  </w:style>
  <w:style w:type="paragraph" w:styleId="LiteratureEntry" w:customStyle="1">
    <w:name w:val="LiteratureEntry"/>
    <w:basedOn w:val="Normal"/>
    <w:qFormat/>
    <w:pPr>
      <w:keepLines/>
      <w:spacing w:lineRule="auto" w:line="252" w:before="0" w:after="140"/>
      <w:ind w:hanging="283" w:start="283"/>
      <w:jc w:val="start"/>
    </w:pPr>
    <w:rPr>
      <w:rFonts w:ascii="Calibri" w:hAnsi="Calibri"/>
      <w:b w:val="false"/>
      <w:color w:val="000000"/>
      <w:sz w:val="21"/>
    </w:rPr>
  </w:style>
  <w:style w:type="numbering" w:styleId="NoList" w:default="1">
    <w:name w:val="No List"/>
    <w:uiPriority w:val="99"/>
    <w:semiHidden/>
    <w:unhideWhenUsed/>
    <w:qFormat/>
  </w:style>
  <w:style w:type="numbering" w:styleId="KeineListe1" w:customStyle="1">
    <w:name w:val="Keine Liste1"/>
    <w:uiPriority w:val="99"/>
    <w:semiHidden/>
    <w:unhideWhenUsed/>
    <w:qFormat/>
    <w:rsid w:val="008830c4"/>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a92eab"/>
    <w:pPr>
      <w:spacing w:after="0" w:line="240" w:lineRule="auto"/>
    </w:pPr>
    <w:rPr>
      <w:rFonts w:eastAsiaTheme="minorHAnsi"/>
      <w:lang w:val="en-US"/>
    </w:rPr>
    <w:tblPr>
      <w:tblCellMar>
        <w:top w:w="0" w:type="dxa"/>
        <w:left w:w="0" w:type="dxa"/>
        <w:bottom w:w="0" w:type="dxa"/>
        <w:right w:w="0" w:type="dxa"/>
      </w:tblCellMar>
    </w:tblPr>
  </w:style>
  <w:style w:type="table" w:styleId="Tabellenraster">
    <w:name w:val="Table Grid"/>
    <w:basedOn w:val="NormaleTabelle"/>
    <w:uiPriority w:val="59"/>
    <w:rsid w:val="001840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color="A6B727" w:themeColor="accent1" w:sz="8" w:space="0"/>
        <w:left w:val="single" w:color="A6B727" w:themeColor="accent1" w:sz="8" w:space="0"/>
        <w:bottom w:val="single" w:color="A6B727" w:themeColor="accent1" w:sz="8" w:space="0"/>
        <w:right w:val="single" w:color="A6B727" w:themeColor="accent1" w:sz="8" w:space="0"/>
        <w:insideH w:val="single" w:color="A6B727" w:themeColor="accent1" w:sz="8" w:space="0"/>
        <w:insideV w:val="single" w:color="A6B727"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18" w:space="0"/>
          <w:right w:val="single" w:color="A6B727" w:themeColor="accent1" w:sz="8" w:space="0"/>
          <w:insideH w:val="nil"/>
          <w:insideV w:val="single" w:color="A6B727"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6B727" w:themeColor="accent1" w:sz="6" w:space="0"/>
          <w:left w:val="single" w:color="A6B727" w:themeColor="accent1" w:sz="8" w:space="0"/>
          <w:bottom w:val="single" w:color="A6B727" w:themeColor="accent1" w:sz="8" w:space="0"/>
          <w:right w:val="single" w:color="A6B727" w:themeColor="accent1" w:sz="8" w:space="0"/>
          <w:insideH w:val="nil"/>
          <w:insideV w:val="single" w:color="A6B727"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tcPr>
    </w:tblStylePr>
    <w:tblStylePr w:type="band1Vert">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shd w:val="clear" w:color="auto" w:fill="ECF2C4" w:themeFill="accent1" w:themeFillTint="3f"/>
      </w:tcPr>
    </w:tblStylePr>
    <w:tblStylePr w:type="band1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shd w:val="clear" w:color="auto" w:fill="ECF2C4" w:themeFill="accent1" w:themeFillTint="3f"/>
      </w:tcPr>
    </w:tblStylePr>
    <w:tblStylePr w:type="band2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s://www.analog.com/media/en/technical-documentation/data-sheets/adxl345.pdf" TargetMode="External"/><Relationship Id="rId22" Type="http://schemas.openxmlformats.org/officeDocument/2006/relationships/hyperlink" Target="https://www.analog.com/media/en/technical-documentation/data-sheets/adxl354_adxl355.pdf" TargetMode="External"/><Relationship Id="rId23" Type="http://schemas.openxmlformats.org/officeDocument/2006/relationships/hyperlink" Target="https://doi.org/10.3390/s23042344" TargetMode="External"/><Relationship Id="rId24" Type="http://schemas.openxmlformats.org/officeDocument/2006/relationships/hyperlink" Target="https://www.arctic.de/media/2c/de/c6/1750758983/Spec_Sheet_P12_Pro_PST_EN.pdf" TargetMode="External"/><Relationship Id="rId25" Type="http://schemas.openxmlformats.org/officeDocument/2006/relationships/hyperlink" Target="https://doi.org/10.1007/978-1-4614-0676-1" TargetMode="External"/><Relationship Id="rId26" Type="http://schemas.openxmlformats.org/officeDocument/2006/relationships/hyperlink" Target="https://doi.org/10.1145/1541880.1541882" TargetMode="External"/><Relationship Id="rId27" Type="http://schemas.openxmlformats.org/officeDocument/2006/relationships/hyperlink" Target="https://www.gov.uk/government/publications/multi-criteria-analysis-manual-for-making-government-policy" TargetMode="External"/><Relationship Id="rId28" Type="http://schemas.openxmlformats.org/officeDocument/2006/relationships/hyperlink" Target="https://doi.org/10.3390/s26144536" TargetMode="External"/><Relationship Id="rId29" Type="http://schemas.openxmlformats.org/officeDocument/2006/relationships/hyperlink" Target="https://www.deeplearningbook.org/" TargetMode="External"/><Relationship Id="rId30" Type="http://schemas.openxmlformats.org/officeDocument/2006/relationships/hyperlink" Target="https://developers.google.com/edge/litert/conversion/tensorflow/convert_tf" TargetMode="External"/><Relationship Id="rId31" Type="http://schemas.openxmlformats.org/officeDocument/2006/relationships/hyperlink" Target="https://developers.google.com/edge/litert/conversion/tensorflow/quantization/post_training_quantization" TargetMode="External"/><Relationship Id="rId32" Type="http://schemas.openxmlformats.org/officeDocument/2006/relationships/hyperlink" Target="https://developers.google.com/edge/litert/microcontrollers/python" TargetMode="External"/><Relationship Id="rId33" Type="http://schemas.openxmlformats.org/officeDocument/2006/relationships/hyperlink" Target="https://developers.google.com/edge/api/tflite/python/tf/lite/Interpreter" TargetMode="External"/><Relationship Id="rId34" Type="http://schemas.openxmlformats.org/officeDocument/2006/relationships/hyperlink" Target="https://www.tensorflow.org/install/pip" TargetMode="External"/><Relationship Id="rId35" Type="http://schemas.openxmlformats.org/officeDocument/2006/relationships/hyperlink" Target="https://doi.org/10.1016/j.ymssp.2005.09.012" TargetMode="External"/><Relationship Id="rId36" Type="http://schemas.openxmlformats.org/officeDocument/2006/relationships/hyperlink" Target="https://doi.org/10.1145/2382577.2382579" TargetMode="External"/><Relationship Id="rId37" Type="http://schemas.openxmlformats.org/officeDocument/2006/relationships/hyperlink" Target="https://doi.org/10.36001/phme.2026.v9i1.4924" TargetMode="External"/><Relationship Id="rId38" Type="http://schemas.openxmlformats.org/officeDocument/2006/relationships/hyperlink" Target="https://doi.org/10.1109/ICDM.2008.17" TargetMode="External"/><Relationship Id="rId39" Type="http://schemas.openxmlformats.org/officeDocument/2006/relationships/hyperlink" Target="https://www.nasa.gov/reference/6-8-decision-analysis/" TargetMode="External"/><Relationship Id="rId40" Type="http://schemas.openxmlformats.org/officeDocument/2006/relationships/hyperlink" Target="https://www.nvidia.com/de-de/autonomous-machines/embedded-systems/jetson-orin/nano-super-developer-kit/" TargetMode="External"/><Relationship Id="rId41" Type="http://schemas.openxmlformats.org/officeDocument/2006/relationships/hyperlink" Target="https://onnxruntime.ai/docs/get-started/with-python.html" TargetMode="External"/><Relationship Id="rId42" Type="http://schemas.openxmlformats.org/officeDocument/2006/relationships/hyperlink" Target="https://www.orientalmotor.com/servo-motors/technology/servo-motor-features.html" TargetMode="External"/><Relationship Id="rId43" Type="http://schemas.openxmlformats.org/officeDocument/2006/relationships/hyperlink" Target="https://www.pcb.com/products?m=356a32" TargetMode="External"/><Relationship Id="rId44" Type="http://schemas.openxmlformats.org/officeDocument/2006/relationships/hyperlink" Target="https://doi.org/10.3390/s20082344" TargetMode="External"/><Relationship Id="rId45" Type="http://schemas.openxmlformats.org/officeDocument/2006/relationships/hyperlink" Target="https://docs.pytorch.org/executorch/stable/index.html" TargetMode="External"/><Relationship Id="rId46" Type="http://schemas.openxmlformats.org/officeDocument/2006/relationships/hyperlink" Target="https://doi.org/10.1016/j.ymssp.2010.07.017" TargetMode="External"/><Relationship Id="rId47" Type="http://schemas.openxmlformats.org/officeDocument/2006/relationships/hyperlink" Target="https://www.raspberrypi.com/products/raspberry-pi-5/" TargetMode="External"/><Relationship Id="rId48" Type="http://schemas.openxmlformats.org/officeDocument/2006/relationships/hyperlink" Target="https://datasheets.raspberrypi.com/rpi5/raspberry-pi-5-product-brief.pdf" TargetMode="External"/><Relationship Id="rId49" Type="http://schemas.openxmlformats.org/officeDocument/2006/relationships/hyperlink" Target="https://pip-assets.raspberrypi.com/categories/545-raspberry-pi-4-model-b/documents/RP-008344-DS-1-raspberry-pi-4-product-brief" TargetMode="External"/><Relationship Id="rId50" Type="http://schemas.openxmlformats.org/officeDocument/2006/relationships/hyperlink" Target="https://doi.org/10.1109/IJCNN52387.2021.9533927" TargetMode="External"/><Relationship Id="rId51" Type="http://schemas.openxmlformats.org/officeDocument/2006/relationships/hyperlink" Target="https://doi.org/10.1109/JPROC.2021.3052449" TargetMode="External"/><Relationship Id="rId52" Type="http://schemas.openxmlformats.org/officeDocument/2006/relationships/hyperlink" Target="https://scikit-learn.org/stable/common_pitfalls.html" TargetMode="External"/><Relationship Id="rId53" Type="http://schemas.openxmlformats.org/officeDocument/2006/relationships/hyperlink" Target="https://scikit-learn.org/stable/modules/cross_validation.html" TargetMode="External"/><Relationship Id="rId54" Type="http://schemas.openxmlformats.org/officeDocument/2006/relationships/hyperlink" Target="https://scikit-learn.org/stable/modules/model_evaluation.html" TargetMode="External"/><Relationship Id="rId55" Type="http://schemas.openxmlformats.org/officeDocument/2006/relationships/hyperlink" Target="https://scikit-learn.org/stable/modules/generated/sklearn.ensemble.IsolationForest.html" TargetMode="External"/><Relationship Id="rId56" Type="http://schemas.openxmlformats.org/officeDocument/2006/relationships/hyperlink" Target="https://docs.scipy.org/doc/scipy/tutorial/fft.html" TargetMode="External"/><Relationship Id="rId57" Type="http://schemas.openxmlformats.org/officeDocument/2006/relationships/hyperlink" Target="https://doi.org/10.1109/JIOT.2016.2579198" TargetMode="External"/><Relationship Id="rId58" Type="http://schemas.openxmlformats.org/officeDocument/2006/relationships/hyperlink" Target="https://www.st.com/resource/en/application_note/an4936-migrating-applications-from-stm32f7-to-stm32h743h753-mcus-stmicroelectronics.pdf" TargetMode="External"/><Relationship Id="rId59" Type="http://schemas.openxmlformats.org/officeDocument/2006/relationships/hyperlink" Target="https://www.st.com/en/microcontrollers-microprocessors/stm32h743-753.html" TargetMode="External"/><Relationship Id="rId60" Type="http://schemas.openxmlformats.org/officeDocument/2006/relationships/hyperlink" Target="https://mb.uni-paderborn.de/en/kat/research/bearing-datacenter" TargetMode="External"/><Relationship Id="rId61" Type="http://schemas.openxmlformats.org/officeDocument/2006/relationships/header" Target="header7.xml"/><Relationship Id="rId62" Type="http://schemas.openxmlformats.org/officeDocument/2006/relationships/header" Target="header8.xml"/><Relationship Id="rId63" Type="http://schemas.openxmlformats.org/officeDocument/2006/relationships/header" Target="header9.xml"/><Relationship Id="rId64" Type="http://schemas.openxmlformats.org/officeDocument/2006/relationships/footer" Target="footer7.xml"/><Relationship Id="rId65" Type="http://schemas.openxmlformats.org/officeDocument/2006/relationships/footer" Target="footer8.xml"/><Relationship Id="rId66" Type="http://schemas.openxmlformats.org/officeDocument/2006/relationships/footer" Target="footer9.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Relationship Id="rId71" Type="http://schemas.openxmlformats.org/officeDocument/2006/relationships/customXml" Target="../customXml/item1.xml"/><Relationship Id="rId72" Type="http://schemas.openxmlformats.org/officeDocument/2006/relationships/image" Target="media/image8.png"/><Relationship Id="rId73" Type="http://schemas.openxmlformats.org/officeDocument/2006/relationships/image" Target="media/image9.png"/><Relationship Id="rId74" Type="http://schemas.openxmlformats.org/officeDocument/2006/relationships/image" Target="media/image10.png"/><Relationship Id="rId75" Type="http://schemas.openxmlformats.org/officeDocument/2006/relationships/image" Target="media/image11.png"/><Relationship Id="rId76" Type="http://schemas.openxmlformats.org/officeDocument/2006/relationships/image" Target="media/image12.png"/><Relationship Id="rId77" Type="http://schemas.openxmlformats.org/officeDocument/2006/relationships/image" Target="media/image13.png"/><Relationship Id="rId78" Type="http://schemas.openxmlformats.org/officeDocument/2006/relationships/image" Target="media/image14.png"/><Relationship Id="rId79" Type="http://schemas.openxmlformats.org/officeDocument/2006/relationships/image" Target="media/image15.png"/><Relationship Id="rId80" Type="http://schemas.openxmlformats.org/officeDocument/2006/relationships/image" Target="media/image16.png"/></Relationships>
</file>

<file path=word/theme/theme1.xml><?xml version="1.0" encoding="utf-8"?>
<a:theme xmlns:a="http://schemas.openxmlformats.org/drawingml/2006/main" xmlns:r="http://schemas.openxmlformats.org/officeDocument/2006/relationships"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pitchFamily="0" charset="1"/>
        <a:ea typeface=""/>
        <a:cs typeface=""/>
      </a:majorFont>
      <a:minorFont>
        <a:latin typeface="Corbel" panose="020B0503020204020204" pitchFamily="0" charset="1"/>
        <a:ea typeface=""/>
        <a:cs typeface=""/>
      </a:minorFont>
    </a:fontScheme>
    <a:fmtScheme>
      <a:fillStyleLst>
        <a:solidFill>
          <a:schemeClr val="phClr"/>
        </a:solidFill>
        <a:solidFill>
          <a:schemeClr val="phClr">
            <a:tint val="55000"/>
          </a:schemeClr>
        </a:solidFill>
        <a:gradFill>
          <a:gsLst>
            <a:gs pos="0">
              <a:schemeClr val="phClr"/>
            </a:gs>
            <a:gs pos="90000">
              <a:schemeClr val="phClr">
                <a:shade val="100000"/>
              </a:schemeClr>
            </a:gs>
            <a:gs pos="100000">
              <a:schemeClr val="phClr">
                <a:shade val="80000"/>
              </a:schemeClr>
            </a:gs>
          </a:gsLst>
          <a:path path="circle">
            <a:fillToRect l="100000" t="100000" r="100000" b="100000"/>
          </a:path>
          <a:tileRect l="0" t="0" r="0" b="0"/>
        </a:gradFill>
      </a:fillStyleLst>
      <a:lnStyleLst>
        <a:ln w="10000" cap="flat" cmpd="sng" algn="ctr">
          <a:prstDash val="solid"/>
        </a:ln>
        <a:ln w="19050" cap="flat" cmpd="sng" algn="ctr">
          <a:prstDash val="solid"/>
        </a:ln>
        <a:ln w="53975" cap="flat" cmpd="dbl"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hade val="95000"/>
          </a:schemeClr>
        </a:solidFill>
        <a:solidFill>
          <a:schemeClr val="phClr">
            <a:tint val="90000"/>
            <a:shade val="85000"/>
            <a:lumMod val="110000"/>
          </a:scheme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LibreOffice/25.2.3.2$Linux_AARCH64 LibreOffice_project/520$Build-2</Application>
  <AppVersion>15.0000</AppVersion>
  <Pages>71</Pages>
  <Words>18767</Words>
  <Characters>136752</Characters>
  <CharactersWithSpaces>153900</CharactersWithSpaces>
  <Paragraphs>1485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2026-09-09T06:15:00Z</dcterms:created>
  <dc:creator>Abdulmalik Alzubi</dc:creator>
  <dc:description>Revision: Handyversuch 19.09.2026; archivierte Quellen unverändert.</dc:description>
  <dc:language>en-US</dc:language>
  <cp:lastModifiedBy/>
  <cp:lastPrinted>2026-01-21T09:57:00Z</cp:lastPrinted>
  <dcterms:modified xsi:type="dcterms:W3CDTF">2026-09-19T12:42:51Z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