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left"/>
      </w:pPr>
    </w:p>
    <w:p>
      <w:pPr>
        <w:spacing w:after="40"/>
      </w:pPr>
      <w:r>
        <w:rPr>
          <w:b/>
          <w:color w:val="1F3864"/>
          <w:sz w:val="52"/>
        </w:rPr>
        <w:t>Round 2 — Cross-Category Grouping</w:t>
      </w:r>
    </w:p>
    <w:p>
      <w:pPr>
        <w:spacing w:after="80"/>
      </w:pPr>
      <w:r>
        <w:rPr>
          <w:i/>
          <w:color w:val="555555"/>
          <w:sz w:val="26"/>
        </w:rPr>
        <w:t>Anthropic platform  |  Finance domain  |  Based on Round 1 results</w:t>
      </w:r>
    </w:p>
    <w:p>
      <w:pPr>
        <w:spacing w:before="200" w:after="200"/>
        <w:pBdr>
          <w:bottom w:val="single" w:sz="4" w:space="1" w:color="CCCCCC"/>
        </w:pBdr>
      </w:pPr>
    </w:p>
    <w:p>
      <w:pPr>
        <w:spacing w:before="400" w:after="100"/>
        <w:jc w:val="left"/>
      </w:pPr>
      <w:r>
        <w:rPr>
          <w:b/>
          <w:i w:val="0"/>
          <w:color w:val="1F3864"/>
          <w:sz w:val="40"/>
        </w:rPr>
        <w:t>What Round 1 told us</w:t>
      </w:r>
    </w:p>
    <w:p>
      <w:pPr>
        <w:spacing w:before="0" w:after="160"/>
        <w:jc w:val="left"/>
      </w:pPr>
      <w:r>
        <w:rPr>
          <w:b w:val="0"/>
          <w:i w:val="0"/>
          <w:color w:val="2D2D2D"/>
          <w:sz w:val="22"/>
        </w:rPr>
        <w:t>Round 1 tested all 11 instruction categories in isolation across three models (Opus 4.8, Sonnet 4.6, Haiku 4.5) using a 7-tier cumulative rule ladder. The table below shows the derived category weight for each category — total failures across all models divided by 21 opportunities (3 models × 7 tiers).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800"/>
            <w:shd w:val="clear" w:color="auto" w:fill="1F3864"/>
            <w:tcBorders>
              <w:top w:val="single" w:sz="4" w:color="CCCCCC"/>
              <w:bottom w:val="single" w:sz="4" w:color="CCCCCC"/>
              <w:left w:val="single" w:sz="4" w:color="CCCCCC"/>
              <w:right w:val="single" w:sz="4" w:color="CCCCCC"/>
            </w:tcBorders>
          </w:tcPr>
          <w:p>
            <w:pPr>
              <w:spacing w:before="60" w:after="60"/>
              <w:jc w:val="center"/>
            </w:pPr>
            <w:r>
              <w:rPr>
                <w:b/>
                <w:color w:val="FFFFFF"/>
                <w:sz w:val="18"/>
              </w:rPr>
              <w:t>Category</w:t>
            </w:r>
          </w:p>
        </w:tc>
        <w:tc>
          <w:tcPr>
            <w:tcW w:type="dxa" w:w="720"/>
            <w:shd w:val="clear" w:color="auto" w:fill="1F3864"/>
            <w:tcBorders>
              <w:top w:val="single" w:sz="4" w:color="CCCCCC"/>
              <w:bottom w:val="single" w:sz="4" w:color="CCCCCC"/>
              <w:left w:val="single" w:sz="4" w:color="CCCCCC"/>
              <w:right w:val="single" w:sz="4" w:color="CCCCCC"/>
            </w:tcBorders>
          </w:tcPr>
          <w:p>
            <w:pPr>
              <w:spacing w:before="60" w:after="60"/>
              <w:jc w:val="center"/>
            </w:pPr>
            <w:r>
              <w:rPr>
                <w:b/>
                <w:color w:val="FFFFFF"/>
                <w:sz w:val="18"/>
              </w:rPr>
              <w:t>Code</w:t>
            </w:r>
          </w:p>
        </w:tc>
        <w:tc>
          <w:tcPr>
            <w:tcW w:type="dxa" w:w="1440"/>
            <w:shd w:val="clear" w:color="auto" w:fill="1F3864"/>
            <w:tcBorders>
              <w:top w:val="single" w:sz="4" w:color="CCCCCC"/>
              <w:bottom w:val="single" w:sz="4" w:color="CCCCCC"/>
              <w:left w:val="single" w:sz="4" w:color="CCCCCC"/>
              <w:right w:val="single" w:sz="4" w:color="CCCCCC"/>
            </w:tcBorders>
          </w:tcPr>
          <w:p>
            <w:pPr>
              <w:spacing w:before="60" w:after="60"/>
              <w:jc w:val="center"/>
            </w:pPr>
            <w:r>
              <w:rPr>
                <w:b/>
                <w:color w:val="FFFFFF"/>
                <w:sz w:val="18"/>
              </w:rPr>
              <w:t>Failures / 21</w:t>
            </w:r>
          </w:p>
        </w:tc>
        <w:tc>
          <w:tcPr>
            <w:tcW w:type="dxa" w:w="900"/>
            <w:shd w:val="clear" w:color="auto" w:fill="1F3864"/>
            <w:tcBorders>
              <w:top w:val="single" w:sz="4" w:color="CCCCCC"/>
              <w:bottom w:val="single" w:sz="4" w:color="CCCCCC"/>
              <w:left w:val="single" w:sz="4" w:color="CCCCCC"/>
              <w:right w:val="single" w:sz="4" w:color="CCCCCC"/>
            </w:tcBorders>
          </w:tcPr>
          <w:p>
            <w:pPr>
              <w:spacing w:before="60" w:after="60"/>
              <w:jc w:val="center"/>
            </w:pPr>
            <w:r>
              <w:rPr>
                <w:b/>
                <w:color w:val="FFFFFF"/>
                <w:sz w:val="18"/>
              </w:rPr>
              <w:t>Weight</w:t>
            </w:r>
          </w:p>
        </w:tc>
        <w:tc>
          <w:tcPr>
            <w:tcW w:type="dxa" w:w="1008"/>
            <w:shd w:val="clear" w:color="auto" w:fill="1F3864"/>
            <w:tcBorders>
              <w:top w:val="single" w:sz="4" w:color="CCCCCC"/>
              <w:bottom w:val="single" w:sz="4" w:color="CCCCCC"/>
              <w:left w:val="single" w:sz="4" w:color="CCCCCC"/>
              <w:right w:val="single" w:sz="4" w:color="CCCCCC"/>
            </w:tcBorders>
          </w:tcPr>
          <w:p>
            <w:pPr>
              <w:spacing w:before="60" w:after="60"/>
              <w:jc w:val="center"/>
            </w:pPr>
            <w:r>
              <w:rPr>
                <w:b/>
                <w:color w:val="FFFFFF"/>
                <w:sz w:val="18"/>
              </w:rPr>
              <w:t>Band</w:t>
            </w:r>
          </w:p>
        </w:tc>
      </w:tr>
      <w:tr>
        <w:tc>
          <w:tcPr>
            <w:tcW w:type="dxa" w:w="1800"/>
            <w:shd w:val="clear" w:color="auto" w:fill="FCE4D6"/>
            <w:tcBorders>
              <w:top w:val="single" w:sz="4" w:color="CCCCCC"/>
              <w:bottom w:val="single" w:sz="4" w:color="CCCCCC"/>
              <w:left w:val="single" w:sz="4" w:color="CCCCCC"/>
              <w:right w:val="single" w:sz="4" w:color="CCCCCC"/>
            </w:tcBorders>
          </w:tcPr>
          <w:p>
            <w:pPr>
              <w:spacing w:before="60" w:after="60"/>
              <w:jc w:val="left"/>
            </w:pPr>
            <w:r>
              <w:rPr>
                <w:b w:val="0"/>
                <w:color w:val="2D2D2D"/>
                <w:sz w:val="18"/>
              </w:rPr>
              <w:t>Scope</w:t>
            </w:r>
          </w:p>
        </w:tc>
        <w:tc>
          <w:tcPr>
            <w:tcW w:type="dxa" w:w="720"/>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w:t>
            </w:r>
          </w:p>
        </w:tc>
        <w:tc>
          <w:tcPr>
            <w:tcW w:type="dxa" w:w="1440"/>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15 / 21</w:t>
            </w:r>
          </w:p>
        </w:tc>
        <w:tc>
          <w:tcPr>
            <w:tcW w:type="dxa" w:w="900"/>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0.71</w:t>
            </w:r>
          </w:p>
        </w:tc>
        <w:tc>
          <w:tcPr>
            <w:tcW w:type="dxa" w:w="1008"/>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Hard</w:t>
            </w:r>
          </w:p>
        </w:tc>
      </w:tr>
      <w:tr>
        <w:tc>
          <w:tcPr>
            <w:tcW w:type="dxa" w:w="1800"/>
            <w:shd w:val="clear" w:color="auto" w:fill="FFF2CC"/>
            <w:tcBorders>
              <w:top w:val="single" w:sz="4" w:color="CCCCCC"/>
              <w:bottom w:val="single" w:sz="4" w:color="CCCCCC"/>
              <w:left w:val="single" w:sz="4" w:color="CCCCCC"/>
              <w:right w:val="single" w:sz="4" w:color="CCCCCC"/>
            </w:tcBorders>
          </w:tcPr>
          <w:p>
            <w:pPr>
              <w:spacing w:before="60" w:after="60"/>
              <w:jc w:val="left"/>
            </w:pPr>
            <w:r>
              <w:rPr>
                <w:b w:val="0"/>
                <w:color w:val="2D2D2D"/>
                <w:sz w:val="18"/>
              </w:rPr>
              <w:t>Chained</w:t>
            </w:r>
          </w:p>
        </w:tc>
        <w:tc>
          <w:tcPr>
            <w:tcW w:type="dxa" w:w="72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Chn</w:t>
            </w:r>
          </w:p>
        </w:tc>
        <w:tc>
          <w:tcPr>
            <w:tcW w:type="dxa" w:w="144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8 / 21</w:t>
            </w:r>
          </w:p>
        </w:tc>
        <w:tc>
          <w:tcPr>
            <w:tcW w:type="dxa" w:w="90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0.38</w:t>
            </w:r>
          </w:p>
        </w:tc>
        <w:tc>
          <w:tcPr>
            <w:tcW w:type="dxa" w:w="1008"/>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Medium</w:t>
            </w:r>
          </w:p>
        </w:tc>
      </w:tr>
      <w:tr>
        <w:tc>
          <w:tcPr>
            <w:tcW w:type="dxa" w:w="1800"/>
            <w:shd w:val="clear" w:color="auto" w:fill="FFF2CC"/>
            <w:tcBorders>
              <w:top w:val="single" w:sz="4" w:color="CCCCCC"/>
              <w:bottom w:val="single" w:sz="4" w:color="CCCCCC"/>
              <w:left w:val="single" w:sz="4" w:color="CCCCCC"/>
              <w:right w:val="single" w:sz="4" w:color="CCCCCC"/>
            </w:tcBorders>
          </w:tcPr>
          <w:p>
            <w:pPr>
              <w:spacing w:before="60" w:after="60"/>
              <w:jc w:val="left"/>
            </w:pPr>
            <w:r>
              <w:rPr>
                <w:b w:val="0"/>
                <w:color w:val="2D2D2D"/>
                <w:sz w:val="18"/>
              </w:rPr>
              <w:t>Situation</w:t>
            </w:r>
          </w:p>
        </w:tc>
        <w:tc>
          <w:tcPr>
            <w:tcW w:type="dxa" w:w="72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Sit</w:t>
            </w:r>
          </w:p>
        </w:tc>
        <w:tc>
          <w:tcPr>
            <w:tcW w:type="dxa" w:w="144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8 / 21</w:t>
            </w:r>
          </w:p>
        </w:tc>
        <w:tc>
          <w:tcPr>
            <w:tcW w:type="dxa" w:w="90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0.38</w:t>
            </w:r>
          </w:p>
        </w:tc>
        <w:tc>
          <w:tcPr>
            <w:tcW w:type="dxa" w:w="1008"/>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Medium</w:t>
            </w:r>
          </w:p>
        </w:tc>
      </w:tr>
      <w:tr>
        <w:tc>
          <w:tcPr>
            <w:tcW w:type="dxa" w:w="1800"/>
            <w:shd w:val="clear" w:color="auto" w:fill="EAF0FB"/>
            <w:tcBorders>
              <w:top w:val="single" w:sz="4" w:color="CCCCCC"/>
              <w:bottom w:val="single" w:sz="4" w:color="CCCCCC"/>
              <w:left w:val="single" w:sz="4" w:color="CCCCCC"/>
              <w:right w:val="single" w:sz="4" w:color="CCCCCC"/>
            </w:tcBorders>
          </w:tcPr>
          <w:p>
            <w:pPr>
              <w:spacing w:before="60" w:after="60"/>
              <w:jc w:val="left"/>
            </w:pPr>
            <w:r>
              <w:rPr>
                <w:b w:val="0"/>
                <w:color w:val="2D2D2D"/>
                <w:sz w:val="18"/>
              </w:rPr>
              <w:t>Negation</w:t>
            </w:r>
          </w:p>
        </w:tc>
        <w:tc>
          <w:tcPr>
            <w:tcW w:type="dxa" w:w="72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Neg</w:t>
            </w:r>
          </w:p>
        </w:tc>
        <w:tc>
          <w:tcPr>
            <w:tcW w:type="dxa" w:w="144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4 / 21</w:t>
            </w:r>
          </w:p>
        </w:tc>
        <w:tc>
          <w:tcPr>
            <w:tcW w:type="dxa" w:w="90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0.19</w:t>
            </w:r>
          </w:p>
        </w:tc>
        <w:tc>
          <w:tcPr>
            <w:tcW w:type="dxa" w:w="1008"/>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Low</w:t>
            </w:r>
          </w:p>
        </w:tc>
      </w:tr>
      <w:tr>
        <w:tc>
          <w:tcPr>
            <w:tcW w:type="dxa" w:w="1800"/>
            <w:shd w:val="clear" w:color="auto" w:fill="EAF0FB"/>
            <w:tcBorders>
              <w:top w:val="single" w:sz="4" w:color="CCCCCC"/>
              <w:bottom w:val="single" w:sz="4" w:color="CCCCCC"/>
              <w:left w:val="single" w:sz="4" w:color="CCCCCC"/>
              <w:right w:val="single" w:sz="4" w:color="CCCCCC"/>
            </w:tcBorders>
          </w:tcPr>
          <w:p>
            <w:pPr>
              <w:spacing w:before="60" w:after="60"/>
              <w:jc w:val="left"/>
            </w:pPr>
            <w:r>
              <w:rPr>
                <w:b w:val="0"/>
                <w:color w:val="2D2D2D"/>
                <w:sz w:val="18"/>
              </w:rPr>
              <w:t>Persona</w:t>
            </w:r>
          </w:p>
        </w:tc>
        <w:tc>
          <w:tcPr>
            <w:tcW w:type="dxa" w:w="72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Per</w:t>
            </w:r>
          </w:p>
        </w:tc>
        <w:tc>
          <w:tcPr>
            <w:tcW w:type="dxa" w:w="144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2 / 21</w:t>
            </w:r>
          </w:p>
        </w:tc>
        <w:tc>
          <w:tcPr>
            <w:tcW w:type="dxa" w:w="90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0.10</w:t>
            </w:r>
          </w:p>
        </w:tc>
        <w:tc>
          <w:tcPr>
            <w:tcW w:type="dxa" w:w="1008"/>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Low</w:t>
            </w:r>
          </w:p>
        </w:tc>
      </w:tr>
      <w:tr>
        <w:tc>
          <w:tcPr>
            <w:tcW w:type="dxa" w:w="1800"/>
            <w:shd w:val="clear" w:color="auto" w:fill="EAF0FB"/>
            <w:tcBorders>
              <w:top w:val="single" w:sz="4" w:color="CCCCCC"/>
              <w:bottom w:val="single" w:sz="4" w:color="CCCCCC"/>
              <w:left w:val="single" w:sz="4" w:color="CCCCCC"/>
              <w:right w:val="single" w:sz="4" w:color="CCCCCC"/>
            </w:tcBorders>
          </w:tcPr>
          <w:p>
            <w:pPr>
              <w:spacing w:before="60" w:after="60"/>
              <w:jc w:val="left"/>
            </w:pPr>
            <w:r>
              <w:rPr>
                <w:b w:val="0"/>
                <w:color w:val="2D2D2D"/>
                <w:sz w:val="18"/>
              </w:rPr>
              <w:t>Example</w:t>
            </w:r>
          </w:p>
        </w:tc>
        <w:tc>
          <w:tcPr>
            <w:tcW w:type="dxa" w:w="72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Exa</w:t>
            </w:r>
          </w:p>
        </w:tc>
        <w:tc>
          <w:tcPr>
            <w:tcW w:type="dxa" w:w="144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1 / 21</w:t>
            </w:r>
          </w:p>
        </w:tc>
        <w:tc>
          <w:tcPr>
            <w:tcW w:type="dxa" w:w="90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0.05</w:t>
            </w:r>
          </w:p>
        </w:tc>
        <w:tc>
          <w:tcPr>
            <w:tcW w:type="dxa" w:w="1008"/>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Low</w:t>
            </w:r>
          </w:p>
        </w:tc>
      </w:tr>
      <w:tr>
        <w:tc>
          <w:tcPr>
            <w:tcW w:type="dxa" w:w="1800"/>
            <w:shd w:val="clear" w:color="auto" w:fill="EAF0FB"/>
            <w:tcBorders>
              <w:top w:val="single" w:sz="4" w:color="CCCCCC"/>
              <w:bottom w:val="single" w:sz="4" w:color="CCCCCC"/>
              <w:left w:val="single" w:sz="4" w:color="CCCCCC"/>
              <w:right w:val="single" w:sz="4" w:color="CCCCCC"/>
            </w:tcBorders>
          </w:tcPr>
          <w:p>
            <w:pPr>
              <w:spacing w:before="60" w:after="60"/>
              <w:jc w:val="left"/>
            </w:pPr>
            <w:r>
              <w:rPr>
                <w:b w:val="0"/>
                <w:color w:val="2D2D2D"/>
                <w:sz w:val="18"/>
              </w:rPr>
              <w:t>Format</w:t>
            </w:r>
          </w:p>
        </w:tc>
        <w:tc>
          <w:tcPr>
            <w:tcW w:type="dxa" w:w="72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Fmt</w:t>
            </w:r>
          </w:p>
        </w:tc>
        <w:tc>
          <w:tcPr>
            <w:tcW w:type="dxa" w:w="144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1 / 21</w:t>
            </w:r>
          </w:p>
        </w:tc>
        <w:tc>
          <w:tcPr>
            <w:tcW w:type="dxa" w:w="90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0.05</w:t>
            </w:r>
          </w:p>
        </w:tc>
        <w:tc>
          <w:tcPr>
            <w:tcW w:type="dxa" w:w="1008"/>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Low</w:t>
            </w:r>
          </w:p>
        </w:tc>
      </w:tr>
      <w:tr>
        <w:tc>
          <w:tcPr>
            <w:tcW w:type="dxa" w:w="1800"/>
            <w:shd w:val="clear" w:color="auto" w:fill="EAF0FB"/>
            <w:tcBorders>
              <w:top w:val="single" w:sz="4" w:color="CCCCCC"/>
              <w:bottom w:val="single" w:sz="4" w:color="CCCCCC"/>
              <w:left w:val="single" w:sz="4" w:color="CCCCCC"/>
              <w:right w:val="single" w:sz="4" w:color="CCCCCC"/>
            </w:tcBorders>
          </w:tcPr>
          <w:p>
            <w:pPr>
              <w:spacing w:before="60" w:after="60"/>
              <w:jc w:val="left"/>
            </w:pPr>
            <w:r>
              <w:rPr>
                <w:b w:val="0"/>
                <w:color w:val="2D2D2D"/>
                <w:sz w:val="18"/>
              </w:rPr>
              <w:t>Precision</w:t>
            </w:r>
          </w:p>
        </w:tc>
        <w:tc>
          <w:tcPr>
            <w:tcW w:type="dxa" w:w="72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Pre</w:t>
            </w:r>
          </w:p>
        </w:tc>
        <w:tc>
          <w:tcPr>
            <w:tcW w:type="dxa" w:w="144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1 / 21</w:t>
            </w:r>
          </w:p>
        </w:tc>
        <w:tc>
          <w:tcPr>
            <w:tcW w:type="dxa" w:w="900"/>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0.05</w:t>
            </w:r>
          </w:p>
        </w:tc>
        <w:tc>
          <w:tcPr>
            <w:tcW w:type="dxa" w:w="1008"/>
            <w:shd w:val="clear" w:color="auto" w:fill="EAF0FB"/>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Low</w:t>
            </w:r>
          </w:p>
        </w:tc>
      </w:tr>
      <w:tr>
        <w:tc>
          <w:tcPr>
            <w:tcW w:type="dxa" w:w="1800"/>
            <w:shd w:val="clear" w:color="auto" w:fill="E2EFDA"/>
            <w:tcBorders>
              <w:top w:val="single" w:sz="4" w:color="CCCCCC"/>
              <w:bottom w:val="single" w:sz="4" w:color="CCCCCC"/>
              <w:left w:val="single" w:sz="4" w:color="CCCCCC"/>
              <w:right w:val="single" w:sz="4" w:color="CCCCCC"/>
            </w:tcBorders>
          </w:tcPr>
          <w:p>
            <w:pPr>
              <w:spacing w:before="60" w:after="60"/>
              <w:jc w:val="left"/>
            </w:pPr>
            <w:r>
              <w:rPr>
                <w:b w:val="0"/>
                <w:color w:val="2D2D2D"/>
                <w:sz w:val="18"/>
              </w:rPr>
              <w:t>Content</w:t>
            </w:r>
          </w:p>
        </w:tc>
        <w:tc>
          <w:tcPr>
            <w:tcW w:type="dxa" w:w="72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Cnt</w:t>
            </w:r>
          </w:p>
        </w:tc>
        <w:tc>
          <w:tcPr>
            <w:tcW w:type="dxa" w:w="144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 / 21</w:t>
            </w:r>
          </w:p>
        </w:tc>
        <w:tc>
          <w:tcPr>
            <w:tcW w:type="dxa" w:w="90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0.00</w:t>
            </w:r>
          </w:p>
        </w:tc>
        <w:tc>
          <w:tcPr>
            <w:tcW w:type="dxa" w:w="1008"/>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Zero</w:t>
            </w:r>
          </w:p>
        </w:tc>
      </w:tr>
      <w:tr>
        <w:tc>
          <w:tcPr>
            <w:tcW w:type="dxa" w:w="1800"/>
            <w:shd w:val="clear" w:color="auto" w:fill="E2EFDA"/>
            <w:tcBorders>
              <w:top w:val="single" w:sz="4" w:color="CCCCCC"/>
              <w:bottom w:val="single" w:sz="4" w:color="CCCCCC"/>
              <w:left w:val="single" w:sz="4" w:color="CCCCCC"/>
              <w:right w:val="single" w:sz="4" w:color="CCCCCC"/>
            </w:tcBorders>
          </w:tcPr>
          <w:p>
            <w:pPr>
              <w:spacing w:before="60" w:after="60"/>
              <w:jc w:val="left"/>
            </w:pPr>
            <w:r>
              <w:rPr>
                <w:b w:val="0"/>
                <w:color w:val="2D2D2D"/>
                <w:sz w:val="18"/>
              </w:rPr>
              <w:t>Priority</w:t>
            </w:r>
          </w:p>
        </w:tc>
        <w:tc>
          <w:tcPr>
            <w:tcW w:type="dxa" w:w="72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Pri</w:t>
            </w:r>
          </w:p>
        </w:tc>
        <w:tc>
          <w:tcPr>
            <w:tcW w:type="dxa" w:w="144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 / 21</w:t>
            </w:r>
          </w:p>
        </w:tc>
        <w:tc>
          <w:tcPr>
            <w:tcW w:type="dxa" w:w="90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0.00</w:t>
            </w:r>
          </w:p>
        </w:tc>
        <w:tc>
          <w:tcPr>
            <w:tcW w:type="dxa" w:w="1008"/>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Zero</w:t>
            </w:r>
          </w:p>
        </w:tc>
      </w:tr>
      <w:tr>
        <w:tc>
          <w:tcPr>
            <w:tcW w:type="dxa" w:w="1800"/>
            <w:shd w:val="clear" w:color="auto" w:fill="E2EFDA"/>
            <w:tcBorders>
              <w:top w:val="single" w:sz="4" w:color="CCCCCC"/>
              <w:bottom w:val="single" w:sz="4" w:color="CCCCCC"/>
              <w:left w:val="single" w:sz="4" w:color="CCCCCC"/>
              <w:right w:val="single" w:sz="4" w:color="CCCCCC"/>
            </w:tcBorders>
          </w:tcPr>
          <w:p>
            <w:pPr>
              <w:spacing w:before="60" w:after="60"/>
              <w:jc w:val="left"/>
            </w:pPr>
            <w:r>
              <w:rPr>
                <w:b w:val="0"/>
                <w:color w:val="2D2D2D"/>
                <w:sz w:val="18"/>
              </w:rPr>
              <w:t>Style</w:t>
            </w:r>
          </w:p>
        </w:tc>
        <w:tc>
          <w:tcPr>
            <w:tcW w:type="dxa" w:w="72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Sty</w:t>
            </w:r>
          </w:p>
        </w:tc>
        <w:tc>
          <w:tcPr>
            <w:tcW w:type="dxa" w:w="144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 / 21</w:t>
            </w:r>
          </w:p>
        </w:tc>
        <w:tc>
          <w:tcPr>
            <w:tcW w:type="dxa" w:w="900"/>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0.00</w:t>
            </w:r>
          </w:p>
        </w:tc>
        <w:tc>
          <w:tcPr>
            <w:tcW w:type="dxa" w:w="1008"/>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Zero</w:t>
            </w:r>
          </w:p>
        </w:tc>
      </w:tr>
    </w:tbl>
    <w:p>
      <w:pPr>
        <w:spacing w:before="0" w:after="160"/>
        <w:jc w:val="left"/>
      </w:pPr>
    </w:p>
    <w:p>
      <w:pPr>
        <w:spacing w:before="0" w:after="160"/>
        <w:jc w:val="left"/>
      </w:pPr>
      <w:r>
        <w:rPr>
          <w:b w:val="0"/>
          <w:i w:val="0"/>
          <w:color w:val="2D2D2D"/>
          <w:sz w:val="22"/>
        </w:rPr>
        <w:t>The key finding: one category is clearly hard (Scope at 0.71), two are medium (Chained and Situation both at 0.38), and the rest are low or zero. This narrow weight distribution shapes everything about Round 2 — there is only one Hard combination available, which means Round 2 is a focused test, not an exhaustive matrix.</w:t>
      </w:r>
    </w:p>
    <w:p>
      <w:pPr>
        <w:spacing w:before="200" w:after="200"/>
        <w:pBdr>
          <w:bottom w:val="single" w:sz="4" w:space="1" w:color="CCCCCC"/>
        </w:pBdr>
      </w:pPr>
    </w:p>
    <w:p>
      <w:pPr>
        <w:spacing w:before="400" w:after="100"/>
        <w:jc w:val="left"/>
      </w:pPr>
      <w:r>
        <w:rPr>
          <w:b/>
          <w:i w:val="0"/>
          <w:color w:val="1F3864"/>
          <w:sz w:val="40"/>
        </w:rPr>
        <w:t>The central question for Round 2</w:t>
      </w:r>
    </w:p>
    <w:p>
      <w:pPr>
        <w:spacing w:before="0" w:after="160"/>
        <w:jc w:val="left"/>
      </w:pPr>
      <w:r>
        <w:rPr>
          <w:b w:val="0"/>
          <w:i w:val="0"/>
          <w:color w:val="2D2D2D"/>
          <w:sz w:val="22"/>
        </w:rPr>
        <w:t>Scope is the dominant failure driver on this platform. Round 2 asks one primary question: does pairing Scope with another category make things worse than Scope alone, or does Scope dominate regardless of what it is paired with?</w:t>
      </w:r>
    </w:p>
    <w:p>
      <w:pPr>
        <w:spacing w:before="160" w:after="160"/>
        <w:ind w:left="432"/>
        <w:pBdr>
          <w:left w:val="single" w:sz="18" w:space="10" w:color="1F3864"/>
        </w:pBdr>
      </w:pPr>
      <w:r>
        <w:rPr>
          <w:color w:val="2D2D2D"/>
          <w:sz w:val="22"/>
        </w:rPr>
        <w:t>If Scope + Chained fails earlier than Scope alone: the categories compound. Avoid stacking these in a single system prompt.</w:t>
        <w:br/>
        <w:br/>
        <w:t>If Scope + Chained fails at the same tier as Scope alone: Scope dominates. The categories are independent. You can combine them as long as you respect Scope's individual failure threshold.</w:t>
      </w:r>
    </w:p>
    <w:p>
      <w:pPr>
        <w:spacing w:before="0" w:after="160"/>
        <w:jc w:val="left"/>
      </w:pPr>
      <w:r>
        <w:rPr>
          <w:b w:val="0"/>
          <w:i w:val="0"/>
          <w:color w:val="2D2D2D"/>
          <w:sz w:val="22"/>
        </w:rPr>
        <w:t>Secondary questions: does Situation compound with Scope the same way Chained does? And do the near-zero categories (Negation, Persona) remain stable when combined, or does even a small combined weight produce earlier failures?</w:t>
      </w:r>
    </w:p>
    <w:p>
      <w:pPr>
        <w:spacing w:before="200" w:after="200"/>
        <w:pBdr>
          <w:bottom w:val="single" w:sz="4" w:space="1" w:color="CCCCCC"/>
        </w:pBdr>
      </w:pPr>
    </w:p>
    <w:p>
      <w:pPr>
        <w:spacing w:before="400" w:after="100"/>
        <w:jc w:val="left"/>
      </w:pPr>
      <w:r>
        <w:rPr>
          <w:b/>
          <w:i w:val="0"/>
          <w:color w:val="1F3864"/>
          <w:sz w:val="40"/>
        </w:rPr>
        <w:t>Round 2 combinations</w:t>
      </w:r>
    </w:p>
    <w:p>
      <w:pPr>
        <w:spacing w:before="240" w:after="80"/>
        <w:jc w:val="left"/>
      </w:pPr>
      <w:r>
        <w:rPr>
          <w:b/>
          <w:i w:val="0"/>
          <w:color w:val="832121"/>
          <w:sz w:val="26"/>
        </w:rPr>
        <w:t>Hard band — combined weight ≥ 1.00</w:t>
      </w:r>
    </w:p>
    <w:p>
      <w:pPr>
        <w:spacing w:before="0" w:after="160"/>
        <w:jc w:val="left"/>
      </w:pPr>
      <w:r>
        <w:rPr>
          <w:b w:val="0"/>
          <w:i w:val="0"/>
          <w:color w:val="2D2D2D"/>
          <w:sz w:val="22"/>
        </w:rPr>
        <w:t>Only one combination reaches the Hard band. Scope is the only high-weight category, so a Hard pair requires Scope plus both medium categories together.</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360"/>
            <w:shd w:val="clear" w:color="auto" w:fill="832121"/>
            <w:tcBorders>
              <w:top w:val="single" w:sz="4" w:color="CCCCCC"/>
              <w:bottom w:val="single" w:sz="4" w:color="CCCCCC"/>
              <w:left w:val="single" w:sz="4" w:color="CCCCCC"/>
              <w:right w:val="single" w:sz="4" w:color="CCCCCC"/>
            </w:tcBorders>
          </w:tcPr>
          <w:p>
            <w:pPr>
              <w:spacing w:before="60" w:after="60"/>
              <w:jc w:val="center"/>
            </w:pPr>
            <w:r>
              <w:rPr>
                <w:b/>
                <w:color w:val="FFFFFF"/>
                <w:sz w:val="18"/>
              </w:rPr>
              <w:t>#</w:t>
            </w:r>
          </w:p>
        </w:tc>
        <w:tc>
          <w:tcPr>
            <w:tcW w:type="dxa" w:w="2160"/>
            <w:shd w:val="clear" w:color="auto" w:fill="832121"/>
            <w:tcBorders>
              <w:top w:val="single" w:sz="4" w:color="CCCCCC"/>
              <w:bottom w:val="single" w:sz="4" w:color="CCCCCC"/>
              <w:left w:val="single" w:sz="4" w:color="CCCCCC"/>
              <w:right w:val="single" w:sz="4" w:color="CCCCCC"/>
            </w:tcBorders>
          </w:tcPr>
          <w:p>
            <w:pPr>
              <w:spacing w:before="60" w:after="60"/>
              <w:jc w:val="center"/>
            </w:pPr>
            <w:r>
              <w:rPr>
                <w:b/>
                <w:color w:val="FFFFFF"/>
                <w:sz w:val="18"/>
              </w:rPr>
              <w:t>Combination</w:t>
            </w:r>
          </w:p>
        </w:tc>
        <w:tc>
          <w:tcPr>
            <w:tcW w:type="dxa" w:w="1440"/>
            <w:shd w:val="clear" w:color="auto" w:fill="832121"/>
            <w:tcBorders>
              <w:top w:val="single" w:sz="4" w:color="CCCCCC"/>
              <w:bottom w:val="single" w:sz="4" w:color="CCCCCC"/>
              <w:left w:val="single" w:sz="4" w:color="CCCCCC"/>
              <w:right w:val="single" w:sz="4" w:color="CCCCCC"/>
            </w:tcBorders>
          </w:tcPr>
          <w:p>
            <w:pPr>
              <w:spacing w:before="60" w:after="60"/>
              <w:jc w:val="center"/>
            </w:pPr>
            <w:r>
              <w:rPr>
                <w:b/>
                <w:color w:val="FFFFFF"/>
                <w:sz w:val="18"/>
              </w:rPr>
              <w:t>Categories</w:t>
            </w:r>
          </w:p>
        </w:tc>
        <w:tc>
          <w:tcPr>
            <w:tcW w:type="dxa" w:w="1512"/>
            <w:shd w:val="clear" w:color="auto" w:fill="832121"/>
            <w:tcBorders>
              <w:top w:val="single" w:sz="4" w:color="CCCCCC"/>
              <w:bottom w:val="single" w:sz="4" w:color="CCCCCC"/>
              <w:left w:val="single" w:sz="4" w:color="CCCCCC"/>
              <w:right w:val="single" w:sz="4" w:color="CCCCCC"/>
            </w:tcBorders>
          </w:tcPr>
          <w:p>
            <w:pPr>
              <w:spacing w:before="60" w:after="60"/>
              <w:jc w:val="center"/>
            </w:pPr>
            <w:r>
              <w:rPr>
                <w:b/>
                <w:color w:val="FFFFFF"/>
                <w:sz w:val="18"/>
              </w:rPr>
              <w:t>Combined weight</w:t>
            </w:r>
          </w:p>
        </w:tc>
        <w:tc>
          <w:tcPr>
            <w:tcW w:type="dxa" w:w="1296"/>
            <w:shd w:val="clear" w:color="auto" w:fill="832121"/>
            <w:tcBorders>
              <w:top w:val="single" w:sz="4" w:color="CCCCCC"/>
              <w:bottom w:val="single" w:sz="4" w:color="CCCCCC"/>
              <w:left w:val="single" w:sz="4" w:color="CCCCCC"/>
              <w:right w:val="single" w:sz="4" w:color="CCCCCC"/>
            </w:tcBorders>
          </w:tcPr>
          <w:p>
            <w:pPr>
              <w:spacing w:before="60" w:after="60"/>
              <w:jc w:val="center"/>
            </w:pPr>
            <w:r>
              <w:rPr>
                <w:b/>
                <w:color w:val="FFFFFF"/>
                <w:sz w:val="18"/>
              </w:rPr>
              <w:t>Interaction type</w:t>
            </w:r>
          </w:p>
        </w:tc>
        <w:tc>
          <w:tcPr>
            <w:tcW w:type="dxa" w:w="3600"/>
            <w:shd w:val="clear" w:color="auto" w:fill="832121"/>
            <w:tcBorders>
              <w:top w:val="single" w:sz="4" w:color="CCCCCC"/>
              <w:bottom w:val="single" w:sz="4" w:color="CCCCCC"/>
              <w:left w:val="single" w:sz="4" w:color="CCCCCC"/>
              <w:right w:val="single" w:sz="4" w:color="CCCCCC"/>
            </w:tcBorders>
          </w:tcPr>
          <w:p>
            <w:pPr>
              <w:spacing w:before="60" w:after="60"/>
              <w:jc w:val="center"/>
            </w:pPr>
            <w:r>
              <w:rPr>
                <w:b/>
                <w:color w:val="FFFFFF"/>
                <w:sz w:val="18"/>
              </w:rPr>
              <w:t>Question</w:t>
            </w:r>
          </w:p>
        </w:tc>
      </w:tr>
      <w:tr>
        <w:tc>
          <w:tcPr>
            <w:tcW w:type="dxa" w:w="360"/>
            <w:shd w:val="clear" w:color="auto" w:fill="FCE4D6"/>
            <w:tcBorders>
              <w:top w:val="single" w:sz="4" w:color="CCCCCC"/>
              <w:bottom w:val="single" w:sz="4" w:color="CCCCCC"/>
              <w:left w:val="single" w:sz="4" w:color="CCCCCC"/>
              <w:right w:val="single" w:sz="4" w:color="CCCCCC"/>
            </w:tcBorders>
          </w:tcPr>
          <w:p>
            <w:pPr>
              <w:spacing w:before="60" w:after="60"/>
              <w:jc w:val="left"/>
            </w:pPr>
            <w:r>
              <w:rPr>
                <w:b w:val="0"/>
                <w:color w:val="2D2D2D"/>
                <w:sz w:val="18"/>
              </w:rPr>
              <w:t>H1</w:t>
            </w:r>
          </w:p>
        </w:tc>
        <w:tc>
          <w:tcPr>
            <w:tcW w:type="dxa" w:w="2160"/>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Scope + Chained + Situation</w:t>
            </w:r>
          </w:p>
        </w:tc>
        <w:tc>
          <w:tcPr>
            <w:tcW w:type="dxa" w:w="1440"/>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 + Chn + Sit</w:t>
            </w:r>
          </w:p>
        </w:tc>
        <w:tc>
          <w:tcPr>
            <w:tcW w:type="dxa" w:w="1512"/>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0.71 + 0.38 + 0.38 = 1.47</w:t>
            </w:r>
          </w:p>
        </w:tc>
        <w:tc>
          <w:tcPr>
            <w:tcW w:type="dxa" w:w="1296"/>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Compounding</w:t>
            </w:r>
          </w:p>
        </w:tc>
        <w:tc>
          <w:tcPr>
            <w:tcW w:type="dxa" w:w="3600"/>
            <w:shd w:val="clear" w:color="auto" w:fill="FCE4D6"/>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Does the full medium layer on top of Scope collapse performance earlier than Scope alone?</w:t>
            </w:r>
          </w:p>
        </w:tc>
      </w:tr>
    </w:tbl>
    <w:p>
      <w:pPr>
        <w:spacing w:before="0" w:after="160"/>
        <w:jc w:val="left"/>
      </w:pPr>
    </w:p>
    <w:p>
      <w:pPr>
        <w:spacing w:before="240" w:after="80"/>
        <w:jc w:val="left"/>
      </w:pPr>
      <w:r>
        <w:rPr>
          <w:b/>
          <w:i w:val="0"/>
          <w:color w:val="7B6000"/>
          <w:sz w:val="26"/>
        </w:rPr>
        <w:t>Medium band — combined weight 0.40 – 0.99</w:t>
      </w:r>
    </w:p>
    <w:p>
      <w:pPr>
        <w:spacing w:before="0" w:after="160"/>
        <w:jc w:val="left"/>
      </w:pPr>
      <w:r>
        <w:rPr>
          <w:b w:val="0"/>
          <w:i w:val="0"/>
          <w:color w:val="2D2D2D"/>
          <w:sz w:val="22"/>
        </w:rPr>
        <w:t>Medium combinations pair Scope with a single medium or low-weight category. These test whether Scope's dominance is truly independent — does adding anything alongside it change where failure begins?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360"/>
            <w:shd w:val="clear" w:color="auto" w:fill="7B6000"/>
            <w:tcBorders>
              <w:top w:val="single" w:sz="4" w:color="CCCCCC"/>
              <w:bottom w:val="single" w:sz="4" w:color="CCCCCC"/>
              <w:left w:val="single" w:sz="4" w:color="CCCCCC"/>
              <w:right w:val="single" w:sz="4" w:color="CCCCCC"/>
            </w:tcBorders>
          </w:tcPr>
          <w:p>
            <w:pPr>
              <w:spacing w:before="60" w:after="60"/>
              <w:jc w:val="center"/>
            </w:pPr>
            <w:r>
              <w:rPr>
                <w:b/>
                <w:color w:val="FFFFFF"/>
                <w:sz w:val="18"/>
              </w:rPr>
              <w:t>#</w:t>
            </w:r>
          </w:p>
        </w:tc>
        <w:tc>
          <w:tcPr>
            <w:tcW w:type="dxa" w:w="2160"/>
            <w:shd w:val="clear" w:color="auto" w:fill="7B6000"/>
            <w:tcBorders>
              <w:top w:val="single" w:sz="4" w:color="CCCCCC"/>
              <w:bottom w:val="single" w:sz="4" w:color="CCCCCC"/>
              <w:left w:val="single" w:sz="4" w:color="CCCCCC"/>
              <w:right w:val="single" w:sz="4" w:color="CCCCCC"/>
            </w:tcBorders>
          </w:tcPr>
          <w:p>
            <w:pPr>
              <w:spacing w:before="60" w:after="60"/>
              <w:jc w:val="center"/>
            </w:pPr>
            <w:r>
              <w:rPr>
                <w:b/>
                <w:color w:val="FFFFFF"/>
                <w:sz w:val="18"/>
              </w:rPr>
              <w:t>Combination</w:t>
            </w:r>
          </w:p>
        </w:tc>
        <w:tc>
          <w:tcPr>
            <w:tcW w:type="dxa" w:w="1296"/>
            <w:shd w:val="clear" w:color="auto" w:fill="7B6000"/>
            <w:tcBorders>
              <w:top w:val="single" w:sz="4" w:color="CCCCCC"/>
              <w:bottom w:val="single" w:sz="4" w:color="CCCCCC"/>
              <w:left w:val="single" w:sz="4" w:color="CCCCCC"/>
              <w:right w:val="single" w:sz="4" w:color="CCCCCC"/>
            </w:tcBorders>
          </w:tcPr>
          <w:p>
            <w:pPr>
              <w:spacing w:before="60" w:after="60"/>
              <w:jc w:val="center"/>
            </w:pPr>
            <w:r>
              <w:rPr>
                <w:b/>
                <w:color w:val="FFFFFF"/>
                <w:sz w:val="18"/>
              </w:rPr>
              <w:t>Categories</w:t>
            </w:r>
          </w:p>
        </w:tc>
        <w:tc>
          <w:tcPr>
            <w:tcW w:type="dxa" w:w="1512"/>
            <w:shd w:val="clear" w:color="auto" w:fill="7B6000"/>
            <w:tcBorders>
              <w:top w:val="single" w:sz="4" w:color="CCCCCC"/>
              <w:bottom w:val="single" w:sz="4" w:color="CCCCCC"/>
              <w:left w:val="single" w:sz="4" w:color="CCCCCC"/>
              <w:right w:val="single" w:sz="4" w:color="CCCCCC"/>
            </w:tcBorders>
          </w:tcPr>
          <w:p>
            <w:pPr>
              <w:spacing w:before="60" w:after="60"/>
              <w:jc w:val="center"/>
            </w:pPr>
            <w:r>
              <w:rPr>
                <w:b/>
                <w:color w:val="FFFFFF"/>
                <w:sz w:val="18"/>
              </w:rPr>
              <w:t>Combined weight</w:t>
            </w:r>
          </w:p>
        </w:tc>
        <w:tc>
          <w:tcPr>
            <w:tcW w:type="dxa" w:w="1296"/>
            <w:shd w:val="clear" w:color="auto" w:fill="7B6000"/>
            <w:tcBorders>
              <w:top w:val="single" w:sz="4" w:color="CCCCCC"/>
              <w:bottom w:val="single" w:sz="4" w:color="CCCCCC"/>
              <w:left w:val="single" w:sz="4" w:color="CCCCCC"/>
              <w:right w:val="single" w:sz="4" w:color="CCCCCC"/>
            </w:tcBorders>
          </w:tcPr>
          <w:p>
            <w:pPr>
              <w:spacing w:before="60" w:after="60"/>
              <w:jc w:val="center"/>
            </w:pPr>
            <w:r>
              <w:rPr>
                <w:b/>
                <w:color w:val="FFFFFF"/>
                <w:sz w:val="18"/>
              </w:rPr>
              <w:t>Interaction type</w:t>
            </w:r>
          </w:p>
        </w:tc>
        <w:tc>
          <w:tcPr>
            <w:tcW w:type="dxa" w:w="3744"/>
            <w:shd w:val="clear" w:color="auto" w:fill="7B6000"/>
            <w:tcBorders>
              <w:top w:val="single" w:sz="4" w:color="CCCCCC"/>
              <w:bottom w:val="single" w:sz="4" w:color="CCCCCC"/>
              <w:left w:val="single" w:sz="4" w:color="CCCCCC"/>
              <w:right w:val="single" w:sz="4" w:color="CCCCCC"/>
            </w:tcBorders>
          </w:tcPr>
          <w:p>
            <w:pPr>
              <w:spacing w:before="60" w:after="60"/>
              <w:jc w:val="center"/>
            </w:pPr>
            <w:r>
              <w:rPr>
                <w:b/>
                <w:color w:val="FFFFFF"/>
                <w:sz w:val="18"/>
              </w:rPr>
              <w:t>Question</w:t>
            </w:r>
          </w:p>
        </w:tc>
      </w:tr>
      <w:tr>
        <w:tc>
          <w:tcPr>
            <w:tcW w:type="dxa" w:w="360"/>
            <w:shd w:val="clear" w:color="auto" w:fill="FFF2CC"/>
            <w:tcBorders>
              <w:top w:val="single" w:sz="4" w:color="CCCCCC"/>
              <w:bottom w:val="single" w:sz="4" w:color="CCCCCC"/>
              <w:left w:val="single" w:sz="4" w:color="CCCCCC"/>
              <w:right w:val="single" w:sz="4" w:color="CCCCCC"/>
            </w:tcBorders>
          </w:tcPr>
          <w:p>
            <w:pPr>
              <w:spacing w:before="60" w:after="60"/>
              <w:jc w:val="left"/>
            </w:pPr>
            <w:r>
              <w:rPr>
                <w:b w:val="0"/>
                <w:color w:val="2D2D2D"/>
                <w:sz w:val="18"/>
              </w:rPr>
              <w:t>M1</w:t>
            </w:r>
          </w:p>
        </w:tc>
        <w:tc>
          <w:tcPr>
            <w:tcW w:type="dxa" w:w="216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Scope + Chained</w:t>
            </w:r>
          </w:p>
        </w:tc>
        <w:tc>
          <w:tcPr>
            <w:tcW w:type="dxa" w:w="1296"/>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 + Chn</w:t>
            </w:r>
          </w:p>
        </w:tc>
        <w:tc>
          <w:tcPr>
            <w:tcW w:type="dxa" w:w="1512"/>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0.71 + 0.38 = 1.09</w:t>
            </w:r>
          </w:p>
        </w:tc>
        <w:tc>
          <w:tcPr>
            <w:tcW w:type="dxa" w:w="1296"/>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Compounding</w:t>
            </w:r>
          </w:p>
        </w:tc>
        <w:tc>
          <w:tcPr>
            <w:tcW w:type="dxa" w:w="3744"/>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Primary test. Does the second hardest category compound Scope?</w:t>
            </w:r>
          </w:p>
        </w:tc>
      </w:tr>
      <w:tr>
        <w:tc>
          <w:tcPr>
            <w:tcW w:type="dxa" w:w="360"/>
            <w:shd w:val="clear" w:color="auto" w:fill="FFF2CC"/>
            <w:tcBorders>
              <w:top w:val="single" w:sz="4" w:color="CCCCCC"/>
              <w:bottom w:val="single" w:sz="4" w:color="CCCCCC"/>
              <w:left w:val="single" w:sz="4" w:color="CCCCCC"/>
              <w:right w:val="single" w:sz="4" w:color="CCCCCC"/>
            </w:tcBorders>
          </w:tcPr>
          <w:p>
            <w:pPr>
              <w:spacing w:before="60" w:after="60"/>
              <w:jc w:val="left"/>
            </w:pPr>
            <w:r>
              <w:rPr>
                <w:b w:val="0"/>
                <w:color w:val="2D2D2D"/>
                <w:sz w:val="18"/>
              </w:rPr>
              <w:t>M2</w:t>
            </w:r>
          </w:p>
        </w:tc>
        <w:tc>
          <w:tcPr>
            <w:tcW w:type="dxa" w:w="216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Scope + Situation</w:t>
            </w:r>
          </w:p>
        </w:tc>
        <w:tc>
          <w:tcPr>
            <w:tcW w:type="dxa" w:w="1296"/>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 + Sit</w:t>
            </w:r>
          </w:p>
        </w:tc>
        <w:tc>
          <w:tcPr>
            <w:tcW w:type="dxa" w:w="1512"/>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0.71 + 0.38 = 1.09</w:t>
            </w:r>
          </w:p>
        </w:tc>
        <w:tc>
          <w:tcPr>
            <w:tcW w:type="dxa" w:w="1296"/>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Compounding</w:t>
            </w:r>
          </w:p>
        </w:tc>
        <w:tc>
          <w:tcPr>
            <w:tcW w:type="dxa" w:w="3744"/>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Does Situation compound Scope the same way Chained does, or differently?</w:t>
            </w:r>
          </w:p>
        </w:tc>
      </w:tr>
      <w:tr>
        <w:tc>
          <w:tcPr>
            <w:tcW w:type="dxa" w:w="360"/>
            <w:shd w:val="clear" w:color="auto" w:fill="FFF2CC"/>
            <w:tcBorders>
              <w:top w:val="single" w:sz="4" w:color="CCCCCC"/>
              <w:bottom w:val="single" w:sz="4" w:color="CCCCCC"/>
              <w:left w:val="single" w:sz="4" w:color="CCCCCC"/>
              <w:right w:val="single" w:sz="4" w:color="CCCCCC"/>
            </w:tcBorders>
          </w:tcPr>
          <w:p>
            <w:pPr>
              <w:spacing w:before="60" w:after="60"/>
              <w:jc w:val="left"/>
            </w:pPr>
            <w:r>
              <w:rPr>
                <w:b w:val="0"/>
                <w:color w:val="2D2D2D"/>
                <w:sz w:val="18"/>
              </w:rPr>
              <w:t>M3</w:t>
            </w:r>
          </w:p>
        </w:tc>
        <w:tc>
          <w:tcPr>
            <w:tcW w:type="dxa" w:w="216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Scope + Negation</w:t>
            </w:r>
          </w:p>
        </w:tc>
        <w:tc>
          <w:tcPr>
            <w:tcW w:type="dxa" w:w="1296"/>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 + Neg</w:t>
            </w:r>
          </w:p>
        </w:tc>
        <w:tc>
          <w:tcPr>
            <w:tcW w:type="dxa" w:w="1512"/>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0.71 + 0.19 = 0.90</w:t>
            </w:r>
          </w:p>
        </w:tc>
        <w:tc>
          <w:tcPr>
            <w:tcW w:type="dxa" w:w="1296"/>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Additive</w:t>
            </w:r>
          </w:p>
        </w:tc>
        <w:tc>
          <w:tcPr>
            <w:tcW w:type="dxa" w:w="3744"/>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Does a low-weight category affect Scope's failure point at all?</w:t>
            </w:r>
          </w:p>
        </w:tc>
      </w:tr>
      <w:tr>
        <w:tc>
          <w:tcPr>
            <w:tcW w:type="dxa" w:w="360"/>
            <w:shd w:val="clear" w:color="auto" w:fill="FFF2CC"/>
            <w:tcBorders>
              <w:top w:val="single" w:sz="4" w:color="CCCCCC"/>
              <w:bottom w:val="single" w:sz="4" w:color="CCCCCC"/>
              <w:left w:val="single" w:sz="4" w:color="CCCCCC"/>
              <w:right w:val="single" w:sz="4" w:color="CCCCCC"/>
            </w:tcBorders>
          </w:tcPr>
          <w:p>
            <w:pPr>
              <w:spacing w:before="60" w:after="60"/>
              <w:jc w:val="left"/>
            </w:pPr>
            <w:r>
              <w:rPr>
                <w:b w:val="0"/>
                <w:color w:val="2D2D2D"/>
                <w:sz w:val="18"/>
              </w:rPr>
              <w:t>M4</w:t>
            </w:r>
          </w:p>
        </w:tc>
        <w:tc>
          <w:tcPr>
            <w:tcW w:type="dxa" w:w="2160"/>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Chained + Situation</w:t>
            </w:r>
          </w:p>
        </w:tc>
        <w:tc>
          <w:tcPr>
            <w:tcW w:type="dxa" w:w="1296"/>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Chn + Sit</w:t>
            </w:r>
          </w:p>
        </w:tc>
        <w:tc>
          <w:tcPr>
            <w:tcW w:type="dxa" w:w="1512"/>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0.38 + 0.38 = 0.76</w:t>
            </w:r>
          </w:p>
        </w:tc>
        <w:tc>
          <w:tcPr>
            <w:tcW w:type="dxa" w:w="1296"/>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Compounding</w:t>
            </w:r>
          </w:p>
        </w:tc>
        <w:tc>
          <w:tcPr>
            <w:tcW w:type="dxa" w:w="3744"/>
            <w:shd w:val="clear" w:color="auto" w:fill="FFF2CC"/>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Without Scope present, do the two medium categories compound each other?</w:t>
            </w:r>
          </w:p>
        </w:tc>
      </w:tr>
    </w:tbl>
    <w:p>
      <w:pPr>
        <w:spacing w:before="0" w:after="160"/>
        <w:jc w:val="left"/>
      </w:pPr>
    </w:p>
    <w:p>
      <w:pPr>
        <w:spacing w:before="240" w:after="80"/>
        <w:jc w:val="left"/>
      </w:pPr>
      <w:r>
        <w:rPr>
          <w:b/>
          <w:i w:val="0"/>
          <w:color w:val="1E5C1E"/>
          <w:sz w:val="26"/>
        </w:rPr>
        <w:t>Easy / Control band — combined weight &lt; 0.40</w:t>
      </w:r>
    </w:p>
    <w:p>
      <w:pPr>
        <w:spacing w:before="0" w:after="160"/>
        <w:jc w:val="left"/>
      </w:pPr>
      <w:r>
        <w:rPr>
          <w:b w:val="0"/>
          <w:i w:val="0"/>
          <w:color w:val="2D2D2D"/>
          <w:sz w:val="22"/>
        </w:rPr>
        <w:t>Control combinations use only near-zero or zero-weight categories. These should pass all seven tiers on every model. A failure here means something is wrong with the test design — conflicting rules, an overly strict judge, or a rule that is harder than its Round 1 score suggests.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360"/>
            <w:shd w:val="clear" w:color="auto" w:fill="1E5C1E"/>
            <w:tcBorders>
              <w:top w:val="single" w:sz="4" w:color="CCCCCC"/>
              <w:bottom w:val="single" w:sz="4" w:color="CCCCCC"/>
              <w:left w:val="single" w:sz="4" w:color="CCCCCC"/>
              <w:right w:val="single" w:sz="4" w:color="CCCCCC"/>
            </w:tcBorders>
          </w:tcPr>
          <w:p>
            <w:pPr>
              <w:spacing w:before="60" w:after="60"/>
              <w:jc w:val="center"/>
            </w:pPr>
            <w:r>
              <w:rPr>
                <w:b/>
                <w:color w:val="FFFFFF"/>
                <w:sz w:val="18"/>
              </w:rPr>
              <w:t>#</w:t>
            </w:r>
          </w:p>
        </w:tc>
        <w:tc>
          <w:tcPr>
            <w:tcW w:type="dxa" w:w="2376"/>
            <w:shd w:val="clear" w:color="auto" w:fill="1E5C1E"/>
            <w:tcBorders>
              <w:top w:val="single" w:sz="4" w:color="CCCCCC"/>
              <w:bottom w:val="single" w:sz="4" w:color="CCCCCC"/>
              <w:left w:val="single" w:sz="4" w:color="CCCCCC"/>
              <w:right w:val="single" w:sz="4" w:color="CCCCCC"/>
            </w:tcBorders>
          </w:tcPr>
          <w:p>
            <w:pPr>
              <w:spacing w:before="60" w:after="60"/>
              <w:jc w:val="center"/>
            </w:pPr>
            <w:r>
              <w:rPr>
                <w:b/>
                <w:color w:val="FFFFFF"/>
                <w:sz w:val="18"/>
              </w:rPr>
              <w:t>Combination</w:t>
            </w:r>
          </w:p>
        </w:tc>
        <w:tc>
          <w:tcPr>
            <w:tcW w:type="dxa" w:w="1296"/>
            <w:shd w:val="clear" w:color="auto" w:fill="1E5C1E"/>
            <w:tcBorders>
              <w:top w:val="single" w:sz="4" w:color="CCCCCC"/>
              <w:bottom w:val="single" w:sz="4" w:color="CCCCCC"/>
              <w:left w:val="single" w:sz="4" w:color="CCCCCC"/>
              <w:right w:val="single" w:sz="4" w:color="CCCCCC"/>
            </w:tcBorders>
          </w:tcPr>
          <w:p>
            <w:pPr>
              <w:spacing w:before="60" w:after="60"/>
              <w:jc w:val="center"/>
            </w:pPr>
            <w:r>
              <w:rPr>
                <w:b/>
                <w:color w:val="FFFFFF"/>
                <w:sz w:val="18"/>
              </w:rPr>
              <w:t>Categories</w:t>
            </w:r>
          </w:p>
        </w:tc>
        <w:tc>
          <w:tcPr>
            <w:tcW w:type="dxa" w:w="1512"/>
            <w:shd w:val="clear" w:color="auto" w:fill="1E5C1E"/>
            <w:tcBorders>
              <w:top w:val="single" w:sz="4" w:color="CCCCCC"/>
              <w:bottom w:val="single" w:sz="4" w:color="CCCCCC"/>
              <w:left w:val="single" w:sz="4" w:color="CCCCCC"/>
              <w:right w:val="single" w:sz="4" w:color="CCCCCC"/>
            </w:tcBorders>
          </w:tcPr>
          <w:p>
            <w:pPr>
              <w:spacing w:before="60" w:after="60"/>
              <w:jc w:val="center"/>
            </w:pPr>
            <w:r>
              <w:rPr>
                <w:b/>
                <w:color w:val="FFFFFF"/>
                <w:sz w:val="18"/>
              </w:rPr>
              <w:t>Combined weight</w:t>
            </w:r>
          </w:p>
        </w:tc>
        <w:tc>
          <w:tcPr>
            <w:tcW w:type="dxa" w:w="1296"/>
            <w:shd w:val="clear" w:color="auto" w:fill="1E5C1E"/>
            <w:tcBorders>
              <w:top w:val="single" w:sz="4" w:color="CCCCCC"/>
              <w:bottom w:val="single" w:sz="4" w:color="CCCCCC"/>
              <w:left w:val="single" w:sz="4" w:color="CCCCCC"/>
              <w:right w:val="single" w:sz="4" w:color="CCCCCC"/>
            </w:tcBorders>
          </w:tcPr>
          <w:p>
            <w:pPr>
              <w:spacing w:before="60" w:after="60"/>
              <w:jc w:val="center"/>
            </w:pPr>
            <w:r>
              <w:rPr>
                <w:b/>
                <w:color w:val="FFFFFF"/>
                <w:sz w:val="18"/>
              </w:rPr>
              <w:t>Interaction type</w:t>
            </w:r>
          </w:p>
        </w:tc>
        <w:tc>
          <w:tcPr>
            <w:tcW w:type="dxa" w:w="3528"/>
            <w:shd w:val="clear" w:color="auto" w:fill="1E5C1E"/>
            <w:tcBorders>
              <w:top w:val="single" w:sz="4" w:color="CCCCCC"/>
              <w:bottom w:val="single" w:sz="4" w:color="CCCCCC"/>
              <w:left w:val="single" w:sz="4" w:color="CCCCCC"/>
              <w:right w:val="single" w:sz="4" w:color="CCCCCC"/>
            </w:tcBorders>
          </w:tcPr>
          <w:p>
            <w:pPr>
              <w:spacing w:before="60" w:after="60"/>
              <w:jc w:val="center"/>
            </w:pPr>
            <w:r>
              <w:rPr>
                <w:b/>
                <w:color w:val="FFFFFF"/>
                <w:sz w:val="18"/>
              </w:rPr>
              <w:t>Question</w:t>
            </w:r>
          </w:p>
        </w:tc>
      </w:tr>
      <w:tr>
        <w:tc>
          <w:tcPr>
            <w:tcW w:type="dxa" w:w="360"/>
            <w:shd w:val="clear" w:color="auto" w:fill="E2EFDA"/>
            <w:tcBorders>
              <w:top w:val="single" w:sz="4" w:color="CCCCCC"/>
              <w:bottom w:val="single" w:sz="4" w:color="CCCCCC"/>
              <w:left w:val="single" w:sz="4" w:color="CCCCCC"/>
              <w:right w:val="single" w:sz="4" w:color="CCCCCC"/>
            </w:tcBorders>
          </w:tcPr>
          <w:p>
            <w:pPr>
              <w:spacing w:before="60" w:after="60"/>
              <w:jc w:val="left"/>
            </w:pPr>
            <w:r>
              <w:rPr>
                <w:b w:val="0"/>
                <w:color w:val="2D2D2D"/>
                <w:sz w:val="18"/>
              </w:rPr>
              <w:t>E1</w:t>
            </w:r>
          </w:p>
        </w:tc>
        <w:tc>
          <w:tcPr>
            <w:tcW w:type="dxa" w:w="237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Negation + Persona</w:t>
            </w:r>
          </w:p>
        </w:tc>
        <w:tc>
          <w:tcPr>
            <w:tcW w:type="dxa" w:w="129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Neg + Per</w:t>
            </w:r>
          </w:p>
        </w:tc>
        <w:tc>
          <w:tcPr>
            <w:tcW w:type="dxa" w:w="1512"/>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0.19 + 0.10 = 0.29</w:t>
            </w:r>
          </w:p>
        </w:tc>
        <w:tc>
          <w:tcPr>
            <w:tcW w:type="dxa" w:w="129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Additive</w:t>
            </w:r>
          </w:p>
        </w:tc>
        <w:tc>
          <w:tcPr>
            <w:tcW w:type="dxa" w:w="3528"/>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Do two low-weight categories stay stable when combined?</w:t>
            </w:r>
          </w:p>
        </w:tc>
      </w:tr>
      <w:tr>
        <w:tc>
          <w:tcPr>
            <w:tcW w:type="dxa" w:w="360"/>
            <w:shd w:val="clear" w:color="auto" w:fill="E2EFDA"/>
            <w:tcBorders>
              <w:top w:val="single" w:sz="4" w:color="CCCCCC"/>
              <w:bottom w:val="single" w:sz="4" w:color="CCCCCC"/>
              <w:left w:val="single" w:sz="4" w:color="CCCCCC"/>
              <w:right w:val="single" w:sz="4" w:color="CCCCCC"/>
            </w:tcBorders>
          </w:tcPr>
          <w:p>
            <w:pPr>
              <w:spacing w:before="60" w:after="60"/>
              <w:jc w:val="left"/>
            </w:pPr>
            <w:r>
              <w:rPr>
                <w:b w:val="0"/>
                <w:color w:val="2D2D2D"/>
                <w:sz w:val="18"/>
              </w:rPr>
              <w:t>E2</w:t>
            </w:r>
          </w:p>
        </w:tc>
        <w:tc>
          <w:tcPr>
            <w:tcW w:type="dxa" w:w="237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Content + Priority + Style</w:t>
            </w:r>
          </w:p>
        </w:tc>
        <w:tc>
          <w:tcPr>
            <w:tcW w:type="dxa" w:w="129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Cnt + Pri + Sty</w:t>
            </w:r>
          </w:p>
        </w:tc>
        <w:tc>
          <w:tcPr>
            <w:tcW w:type="dxa" w:w="1512"/>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0.00 + 0.00 + 0.00 = 0.00</w:t>
            </w:r>
          </w:p>
        </w:tc>
        <w:tc>
          <w:tcPr>
            <w:tcW w:type="dxa" w:w="129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Control</w:t>
            </w:r>
          </w:p>
        </w:tc>
        <w:tc>
          <w:tcPr>
            <w:tcW w:type="dxa" w:w="3528"/>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Three zero-weight categories. All tiers must pass. Validates test design.</w:t>
            </w:r>
          </w:p>
        </w:tc>
      </w:tr>
      <w:tr>
        <w:tc>
          <w:tcPr>
            <w:tcW w:type="dxa" w:w="360"/>
            <w:shd w:val="clear" w:color="auto" w:fill="E2EFDA"/>
            <w:tcBorders>
              <w:top w:val="single" w:sz="4" w:color="CCCCCC"/>
              <w:bottom w:val="single" w:sz="4" w:color="CCCCCC"/>
              <w:left w:val="single" w:sz="4" w:color="CCCCCC"/>
              <w:right w:val="single" w:sz="4" w:color="CCCCCC"/>
            </w:tcBorders>
          </w:tcPr>
          <w:p>
            <w:pPr>
              <w:spacing w:before="60" w:after="60"/>
              <w:jc w:val="left"/>
            </w:pPr>
            <w:r>
              <w:rPr>
                <w:b w:val="0"/>
                <w:color w:val="2D2D2D"/>
                <w:sz w:val="18"/>
              </w:rPr>
              <w:t>E3</w:t>
            </w:r>
          </w:p>
        </w:tc>
        <w:tc>
          <w:tcPr>
            <w:tcW w:type="dxa" w:w="237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Format + Precision + Example</w:t>
            </w:r>
          </w:p>
        </w:tc>
        <w:tc>
          <w:tcPr>
            <w:tcW w:type="dxa" w:w="129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Fmt + Pre + Exa</w:t>
            </w:r>
          </w:p>
        </w:tc>
        <w:tc>
          <w:tcPr>
            <w:tcW w:type="dxa" w:w="1512"/>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0.05 + 0.05 + 0.05 = 0.15</w:t>
            </w:r>
          </w:p>
        </w:tc>
        <w:tc>
          <w:tcPr>
            <w:tcW w:type="dxa" w:w="1296"/>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Control</w:t>
            </w:r>
          </w:p>
        </w:tc>
        <w:tc>
          <w:tcPr>
            <w:tcW w:type="dxa" w:w="3528"/>
            <w:shd w:val="clear" w:color="auto" w:fill="E2EFDA"/>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Near-zero categories grouped. Should hold. Failures here flag rule design problems.</w:t>
            </w:r>
          </w:p>
        </w:tc>
      </w:tr>
    </w:tbl>
    <w:p>
      <w:pPr>
        <w:spacing w:before="0" w:after="160"/>
        <w:jc w:val="left"/>
      </w:pPr>
    </w:p>
    <w:p>
      <w:pPr>
        <w:spacing w:before="200" w:after="200"/>
        <w:pBdr>
          <w:bottom w:val="single" w:sz="4" w:space="1" w:color="CCCCCC"/>
        </w:pBdr>
      </w:pPr>
    </w:p>
    <w:p>
      <w:pPr>
        <w:spacing w:before="400" w:after="100"/>
        <w:jc w:val="left"/>
      </w:pPr>
      <w:r>
        <w:rPr>
          <w:b/>
          <w:i w:val="0"/>
          <w:color w:val="1F3864"/>
          <w:sz w:val="40"/>
        </w:rPr>
        <w:t>API call estimate</w:t>
      </w:r>
    </w:p>
    <w:p>
      <w:pPr>
        <w:spacing w:before="0" w:after="160"/>
        <w:jc w:val="left"/>
      </w:pPr>
      <w:r>
        <w:rPr>
          <w:b w:val="0"/>
          <w:i w:val="0"/>
          <w:color w:val="2D2D2D"/>
          <w:sz w:val="22"/>
        </w:rPr>
        <w:t>8 combinations × 7 tiers × 3 models × 2 calls (test + judge) = 336 API calls total. This is well within a single session. All 8 combinations can run in one script execution.</w:t>
      </w:r>
    </w:p>
    <w:p>
      <w:pPr>
        <w:spacing w:before="160" w:after="160"/>
        <w:ind w:left="432"/>
        <w:pBdr>
          <w:left w:val="single" w:sz="18" w:space="10" w:color="2E5FA3"/>
        </w:pBdr>
      </w:pPr>
      <w:r>
        <w:rPr>
          <w:color w:val="2D2D2D"/>
          <w:sz w:val="22"/>
        </w:rPr>
        <w:t>Compare to the theoretical maximum of 55 pairs × 7 × 3 × 2 = 2,310 calls. Selecting 8 motivated combinations instead of exhaustive pairs reduces cost by 85% while covering the only combinations the Round 1 data actually motivates testing.</w:t>
      </w:r>
    </w:p>
    <w:p>
      <w:pPr>
        <w:spacing w:before="200" w:after="200"/>
        <w:pBdr>
          <w:bottom w:val="single" w:sz="4" w:space="1" w:color="CCCCCC"/>
        </w:pBdr>
      </w:pPr>
    </w:p>
    <w:p>
      <w:pPr>
        <w:spacing w:before="400" w:after="100"/>
        <w:jc w:val="left"/>
      </w:pPr>
      <w:r>
        <w:rPr>
          <w:b/>
          <w:i w:val="0"/>
          <w:color w:val="1F3864"/>
          <w:sz w:val="40"/>
        </w:rPr>
        <w:t>How to read Round 2 results</w:t>
      </w:r>
    </w:p>
    <w:p>
      <w:pPr>
        <w:spacing w:before="240" w:after="80"/>
        <w:jc w:val="left"/>
      </w:pPr>
      <w:r>
        <w:rPr>
          <w:b/>
          <w:i w:val="0"/>
          <w:color w:val="2E5FA3"/>
          <w:sz w:val="26"/>
        </w:rPr>
        <w:t>Primary comparison — first failure tier vs Round 1 baseline</w:t>
      </w:r>
    </w:p>
    <w:p>
      <w:pPr>
        <w:spacing w:before="0" w:after="160"/>
        <w:jc w:val="left"/>
      </w:pPr>
      <w:r>
        <w:rPr>
          <w:b w:val="0"/>
          <w:i w:val="0"/>
          <w:color w:val="2D2D2D"/>
          <w:sz w:val="22"/>
        </w:rPr>
        <w:t>For each combination, the key comparison is the first failure tier in Round 2 against the first failure tier from Round 1 for the heaviest individual category in that pair.</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2E5FA3"/>
            <w:tcBorders>
              <w:top w:val="single" w:sz="4" w:color="CCCCCC"/>
              <w:bottom w:val="single" w:sz="4" w:color="CCCCCC"/>
              <w:left w:val="single" w:sz="4" w:color="CCCCCC"/>
              <w:right w:val="single" w:sz="4" w:color="CCCCCC"/>
            </w:tcBorders>
          </w:tcPr>
          <w:p>
            <w:pPr>
              <w:spacing w:before="60" w:after="60"/>
              <w:jc w:val="center"/>
            </w:pPr>
            <w:r>
              <w:rPr>
                <w:b/>
                <w:color w:val="FFFFFF"/>
                <w:sz w:val="18"/>
              </w:rPr>
              <w:t>If Round 2 first failure is…</w:t>
            </w:r>
          </w:p>
        </w:tc>
        <w:tc>
          <w:tcPr>
            <w:tcW w:type="dxa" w:w="2520"/>
            <w:shd w:val="clear" w:color="auto" w:fill="2E5FA3"/>
            <w:tcBorders>
              <w:top w:val="single" w:sz="4" w:color="CCCCCC"/>
              <w:bottom w:val="single" w:sz="4" w:color="CCCCCC"/>
              <w:left w:val="single" w:sz="4" w:color="CCCCCC"/>
              <w:right w:val="single" w:sz="4" w:color="CCCCCC"/>
            </w:tcBorders>
          </w:tcPr>
          <w:p>
            <w:pPr>
              <w:spacing w:before="60" w:after="60"/>
              <w:jc w:val="center"/>
            </w:pPr>
            <w:r>
              <w:rPr>
                <w:b/>
                <w:color w:val="FFFFFF"/>
                <w:sz w:val="18"/>
              </w:rPr>
              <w:t>Interpretation</w:t>
            </w:r>
          </w:p>
        </w:tc>
        <w:tc>
          <w:tcPr>
            <w:tcW w:type="dxa" w:w="2160"/>
            <w:shd w:val="clear" w:color="auto" w:fill="2E5FA3"/>
            <w:tcBorders>
              <w:top w:val="single" w:sz="4" w:color="CCCCCC"/>
              <w:bottom w:val="single" w:sz="4" w:color="CCCCCC"/>
              <w:left w:val="single" w:sz="4" w:color="CCCCCC"/>
              <w:right w:val="single" w:sz="4" w:color="CCCCCC"/>
            </w:tcBorders>
          </w:tcPr>
          <w:p>
            <w:pPr>
              <w:spacing w:before="60" w:after="60"/>
              <w:jc w:val="center"/>
            </w:pPr>
            <w:r>
              <w:rPr>
                <w:b/>
                <w:color w:val="FFFFFF"/>
                <w:sz w:val="18"/>
              </w:rPr>
              <w:t>Implication</w:t>
            </w:r>
          </w:p>
        </w:tc>
      </w:tr>
      <w:tr>
        <w:tc>
          <w:tcPr>
            <w:tcW w:type="dxa" w:w="2160"/>
            <w:shd w:val="clear" w:color="auto" w:fill="D9E8F5"/>
            <w:tcBorders>
              <w:top w:val="single" w:sz="4" w:color="CCCCCC"/>
              <w:bottom w:val="single" w:sz="4" w:color="CCCCCC"/>
              <w:left w:val="single" w:sz="4" w:color="CCCCCC"/>
              <w:right w:val="single" w:sz="4" w:color="CCCCCC"/>
            </w:tcBorders>
          </w:tcPr>
          <w:p>
            <w:pPr>
              <w:spacing w:before="60" w:after="60"/>
              <w:jc w:val="left"/>
            </w:pPr>
            <w:r>
              <w:rPr>
                <w:b w:val="0"/>
                <w:color w:val="2D2D2D"/>
                <w:sz w:val="18"/>
              </w:rPr>
              <w:t>Earlier than Round 1 baseline</w:t>
            </w:r>
          </w:p>
        </w:tc>
        <w:tc>
          <w:tcPr>
            <w:tcW w:type="dxa" w:w="2520"/>
            <w:shd w:val="clear" w:color="auto" w:fill="D9E8F5"/>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Compounding confirmed. The combination is harder than its dominant part alone.</w:t>
            </w:r>
          </w:p>
        </w:tc>
        <w:tc>
          <w:tcPr>
            <w:tcW w:type="dxa" w:w="2160"/>
            <w:shd w:val="clear" w:color="auto" w:fill="D9E8F5"/>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Do not stack these categories in a single system prompt.</w:t>
            </w:r>
          </w:p>
        </w:tc>
      </w:tr>
      <w:tr>
        <w:tc>
          <w:tcPr>
            <w:tcW w:type="dxa" w:w="2160"/>
            <w:shd w:val="clear" w:color="auto" w:fill="FFFFFF"/>
            <w:tcBorders>
              <w:top w:val="single" w:sz="4" w:color="CCCCCC"/>
              <w:bottom w:val="single" w:sz="4" w:color="CCCCCC"/>
              <w:left w:val="single" w:sz="4" w:color="CCCCCC"/>
              <w:right w:val="single" w:sz="4" w:color="CCCCCC"/>
            </w:tcBorders>
          </w:tcPr>
          <w:p>
            <w:pPr>
              <w:spacing w:before="60" w:after="60"/>
              <w:jc w:val="left"/>
            </w:pPr>
            <w:r>
              <w:rPr>
                <w:b w:val="0"/>
                <w:color w:val="2D2D2D"/>
                <w:sz w:val="18"/>
              </w:rPr>
              <w:t>Same tier as Round 1 baseline</w:t>
            </w:r>
          </w:p>
        </w:tc>
        <w:tc>
          <w:tcPr>
            <w:tcW w:type="dxa" w:w="2520"/>
            <w:shd w:val="clear" w:color="auto" w:fill="FFFFFF"/>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Scope (or the dominant category) controls failure regardless of what is paired with it.</w:t>
            </w:r>
          </w:p>
        </w:tc>
        <w:tc>
          <w:tcPr>
            <w:tcW w:type="dxa" w:w="2160"/>
            <w:shd w:val="clear" w:color="auto" w:fill="FFFFFF"/>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Categories are independent. You can combine them up to the dominant category's limit.</w:t>
            </w:r>
          </w:p>
        </w:tc>
      </w:tr>
      <w:tr>
        <w:tc>
          <w:tcPr>
            <w:tcW w:type="dxa" w:w="2160"/>
            <w:shd w:val="clear" w:color="auto" w:fill="D9E8F5"/>
            <w:tcBorders>
              <w:top w:val="single" w:sz="4" w:color="CCCCCC"/>
              <w:bottom w:val="single" w:sz="4" w:color="CCCCCC"/>
              <w:left w:val="single" w:sz="4" w:color="CCCCCC"/>
              <w:right w:val="single" w:sz="4" w:color="CCCCCC"/>
            </w:tcBorders>
          </w:tcPr>
          <w:p>
            <w:pPr>
              <w:spacing w:before="60" w:after="60"/>
              <w:jc w:val="left"/>
            </w:pPr>
            <w:r>
              <w:rPr>
                <w:b w:val="0"/>
                <w:color w:val="2D2D2D"/>
                <w:sz w:val="18"/>
              </w:rPr>
              <w:t>Later than Round 1 baseline</w:t>
            </w:r>
          </w:p>
        </w:tc>
        <w:tc>
          <w:tcPr>
            <w:tcW w:type="dxa" w:w="2520"/>
            <w:shd w:val="clear" w:color="auto" w:fill="D9E8F5"/>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Unexpected. The combination may be easier than the individual hardest part.</w:t>
            </w:r>
          </w:p>
        </w:tc>
        <w:tc>
          <w:tcPr>
            <w:tcW w:type="dxa" w:w="2160"/>
            <w:shd w:val="clear" w:color="auto" w:fill="D9E8F5"/>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Investigate which rule interaction produced this — may indicate a rule design issue.</w:t>
            </w:r>
          </w:p>
        </w:tc>
      </w:tr>
      <w:tr>
        <w:tc>
          <w:tcPr>
            <w:tcW w:type="dxa" w:w="2160"/>
            <w:shd w:val="clear" w:color="auto" w:fill="FFFFFF"/>
            <w:tcBorders>
              <w:top w:val="single" w:sz="4" w:color="CCCCCC"/>
              <w:bottom w:val="single" w:sz="4" w:color="CCCCCC"/>
              <w:left w:val="single" w:sz="4" w:color="CCCCCC"/>
              <w:right w:val="single" w:sz="4" w:color="CCCCCC"/>
            </w:tcBorders>
          </w:tcPr>
          <w:p>
            <w:pPr>
              <w:spacing w:before="60" w:after="60"/>
              <w:jc w:val="left"/>
            </w:pPr>
            <w:r>
              <w:rPr>
                <w:b w:val="0"/>
                <w:color w:val="2D2D2D"/>
                <w:sz w:val="18"/>
              </w:rPr>
              <w:t>Easy/Control test fails before T6</w:t>
            </w:r>
          </w:p>
        </w:tc>
        <w:tc>
          <w:tcPr>
            <w:tcW w:type="dxa" w:w="2520"/>
            <w:shd w:val="clear" w:color="auto" w:fill="FFFFFF"/>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Test design problem. Near-zero weight categories should not fail at low tiers.</w:t>
            </w:r>
          </w:p>
        </w:tc>
        <w:tc>
          <w:tcPr>
            <w:tcW w:type="dxa" w:w="2160"/>
            <w:shd w:val="clear" w:color="auto" w:fill="FFFFFF"/>
            <w:tcBorders>
              <w:top w:val="single" w:sz="4" w:color="CCCCCC"/>
              <w:bottom w:val="single" w:sz="4" w:color="CCCCCC"/>
              <w:left w:val="single" w:sz="4" w:color="CCCCCC"/>
              <w:right w:val="single" w:sz="4" w:color="CCCCCC"/>
            </w:tcBorders>
          </w:tcPr>
          <w:p>
            <w:pPr>
              <w:spacing w:before="60" w:after="60"/>
              <w:jc w:val="center"/>
            </w:pPr>
            <w:r>
              <w:rPr>
                <w:b w:val="0"/>
                <w:color w:val="2D2D2D"/>
                <w:sz w:val="18"/>
              </w:rPr>
              <w:t>Review rules for accidental conflicts. Review judge prompt for over-strictness.</w:t>
            </w:r>
          </w:p>
        </w:tc>
      </w:tr>
    </w:tbl>
    <w:p>
      <w:pPr>
        <w:spacing w:before="0" w:after="160"/>
        <w:jc w:val="left"/>
      </w:pPr>
    </w:p>
    <w:p>
      <w:pPr>
        <w:spacing w:before="240" w:after="80"/>
        <w:jc w:val="left"/>
      </w:pPr>
      <w:r>
        <w:rPr>
          <w:b/>
          <w:i w:val="0"/>
          <w:color w:val="2E5FA3"/>
          <w:sz w:val="26"/>
        </w:rPr>
        <w:t>Secondary — soft score trajectory</w:t>
      </w:r>
    </w:p>
    <w:p>
      <w:pPr>
        <w:spacing w:before="0" w:after="160"/>
        <w:jc w:val="left"/>
      </w:pPr>
      <w:r>
        <w:rPr>
          <w:b w:val="0"/>
          <w:i w:val="0"/>
          <w:color w:val="2D2D2D"/>
          <w:sz w:val="22"/>
        </w:rPr>
        <w:t>Track the soft score (rules passed / rules active) across all seven tiers. A model that fails one rule at T4 but stays above 80% through T7 is behaving differently from one that collapses to 40% and stays there. Both have the same first failure tier — but only the second one is truly unreliable.</w:t>
      </w:r>
    </w:p>
    <w:p>
      <w:pPr>
        <w:spacing w:before="200" w:after="200"/>
        <w:pBdr>
          <w:bottom w:val="single" w:sz="4" w:space="1" w:color="CCCCCC"/>
        </w:pBdr>
      </w:pPr>
    </w:p>
    <w:p>
      <w:pPr>
        <w:spacing w:before="400" w:after="100"/>
        <w:jc w:val="left"/>
      </w:pPr>
      <w:r>
        <w:rPr>
          <w:b/>
          <w:i w:val="0"/>
          <w:color w:val="1F3864"/>
          <w:sz w:val="40"/>
        </w:rPr>
        <w:t>What we expect to find</w:t>
      </w:r>
    </w:p>
    <w:p>
      <w:pPr>
        <w:spacing w:before="0" w:after="160"/>
        <w:jc w:val="left"/>
      </w:pPr>
      <w:r>
        <w:rPr>
          <w:b w:val="0"/>
          <w:i w:val="0"/>
          <w:color w:val="2D2D2D"/>
          <w:sz w:val="22"/>
        </w:rPr>
        <w:t>Based on the Round 1 profile, the most likely outcomes are:</w:t>
      </w:r>
    </w:p>
    <w:p>
      <w:pPr>
        <w:pStyle w:val="ListBullet"/>
        <w:spacing w:after="80"/>
      </w:pPr>
      <w:r>
        <w:rPr>
          <w:color w:val="2D2D2D"/>
          <w:sz w:val="22"/>
        </w:rPr>
        <w:t>Scope dominates. M1 and M2 fail at the same tier as Scope alone — Chained and Situation add no additional difficulty when Scope is already failing.</w:t>
      </w:r>
    </w:p>
    <w:p>
      <w:pPr>
        <w:pStyle w:val="ListBullet"/>
        <w:spacing w:after="80"/>
      </w:pPr>
      <w:r>
        <w:rPr>
          <w:color w:val="2D2D2D"/>
          <w:sz w:val="22"/>
        </w:rPr>
        <w:t>H1 confirms dominance. The triple combination (Sco + Chn + Sit) fails at the same tier as Scope alone — not earlier — because the model's failure mode is grounding-related, not attention-splitting.</w:t>
      </w:r>
    </w:p>
    <w:p>
      <w:pPr>
        <w:pStyle w:val="ListBullet"/>
        <w:spacing w:after="80"/>
      </w:pPr>
      <w:r>
        <w:rPr>
          <w:color w:val="2D2D2D"/>
          <w:sz w:val="22"/>
        </w:rPr>
        <w:t>M4 is the interesting test. Without Scope, Chained + Situation may or may not compound each other. If they do, the two-condition logic types interact. If they don't, the categories are truly independent at the medium weight level.</w:t>
      </w:r>
    </w:p>
    <w:p>
      <w:pPr>
        <w:pStyle w:val="ListBullet"/>
        <w:spacing w:after="80"/>
      </w:pPr>
      <w:r>
        <w:rPr>
          <w:color w:val="2D2D2D"/>
          <w:sz w:val="22"/>
        </w:rPr>
        <w:t>Control tests pass cleanly. E2 (all zero weights) should be a straight 7/7 across all models. Any failure there is the framework telling us something about the rules, not the model.</w:t>
      </w:r>
    </w:p>
    <w:p>
      <w:pPr>
        <w:spacing w:before="200" w:after="120"/>
        <w:jc w:val="left"/>
      </w:pPr>
    </w:p>
    <w:p>
      <w:r>
        <w:rPr>
          <w:i/>
          <w:color w:val="555555"/>
          <w:sz w:val="20"/>
        </w:rPr>
        <w:t>These are predictions, not findings. Run Round 2 to confirm or disprove them. If the results differ from expectations — especially if Scope does not dominate, or if a control test fails — that is a more interesting finding than confirmation.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