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4D8B" w14:textId="77777777" w:rsidR="004C2794" w:rsidRDefault="00000000">
      <w:pPr>
        <w:spacing w:after="80"/>
      </w:pPr>
      <w:r>
        <w:rPr>
          <w:rFonts w:ascii="Arial" w:hAnsi="Arial"/>
          <w:b/>
          <w:color w:val="1F3864"/>
          <w:sz w:val="44"/>
        </w:rPr>
        <w:t>Round 3 — Data Volume Testing</w:t>
      </w:r>
    </w:p>
    <w:p w14:paraId="17D596C7" w14:textId="77777777" w:rsidR="004C2794" w:rsidRDefault="00000000">
      <w:pPr>
        <w:spacing w:after="40"/>
      </w:pPr>
      <w:r>
        <w:rPr>
          <w:rFonts w:ascii="Arial" w:hAnsi="Arial"/>
          <w:b/>
          <w:color w:val="2E5FA3"/>
          <w:sz w:val="26"/>
        </w:rPr>
        <w:t>Design Logic: Why We Test From a Passing Baseline</w:t>
      </w:r>
    </w:p>
    <w:p w14:paraId="78061C7E" w14:textId="77777777" w:rsidR="004C2794" w:rsidRDefault="00000000">
      <w:pPr>
        <w:spacing w:after="320"/>
      </w:pPr>
      <w:r>
        <w:rPr>
          <w:rFonts w:ascii="Arial" w:hAnsi="Arial"/>
          <w:color w:val="595959"/>
          <w:sz w:val="20"/>
        </w:rPr>
        <w:t>Anthropic Platform Capability Testing Framework  |  June 2026</w:t>
      </w:r>
    </w:p>
    <w:p w14:paraId="1D800390" w14:textId="77777777" w:rsidR="004C2794" w:rsidRDefault="004C2794">
      <w:pPr>
        <w:pBdr>
          <w:bottom w:val="single" w:sz="6" w:space="1" w:color="2E5FA3"/>
        </w:pBdr>
        <w:spacing w:after="320"/>
      </w:pPr>
    </w:p>
    <w:p w14:paraId="53157378" w14:textId="77777777" w:rsidR="004C2794" w:rsidRDefault="00000000">
      <w:pPr>
        <w:spacing w:before="320" w:after="120"/>
      </w:pPr>
      <w:r>
        <w:rPr>
          <w:rFonts w:ascii="Arial" w:hAnsi="Arial"/>
          <w:b/>
          <w:color w:val="1F3864"/>
          <w:sz w:val="32"/>
        </w:rPr>
        <w:t>1. What Round 3 Is Testing</w:t>
      </w:r>
    </w:p>
    <w:p w14:paraId="78FB995C" w14:textId="77777777" w:rsidR="004C2794" w:rsidRDefault="00000000">
      <w:pPr>
        <w:spacing w:after="120"/>
      </w:pPr>
      <w:r>
        <w:rPr>
          <w:rFonts w:ascii="Arial" w:hAnsi="Arial"/>
          <w:color w:val="000000"/>
        </w:rPr>
        <w:t>Rounds 1 and 2 held the data constant and varied instruction complexity. Round 3 inverts that relationship. The instruction set is fixed at a known tier, and the size of the financial data payload is increased across four levels: Small, Medium, Large, and XL. The question is whether models that were following rules cleanly on small data continue to do so as the context grows.</w:t>
      </w:r>
    </w:p>
    <w:p w14:paraId="6737454C" w14:textId="77777777" w:rsidR="004C2794" w:rsidRDefault="00000000">
      <w:pPr>
        <w:spacing w:after="120"/>
      </w:pPr>
      <w:r>
        <w:rPr>
          <w:rFonts w:ascii="Arial" w:hAnsi="Arial"/>
          <w:color w:val="000000"/>
        </w:rPr>
        <w:t>This directly mirrors real-world RAG and data pipeline use cases, where a prompt that works on a summary may fail when the full dataset is attached.</w:t>
      </w:r>
    </w:p>
    <w:p w14:paraId="4E6A5D95" w14:textId="77777777" w:rsidR="004C2794" w:rsidRDefault="00000000">
      <w:pPr>
        <w:spacing w:before="320" w:after="120"/>
      </w:pPr>
      <w:r>
        <w:rPr>
          <w:rFonts w:ascii="Arial" w:hAnsi="Arial"/>
          <w:b/>
          <w:color w:val="1F3864"/>
          <w:sz w:val="32"/>
        </w:rPr>
        <w:t>2. The Core Design Principle: Start From a Passing Baseline</w:t>
      </w:r>
    </w:p>
    <w:p w14:paraId="61950953" w14:textId="77777777" w:rsidR="004C2794" w:rsidRDefault="00000000">
      <w:pPr>
        <w:spacing w:after="120"/>
      </w:pPr>
      <w:r>
        <w:rPr>
          <w:rFonts w:ascii="Arial" w:hAnsi="Arial"/>
          <w:color w:val="000000"/>
        </w:rPr>
        <w:t xml:space="preserve">The defining methodological decision in Round 3 is that we </w:t>
      </w:r>
      <w:r>
        <w:rPr>
          <w:rFonts w:ascii="Arial" w:hAnsi="Arial"/>
          <w:b/>
          <w:color w:val="000000"/>
        </w:rPr>
        <w:t>only test tiers where the model was already passing cleanly</w:t>
      </w:r>
      <w:r>
        <w:rPr>
          <w:rFonts w:ascii="Arial" w:hAnsi="Arial"/>
          <w:color w:val="000000"/>
        </w:rPr>
        <w:t xml:space="preserve"> in Rounds 1 and 2.</w:t>
      </w:r>
    </w:p>
    <w:p w14:paraId="2D939A15" w14:textId="77777777" w:rsidR="004C2794" w:rsidRDefault="00000000">
      <w:pPr>
        <w:spacing w:after="120"/>
      </w:pPr>
      <w:r>
        <w:rPr>
          <w:rFonts w:ascii="Arial" w:hAnsi="Arial"/>
          <w:color w:val="000000"/>
        </w:rPr>
        <w:t>The reasoning is straightforward: if a model is already failing at a given tier on small data, adding more data simply confirms it fails on more data. That tells us nothing new. The experiment has no baseline to degrade from — you are observing the same failure under different conditions, not measuring whether conditions caused a new failure.</w:t>
      </w:r>
    </w:p>
    <w:p w14:paraId="128AE4CF" w14:textId="77777777" w:rsidR="004C2794" w:rsidRDefault="00000000">
      <w:pPr>
        <w:spacing w:after="120"/>
      </w:pPr>
      <w:r>
        <w:rPr>
          <w:rFonts w:ascii="Arial" w:hAnsi="Arial"/>
          <w:color w:val="000000"/>
        </w:rPr>
        <w:t xml:space="preserve">The signal we are after is degradation. To observe degradation, something must first be working. A model that passes T4 cleanly on a 15-row dataset gives us a starting point. If the same model fails T4 on a 150-row dataset, we have learned something specific: </w:t>
      </w:r>
      <w:r>
        <w:rPr>
          <w:rFonts w:ascii="Arial" w:hAnsi="Arial"/>
          <w:b/>
          <w:color w:val="000000"/>
        </w:rPr>
        <w:t>data volume moved the failure threshold.</w:t>
      </w:r>
    </w:p>
    <w:p w14:paraId="7578901E" w14:textId="77777777" w:rsidR="004C2794" w:rsidRDefault="00000000">
      <w:pPr>
        <w:spacing w:before="320" w:after="120"/>
      </w:pPr>
      <w:r>
        <w:rPr>
          <w:rFonts w:ascii="Arial" w:hAnsi="Arial"/>
          <w:b/>
          <w:color w:val="1F3864"/>
          <w:sz w:val="32"/>
        </w:rPr>
        <w:t>3. Why Piling On a Struggling Model Has No Diagnostic Value</w:t>
      </w:r>
    </w:p>
    <w:p w14:paraId="2D3DD492" w14:textId="77777777" w:rsidR="004C2794" w:rsidRDefault="00000000">
      <w:pPr>
        <w:spacing w:after="120"/>
      </w:pPr>
      <w:r>
        <w:rPr>
          <w:rFonts w:ascii="Arial" w:hAnsi="Arial"/>
          <w:color w:val="000000"/>
        </w:rPr>
        <w:t>Consider Haiku failing at T3 on Scope rules with small data. If we run Haiku at T3 with large data and it still fails, we have confirmed nothing about data volume. Haiku was already at its limit. The failure driver is instruction complexity, not context size, and adding data to an already-failing test conflates the two.</w:t>
      </w:r>
    </w:p>
    <w:p w14:paraId="3810C0AD" w14:textId="77777777" w:rsidR="004C2794" w:rsidRDefault="00000000">
      <w:pPr>
        <w:spacing w:after="120"/>
      </w:pPr>
      <w:r>
        <w:rPr>
          <w:rFonts w:ascii="Arial" w:hAnsi="Arial"/>
          <w:color w:val="000000"/>
        </w:rPr>
        <w:t xml:space="preserve">This is a fundamental principle of controlled experimentation: change one variable at a time. Round 3 changes data size. To isolate that change, everything else — including </w:t>
      </w:r>
      <w:r>
        <w:rPr>
          <w:rFonts w:ascii="Arial" w:hAnsi="Arial"/>
          <w:color w:val="000000"/>
        </w:rPr>
        <w:lastRenderedPageBreak/>
        <w:t>the model's baseline capability at the chosen tier — must be stable. A struggling model is not a stable baseline.</w:t>
      </w:r>
    </w:p>
    <w:p w14:paraId="75BC8C4E" w14:textId="77777777" w:rsidR="004C2794" w:rsidRDefault="00000000">
      <w:pPr>
        <w:spacing w:after="120"/>
      </w:pPr>
      <w:r>
        <w:rPr>
          <w:rFonts w:ascii="Arial" w:hAnsi="Arial"/>
          <w:color w:val="000000"/>
        </w:rPr>
        <w:t>There is also a cost consideration. API calls on a test that cannot produce new information waste budget. We already know Haiku struggles with Scope rules. Round 3 should be spending that budget on questions we do not yet have answers to.</w:t>
      </w:r>
    </w:p>
    <w:p w14:paraId="5D5F75E9" w14:textId="77777777" w:rsidR="004C2794" w:rsidRDefault="00000000">
      <w:pPr>
        <w:spacing w:before="320" w:after="120"/>
      </w:pPr>
      <w:r>
        <w:rPr>
          <w:rFonts w:ascii="Arial" w:hAnsi="Arial"/>
          <w:b/>
          <w:color w:val="1F3864"/>
          <w:sz w:val="32"/>
        </w:rPr>
        <w:t>4. How Tiers Are Selected Per Model</w:t>
      </w:r>
    </w:p>
    <w:p w14:paraId="323B42F0" w14:textId="77777777" w:rsidR="004C2794" w:rsidRDefault="00000000">
      <w:pPr>
        <w:spacing w:after="120"/>
      </w:pPr>
      <w:r>
        <w:rPr>
          <w:rFonts w:ascii="Arial" w:hAnsi="Arial"/>
          <w:color w:val="000000"/>
        </w:rPr>
        <w:t>Based on Round 1 and Round 2 results, each model has a known comfortable range — tiers where it was passing reliably, not borderline. Round 3 tests at the upper end of that range, where data volume stress is most likely to reveal a change.</w:t>
      </w:r>
    </w:p>
    <w:tbl>
      <w:tblPr>
        <w:tblStyle w:val="TableGrid"/>
        <w:tblW w:w="0" w:type="auto"/>
        <w:tblLayout w:type="fixed"/>
        <w:tblLook w:val="04A0" w:firstRow="1" w:lastRow="0" w:firstColumn="1" w:lastColumn="0" w:noHBand="0" w:noVBand="1"/>
      </w:tblPr>
      <w:tblGrid>
        <w:gridCol w:w="2160"/>
        <w:gridCol w:w="2160"/>
        <w:gridCol w:w="2592"/>
        <w:gridCol w:w="3456"/>
      </w:tblGrid>
      <w:tr w:rsidR="004C2794" w14:paraId="7DF575FB" w14:textId="77777777">
        <w:tc>
          <w:tcPr>
            <w:tcW w:w="2160" w:type="dxa"/>
          </w:tcPr>
          <w:p w14:paraId="2683BC1E" w14:textId="77777777" w:rsidR="004C2794" w:rsidRDefault="004C2794"/>
        </w:tc>
        <w:tc>
          <w:tcPr>
            <w:tcW w:w="2160" w:type="dxa"/>
          </w:tcPr>
          <w:p w14:paraId="26D496F4" w14:textId="77777777" w:rsidR="004C2794" w:rsidRDefault="004C2794"/>
        </w:tc>
        <w:tc>
          <w:tcPr>
            <w:tcW w:w="2160" w:type="dxa"/>
          </w:tcPr>
          <w:p w14:paraId="44AFD021" w14:textId="77777777" w:rsidR="004C2794" w:rsidRDefault="004C2794"/>
        </w:tc>
        <w:tc>
          <w:tcPr>
            <w:tcW w:w="2160" w:type="dxa"/>
          </w:tcPr>
          <w:p w14:paraId="27D05263" w14:textId="77777777" w:rsidR="004C2794" w:rsidRDefault="004C2794"/>
        </w:tc>
      </w:tr>
      <w:tr w:rsidR="004C2794" w14:paraId="6E01FCC3" w14:textId="77777777">
        <w:tc>
          <w:tcPr>
            <w:tcW w:w="1728" w:type="dxa"/>
            <w:shd w:val="clear" w:color="auto" w:fill="1F3864"/>
          </w:tcPr>
          <w:p w14:paraId="4CBC0C1A" w14:textId="77777777" w:rsidR="004C2794" w:rsidRDefault="00000000">
            <w:pPr>
              <w:spacing w:before="60" w:after="60"/>
            </w:pPr>
            <w:r>
              <w:rPr>
                <w:rFonts w:ascii="Arial" w:hAnsi="Arial"/>
                <w:b/>
                <w:color w:val="FFFFFF"/>
                <w:sz w:val="20"/>
              </w:rPr>
              <w:t>Model</w:t>
            </w:r>
          </w:p>
        </w:tc>
        <w:tc>
          <w:tcPr>
            <w:tcW w:w="1728" w:type="dxa"/>
            <w:shd w:val="clear" w:color="auto" w:fill="1F3864"/>
          </w:tcPr>
          <w:p w14:paraId="65292D44" w14:textId="77777777" w:rsidR="004C2794" w:rsidRDefault="00000000">
            <w:pPr>
              <w:spacing w:before="60" w:after="60"/>
            </w:pPr>
            <w:r>
              <w:rPr>
                <w:rFonts w:ascii="Arial" w:hAnsi="Arial"/>
                <w:b/>
                <w:color w:val="FFFFFF"/>
                <w:sz w:val="20"/>
              </w:rPr>
              <w:t>Test Tier</w:t>
            </w:r>
          </w:p>
        </w:tc>
        <w:tc>
          <w:tcPr>
            <w:tcW w:w="2592" w:type="dxa"/>
            <w:shd w:val="clear" w:color="auto" w:fill="1F3864"/>
          </w:tcPr>
          <w:p w14:paraId="77BA7226" w14:textId="77777777" w:rsidR="004C2794" w:rsidRDefault="00000000">
            <w:pPr>
              <w:spacing w:before="60" w:after="60"/>
            </w:pPr>
            <w:r>
              <w:rPr>
                <w:rFonts w:ascii="Arial" w:hAnsi="Arial"/>
                <w:b/>
                <w:color w:val="FFFFFF"/>
                <w:sz w:val="20"/>
              </w:rPr>
              <w:t>Round 2 Basis</w:t>
            </w:r>
          </w:p>
        </w:tc>
        <w:tc>
          <w:tcPr>
            <w:tcW w:w="3456" w:type="dxa"/>
            <w:shd w:val="clear" w:color="auto" w:fill="1F3864"/>
          </w:tcPr>
          <w:p w14:paraId="46BA23F3" w14:textId="77777777" w:rsidR="004C2794" w:rsidRDefault="00000000">
            <w:pPr>
              <w:spacing w:before="60" w:after="60"/>
            </w:pPr>
            <w:r>
              <w:rPr>
                <w:rFonts w:ascii="Arial" w:hAnsi="Arial"/>
                <w:b/>
                <w:color w:val="FFFFFF"/>
                <w:sz w:val="20"/>
              </w:rPr>
              <w:t>Rationale</w:t>
            </w:r>
          </w:p>
        </w:tc>
      </w:tr>
      <w:tr w:rsidR="004C2794" w14:paraId="2EC937B9" w14:textId="77777777">
        <w:tc>
          <w:tcPr>
            <w:tcW w:w="1728" w:type="dxa"/>
            <w:shd w:val="clear" w:color="auto" w:fill="FFFFFF"/>
          </w:tcPr>
          <w:p w14:paraId="5D4ABCB9" w14:textId="77777777" w:rsidR="004C2794" w:rsidRDefault="00000000">
            <w:pPr>
              <w:spacing w:before="60" w:after="60"/>
            </w:pPr>
            <w:r>
              <w:rPr>
                <w:rFonts w:ascii="Arial" w:hAnsi="Arial"/>
                <w:b/>
                <w:color w:val="000000"/>
                <w:sz w:val="20"/>
              </w:rPr>
              <w:t>claude-opus-4-8</w:t>
            </w:r>
          </w:p>
        </w:tc>
        <w:tc>
          <w:tcPr>
            <w:tcW w:w="1728" w:type="dxa"/>
            <w:shd w:val="clear" w:color="auto" w:fill="FFFFFF"/>
          </w:tcPr>
          <w:p w14:paraId="1736F707" w14:textId="77777777" w:rsidR="004C2794" w:rsidRDefault="00000000">
            <w:pPr>
              <w:spacing w:before="60" w:after="60"/>
            </w:pPr>
            <w:r>
              <w:rPr>
                <w:rFonts w:ascii="Arial" w:hAnsi="Arial"/>
                <w:color w:val="000000"/>
                <w:sz w:val="20"/>
              </w:rPr>
              <w:t>T5</w:t>
            </w:r>
          </w:p>
        </w:tc>
        <w:tc>
          <w:tcPr>
            <w:tcW w:w="2592" w:type="dxa"/>
            <w:shd w:val="clear" w:color="auto" w:fill="FFFFFF"/>
          </w:tcPr>
          <w:p w14:paraId="32AF77A6" w14:textId="77777777" w:rsidR="004C2794" w:rsidRDefault="00000000">
            <w:pPr>
              <w:spacing w:before="60" w:after="60"/>
            </w:pPr>
            <w:r>
              <w:rPr>
                <w:rFonts w:ascii="Arial" w:hAnsi="Arial"/>
                <w:color w:val="000000"/>
                <w:sz w:val="20"/>
              </w:rPr>
              <w:t>Clean pass on Hard combos</w:t>
            </w:r>
          </w:p>
        </w:tc>
        <w:tc>
          <w:tcPr>
            <w:tcW w:w="3456" w:type="dxa"/>
            <w:shd w:val="clear" w:color="auto" w:fill="FFFFFF"/>
          </w:tcPr>
          <w:p w14:paraId="108DE650" w14:textId="77777777" w:rsidR="004C2794" w:rsidRDefault="00000000">
            <w:pPr>
              <w:spacing w:before="60" w:after="60"/>
            </w:pPr>
            <w:r>
              <w:rPr>
                <w:rFonts w:ascii="Arial" w:hAnsi="Arial"/>
                <w:color w:val="000000"/>
                <w:sz w:val="20"/>
              </w:rPr>
              <w:t>Opus was passing T5-T6 on most combinations. T5 is the upper edge of its comfortable range — stress is likely to show here first.</w:t>
            </w:r>
          </w:p>
        </w:tc>
      </w:tr>
      <w:tr w:rsidR="004C2794" w14:paraId="23973E0F" w14:textId="77777777">
        <w:tc>
          <w:tcPr>
            <w:tcW w:w="1728" w:type="dxa"/>
            <w:shd w:val="clear" w:color="auto" w:fill="EBF3FB"/>
          </w:tcPr>
          <w:p w14:paraId="786B7192" w14:textId="77777777" w:rsidR="004C2794" w:rsidRDefault="00000000">
            <w:pPr>
              <w:spacing w:before="60" w:after="60"/>
            </w:pPr>
            <w:r>
              <w:rPr>
                <w:rFonts w:ascii="Arial" w:hAnsi="Arial"/>
                <w:b/>
                <w:color w:val="000000"/>
                <w:sz w:val="20"/>
              </w:rPr>
              <w:t>claude-sonnet-4-6</w:t>
            </w:r>
          </w:p>
        </w:tc>
        <w:tc>
          <w:tcPr>
            <w:tcW w:w="1728" w:type="dxa"/>
            <w:shd w:val="clear" w:color="auto" w:fill="EBF3FB"/>
          </w:tcPr>
          <w:p w14:paraId="4CF0E52D" w14:textId="77777777" w:rsidR="004C2794" w:rsidRDefault="00000000">
            <w:pPr>
              <w:spacing w:before="60" w:after="60"/>
            </w:pPr>
            <w:r>
              <w:rPr>
                <w:rFonts w:ascii="Arial" w:hAnsi="Arial"/>
                <w:color w:val="000000"/>
                <w:sz w:val="20"/>
              </w:rPr>
              <w:t>T3</w:t>
            </w:r>
          </w:p>
        </w:tc>
        <w:tc>
          <w:tcPr>
            <w:tcW w:w="2592" w:type="dxa"/>
            <w:shd w:val="clear" w:color="auto" w:fill="EBF3FB"/>
          </w:tcPr>
          <w:p w14:paraId="5094C1FE" w14:textId="77777777" w:rsidR="004C2794" w:rsidRDefault="00000000">
            <w:pPr>
              <w:spacing w:before="60" w:after="60"/>
            </w:pPr>
            <w:r>
              <w:rPr>
                <w:rFonts w:ascii="Arial" w:hAnsi="Arial"/>
                <w:color w:val="000000"/>
                <w:sz w:val="20"/>
              </w:rPr>
              <w:t>Clean pass on Medium/Easy combos (non-Scope)</w:t>
            </w:r>
          </w:p>
        </w:tc>
        <w:tc>
          <w:tcPr>
            <w:tcW w:w="3456" w:type="dxa"/>
            <w:shd w:val="clear" w:color="auto" w:fill="EBF3FB"/>
          </w:tcPr>
          <w:p w14:paraId="75E31486" w14:textId="77777777" w:rsidR="004C2794" w:rsidRDefault="00000000">
            <w:pPr>
              <w:spacing w:before="60" w:after="60"/>
            </w:pPr>
            <w:r>
              <w:rPr>
                <w:rFonts w:ascii="Arial" w:hAnsi="Arial"/>
                <w:color w:val="000000"/>
                <w:sz w:val="20"/>
              </w:rPr>
              <w:t>Sonnet fails Scope-heavy combos from T1, but was clean at T3 on Chained and Format combinations. T3 is its reliable ceiling for non-Scope rules.</w:t>
            </w:r>
          </w:p>
        </w:tc>
      </w:tr>
      <w:tr w:rsidR="004C2794" w14:paraId="08FA7D3F" w14:textId="77777777">
        <w:tc>
          <w:tcPr>
            <w:tcW w:w="1728" w:type="dxa"/>
            <w:shd w:val="clear" w:color="auto" w:fill="FFFFFF"/>
          </w:tcPr>
          <w:p w14:paraId="7C349625" w14:textId="77777777" w:rsidR="004C2794" w:rsidRDefault="00000000">
            <w:pPr>
              <w:spacing w:before="60" w:after="60"/>
            </w:pPr>
            <w:r>
              <w:rPr>
                <w:rFonts w:ascii="Arial" w:hAnsi="Arial"/>
                <w:b/>
                <w:color w:val="000000"/>
                <w:sz w:val="20"/>
              </w:rPr>
              <w:t>claude-haiku-4-5</w:t>
            </w:r>
          </w:p>
        </w:tc>
        <w:tc>
          <w:tcPr>
            <w:tcW w:w="1728" w:type="dxa"/>
            <w:shd w:val="clear" w:color="auto" w:fill="FFFFFF"/>
          </w:tcPr>
          <w:p w14:paraId="0870FB56" w14:textId="77777777" w:rsidR="004C2794" w:rsidRDefault="00000000">
            <w:pPr>
              <w:spacing w:before="60" w:after="60"/>
            </w:pPr>
            <w:r>
              <w:rPr>
                <w:rFonts w:ascii="Arial" w:hAnsi="Arial"/>
                <w:color w:val="000000"/>
                <w:sz w:val="20"/>
              </w:rPr>
              <w:t>T2</w:t>
            </w:r>
          </w:p>
        </w:tc>
        <w:tc>
          <w:tcPr>
            <w:tcW w:w="2592" w:type="dxa"/>
            <w:shd w:val="clear" w:color="auto" w:fill="FFFFFF"/>
          </w:tcPr>
          <w:p w14:paraId="7166C950" w14:textId="77777777" w:rsidR="004C2794" w:rsidRDefault="00000000">
            <w:pPr>
              <w:spacing w:before="60" w:after="60"/>
            </w:pPr>
            <w:r>
              <w:rPr>
                <w:rFonts w:ascii="Arial" w:hAnsi="Arial"/>
                <w:color w:val="000000"/>
                <w:sz w:val="20"/>
              </w:rPr>
              <w:t>Clean pass on Control combos</w:t>
            </w:r>
          </w:p>
        </w:tc>
        <w:tc>
          <w:tcPr>
            <w:tcW w:w="3456" w:type="dxa"/>
            <w:shd w:val="clear" w:color="auto" w:fill="FFFFFF"/>
          </w:tcPr>
          <w:p w14:paraId="0F45EF50" w14:textId="77777777" w:rsidR="004C2794" w:rsidRDefault="00000000">
            <w:pPr>
              <w:spacing w:before="60" w:after="60"/>
            </w:pPr>
            <w:r>
              <w:rPr>
                <w:rFonts w:ascii="Arial" w:hAnsi="Arial"/>
                <w:color w:val="000000"/>
                <w:sz w:val="20"/>
              </w:rPr>
              <w:t>Haiku was unreliable above T2 even on zero-weight categories. T2 is the only tier where Haiku produced consistent passes.</w:t>
            </w:r>
          </w:p>
        </w:tc>
      </w:tr>
    </w:tbl>
    <w:p w14:paraId="0CA3A1AC" w14:textId="77777777" w:rsidR="004C2794" w:rsidRDefault="004C2794"/>
    <w:p w14:paraId="7C7DF768" w14:textId="77777777" w:rsidR="004C2794" w:rsidRDefault="00000000">
      <w:pPr>
        <w:spacing w:before="320" w:after="120"/>
      </w:pPr>
      <w:r>
        <w:rPr>
          <w:rFonts w:ascii="Arial" w:hAnsi="Arial"/>
          <w:b/>
          <w:color w:val="1F3864"/>
          <w:sz w:val="32"/>
        </w:rPr>
        <w:t>5. Rule Sets Selected for Round 3</w:t>
      </w:r>
    </w:p>
    <w:p w14:paraId="07894C44" w14:textId="77777777" w:rsidR="004C2794" w:rsidRDefault="00000000">
      <w:pPr>
        <w:spacing w:after="120"/>
      </w:pPr>
      <w:r>
        <w:rPr>
          <w:rFonts w:ascii="Arial" w:hAnsi="Arial"/>
          <w:color w:val="000000"/>
        </w:rPr>
        <w:t>To keep Round 3 focused, three rule sets are tested at each payload size. These were selected to cover the weight spectrum established in Round 1:</w:t>
      </w:r>
    </w:p>
    <w:p w14:paraId="393F8D5E" w14:textId="77777777" w:rsidR="004C2794" w:rsidRDefault="00000000">
      <w:pPr>
        <w:pStyle w:val="ListBullet"/>
        <w:spacing w:after="80"/>
      </w:pPr>
      <w:r>
        <w:rPr>
          <w:rFonts w:ascii="Arial" w:hAnsi="Arial"/>
          <w:b/>
          <w:color w:val="000000"/>
        </w:rPr>
        <w:t xml:space="preserve">Scope — </w:t>
      </w:r>
      <w:r>
        <w:rPr>
          <w:rFonts w:ascii="Arial" w:hAnsi="Arial"/>
          <w:color w:val="000000"/>
        </w:rPr>
        <w:t>Scope (weight 0.71) — the heaviest category. Models that pass Scope at their chosen tier on small data give us the clearest signal if data volume degrades that.</w:t>
      </w:r>
    </w:p>
    <w:p w14:paraId="561F1F9F" w14:textId="77777777" w:rsidR="004C2794" w:rsidRDefault="00000000">
      <w:pPr>
        <w:pStyle w:val="ListBullet"/>
        <w:spacing w:after="80"/>
      </w:pPr>
      <w:r>
        <w:rPr>
          <w:rFonts w:ascii="Arial" w:hAnsi="Arial"/>
          <w:b/>
          <w:color w:val="000000"/>
        </w:rPr>
        <w:t xml:space="preserve">Chained — </w:t>
      </w:r>
      <w:r>
        <w:rPr>
          <w:rFonts w:ascii="Arial" w:hAnsi="Arial"/>
          <w:color w:val="000000"/>
        </w:rPr>
        <w:t>Chained (weight 0.38) — medium weight. Compound conditional rules that require the model to track multiple data fields simultaneously. Context size may impair this more than simpler rules.</w:t>
      </w:r>
    </w:p>
    <w:p w14:paraId="030CF3C0" w14:textId="77777777" w:rsidR="004C2794" w:rsidRDefault="00000000">
      <w:pPr>
        <w:pStyle w:val="ListBullet"/>
        <w:spacing w:after="80"/>
      </w:pPr>
      <w:r>
        <w:rPr>
          <w:rFonts w:ascii="Arial" w:hAnsi="Arial"/>
          <w:b/>
          <w:color w:val="000000"/>
        </w:rPr>
        <w:t xml:space="preserve">Format (control) — </w:t>
      </w:r>
      <w:r>
        <w:rPr>
          <w:rFonts w:ascii="Arial" w:hAnsi="Arial"/>
          <w:color w:val="000000"/>
        </w:rPr>
        <w:t>Format (weight 0.05) — near-zero weight from Round 1. A control. If Format rules break under data volume, that is a significant finding because these rules showed near-perfect compliance with small data.</w:t>
      </w:r>
    </w:p>
    <w:p w14:paraId="22EFD030" w14:textId="77777777" w:rsidR="004C2794" w:rsidRDefault="00000000">
      <w:pPr>
        <w:spacing w:after="120"/>
      </w:pPr>
      <w:r>
        <w:rPr>
          <w:rFonts w:ascii="Arial" w:hAnsi="Arial"/>
          <w:color w:val="000000"/>
        </w:rPr>
        <w:t>Testing across this range lets us answer whether data volume affects all rule types equally or whether it disproportionately hits semantically complex rules like Scope and Chained versus structural rules like Format.</w:t>
      </w:r>
    </w:p>
    <w:p w14:paraId="65128732" w14:textId="77777777" w:rsidR="004C2794" w:rsidRDefault="00000000">
      <w:pPr>
        <w:spacing w:before="320" w:after="120"/>
      </w:pPr>
      <w:r>
        <w:rPr>
          <w:rFonts w:ascii="Arial" w:hAnsi="Arial"/>
          <w:b/>
          <w:color w:val="1F3864"/>
          <w:sz w:val="32"/>
        </w:rPr>
        <w:lastRenderedPageBreak/>
        <w:t>6. What a Finding Looks Like</w:t>
      </w:r>
    </w:p>
    <w:p w14:paraId="12D97E21" w14:textId="77777777" w:rsidR="004C2794" w:rsidRDefault="00000000">
      <w:pPr>
        <w:spacing w:after="120"/>
      </w:pPr>
      <w:r>
        <w:rPr>
          <w:rFonts w:ascii="Arial" w:hAnsi="Arial"/>
          <w:color w:val="000000"/>
        </w:rPr>
        <w:t>The clearest possible Round 3 finding is: a model that was passing a tier on small data begins failing that same tier at a specific payload size. That crossing point is the data volume threshold for that model on that rule type.</w:t>
      </w:r>
    </w:p>
    <w:p w14:paraId="3CC88038" w14:textId="77777777" w:rsidR="004C2794" w:rsidRDefault="00000000">
      <w:pPr>
        <w:spacing w:after="120"/>
      </w:pPr>
      <w:r>
        <w:rPr>
          <w:rFonts w:ascii="Arial" w:hAnsi="Arial"/>
          <w:color w:val="000000"/>
        </w:rPr>
        <w:t>This is directly actionable for practitioners building RAG pipelines or data summarisation agents. It tells them not just what instruction complexity a model can handle, but how much context that capability holds up under. A system that works on a one-page summary may need a more capable model or a chunking strategy when the full report is attached.</w:t>
      </w:r>
    </w:p>
    <w:p w14:paraId="72EBC214" w14:textId="77777777" w:rsidR="004C2794" w:rsidRDefault="00000000">
      <w:pPr>
        <w:spacing w:after="120"/>
      </w:pPr>
      <w:r>
        <w:rPr>
          <w:rFonts w:ascii="Arial" w:hAnsi="Arial"/>
          <w:color w:val="000000"/>
        </w:rPr>
        <w:t>A null result — no degradation across any payload size — is also informative. It means the model's ceiling is determined by instruction complexity, not context length, which changes the levers a practitioner should pull when something breaks.</w:t>
      </w:r>
    </w:p>
    <w:p w14:paraId="59815C05" w14:textId="77777777" w:rsidR="004C2794" w:rsidRDefault="00000000">
      <w:pPr>
        <w:spacing w:before="320" w:after="120"/>
      </w:pPr>
      <w:r>
        <w:rPr>
          <w:rFonts w:ascii="Arial" w:hAnsi="Arial"/>
          <w:b/>
          <w:color w:val="1F3864"/>
          <w:sz w:val="32"/>
        </w:rPr>
        <w:t>7. How This Connects to the Broader Framework</w:t>
      </w:r>
    </w:p>
    <w:p w14:paraId="52B4153D" w14:textId="77777777" w:rsidR="004C2794" w:rsidRDefault="00000000">
      <w:pPr>
        <w:spacing w:after="120"/>
      </w:pPr>
      <w:r>
        <w:rPr>
          <w:rFonts w:ascii="Arial" w:hAnsi="Arial"/>
          <w:color w:val="000000"/>
        </w:rPr>
        <w:t>The four-round framework builds a layered picture of model capability:</w:t>
      </w:r>
    </w:p>
    <w:p w14:paraId="619FB4CD" w14:textId="77777777" w:rsidR="004C2794" w:rsidRDefault="00000000">
      <w:pPr>
        <w:pStyle w:val="ListBullet"/>
        <w:spacing w:after="80"/>
      </w:pPr>
      <w:r>
        <w:rPr>
          <w:rFonts w:ascii="Arial" w:hAnsi="Arial"/>
          <w:b/>
          <w:color w:val="000000"/>
        </w:rPr>
        <w:t xml:space="preserve">Round 1 — </w:t>
      </w:r>
      <w:r>
        <w:rPr>
          <w:rFonts w:ascii="Arial" w:hAnsi="Arial"/>
          <w:color w:val="000000"/>
        </w:rPr>
        <w:t>Round 1 established how many rules each model can follow in isolation, by category.</w:t>
      </w:r>
    </w:p>
    <w:p w14:paraId="46E80F0A" w14:textId="77777777" w:rsidR="004C2794" w:rsidRDefault="00000000">
      <w:pPr>
        <w:pStyle w:val="ListBullet"/>
        <w:spacing w:after="80"/>
      </w:pPr>
      <w:r>
        <w:rPr>
          <w:rFonts w:ascii="Arial" w:hAnsi="Arial"/>
          <w:b/>
          <w:color w:val="000000"/>
        </w:rPr>
        <w:t xml:space="preserve">Round 2 — </w:t>
      </w:r>
      <w:r>
        <w:rPr>
          <w:rFonts w:ascii="Arial" w:hAnsi="Arial"/>
          <w:color w:val="000000"/>
        </w:rPr>
        <w:t>Round 2 showed how rule interactions and category combinations change that ceiling.</w:t>
      </w:r>
    </w:p>
    <w:p w14:paraId="4F95C20E" w14:textId="77777777" w:rsidR="004C2794" w:rsidRDefault="00000000">
      <w:pPr>
        <w:pStyle w:val="ListBullet"/>
        <w:spacing w:after="80"/>
      </w:pPr>
      <w:r>
        <w:rPr>
          <w:rFonts w:ascii="Arial" w:hAnsi="Arial"/>
          <w:b/>
          <w:color w:val="000000"/>
        </w:rPr>
        <w:t xml:space="preserve">Round 3 — </w:t>
      </w:r>
      <w:r>
        <w:rPr>
          <w:rFonts w:ascii="Arial" w:hAnsi="Arial"/>
          <w:color w:val="000000"/>
        </w:rPr>
        <w:t>Round 3 (this round) tests whether the context load from data degrades ceilings that were stable in Rounds 1 and 2.</w:t>
      </w:r>
    </w:p>
    <w:p w14:paraId="3F42819B" w14:textId="77777777" w:rsidR="004C2794" w:rsidRDefault="00000000">
      <w:pPr>
        <w:pStyle w:val="ListBullet"/>
        <w:spacing w:after="80"/>
      </w:pPr>
      <w:r>
        <w:rPr>
          <w:rFonts w:ascii="Arial" w:hAnsi="Arial"/>
          <w:b/>
          <w:color w:val="000000"/>
        </w:rPr>
        <w:t xml:space="preserve">Round 4 — </w:t>
      </w:r>
      <w:r>
        <w:rPr>
          <w:rFonts w:ascii="Arial" w:hAnsi="Arial"/>
          <w:color w:val="000000"/>
        </w:rPr>
        <w:t>Round 4 will add tool use to the same rule sets and measure whether access to tools changes the failure profile.</w:t>
      </w:r>
    </w:p>
    <w:p w14:paraId="7572EE13" w14:textId="77777777" w:rsidR="004C2794" w:rsidRDefault="00000000">
      <w:pPr>
        <w:spacing w:after="120"/>
      </w:pPr>
      <w:r>
        <w:rPr>
          <w:rFonts w:ascii="Arial" w:hAnsi="Arial"/>
          <w:color w:val="000000"/>
        </w:rPr>
        <w:t>Each round keeps the prior rounds' findings as its baseline. Round 3 only makes sense because Rounds 1 and 2 gave us clean pass tiers to test against. Round 4 will only make sense because Round 3 will give us data-volume-adjusted baselines to measure tool use against. The logic of starting from a passing baseline is not just a Round 3 principle — it is the architecture of the entire framework.</w:t>
      </w:r>
    </w:p>
    <w:sectPr w:rsidR="004C27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981624">
    <w:abstractNumId w:val="8"/>
  </w:num>
  <w:num w:numId="2" w16cid:durableId="811286496">
    <w:abstractNumId w:val="6"/>
  </w:num>
  <w:num w:numId="3" w16cid:durableId="415054701">
    <w:abstractNumId w:val="5"/>
  </w:num>
  <w:num w:numId="4" w16cid:durableId="805201829">
    <w:abstractNumId w:val="4"/>
  </w:num>
  <w:num w:numId="5" w16cid:durableId="2114006675">
    <w:abstractNumId w:val="7"/>
  </w:num>
  <w:num w:numId="6" w16cid:durableId="214970352">
    <w:abstractNumId w:val="3"/>
  </w:num>
  <w:num w:numId="7" w16cid:durableId="700130290">
    <w:abstractNumId w:val="2"/>
  </w:num>
  <w:num w:numId="8" w16cid:durableId="576785120">
    <w:abstractNumId w:val="1"/>
  </w:num>
  <w:num w:numId="9" w16cid:durableId="209153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794"/>
    <w:rsid w:val="00951CD3"/>
    <w:rsid w:val="00A178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30C45A-BDD8-4095-9172-62CB7D41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Beals</cp:lastModifiedBy>
  <cp:revision>2</cp:revision>
  <dcterms:created xsi:type="dcterms:W3CDTF">2013-12-23T23:15:00Z</dcterms:created>
  <dcterms:modified xsi:type="dcterms:W3CDTF">2026-06-17T02:14:00Z</dcterms:modified>
  <cp:category/>
</cp:coreProperties>
</file>