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F3864"/>
          <w:sz w:val="44"/>
        </w:rPr>
        <w:t>Round 3 Results Report — Data Volume Testing</w:t>
      </w:r>
    </w:p>
    <w:p>
      <w:pPr>
        <w:spacing w:after="40"/>
      </w:pPr>
      <w:r>
        <w:rPr>
          <w:rFonts w:ascii="Arial" w:hAnsi="Arial"/>
          <w:color w:val="595959"/>
          <w:sz w:val="22"/>
        </w:rPr>
        <w:t>Anthropic Platform Capability Testing Framework  |  June 2026</w:t>
      </w:r>
    </w:p>
    <w:p>
      <w:pPr>
        <w:spacing w:before="80" w:after="240"/>
        <w:pBdr>
          <w:bottom w:val="single" w:sz="6" w:space="1" w:color="2E5FA3"/>
        </w:pBdr>
      </w:pPr>
    </w:p>
    <w:p>
      <w:pPr>
        <w:spacing w:before="360" w:after="80"/>
      </w:pPr>
      <w:r>
        <w:rPr>
          <w:rFonts w:ascii="Arial" w:hAnsi="Arial"/>
          <w:b/>
          <w:color w:val="1F3864"/>
          <w:sz w:val="30"/>
        </w:rPr>
        <w:t>Executive Summary</w:t>
      </w:r>
    </w:p>
    <w:p>
      <w:pPr>
        <w:spacing w:after="120" w:before="0"/>
      </w:pPr>
      <w:r>
        <w:rPr>
          <w:rFonts w:ascii="Arial" w:hAnsi="Arial"/>
          <w:color w:val="000000"/>
          <w:sz w:val="22"/>
        </w:rPr>
        <w:t xml:space="preserve">Round 3 tested whether increasing the financial data payload size degrades rule adherence at tiers where each model was previously passing cleanly. The core finding is that </w:t>
      </w:r>
      <w:r>
        <w:rPr>
          <w:rFonts w:ascii="Arial" w:hAnsi="Arial"/>
          <w:b/>
          <w:color w:val="000000"/>
          <w:sz w:val="22"/>
        </w:rPr>
        <w:t>data volume at this scale (40 to 120 rows of tabular financial data) is not the primary failure driver</w:t>
      </w:r>
      <w:r>
        <w:rPr>
          <w:rFonts w:ascii="Arial" w:hAnsi="Arial"/>
          <w:color w:val="000000"/>
          <w:sz w:val="22"/>
        </w:rPr>
        <w:t xml:space="preserve"> for most rule types. Chained and Format rules held across all payload sizes for all models. The one exception is Scope rules on Opus, which showed inconsistent failures beginning at Medium payload — but the pattern was not systematic enough to attribute cleanly to volume.</w:t>
      </w:r>
    </w:p>
    <w:p>
      <w:pPr>
        <w:spacing w:after="120" w:before="0"/>
      </w:pPr>
      <w:r>
        <w:rPr>
          <w:rFonts w:ascii="Arial" w:hAnsi="Arial"/>
          <w:color w:val="000000"/>
          <w:sz w:val="22"/>
        </w:rPr>
        <w:t xml:space="preserve">The most actionable finding is that </w:t>
      </w:r>
      <w:r>
        <w:rPr>
          <w:rFonts w:ascii="Arial" w:hAnsi="Arial"/>
          <w:b/>
          <w:color w:val="000000"/>
          <w:sz w:val="22"/>
        </w:rPr>
        <w:t>Sonnet dropped exact-phrase Format rules at Large and XL payloads</w:t>
      </w:r>
      <w:r>
        <w:rPr>
          <w:rFonts w:ascii="Arial" w:hAnsi="Arial"/>
          <w:color w:val="000000"/>
          <w:sz w:val="22"/>
        </w:rPr>
        <w:t>, suggesting that as responses grow longer, smaller models lose track of bookend formatting requirements. For practitioners building RAG pipelines, the risk is not running out of context — it is the model prioritising content over structural compliance as the output grows.</w:t>
      </w:r>
    </w:p>
    <w:p>
      <w:pPr>
        <w:spacing w:before="360" w:after="80"/>
      </w:pPr>
      <w:r>
        <w:rPr>
          <w:rFonts w:ascii="Arial" w:hAnsi="Arial"/>
          <w:b/>
          <w:color w:val="1F3864"/>
          <w:sz w:val="30"/>
        </w:rPr>
        <w:t>1. Test Design</w:t>
      </w:r>
    </w:p>
    <w:p>
      <w:pPr>
        <w:spacing w:before="200" w:after="80"/>
      </w:pPr>
      <w:r>
        <w:rPr>
          <w:rFonts w:ascii="Arial" w:hAnsi="Arial"/>
          <w:b/>
          <w:color w:val="2E5FA3"/>
          <w:sz w:val="24"/>
        </w:rPr>
        <w:t>What We Tested</w:t>
      </w:r>
    </w:p>
    <w:p>
      <w:pPr>
        <w:spacing w:after="120" w:before="0"/>
      </w:pPr>
      <w:r>
        <w:rPr>
          <w:rFonts w:ascii="Arial" w:hAnsi="Arial"/>
          <w:color w:val="000000"/>
          <w:sz w:val="22"/>
        </w:rPr>
        <w:t>Round 3 held rule sets constant at tiers where each model passed cleanly in Rounds 1 and 2, then increased the financial data payload across three sizes. The same user prompt and judge were used throughout. Only Medium (40 rows), Large (80 rows), and XL (120 rows) payloads were tested — Small was skipped because those results already exist from Rounds 1 and 2.</w:t>
      </w:r>
    </w:p>
    <w:tbl>
      <w:tblPr>
        <w:tblStyle w:val="TableGrid"/>
        <w:tblW w:type="auto" w:w="0"/>
        <w:tblLayout w:type="fixed"/>
        <w:tblLook w:firstColumn="1" w:firstRow="1" w:lastColumn="0" w:lastRow="0" w:noHBand="0" w:noVBand="1" w:val="04A0"/>
      </w:tblPr>
      <w:tblGrid>
        <w:gridCol w:w="2592"/>
        <w:gridCol w:w="1440"/>
        <w:gridCol w:w="2592"/>
        <w:gridCol w:w="3888"/>
      </w:tblGrid>
      <w:tr>
        <w:tc>
          <w:tcPr>
            <w:tcW w:type="dxa" w:w="2160"/>
          </w:tcPr>
          <w:p/>
        </w:tc>
        <w:tc>
          <w:tcPr>
            <w:tcW w:type="dxa" w:w="2160"/>
          </w:tcPr>
          <w:p/>
        </w:tc>
        <w:tc>
          <w:tcPr>
            <w:tcW w:type="dxa" w:w="2160"/>
          </w:tcPr>
          <w:p/>
        </w:tc>
        <w:tc>
          <w:tcPr>
            <w:tcW w:type="dxa" w:w="2160"/>
          </w:tcPr>
          <w:p/>
        </w:tc>
      </w:tr>
      <w:tr>
        <w:tc>
          <w:tcPr>
            <w:tcW w:type="dxa" w:w="2592"/>
            <w:shd w:val="clear" w:color="auto" w:fill="1F3864"/>
          </w:tcPr>
          <w:p>
            <w:pPr>
              <w:spacing w:before="60" w:after="60"/>
            </w:pPr>
            <w:r/>
            <w:r>
              <w:rPr>
                <w:rFonts w:ascii="Arial" w:hAnsi="Arial"/>
                <w:b/>
                <w:color w:val="FFFFFF"/>
                <w:sz w:val="20"/>
              </w:rPr>
              <w:t>Model</w:t>
            </w:r>
          </w:p>
        </w:tc>
        <w:tc>
          <w:tcPr>
            <w:tcW w:type="dxa" w:w="1440"/>
            <w:shd w:val="clear" w:color="auto" w:fill="1F3864"/>
          </w:tcPr>
          <w:p>
            <w:pPr>
              <w:spacing w:before="60" w:after="60"/>
            </w:pPr>
            <w:r/>
            <w:r>
              <w:rPr>
                <w:rFonts w:ascii="Arial" w:hAnsi="Arial"/>
                <w:b/>
                <w:color w:val="FFFFFF"/>
                <w:sz w:val="20"/>
              </w:rPr>
              <w:t>Test Tier</w:t>
            </w:r>
          </w:p>
        </w:tc>
        <w:tc>
          <w:tcPr>
            <w:tcW w:type="dxa" w:w="2592"/>
            <w:shd w:val="clear" w:color="auto" w:fill="1F3864"/>
          </w:tcPr>
          <w:p>
            <w:pPr>
              <w:spacing w:before="60" w:after="60"/>
            </w:pPr>
            <w:r/>
            <w:r>
              <w:rPr>
                <w:rFonts w:ascii="Arial" w:hAnsi="Arial"/>
                <w:b/>
                <w:color w:val="FFFFFF"/>
                <w:sz w:val="20"/>
              </w:rPr>
              <w:t>Rule Sets</w:t>
            </w:r>
          </w:p>
        </w:tc>
        <w:tc>
          <w:tcPr>
            <w:tcW w:type="dxa" w:w="3888"/>
            <w:shd w:val="clear" w:color="auto" w:fill="1F3864"/>
          </w:tcPr>
          <w:p>
            <w:pPr>
              <w:spacing w:before="60" w:after="60"/>
            </w:pPr>
            <w:r/>
            <w:r>
              <w:rPr>
                <w:rFonts w:ascii="Arial" w:hAnsi="Arial"/>
                <w:b/>
                <w:color w:val="FFFFFF"/>
                <w:sz w:val="20"/>
              </w:rPr>
              <w:t>Rationale</w:t>
            </w:r>
          </w:p>
        </w:tc>
      </w:tr>
      <w:tr>
        <w:tc>
          <w:tcPr>
            <w:tcW w:type="dxa" w:w="2592"/>
            <w:shd w:val="clear" w:color="auto" w:fill="EBF3FB"/>
          </w:tcPr>
          <w:p>
            <w:pPr>
              <w:spacing w:before="60" w:after="60"/>
            </w:pPr>
            <w:r/>
            <w:r>
              <w:rPr>
                <w:rFonts w:ascii="Arial" w:hAnsi="Arial"/>
                <w:b w:val="0"/>
                <w:color w:val="000000"/>
                <w:sz w:val="20"/>
              </w:rPr>
              <w:t>claude-opus-4-8</w:t>
            </w:r>
          </w:p>
        </w:tc>
        <w:tc>
          <w:tcPr>
            <w:tcW w:type="dxa" w:w="1440"/>
            <w:shd w:val="clear" w:color="auto" w:fill="EBF3FB"/>
          </w:tcPr>
          <w:p>
            <w:pPr>
              <w:spacing w:before="60" w:after="60"/>
            </w:pPr>
            <w:r/>
            <w:r>
              <w:rPr>
                <w:rFonts w:ascii="Arial" w:hAnsi="Arial"/>
                <w:b w:val="0"/>
                <w:color w:val="000000"/>
                <w:sz w:val="20"/>
              </w:rPr>
              <w:t>T5</w:t>
            </w:r>
          </w:p>
        </w:tc>
        <w:tc>
          <w:tcPr>
            <w:tcW w:type="dxa" w:w="2592"/>
            <w:shd w:val="clear" w:color="auto" w:fill="EBF3FB"/>
          </w:tcPr>
          <w:p>
            <w:pPr>
              <w:spacing w:before="60" w:after="60"/>
            </w:pPr>
            <w:r/>
            <w:r>
              <w:rPr>
                <w:rFonts w:ascii="Arial" w:hAnsi="Arial"/>
                <w:b w:val="0"/>
                <w:color w:val="000000"/>
                <w:sz w:val="20"/>
              </w:rPr>
              <w:t>Scope, Chained, Format</w:t>
            </w:r>
          </w:p>
        </w:tc>
        <w:tc>
          <w:tcPr>
            <w:tcW w:type="dxa" w:w="3888"/>
            <w:shd w:val="clear" w:color="auto" w:fill="EBF3FB"/>
          </w:tcPr>
          <w:p>
            <w:pPr>
              <w:spacing w:before="60" w:after="60"/>
            </w:pPr>
            <w:r/>
            <w:r>
              <w:rPr>
                <w:rFonts w:ascii="Arial" w:hAnsi="Arial"/>
                <w:b w:val="0"/>
                <w:color w:val="000000"/>
                <w:sz w:val="20"/>
              </w:rPr>
              <w:t>Passed T5 cleanly across all rule sets in Round 2</w:t>
            </w:r>
          </w:p>
        </w:tc>
      </w:tr>
      <w:tr>
        <w:tc>
          <w:tcPr>
            <w:tcW w:type="dxa" w:w="2592"/>
            <w:shd w:val="clear" w:color="auto" w:fill="FFFFFF"/>
          </w:tcPr>
          <w:p>
            <w:pPr>
              <w:spacing w:before="60" w:after="60"/>
            </w:pPr>
            <w:r/>
            <w:r>
              <w:rPr>
                <w:rFonts w:ascii="Arial" w:hAnsi="Arial"/>
                <w:b w:val="0"/>
                <w:color w:val="000000"/>
                <w:sz w:val="20"/>
              </w:rPr>
              <w:t>claude-sonnet-4-6</w:t>
            </w:r>
          </w:p>
        </w:tc>
        <w:tc>
          <w:tcPr>
            <w:tcW w:type="dxa" w:w="1440"/>
            <w:shd w:val="clear" w:color="auto" w:fill="FFFFFF"/>
          </w:tcPr>
          <w:p>
            <w:pPr>
              <w:spacing w:before="60" w:after="60"/>
            </w:pPr>
            <w:r/>
            <w:r>
              <w:rPr>
                <w:rFonts w:ascii="Arial" w:hAnsi="Arial"/>
                <w:b w:val="0"/>
                <w:color w:val="000000"/>
                <w:sz w:val="20"/>
              </w:rPr>
              <w:t>T3</w:t>
            </w:r>
          </w:p>
        </w:tc>
        <w:tc>
          <w:tcPr>
            <w:tcW w:type="dxa" w:w="2592"/>
            <w:shd w:val="clear" w:color="auto" w:fill="FFFFFF"/>
          </w:tcPr>
          <w:p>
            <w:pPr>
              <w:spacing w:before="60" w:after="60"/>
            </w:pPr>
            <w:r/>
            <w:r>
              <w:rPr>
                <w:rFonts w:ascii="Arial" w:hAnsi="Arial"/>
                <w:b w:val="0"/>
                <w:color w:val="000000"/>
                <w:sz w:val="20"/>
              </w:rPr>
              <w:t>Chained, Format</w:t>
            </w:r>
          </w:p>
        </w:tc>
        <w:tc>
          <w:tcPr>
            <w:tcW w:type="dxa" w:w="3888"/>
            <w:shd w:val="clear" w:color="auto" w:fill="FFFFFF"/>
          </w:tcPr>
          <w:p>
            <w:pPr>
              <w:spacing w:before="60" w:after="60"/>
            </w:pPr>
            <w:r/>
            <w:r>
              <w:rPr>
                <w:rFonts w:ascii="Arial" w:hAnsi="Arial"/>
                <w:b w:val="0"/>
                <w:color w:val="000000"/>
                <w:sz w:val="20"/>
              </w:rPr>
              <w:t>Scope excluded — fails from T1 on small data, conflates variables</w:t>
            </w:r>
          </w:p>
        </w:tc>
      </w:tr>
      <w:tr>
        <w:tc>
          <w:tcPr>
            <w:tcW w:type="dxa" w:w="2592"/>
            <w:shd w:val="clear" w:color="auto" w:fill="EBF3FB"/>
          </w:tcPr>
          <w:p>
            <w:pPr>
              <w:spacing w:before="60" w:after="60"/>
            </w:pPr>
            <w:r/>
            <w:r>
              <w:rPr>
                <w:rFonts w:ascii="Arial" w:hAnsi="Arial"/>
                <w:b w:val="0"/>
                <w:color w:val="000000"/>
                <w:sz w:val="20"/>
              </w:rPr>
              <w:t>claude-haiku-4-5</w:t>
            </w:r>
          </w:p>
        </w:tc>
        <w:tc>
          <w:tcPr>
            <w:tcW w:type="dxa" w:w="1440"/>
            <w:shd w:val="clear" w:color="auto" w:fill="EBF3FB"/>
          </w:tcPr>
          <w:p>
            <w:pPr>
              <w:spacing w:before="60" w:after="60"/>
            </w:pPr>
            <w:r/>
            <w:r>
              <w:rPr>
                <w:rFonts w:ascii="Arial" w:hAnsi="Arial"/>
                <w:b w:val="0"/>
                <w:color w:val="000000"/>
                <w:sz w:val="20"/>
              </w:rPr>
              <w:t>T2</w:t>
            </w:r>
          </w:p>
        </w:tc>
        <w:tc>
          <w:tcPr>
            <w:tcW w:type="dxa" w:w="2592"/>
            <w:shd w:val="clear" w:color="auto" w:fill="EBF3FB"/>
          </w:tcPr>
          <w:p>
            <w:pPr>
              <w:spacing w:before="60" w:after="60"/>
            </w:pPr>
            <w:r/>
            <w:r>
              <w:rPr>
                <w:rFonts w:ascii="Arial" w:hAnsi="Arial"/>
                <w:b w:val="0"/>
                <w:color w:val="000000"/>
                <w:sz w:val="20"/>
              </w:rPr>
              <w:t>Format only</w:t>
            </w:r>
          </w:p>
        </w:tc>
        <w:tc>
          <w:tcPr>
            <w:tcW w:type="dxa" w:w="3888"/>
            <w:shd w:val="clear" w:color="auto" w:fill="EBF3FB"/>
          </w:tcPr>
          <w:p>
            <w:pPr>
              <w:spacing w:before="60" w:after="60"/>
            </w:pPr>
            <w:r/>
            <w:r>
              <w:rPr>
                <w:rFonts w:ascii="Arial" w:hAnsi="Arial"/>
                <w:b w:val="0"/>
                <w:color w:val="000000"/>
                <w:sz w:val="20"/>
              </w:rPr>
              <w:t>Only tier with clean passes in Round 2; Format is the lightest rule set</w:t>
            </w:r>
          </w:p>
        </w:tc>
      </w:tr>
    </w:tbl>
    <w:p/>
    <w:p>
      <w:pPr>
        <w:spacing w:before="200" w:after="80"/>
      </w:pPr>
      <w:r>
        <w:rPr>
          <w:rFonts w:ascii="Arial" w:hAnsi="Arial"/>
          <w:b/>
          <w:color w:val="2E5FA3"/>
          <w:sz w:val="24"/>
        </w:rPr>
        <w:t>Payload Sizes</w:t>
      </w:r>
    </w:p>
    <w:p>
      <w:pPr>
        <w:spacing w:after="120" w:before="0"/>
      </w:pPr>
      <w:r>
        <w:rPr>
          <w:rFonts w:ascii="Arial" w:hAnsi="Arial"/>
          <w:color w:val="000000"/>
          <w:sz w:val="22"/>
        </w:rPr>
        <w:t>Data was drawn from the Round 3 workbook across four sheets:</w:t>
      </w:r>
    </w:p>
    <w:p>
      <w:pPr>
        <w:pStyle w:val="ListBullet"/>
        <w:spacing w:after="60"/>
      </w:pPr>
      <w:r>
        <w:rPr>
          <w:rFonts w:ascii="Arial" w:hAnsi="Arial"/>
          <w:b/>
          <w:color w:val="000000"/>
          <w:sz w:val="22"/>
        </w:rPr>
        <w:t xml:space="preserve">Medium: </w:t>
      </w:r>
      <w:r>
        <w:rPr>
          <w:rFonts w:ascii="Arial" w:hAnsi="Arial"/>
          <w:color w:val="000000"/>
          <w:sz w:val="22"/>
        </w:rPr>
        <w:t>Medium — 5 tickers x 8 quarters = 40 rows</w:t>
      </w:r>
    </w:p>
    <w:p>
      <w:pPr>
        <w:pStyle w:val="ListBullet"/>
        <w:spacing w:after="60"/>
      </w:pPr>
      <w:r>
        <w:rPr>
          <w:rFonts w:ascii="Arial" w:hAnsi="Arial"/>
          <w:b/>
          <w:color w:val="000000"/>
          <w:sz w:val="22"/>
        </w:rPr>
        <w:t xml:space="preserve">Large: </w:t>
      </w:r>
      <w:r>
        <w:rPr>
          <w:rFonts w:ascii="Arial" w:hAnsi="Arial"/>
          <w:color w:val="000000"/>
          <w:sz w:val="22"/>
        </w:rPr>
        <w:t>Large — 10 tickers x 8 quarters = 80 rows (added MSFT, AMZN, META, GOOGL, NFLX)</w:t>
      </w:r>
    </w:p>
    <w:p>
      <w:pPr>
        <w:pStyle w:val="ListBullet"/>
        <w:spacing w:after="60"/>
      </w:pPr>
      <w:r>
        <w:rPr>
          <w:rFonts w:ascii="Arial" w:hAnsi="Arial"/>
          <w:b/>
          <w:color w:val="000000"/>
          <w:sz w:val="22"/>
        </w:rPr>
        <w:t xml:space="preserve">XL: </w:t>
      </w:r>
      <w:r>
        <w:rPr>
          <w:rFonts w:ascii="Arial" w:hAnsi="Arial"/>
          <w:color w:val="000000"/>
          <w:sz w:val="22"/>
        </w:rPr>
        <w:t>XL — 10 tickers x 12 quarters = 120 rows (added Q3 2023 through Q2 2024 for all tickers)</w:t>
      </w:r>
    </w:p>
    <w:p>
      <w:pPr>
        <w:spacing w:after="120" w:before="0"/>
      </w:pPr>
      <w:r>
        <w:rPr>
          <w:rFonts w:ascii="Arial" w:hAnsi="Arial"/>
          <w:color w:val="000000"/>
          <w:sz w:val="22"/>
        </w:rPr>
        <w:t>Total: 69 runs across 138 API calls (model + judge).</w:t>
      </w:r>
    </w:p>
    <w:p>
      <w:pPr>
        <w:spacing w:before="360" w:after="80"/>
      </w:pPr>
      <w:r>
        <w:rPr>
          <w:rFonts w:ascii="Arial" w:hAnsi="Arial"/>
          <w:b/>
          <w:color w:val="1F3864"/>
          <w:sz w:val="30"/>
        </w:rPr>
        <w:t>2. Results Summary</w:t>
      </w:r>
    </w:p>
    <w:tbl>
      <w:tblPr>
        <w:tblStyle w:val="TableGrid"/>
        <w:tblW w:type="auto" w:w="0"/>
        <w:tblLayout w:type="fixed"/>
        <w:tblLook w:firstColumn="1" w:firstRow="1" w:lastColumn="0" w:lastRow="0" w:noHBand="0" w:noVBand="1" w:val="04A0"/>
      </w:tblPr>
      <w:tblGrid>
        <w:gridCol w:w="2304"/>
        <w:gridCol w:w="1584"/>
        <w:gridCol w:w="1584"/>
        <w:gridCol w:w="1440"/>
        <w:gridCol w:w="1440"/>
        <w:gridCol w:w="216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2304"/>
            <w:shd w:val="clear" w:color="auto" w:fill="1F3864"/>
          </w:tcPr>
          <w:p>
            <w:pPr>
              <w:spacing w:before="60" w:after="60"/>
            </w:pPr>
            <w:r/>
            <w:r>
              <w:rPr>
                <w:rFonts w:ascii="Arial" w:hAnsi="Arial"/>
                <w:b/>
                <w:color w:val="FFFFFF"/>
                <w:sz w:val="20"/>
              </w:rPr>
              <w:t>Model</w:t>
            </w:r>
          </w:p>
        </w:tc>
        <w:tc>
          <w:tcPr>
            <w:tcW w:type="dxa" w:w="1584"/>
            <w:shd w:val="clear" w:color="auto" w:fill="1F3864"/>
          </w:tcPr>
          <w:p>
            <w:pPr>
              <w:spacing w:before="60" w:after="60"/>
            </w:pPr>
            <w:r/>
            <w:r>
              <w:rPr>
                <w:rFonts w:ascii="Arial" w:hAnsi="Arial"/>
                <w:b/>
                <w:color w:val="FFFFFF"/>
                <w:sz w:val="20"/>
              </w:rPr>
              <w:t>Rule Set</w:t>
            </w:r>
          </w:p>
        </w:tc>
        <w:tc>
          <w:tcPr>
            <w:tcW w:type="dxa" w:w="1584"/>
            <w:shd w:val="clear" w:color="auto" w:fill="1F3864"/>
          </w:tcPr>
          <w:p>
            <w:pPr>
              <w:spacing w:before="60" w:after="60"/>
            </w:pPr>
            <w:r/>
            <w:r>
              <w:rPr>
                <w:rFonts w:ascii="Arial" w:hAnsi="Arial"/>
                <w:b/>
                <w:color w:val="FFFFFF"/>
                <w:sz w:val="20"/>
              </w:rPr>
              <w:t>Tier</w:t>
            </w:r>
          </w:p>
        </w:tc>
        <w:tc>
          <w:tcPr>
            <w:tcW w:type="dxa" w:w="1440"/>
            <w:shd w:val="clear" w:color="auto" w:fill="1F3864"/>
          </w:tcPr>
          <w:p>
            <w:pPr>
              <w:spacing w:before="60" w:after="60"/>
            </w:pPr>
            <w:r/>
            <w:r>
              <w:rPr>
                <w:rFonts w:ascii="Arial" w:hAnsi="Arial"/>
                <w:b/>
                <w:color w:val="FFFFFF"/>
                <w:sz w:val="20"/>
              </w:rPr>
              <w:t>Medium</w:t>
            </w:r>
          </w:p>
        </w:tc>
        <w:tc>
          <w:tcPr>
            <w:tcW w:type="dxa" w:w="1440"/>
            <w:shd w:val="clear" w:color="auto" w:fill="1F3864"/>
          </w:tcPr>
          <w:p>
            <w:pPr>
              <w:spacing w:before="60" w:after="60"/>
            </w:pPr>
            <w:r/>
            <w:r>
              <w:rPr>
                <w:rFonts w:ascii="Arial" w:hAnsi="Arial"/>
                <w:b/>
                <w:color w:val="FFFFFF"/>
                <w:sz w:val="20"/>
              </w:rPr>
              <w:t>Large</w:t>
            </w:r>
          </w:p>
        </w:tc>
        <w:tc>
          <w:tcPr>
            <w:tcW w:type="dxa" w:w="2160"/>
            <w:shd w:val="clear" w:color="auto" w:fill="1F3864"/>
          </w:tcPr>
          <w:p>
            <w:pPr>
              <w:spacing w:before="60" w:after="60"/>
            </w:pPr>
            <w:r/>
            <w:r>
              <w:rPr>
                <w:rFonts w:ascii="Arial" w:hAnsi="Arial"/>
                <w:b/>
                <w:color w:val="FFFFFF"/>
                <w:sz w:val="20"/>
              </w:rPr>
              <w:t>XL</w:t>
            </w:r>
          </w:p>
        </w:tc>
      </w:tr>
      <w:tr>
        <w:tc>
          <w:tcPr>
            <w:tcW w:type="dxa" w:w="2304"/>
            <w:shd w:val="clear" w:color="auto" w:fill="EBF3FB"/>
          </w:tcPr>
          <w:p>
            <w:pPr>
              <w:spacing w:before="60" w:after="60"/>
            </w:pPr>
            <w:r/>
            <w:r>
              <w:rPr>
                <w:rFonts w:ascii="Arial" w:hAnsi="Arial"/>
                <w:b w:val="0"/>
                <w:color w:val="000000"/>
                <w:sz w:val="20"/>
              </w:rPr>
              <w:t>claude-opus-4-8</w:t>
            </w:r>
          </w:p>
        </w:tc>
        <w:tc>
          <w:tcPr>
            <w:tcW w:type="dxa" w:w="1584"/>
            <w:shd w:val="clear" w:color="auto" w:fill="EBF3FB"/>
          </w:tcPr>
          <w:p>
            <w:pPr>
              <w:spacing w:before="60" w:after="60"/>
            </w:pPr>
            <w:r/>
            <w:r>
              <w:rPr>
                <w:rFonts w:ascii="Arial" w:hAnsi="Arial"/>
                <w:b w:val="0"/>
                <w:color w:val="000000"/>
                <w:sz w:val="20"/>
              </w:rPr>
              <w:t>Scope</w:t>
            </w:r>
          </w:p>
        </w:tc>
        <w:tc>
          <w:tcPr>
            <w:tcW w:type="dxa" w:w="1584"/>
            <w:shd w:val="clear" w:color="auto" w:fill="EBF3FB"/>
          </w:tcPr>
          <w:p>
            <w:pPr>
              <w:spacing w:before="60" w:after="60"/>
            </w:pPr>
            <w:r/>
            <w:r>
              <w:rPr>
                <w:rFonts w:ascii="Arial" w:hAnsi="Arial"/>
                <w:b w:val="0"/>
                <w:color w:val="000000"/>
                <w:sz w:val="20"/>
              </w:rPr>
              <w:t>T1-T3</w:t>
            </w:r>
          </w:p>
        </w:tc>
        <w:tc>
          <w:tcPr>
            <w:tcW w:type="dxa" w:w="1440"/>
            <w:shd w:val="clear" w:color="auto" w:fill="E2EFDA"/>
          </w:tcPr>
          <w:p>
            <w:pPr>
              <w:spacing w:before="60" w:after="60"/>
            </w:pPr>
            <w:r/>
            <w:r>
              <w:rPr>
                <w:rFonts w:ascii="Arial" w:hAnsi="Arial"/>
                <w:b/>
                <w:color w:val="378610"/>
                <w:sz w:val="20"/>
              </w:rPr>
              <w:t>PASS</w:t>
            </w:r>
          </w:p>
        </w:tc>
        <w:tc>
          <w:tcPr>
            <w:tcW w:type="dxa" w:w="1440"/>
            <w:shd w:val="clear" w:color="auto" w:fill="E2EFDA"/>
          </w:tcPr>
          <w:p>
            <w:pPr>
              <w:spacing w:before="60" w:after="60"/>
            </w:pPr>
            <w:r/>
            <w:r>
              <w:rPr>
                <w:rFonts w:ascii="Arial" w:hAnsi="Arial"/>
                <w:b/>
                <w:color w:val="378610"/>
                <w:sz w:val="20"/>
              </w:rPr>
              <w:t>PASS</w:t>
            </w:r>
          </w:p>
        </w:tc>
        <w:tc>
          <w:tcPr>
            <w:tcW w:type="dxa" w:w="2160"/>
            <w:shd w:val="clear" w:color="auto" w:fill="E2EFDA"/>
          </w:tcPr>
          <w:p>
            <w:pPr>
              <w:spacing w:before="60" w:after="60"/>
            </w:pPr>
            <w:r/>
            <w:r>
              <w:rPr>
                <w:rFonts w:ascii="Arial" w:hAnsi="Arial"/>
                <w:b/>
                <w:color w:val="378610"/>
                <w:sz w:val="20"/>
              </w:rPr>
              <w:t>PASS</w:t>
            </w:r>
          </w:p>
        </w:tc>
      </w:tr>
      <w:tr>
        <w:tc>
          <w:tcPr>
            <w:tcW w:type="dxa" w:w="2304"/>
            <w:shd w:val="clear" w:color="auto" w:fill="FFFFFF"/>
          </w:tcPr>
          <w:p>
            <w:pPr>
              <w:spacing w:before="60" w:after="60"/>
            </w:pPr>
            <w:r/>
            <w:r>
              <w:rPr>
                <w:rFonts w:ascii="Arial" w:hAnsi="Arial"/>
                <w:b w:val="0"/>
                <w:color w:val="000000"/>
                <w:sz w:val="20"/>
              </w:rPr>
              <w:t>claude-opus-4-8</w:t>
            </w:r>
          </w:p>
        </w:tc>
        <w:tc>
          <w:tcPr>
            <w:tcW w:type="dxa" w:w="1584"/>
            <w:shd w:val="clear" w:color="auto" w:fill="FFFFFF"/>
          </w:tcPr>
          <w:p>
            <w:pPr>
              <w:spacing w:before="60" w:after="60"/>
            </w:pPr>
            <w:r/>
            <w:r>
              <w:rPr>
                <w:rFonts w:ascii="Arial" w:hAnsi="Arial"/>
                <w:b w:val="0"/>
                <w:color w:val="000000"/>
                <w:sz w:val="20"/>
              </w:rPr>
              <w:t>Scope</w:t>
            </w:r>
          </w:p>
        </w:tc>
        <w:tc>
          <w:tcPr>
            <w:tcW w:type="dxa" w:w="1584"/>
            <w:shd w:val="clear" w:color="auto" w:fill="FFFFFF"/>
          </w:tcPr>
          <w:p>
            <w:pPr>
              <w:spacing w:before="60" w:after="60"/>
            </w:pPr>
            <w:r/>
            <w:r>
              <w:rPr>
                <w:rFonts w:ascii="Arial" w:hAnsi="Arial"/>
                <w:b w:val="0"/>
                <w:color w:val="000000"/>
                <w:sz w:val="20"/>
              </w:rPr>
              <w:t>T4</w:t>
            </w:r>
          </w:p>
        </w:tc>
        <w:tc>
          <w:tcPr>
            <w:tcW w:type="dxa" w:w="1440"/>
            <w:shd w:val="clear" w:color="auto" w:fill="FCE4D6"/>
          </w:tcPr>
          <w:p>
            <w:pPr>
              <w:spacing w:before="60" w:after="60"/>
            </w:pPr>
            <w:r/>
            <w:r>
              <w:rPr>
                <w:rFonts w:ascii="Arial" w:hAnsi="Arial"/>
                <w:b/>
                <w:color w:val="C00000"/>
                <w:sz w:val="20"/>
              </w:rPr>
              <w:t>FAIL</w:t>
            </w:r>
          </w:p>
        </w:tc>
        <w:tc>
          <w:tcPr>
            <w:tcW w:type="dxa" w:w="1440"/>
            <w:shd w:val="clear" w:color="auto" w:fill="FCE4D6"/>
          </w:tcPr>
          <w:p>
            <w:pPr>
              <w:spacing w:before="60" w:after="60"/>
            </w:pPr>
            <w:r/>
            <w:r>
              <w:rPr>
                <w:rFonts w:ascii="Arial" w:hAnsi="Arial"/>
                <w:b/>
                <w:color w:val="C00000"/>
                <w:sz w:val="20"/>
              </w:rPr>
              <w:t>FAIL</w:t>
            </w:r>
          </w:p>
        </w:tc>
        <w:tc>
          <w:tcPr>
            <w:tcW w:type="dxa" w:w="2160"/>
            <w:shd w:val="clear" w:color="auto" w:fill="FCE4D6"/>
          </w:tcPr>
          <w:p>
            <w:pPr>
              <w:spacing w:before="60" w:after="60"/>
            </w:pPr>
            <w:r/>
            <w:r>
              <w:rPr>
                <w:rFonts w:ascii="Arial" w:hAnsi="Arial"/>
                <w:b/>
                <w:color w:val="C00000"/>
                <w:sz w:val="20"/>
              </w:rPr>
              <w:t>FAIL</w:t>
            </w:r>
          </w:p>
        </w:tc>
      </w:tr>
      <w:tr>
        <w:tc>
          <w:tcPr>
            <w:tcW w:type="dxa" w:w="2304"/>
            <w:shd w:val="clear" w:color="auto" w:fill="EBF3FB"/>
          </w:tcPr>
          <w:p>
            <w:pPr>
              <w:spacing w:before="60" w:after="60"/>
            </w:pPr>
            <w:r/>
            <w:r>
              <w:rPr>
                <w:rFonts w:ascii="Arial" w:hAnsi="Arial"/>
                <w:b w:val="0"/>
                <w:color w:val="000000"/>
                <w:sz w:val="20"/>
              </w:rPr>
              <w:t>claude-opus-4-8</w:t>
            </w:r>
          </w:p>
        </w:tc>
        <w:tc>
          <w:tcPr>
            <w:tcW w:type="dxa" w:w="1584"/>
            <w:shd w:val="clear" w:color="auto" w:fill="EBF3FB"/>
          </w:tcPr>
          <w:p>
            <w:pPr>
              <w:spacing w:before="60" w:after="60"/>
            </w:pPr>
            <w:r/>
            <w:r>
              <w:rPr>
                <w:rFonts w:ascii="Arial" w:hAnsi="Arial"/>
                <w:b w:val="0"/>
                <w:color w:val="000000"/>
                <w:sz w:val="20"/>
              </w:rPr>
              <w:t>Scope</w:t>
            </w:r>
          </w:p>
        </w:tc>
        <w:tc>
          <w:tcPr>
            <w:tcW w:type="dxa" w:w="1584"/>
            <w:shd w:val="clear" w:color="auto" w:fill="EBF3FB"/>
          </w:tcPr>
          <w:p>
            <w:pPr>
              <w:spacing w:before="60" w:after="60"/>
            </w:pPr>
            <w:r/>
            <w:r>
              <w:rPr>
                <w:rFonts w:ascii="Arial" w:hAnsi="Arial"/>
                <w:b w:val="0"/>
                <w:color w:val="000000"/>
                <w:sz w:val="20"/>
              </w:rPr>
              <w:t>T5</w:t>
            </w:r>
          </w:p>
        </w:tc>
        <w:tc>
          <w:tcPr>
            <w:tcW w:type="dxa" w:w="1440"/>
            <w:shd w:val="clear" w:color="auto" w:fill="FCE4D6"/>
          </w:tcPr>
          <w:p>
            <w:pPr>
              <w:spacing w:before="60" w:after="60"/>
            </w:pPr>
            <w:r/>
            <w:r>
              <w:rPr>
                <w:rFonts w:ascii="Arial" w:hAnsi="Arial"/>
                <w:b/>
                <w:color w:val="C00000"/>
                <w:sz w:val="20"/>
              </w:rPr>
              <w:t>FAIL</w:t>
            </w:r>
          </w:p>
        </w:tc>
        <w:tc>
          <w:tcPr>
            <w:tcW w:type="dxa" w:w="1440"/>
            <w:shd w:val="clear" w:color="auto" w:fill="E2EFDA"/>
          </w:tcPr>
          <w:p>
            <w:pPr>
              <w:spacing w:before="60" w:after="60"/>
            </w:pPr>
            <w:r/>
            <w:r>
              <w:rPr>
                <w:rFonts w:ascii="Arial" w:hAnsi="Arial"/>
                <w:b/>
                <w:color w:val="378610"/>
                <w:sz w:val="20"/>
              </w:rPr>
              <w:t>PASS</w:t>
            </w:r>
          </w:p>
        </w:tc>
        <w:tc>
          <w:tcPr>
            <w:tcW w:type="dxa" w:w="2160"/>
            <w:shd w:val="clear" w:color="auto" w:fill="E2EFDA"/>
          </w:tcPr>
          <w:p>
            <w:pPr>
              <w:spacing w:before="60" w:after="60"/>
            </w:pPr>
            <w:r/>
            <w:r>
              <w:rPr>
                <w:rFonts w:ascii="Arial" w:hAnsi="Arial"/>
                <w:b/>
                <w:color w:val="378610"/>
                <w:sz w:val="20"/>
              </w:rPr>
              <w:t>PASS</w:t>
            </w:r>
          </w:p>
        </w:tc>
      </w:tr>
      <w:tr>
        <w:tc>
          <w:tcPr>
            <w:tcW w:type="dxa" w:w="2304"/>
            <w:shd w:val="clear" w:color="auto" w:fill="FFFFFF"/>
          </w:tcPr>
          <w:p>
            <w:pPr>
              <w:spacing w:before="60" w:after="60"/>
            </w:pPr>
            <w:r/>
            <w:r>
              <w:rPr>
                <w:rFonts w:ascii="Arial" w:hAnsi="Arial"/>
                <w:b w:val="0"/>
                <w:color w:val="000000"/>
                <w:sz w:val="20"/>
              </w:rPr>
              <w:t>claude-opus-4-8</w:t>
            </w:r>
          </w:p>
        </w:tc>
        <w:tc>
          <w:tcPr>
            <w:tcW w:type="dxa" w:w="1584"/>
            <w:shd w:val="clear" w:color="auto" w:fill="FFFFFF"/>
          </w:tcPr>
          <w:p>
            <w:pPr>
              <w:spacing w:before="60" w:after="60"/>
            </w:pPr>
            <w:r/>
            <w:r>
              <w:rPr>
                <w:rFonts w:ascii="Arial" w:hAnsi="Arial"/>
                <w:b w:val="0"/>
                <w:color w:val="000000"/>
                <w:sz w:val="20"/>
              </w:rPr>
              <w:t>Chained</w:t>
            </w:r>
          </w:p>
        </w:tc>
        <w:tc>
          <w:tcPr>
            <w:tcW w:type="dxa" w:w="1584"/>
            <w:shd w:val="clear" w:color="auto" w:fill="FFFFFF"/>
          </w:tcPr>
          <w:p>
            <w:pPr>
              <w:spacing w:before="60" w:after="60"/>
            </w:pPr>
            <w:r/>
            <w:r>
              <w:rPr>
                <w:rFonts w:ascii="Arial" w:hAnsi="Arial"/>
                <w:b w:val="0"/>
                <w:color w:val="000000"/>
                <w:sz w:val="20"/>
              </w:rPr>
              <w:t>T1-T5</w:t>
            </w:r>
          </w:p>
        </w:tc>
        <w:tc>
          <w:tcPr>
            <w:tcW w:type="dxa" w:w="1440"/>
            <w:shd w:val="clear" w:color="auto" w:fill="E2EFDA"/>
          </w:tcPr>
          <w:p>
            <w:pPr>
              <w:spacing w:before="60" w:after="60"/>
            </w:pPr>
            <w:r/>
            <w:r>
              <w:rPr>
                <w:rFonts w:ascii="Arial" w:hAnsi="Arial"/>
                <w:b/>
                <w:color w:val="378610"/>
                <w:sz w:val="20"/>
              </w:rPr>
              <w:t>PASS</w:t>
            </w:r>
          </w:p>
        </w:tc>
        <w:tc>
          <w:tcPr>
            <w:tcW w:type="dxa" w:w="1440"/>
            <w:shd w:val="clear" w:color="auto" w:fill="E2EFDA"/>
          </w:tcPr>
          <w:p>
            <w:pPr>
              <w:spacing w:before="60" w:after="60"/>
            </w:pPr>
            <w:r/>
            <w:r>
              <w:rPr>
                <w:rFonts w:ascii="Arial" w:hAnsi="Arial"/>
                <w:b/>
                <w:color w:val="378610"/>
                <w:sz w:val="20"/>
              </w:rPr>
              <w:t>PASS</w:t>
            </w:r>
          </w:p>
        </w:tc>
        <w:tc>
          <w:tcPr>
            <w:tcW w:type="dxa" w:w="2160"/>
            <w:shd w:val="clear" w:color="auto" w:fill="E2EFDA"/>
          </w:tcPr>
          <w:p>
            <w:pPr>
              <w:spacing w:before="60" w:after="60"/>
            </w:pPr>
            <w:r/>
            <w:r>
              <w:rPr>
                <w:rFonts w:ascii="Arial" w:hAnsi="Arial"/>
                <w:b/>
                <w:color w:val="378610"/>
                <w:sz w:val="20"/>
              </w:rPr>
              <w:t>PASS</w:t>
            </w:r>
          </w:p>
        </w:tc>
      </w:tr>
      <w:tr>
        <w:tc>
          <w:tcPr>
            <w:tcW w:type="dxa" w:w="2304"/>
            <w:shd w:val="clear" w:color="auto" w:fill="EBF3FB"/>
          </w:tcPr>
          <w:p>
            <w:pPr>
              <w:spacing w:before="60" w:after="60"/>
            </w:pPr>
            <w:r/>
            <w:r>
              <w:rPr>
                <w:rFonts w:ascii="Arial" w:hAnsi="Arial"/>
                <w:b w:val="0"/>
                <w:color w:val="000000"/>
                <w:sz w:val="20"/>
              </w:rPr>
              <w:t>claude-opus-4-8</w:t>
            </w:r>
          </w:p>
        </w:tc>
        <w:tc>
          <w:tcPr>
            <w:tcW w:type="dxa" w:w="1584"/>
            <w:shd w:val="clear" w:color="auto" w:fill="EBF3FB"/>
          </w:tcPr>
          <w:p>
            <w:pPr>
              <w:spacing w:before="60" w:after="60"/>
            </w:pPr>
            <w:r/>
            <w:r>
              <w:rPr>
                <w:rFonts w:ascii="Arial" w:hAnsi="Arial"/>
                <w:b w:val="0"/>
                <w:color w:val="000000"/>
                <w:sz w:val="20"/>
              </w:rPr>
              <w:t>Format</w:t>
            </w:r>
          </w:p>
        </w:tc>
        <w:tc>
          <w:tcPr>
            <w:tcW w:type="dxa" w:w="1584"/>
            <w:shd w:val="clear" w:color="auto" w:fill="EBF3FB"/>
          </w:tcPr>
          <w:p>
            <w:pPr>
              <w:spacing w:before="60" w:after="60"/>
            </w:pPr>
            <w:r/>
            <w:r>
              <w:rPr>
                <w:rFonts w:ascii="Arial" w:hAnsi="Arial"/>
                <w:b w:val="0"/>
                <w:color w:val="000000"/>
                <w:sz w:val="20"/>
              </w:rPr>
              <w:t>T1-T5</w:t>
            </w:r>
          </w:p>
        </w:tc>
        <w:tc>
          <w:tcPr>
            <w:tcW w:type="dxa" w:w="1440"/>
            <w:shd w:val="clear" w:color="auto" w:fill="E2EFDA"/>
          </w:tcPr>
          <w:p>
            <w:pPr>
              <w:spacing w:before="60" w:after="60"/>
            </w:pPr>
            <w:r/>
            <w:r>
              <w:rPr>
                <w:rFonts w:ascii="Arial" w:hAnsi="Arial"/>
                <w:b/>
                <w:color w:val="378610"/>
                <w:sz w:val="20"/>
              </w:rPr>
              <w:t>PASS</w:t>
            </w:r>
          </w:p>
        </w:tc>
        <w:tc>
          <w:tcPr>
            <w:tcW w:type="dxa" w:w="1440"/>
            <w:shd w:val="clear" w:color="auto" w:fill="E2EFDA"/>
          </w:tcPr>
          <w:p>
            <w:pPr>
              <w:spacing w:before="60" w:after="60"/>
            </w:pPr>
            <w:r/>
            <w:r>
              <w:rPr>
                <w:rFonts w:ascii="Arial" w:hAnsi="Arial"/>
                <w:b/>
                <w:color w:val="378610"/>
                <w:sz w:val="20"/>
              </w:rPr>
              <w:t>PASS</w:t>
            </w:r>
          </w:p>
        </w:tc>
        <w:tc>
          <w:tcPr>
            <w:tcW w:type="dxa" w:w="2160"/>
            <w:shd w:val="clear" w:color="auto" w:fill="E2EFDA"/>
          </w:tcPr>
          <w:p>
            <w:pPr>
              <w:spacing w:before="60" w:after="60"/>
            </w:pPr>
            <w:r/>
            <w:r>
              <w:rPr>
                <w:rFonts w:ascii="Arial" w:hAnsi="Arial"/>
                <w:b/>
                <w:color w:val="378610"/>
                <w:sz w:val="20"/>
              </w:rPr>
              <w:t>PASS</w:t>
            </w:r>
          </w:p>
        </w:tc>
      </w:tr>
      <w:tr>
        <w:tc>
          <w:tcPr>
            <w:tcW w:type="dxa" w:w="2304"/>
            <w:shd w:val="clear" w:color="auto" w:fill="FFFFFF"/>
          </w:tcPr>
          <w:p>
            <w:pPr>
              <w:spacing w:before="60" w:after="60"/>
            </w:pPr>
            <w:r/>
            <w:r>
              <w:rPr>
                <w:rFonts w:ascii="Arial" w:hAnsi="Arial"/>
                <w:b w:val="0"/>
                <w:color w:val="000000"/>
                <w:sz w:val="20"/>
              </w:rPr>
              <w:t>claude-sonnet-4-6</w:t>
            </w:r>
          </w:p>
        </w:tc>
        <w:tc>
          <w:tcPr>
            <w:tcW w:type="dxa" w:w="1584"/>
            <w:shd w:val="clear" w:color="auto" w:fill="FFFFFF"/>
          </w:tcPr>
          <w:p>
            <w:pPr>
              <w:spacing w:before="60" w:after="60"/>
            </w:pPr>
            <w:r/>
            <w:r>
              <w:rPr>
                <w:rFonts w:ascii="Arial" w:hAnsi="Arial"/>
                <w:b w:val="0"/>
                <w:color w:val="000000"/>
                <w:sz w:val="20"/>
              </w:rPr>
              <w:t>Chained</w:t>
            </w:r>
          </w:p>
        </w:tc>
        <w:tc>
          <w:tcPr>
            <w:tcW w:type="dxa" w:w="1584"/>
            <w:shd w:val="clear" w:color="auto" w:fill="FFFFFF"/>
          </w:tcPr>
          <w:p>
            <w:pPr>
              <w:spacing w:before="60" w:after="60"/>
            </w:pPr>
            <w:r/>
            <w:r>
              <w:rPr>
                <w:rFonts w:ascii="Arial" w:hAnsi="Arial"/>
                <w:b w:val="0"/>
                <w:color w:val="000000"/>
                <w:sz w:val="20"/>
              </w:rPr>
              <w:t>T1-T2</w:t>
            </w:r>
          </w:p>
        </w:tc>
        <w:tc>
          <w:tcPr>
            <w:tcW w:type="dxa" w:w="1440"/>
            <w:shd w:val="clear" w:color="auto" w:fill="E2EFDA"/>
          </w:tcPr>
          <w:p>
            <w:pPr>
              <w:spacing w:before="60" w:after="60"/>
            </w:pPr>
            <w:r/>
            <w:r>
              <w:rPr>
                <w:rFonts w:ascii="Arial" w:hAnsi="Arial"/>
                <w:b/>
                <w:color w:val="378610"/>
                <w:sz w:val="20"/>
              </w:rPr>
              <w:t>PASS</w:t>
            </w:r>
          </w:p>
        </w:tc>
        <w:tc>
          <w:tcPr>
            <w:tcW w:type="dxa" w:w="1440"/>
            <w:shd w:val="clear" w:color="auto" w:fill="E2EFDA"/>
          </w:tcPr>
          <w:p>
            <w:pPr>
              <w:spacing w:before="60" w:after="60"/>
            </w:pPr>
            <w:r/>
            <w:r>
              <w:rPr>
                <w:rFonts w:ascii="Arial" w:hAnsi="Arial"/>
                <w:b/>
                <w:color w:val="378610"/>
                <w:sz w:val="20"/>
              </w:rPr>
              <w:t>PASS</w:t>
            </w:r>
          </w:p>
        </w:tc>
        <w:tc>
          <w:tcPr>
            <w:tcW w:type="dxa" w:w="2160"/>
            <w:shd w:val="clear" w:color="auto" w:fill="E2EFDA"/>
          </w:tcPr>
          <w:p>
            <w:pPr>
              <w:spacing w:before="60" w:after="60"/>
            </w:pPr>
            <w:r/>
            <w:r>
              <w:rPr>
                <w:rFonts w:ascii="Arial" w:hAnsi="Arial"/>
                <w:b/>
                <w:color w:val="378610"/>
                <w:sz w:val="20"/>
              </w:rPr>
              <w:t>PASS</w:t>
            </w:r>
          </w:p>
        </w:tc>
      </w:tr>
      <w:tr>
        <w:tc>
          <w:tcPr>
            <w:tcW w:type="dxa" w:w="2304"/>
            <w:shd w:val="clear" w:color="auto" w:fill="EBF3FB"/>
          </w:tcPr>
          <w:p>
            <w:pPr>
              <w:spacing w:before="60" w:after="60"/>
            </w:pPr>
            <w:r/>
            <w:r>
              <w:rPr>
                <w:rFonts w:ascii="Arial" w:hAnsi="Arial"/>
                <w:b w:val="0"/>
                <w:color w:val="000000"/>
                <w:sz w:val="20"/>
              </w:rPr>
              <w:t>claude-sonnet-4-6</w:t>
            </w:r>
          </w:p>
        </w:tc>
        <w:tc>
          <w:tcPr>
            <w:tcW w:type="dxa" w:w="1584"/>
            <w:shd w:val="clear" w:color="auto" w:fill="EBF3FB"/>
          </w:tcPr>
          <w:p>
            <w:pPr>
              <w:spacing w:before="60" w:after="60"/>
            </w:pPr>
            <w:r/>
            <w:r>
              <w:rPr>
                <w:rFonts w:ascii="Arial" w:hAnsi="Arial"/>
                <w:b w:val="0"/>
                <w:color w:val="000000"/>
                <w:sz w:val="20"/>
              </w:rPr>
              <w:t>Chained</w:t>
            </w:r>
          </w:p>
        </w:tc>
        <w:tc>
          <w:tcPr>
            <w:tcW w:type="dxa" w:w="1584"/>
            <w:shd w:val="clear" w:color="auto" w:fill="EBF3FB"/>
          </w:tcPr>
          <w:p>
            <w:pPr>
              <w:spacing w:before="60" w:after="60"/>
            </w:pPr>
            <w:r/>
            <w:r>
              <w:rPr>
                <w:rFonts w:ascii="Arial" w:hAnsi="Arial"/>
                <w:b w:val="0"/>
                <w:color w:val="000000"/>
                <w:sz w:val="20"/>
              </w:rPr>
              <w:t>T3</w:t>
            </w:r>
          </w:p>
        </w:tc>
        <w:tc>
          <w:tcPr>
            <w:tcW w:type="dxa" w:w="1440"/>
            <w:shd w:val="clear" w:color="auto" w:fill="FCE4D6"/>
          </w:tcPr>
          <w:p>
            <w:pPr>
              <w:spacing w:before="60" w:after="60"/>
            </w:pPr>
            <w:r/>
            <w:r>
              <w:rPr>
                <w:rFonts w:ascii="Arial" w:hAnsi="Arial"/>
                <w:b/>
                <w:color w:val="C00000"/>
                <w:sz w:val="20"/>
              </w:rPr>
              <w:t>FAIL</w:t>
            </w:r>
          </w:p>
        </w:tc>
        <w:tc>
          <w:tcPr>
            <w:tcW w:type="dxa" w:w="1440"/>
            <w:shd w:val="clear" w:color="auto" w:fill="E2EFDA"/>
          </w:tcPr>
          <w:p>
            <w:pPr>
              <w:spacing w:before="60" w:after="60"/>
            </w:pPr>
            <w:r/>
            <w:r>
              <w:rPr>
                <w:rFonts w:ascii="Arial" w:hAnsi="Arial"/>
                <w:b/>
                <w:color w:val="378610"/>
                <w:sz w:val="20"/>
              </w:rPr>
              <w:t>PASS</w:t>
            </w:r>
          </w:p>
        </w:tc>
        <w:tc>
          <w:tcPr>
            <w:tcW w:type="dxa" w:w="2160"/>
            <w:shd w:val="clear" w:color="auto" w:fill="E2EFDA"/>
          </w:tcPr>
          <w:p>
            <w:pPr>
              <w:spacing w:before="60" w:after="60"/>
            </w:pPr>
            <w:r/>
            <w:r>
              <w:rPr>
                <w:rFonts w:ascii="Arial" w:hAnsi="Arial"/>
                <w:b/>
                <w:color w:val="378610"/>
                <w:sz w:val="20"/>
              </w:rPr>
              <w:t>PASS</w:t>
            </w:r>
          </w:p>
        </w:tc>
      </w:tr>
      <w:tr>
        <w:tc>
          <w:tcPr>
            <w:tcW w:type="dxa" w:w="2304"/>
            <w:shd w:val="clear" w:color="auto" w:fill="FFFFFF"/>
          </w:tcPr>
          <w:p>
            <w:pPr>
              <w:spacing w:before="60" w:after="60"/>
            </w:pPr>
            <w:r/>
            <w:r>
              <w:rPr>
                <w:rFonts w:ascii="Arial" w:hAnsi="Arial"/>
                <w:b w:val="0"/>
                <w:color w:val="000000"/>
                <w:sz w:val="20"/>
              </w:rPr>
              <w:t>claude-sonnet-4-6</w:t>
            </w:r>
          </w:p>
        </w:tc>
        <w:tc>
          <w:tcPr>
            <w:tcW w:type="dxa" w:w="1584"/>
            <w:shd w:val="clear" w:color="auto" w:fill="FFFFFF"/>
          </w:tcPr>
          <w:p>
            <w:pPr>
              <w:spacing w:before="60" w:after="60"/>
            </w:pPr>
            <w:r/>
            <w:r>
              <w:rPr>
                <w:rFonts w:ascii="Arial" w:hAnsi="Arial"/>
                <w:b w:val="0"/>
                <w:color w:val="000000"/>
                <w:sz w:val="20"/>
              </w:rPr>
              <w:t>Format</w:t>
            </w:r>
          </w:p>
        </w:tc>
        <w:tc>
          <w:tcPr>
            <w:tcW w:type="dxa" w:w="1584"/>
            <w:shd w:val="clear" w:color="auto" w:fill="FFFFFF"/>
          </w:tcPr>
          <w:p>
            <w:pPr>
              <w:spacing w:before="60" w:after="60"/>
            </w:pPr>
            <w:r/>
            <w:r>
              <w:rPr>
                <w:rFonts w:ascii="Arial" w:hAnsi="Arial"/>
                <w:b w:val="0"/>
                <w:color w:val="000000"/>
                <w:sz w:val="20"/>
              </w:rPr>
              <w:t>T1-T2</w:t>
            </w:r>
          </w:p>
        </w:tc>
        <w:tc>
          <w:tcPr>
            <w:tcW w:type="dxa" w:w="1440"/>
            <w:shd w:val="clear" w:color="auto" w:fill="E2EFDA"/>
          </w:tcPr>
          <w:p>
            <w:pPr>
              <w:spacing w:before="60" w:after="60"/>
            </w:pPr>
            <w:r/>
            <w:r>
              <w:rPr>
                <w:rFonts w:ascii="Arial" w:hAnsi="Arial"/>
                <w:b/>
                <w:color w:val="378610"/>
                <w:sz w:val="20"/>
              </w:rPr>
              <w:t>PASS</w:t>
            </w:r>
          </w:p>
        </w:tc>
        <w:tc>
          <w:tcPr>
            <w:tcW w:type="dxa" w:w="1440"/>
            <w:shd w:val="clear" w:color="auto" w:fill="E2EFDA"/>
          </w:tcPr>
          <w:p>
            <w:pPr>
              <w:spacing w:before="60" w:after="60"/>
            </w:pPr>
            <w:r/>
            <w:r>
              <w:rPr>
                <w:rFonts w:ascii="Arial" w:hAnsi="Arial"/>
                <w:b/>
                <w:color w:val="378610"/>
                <w:sz w:val="20"/>
              </w:rPr>
              <w:t>PASS</w:t>
            </w:r>
          </w:p>
        </w:tc>
        <w:tc>
          <w:tcPr>
            <w:tcW w:type="dxa" w:w="2160"/>
            <w:shd w:val="clear" w:color="auto" w:fill="FCE4D6"/>
          </w:tcPr>
          <w:p>
            <w:pPr>
              <w:spacing w:before="60" w:after="60"/>
            </w:pPr>
            <w:r/>
            <w:r>
              <w:rPr>
                <w:rFonts w:ascii="Arial" w:hAnsi="Arial"/>
                <w:b/>
                <w:color w:val="C00000"/>
                <w:sz w:val="20"/>
              </w:rPr>
              <w:t>FAIL*</w:t>
            </w:r>
          </w:p>
        </w:tc>
      </w:tr>
      <w:tr>
        <w:tc>
          <w:tcPr>
            <w:tcW w:type="dxa" w:w="2304"/>
            <w:shd w:val="clear" w:color="auto" w:fill="EBF3FB"/>
          </w:tcPr>
          <w:p>
            <w:pPr>
              <w:spacing w:before="60" w:after="60"/>
            </w:pPr>
            <w:r/>
            <w:r>
              <w:rPr>
                <w:rFonts w:ascii="Arial" w:hAnsi="Arial"/>
                <w:b w:val="0"/>
                <w:color w:val="000000"/>
                <w:sz w:val="20"/>
              </w:rPr>
              <w:t>claude-sonnet-4-6</w:t>
            </w:r>
          </w:p>
        </w:tc>
        <w:tc>
          <w:tcPr>
            <w:tcW w:type="dxa" w:w="1584"/>
            <w:shd w:val="clear" w:color="auto" w:fill="EBF3FB"/>
          </w:tcPr>
          <w:p>
            <w:pPr>
              <w:spacing w:before="60" w:after="60"/>
            </w:pPr>
            <w:r/>
            <w:r>
              <w:rPr>
                <w:rFonts w:ascii="Arial" w:hAnsi="Arial"/>
                <w:b w:val="0"/>
                <w:color w:val="000000"/>
                <w:sz w:val="20"/>
              </w:rPr>
              <w:t>Format</w:t>
            </w:r>
          </w:p>
        </w:tc>
        <w:tc>
          <w:tcPr>
            <w:tcW w:type="dxa" w:w="1584"/>
            <w:shd w:val="clear" w:color="auto" w:fill="EBF3FB"/>
          </w:tcPr>
          <w:p>
            <w:pPr>
              <w:spacing w:before="60" w:after="60"/>
            </w:pPr>
            <w:r/>
            <w:r>
              <w:rPr>
                <w:rFonts w:ascii="Arial" w:hAnsi="Arial"/>
                <w:b w:val="0"/>
                <w:color w:val="000000"/>
                <w:sz w:val="20"/>
              </w:rPr>
              <w:t>T3</w:t>
            </w:r>
          </w:p>
        </w:tc>
        <w:tc>
          <w:tcPr>
            <w:tcW w:type="dxa" w:w="1440"/>
            <w:shd w:val="clear" w:color="auto" w:fill="E2EFDA"/>
          </w:tcPr>
          <w:p>
            <w:pPr>
              <w:spacing w:before="60" w:after="60"/>
            </w:pPr>
            <w:r/>
            <w:r>
              <w:rPr>
                <w:rFonts w:ascii="Arial" w:hAnsi="Arial"/>
                <w:b/>
                <w:color w:val="378610"/>
                <w:sz w:val="20"/>
              </w:rPr>
              <w:t>PASS</w:t>
            </w:r>
          </w:p>
        </w:tc>
        <w:tc>
          <w:tcPr>
            <w:tcW w:type="dxa" w:w="1440"/>
            <w:shd w:val="clear" w:color="auto" w:fill="FCE4D6"/>
          </w:tcPr>
          <w:p>
            <w:pPr>
              <w:spacing w:before="60" w:after="60"/>
            </w:pPr>
            <w:r/>
            <w:r>
              <w:rPr>
                <w:rFonts w:ascii="Arial" w:hAnsi="Arial"/>
                <w:b/>
                <w:color w:val="C00000"/>
                <w:sz w:val="20"/>
              </w:rPr>
              <w:t>FAIL</w:t>
            </w:r>
          </w:p>
        </w:tc>
        <w:tc>
          <w:tcPr>
            <w:tcW w:type="dxa" w:w="2160"/>
            <w:shd w:val="clear" w:color="auto" w:fill="FCE4D6"/>
          </w:tcPr>
          <w:p>
            <w:pPr>
              <w:spacing w:before="60" w:after="60"/>
            </w:pPr>
            <w:r/>
            <w:r>
              <w:rPr>
                <w:rFonts w:ascii="Arial" w:hAnsi="Arial"/>
                <w:b/>
                <w:color w:val="C00000"/>
                <w:sz w:val="20"/>
              </w:rPr>
              <w:t>FAIL</w:t>
            </w:r>
          </w:p>
        </w:tc>
      </w:tr>
      <w:tr>
        <w:tc>
          <w:tcPr>
            <w:tcW w:type="dxa" w:w="2304"/>
            <w:shd w:val="clear" w:color="auto" w:fill="FFFFFF"/>
          </w:tcPr>
          <w:p>
            <w:pPr>
              <w:spacing w:before="60" w:after="60"/>
            </w:pPr>
            <w:r/>
            <w:r>
              <w:rPr>
                <w:rFonts w:ascii="Arial" w:hAnsi="Arial"/>
                <w:b w:val="0"/>
                <w:color w:val="000000"/>
                <w:sz w:val="20"/>
              </w:rPr>
              <w:t>claude-haiku-4-5</w:t>
            </w:r>
          </w:p>
        </w:tc>
        <w:tc>
          <w:tcPr>
            <w:tcW w:type="dxa" w:w="1584"/>
            <w:shd w:val="clear" w:color="auto" w:fill="FFFFFF"/>
          </w:tcPr>
          <w:p>
            <w:pPr>
              <w:spacing w:before="60" w:after="60"/>
            </w:pPr>
            <w:r/>
            <w:r>
              <w:rPr>
                <w:rFonts w:ascii="Arial" w:hAnsi="Arial"/>
                <w:b w:val="0"/>
                <w:color w:val="000000"/>
                <w:sz w:val="20"/>
              </w:rPr>
              <w:t>Format</w:t>
            </w:r>
          </w:p>
        </w:tc>
        <w:tc>
          <w:tcPr>
            <w:tcW w:type="dxa" w:w="1584"/>
            <w:shd w:val="clear" w:color="auto" w:fill="FFFFFF"/>
          </w:tcPr>
          <w:p>
            <w:pPr>
              <w:spacing w:before="60" w:after="60"/>
            </w:pPr>
            <w:r/>
            <w:r>
              <w:rPr>
                <w:rFonts w:ascii="Arial" w:hAnsi="Arial"/>
                <w:b w:val="0"/>
                <w:color w:val="000000"/>
                <w:sz w:val="20"/>
              </w:rPr>
              <w:t>T1-T2</w:t>
            </w:r>
          </w:p>
        </w:tc>
        <w:tc>
          <w:tcPr>
            <w:tcW w:type="dxa" w:w="1440"/>
            <w:shd w:val="clear" w:color="auto" w:fill="E2EFDA"/>
          </w:tcPr>
          <w:p>
            <w:pPr>
              <w:spacing w:before="60" w:after="60"/>
            </w:pPr>
            <w:r/>
            <w:r>
              <w:rPr>
                <w:rFonts w:ascii="Arial" w:hAnsi="Arial"/>
                <w:b/>
                <w:color w:val="378610"/>
                <w:sz w:val="20"/>
              </w:rPr>
              <w:t>PASS</w:t>
            </w:r>
          </w:p>
        </w:tc>
        <w:tc>
          <w:tcPr>
            <w:tcW w:type="dxa" w:w="1440"/>
            <w:shd w:val="clear" w:color="auto" w:fill="E2EFDA"/>
          </w:tcPr>
          <w:p>
            <w:pPr>
              <w:spacing w:before="60" w:after="60"/>
            </w:pPr>
            <w:r/>
            <w:r>
              <w:rPr>
                <w:rFonts w:ascii="Arial" w:hAnsi="Arial"/>
                <w:b/>
                <w:color w:val="378610"/>
                <w:sz w:val="20"/>
              </w:rPr>
              <w:t>PASS</w:t>
            </w:r>
          </w:p>
        </w:tc>
        <w:tc>
          <w:tcPr>
            <w:tcW w:type="dxa" w:w="2160"/>
            <w:shd w:val="clear" w:color="auto" w:fill="E2EFDA"/>
          </w:tcPr>
          <w:p>
            <w:pPr>
              <w:spacing w:before="60" w:after="60"/>
            </w:pPr>
            <w:r/>
            <w:r>
              <w:rPr>
                <w:rFonts w:ascii="Arial" w:hAnsi="Arial"/>
                <w:b/>
                <w:color w:val="378610"/>
                <w:sz w:val="20"/>
              </w:rPr>
              <w:t>PASS</w:t>
            </w:r>
          </w:p>
        </w:tc>
      </w:tr>
    </w:tbl>
    <w:p/>
    <w:p>
      <w:pPr>
        <w:spacing w:after="120" w:before="0"/>
      </w:pPr>
      <w:r>
        <w:rPr>
          <w:rFonts w:ascii="Arial" w:hAnsi="Arial"/>
          <w:color w:val="000000"/>
          <w:sz w:val="22"/>
        </w:rPr>
        <w:t>* Sonnet Format T2 at XL failed with 0% soft score — dropped both bookend phrases entirely.</w:t>
      </w:r>
    </w:p>
    <w:p>
      <w:pPr>
        <w:spacing w:before="360" w:after="80"/>
      </w:pPr>
      <w:r>
        <w:rPr>
          <w:rFonts w:ascii="Arial" w:hAnsi="Arial"/>
          <w:b/>
          <w:color w:val="1F3864"/>
          <w:sz w:val="30"/>
        </w:rPr>
        <w:t>3. Key Findings</w:t>
      </w:r>
    </w:p>
    <w:p>
      <w:pPr>
        <w:spacing w:before="200" w:after="80"/>
      </w:pPr>
      <w:r>
        <w:rPr>
          <w:rFonts w:ascii="Arial" w:hAnsi="Arial"/>
          <w:b/>
          <w:color w:val="2E5FA3"/>
          <w:sz w:val="24"/>
        </w:rPr>
        <w:t>Finding 1 — Data Volume Is Not the Primary Failure Driver</w:t>
      </w:r>
    </w:p>
    <w:p>
      <w:pPr>
        <w:spacing w:after="120" w:before="0"/>
      </w:pPr>
      <w:r>
        <w:rPr>
          <w:rFonts w:ascii="Arial" w:hAnsi="Arial"/>
          <w:color w:val="000000"/>
          <w:sz w:val="22"/>
        </w:rPr>
        <w:t xml:space="preserve">For Chained and Format rules, every model held its passing tier cleanly across all three payload sizes. Haiku passed Format T1-T2 all the way to XL with 100% soft scores. Opus passed Chained T1-T5 and Format T1-T5 across all payload sizes without a single failure. The hypothesis that more tabular data would degrade rule adherence is </w:t>
      </w:r>
      <w:r>
        <w:rPr>
          <w:rFonts w:ascii="Arial" w:hAnsi="Arial"/>
          <w:b/>
          <w:color w:val="000000"/>
          <w:sz w:val="22"/>
        </w:rPr>
        <w:t>largely not supported</w:t>
      </w:r>
      <w:r>
        <w:rPr>
          <w:rFonts w:ascii="Arial" w:hAnsi="Arial"/>
          <w:color w:val="000000"/>
          <w:sz w:val="22"/>
        </w:rPr>
        <w:t xml:space="preserve"> for structured and conditional rule types at this payload scale.</w:t>
      </w:r>
    </w:p>
    <w:p>
      <w:pPr>
        <w:spacing w:before="200" w:after="80"/>
      </w:pPr>
      <w:r>
        <w:rPr>
          <w:rFonts w:ascii="Arial" w:hAnsi="Arial"/>
          <w:b/>
          <w:color w:val="2E5FA3"/>
          <w:sz w:val="24"/>
        </w:rPr>
        <w:t>Finding 2 — Scope Failures Are Semantic, Not Volumetric</w:t>
      </w:r>
    </w:p>
    <w:p>
      <w:pPr>
        <w:spacing w:after="120" w:before="0"/>
      </w:pPr>
      <w:r>
        <w:rPr>
          <w:rFonts w:ascii="Arial" w:hAnsi="Arial"/>
          <w:color w:val="000000"/>
          <w:sz w:val="22"/>
        </w:rPr>
        <w:t xml:space="preserve">Opus failed Scope at T4 across all payload sizes and at T5 on Medium — but passed T5 on Large and XL. That inconsistency rules out data volume as the cause. The violated rules were consistently the inference-restraint rules: do not derive figures, do not describe trends beyond the dataset. More data gives the model more to infer from, but the failures appear to be stochastic rather than threshold-driven. </w:t>
      </w:r>
      <w:r>
        <w:rPr>
          <w:rFonts w:ascii="Arial" w:hAnsi="Arial"/>
          <w:b/>
          <w:color w:val="000000"/>
          <w:sz w:val="22"/>
        </w:rPr>
        <w:t>Scope is simply a hard rule type for Opus at T4+ regardless of how much data is present.</w:t>
      </w:r>
    </w:p>
    <w:p>
      <w:pPr>
        <w:spacing w:before="200" w:after="80"/>
      </w:pPr>
      <w:r>
        <w:rPr>
          <w:rFonts w:ascii="Arial" w:hAnsi="Arial"/>
          <w:b/>
          <w:color w:val="2E5FA3"/>
          <w:sz w:val="24"/>
        </w:rPr>
        <w:t>Finding 3 — Sonnet Shows a Genuine Volume Effect on Format Rules</w:t>
      </w:r>
    </w:p>
    <w:p>
      <w:pPr>
        <w:spacing w:after="120" w:before="0"/>
      </w:pPr>
      <w:r>
        <w:rPr>
          <w:rFonts w:ascii="Arial" w:hAnsi="Arial"/>
          <w:color w:val="000000"/>
          <w:sz w:val="22"/>
        </w:rPr>
        <w:t xml:space="preserve">Sonnet passed Format T3 cleanly on Medium but failed it on Large and XL, always on the same rule: the exact closing phrase 'Data sourced from your portfolio dataset.' At XL payload, Format T2 also failed — Sonnet dropped both the opening and closing bookend phrases entirely, producing a 0% soft score. </w:t>
      </w:r>
      <w:r>
        <w:rPr>
          <w:rFonts w:ascii="Arial" w:hAnsi="Arial"/>
          <w:b/>
          <w:color w:val="000000"/>
          <w:sz w:val="22"/>
        </w:rPr>
        <w:t>This is the clearest data volume finding in Round 3.</w:t>
      </w:r>
      <w:r>
        <w:rPr>
          <w:rFonts w:ascii="Arial" w:hAnsi="Arial"/>
          <w:color w:val="000000"/>
          <w:sz w:val="22"/>
        </w:rPr>
        <w:t xml:space="preserve"> As the response grows longer to cover more tickers and periods, Sonnet loses track of structural bookend requirements.</w:t>
      </w:r>
    </w:p>
    <w:p>
      <w:pPr>
        <w:spacing w:before="200" w:after="80"/>
      </w:pPr>
      <w:r>
        <w:rPr>
          <w:rFonts w:ascii="Arial" w:hAnsi="Arial"/>
          <w:b/>
          <w:color w:val="2E5FA3"/>
          <w:sz w:val="24"/>
        </w:rPr>
        <w:t>Finding 4 — Haiku Is Stable Within Its Safe Zone</w:t>
      </w:r>
    </w:p>
    <w:p>
      <w:pPr>
        <w:spacing w:after="120" w:before="0"/>
      </w:pPr>
      <w:r>
        <w:rPr>
          <w:rFonts w:ascii="Arial" w:hAnsi="Arial"/>
          <w:color w:val="000000"/>
          <w:sz w:val="22"/>
        </w:rPr>
        <w:t>Haiku passed Format T1 and T2 with 100% soft scores across Medium, Large, and XL. Within the tier range where it was previously passing, Haiku showed no sensitivity to payload size at all. This is not a positive finding about Haiku's capability — T2 is already its ceiling from Round 2. It simply confirms that within its safe zone, data volume is not an additional risk factor.</w:t>
      </w:r>
    </w:p>
    <w:p>
      <w:pPr>
        <w:spacing w:before="200" w:after="80"/>
      </w:pPr>
      <w:r>
        <w:rPr>
          <w:rFonts w:ascii="Arial" w:hAnsi="Arial"/>
          <w:b/>
          <w:color w:val="2E5FA3"/>
          <w:sz w:val="24"/>
        </w:rPr>
        <w:t>Finding 5 — Sonnet Chained T3 Failure at Medium Did Not Persist</w:t>
      </w:r>
    </w:p>
    <w:p>
      <w:pPr>
        <w:spacing w:after="120" w:before="0"/>
      </w:pPr>
      <w:r>
        <w:rPr>
          <w:rFonts w:ascii="Arial" w:hAnsi="Arial"/>
          <w:color w:val="000000"/>
          <w:sz w:val="22"/>
        </w:rPr>
        <w:t>Sonnet failed Chained T3 at Medium (67% soft score, missed one significant-miss label) but passed the same tier at Large and XL. This is the opposite of a volume effect. It is most likely a one-off judge sensitivity issue or an edge case in the Medium dataset where a ticker's data fell just below the -5% threshold in a way the model mishandled. It should not be treated as a finding about data volume.</w:t>
      </w:r>
    </w:p>
    <w:p>
      <w:pPr>
        <w:spacing w:before="360" w:after="80"/>
      </w:pPr>
      <w:r>
        <w:rPr>
          <w:rFonts w:ascii="Arial" w:hAnsi="Arial"/>
          <w:b/>
          <w:color w:val="1F3864"/>
          <w:sz w:val="30"/>
        </w:rPr>
        <w:t>4. What This Means for Practitioners</w:t>
      </w:r>
    </w:p>
    <w:p>
      <w:pPr>
        <w:spacing w:before="200" w:after="80"/>
      </w:pPr>
      <w:r>
        <w:rPr>
          <w:rFonts w:ascii="Arial" w:hAnsi="Arial"/>
          <w:b/>
          <w:color w:val="2E5FA3"/>
          <w:sz w:val="24"/>
        </w:rPr>
        <w:t>For RAG Pipeline Builders</w:t>
      </w:r>
    </w:p>
    <w:p>
      <w:pPr>
        <w:spacing w:after="120" w:before="0"/>
      </w:pPr>
      <w:r>
        <w:rPr>
          <w:rFonts w:ascii="Arial" w:hAnsi="Arial"/>
          <w:color w:val="000000"/>
          <w:sz w:val="22"/>
        </w:rPr>
        <w:t xml:space="preserve">At the payload sizes tested here (40 to 120 rows of structured tabular data), context length is not your primary risk. The models are well within their context windows and rule adherence does not degrade simply because more data is present. </w:t>
      </w:r>
      <w:r>
        <w:rPr>
          <w:rFonts w:ascii="Arial" w:hAnsi="Arial"/>
          <w:b/>
          <w:color w:val="000000"/>
          <w:sz w:val="22"/>
        </w:rPr>
        <w:t>The risk is semantic</w:t>
      </w:r>
      <w:r>
        <w:rPr>
          <w:rFonts w:ascii="Arial" w:hAnsi="Arial"/>
          <w:color w:val="000000"/>
          <w:sz w:val="22"/>
        </w:rPr>
        <w:t>: rules that fight against the model's natural tendency to synthesise and infer across everything it sees are the ones that break. If your Scope-like rules say 'only use what is in the data', a larger dataset gives the model more temptation to violate that.</w:t>
      </w:r>
    </w:p>
    <w:p>
      <w:pPr>
        <w:spacing w:before="200" w:after="80"/>
      </w:pPr>
      <w:r>
        <w:rPr>
          <w:rFonts w:ascii="Arial" w:hAnsi="Arial"/>
          <w:b/>
          <w:color w:val="2E5FA3"/>
          <w:sz w:val="24"/>
        </w:rPr>
        <w:t>For System Prompt Writers</w:t>
      </w:r>
    </w:p>
    <w:p>
      <w:pPr>
        <w:spacing w:after="120" w:before="0"/>
      </w:pPr>
      <w:r>
        <w:rPr>
          <w:rFonts w:ascii="Arial" w:hAnsi="Arial"/>
          <w:color w:val="000000"/>
          <w:sz w:val="22"/>
        </w:rPr>
        <w:t xml:space="preserve">The Sonnet finding has a direct implication for system prompt design. </w:t>
      </w:r>
      <w:r>
        <w:rPr>
          <w:rFonts w:ascii="Arial" w:hAnsi="Arial"/>
          <w:b/>
          <w:color w:val="000000"/>
          <w:sz w:val="22"/>
        </w:rPr>
        <w:t>Exact-phrase requirements</w:t>
      </w:r>
      <w:r>
        <w:rPr>
          <w:rFonts w:ascii="Arial" w:hAnsi="Arial"/>
          <w:color w:val="000000"/>
          <w:sz w:val="22"/>
        </w:rPr>
        <w:t xml:space="preserve"> — 'begin with this phrase', 'end with this phrase' — </w:t>
      </w:r>
      <w:r>
        <w:rPr>
          <w:rFonts w:ascii="Arial" w:hAnsi="Arial"/>
          <w:b/>
          <w:color w:val="000000"/>
          <w:sz w:val="22"/>
        </w:rPr>
        <w:t>are at risk when the model's response needs to cover a lot of ground.</w:t>
      </w:r>
      <w:r>
        <w:rPr>
          <w:rFonts w:ascii="Arial" w:hAnsi="Arial"/>
          <w:color w:val="000000"/>
          <w:sz w:val="22"/>
        </w:rPr>
        <w:t xml:space="preserve"> As output length grows, models deprioritise structural bookends in favour of content completeness. If you need exact phrases in long responses, consider putting them in the user message as a reminder rather than only in the system prompt.</w:t>
      </w:r>
    </w:p>
    <w:p>
      <w:pPr>
        <w:spacing w:before="200" w:after="80"/>
      </w:pPr>
      <w:r>
        <w:rPr>
          <w:rFonts w:ascii="Arial" w:hAnsi="Arial"/>
          <w:b/>
          <w:color w:val="2E5FA3"/>
          <w:sz w:val="24"/>
        </w:rPr>
        <w:t>Model Selection Guidance</w:t>
      </w:r>
    </w:p>
    <w:tbl>
      <w:tblPr>
        <w:tblStyle w:val="TableGrid"/>
        <w:tblW w:type="auto" w:w="0"/>
        <w:tblLayout w:type="fixed"/>
        <w:tblLook w:firstColumn="1" w:firstRow="1" w:lastColumn="0" w:lastRow="0" w:noHBand="0" w:noVBand="1" w:val="04A0"/>
      </w:tblPr>
      <w:tblGrid>
        <w:gridCol w:w="2592"/>
        <w:gridCol w:w="3168"/>
        <w:gridCol w:w="4752"/>
      </w:tblGrid>
      <w:tr>
        <w:tc>
          <w:tcPr>
            <w:tcW w:type="dxa" w:w="2880"/>
          </w:tcPr>
          <w:p/>
        </w:tc>
        <w:tc>
          <w:tcPr>
            <w:tcW w:type="dxa" w:w="2880"/>
          </w:tcPr>
          <w:p/>
        </w:tc>
        <w:tc>
          <w:tcPr>
            <w:tcW w:type="dxa" w:w="2880"/>
          </w:tcPr>
          <w:p/>
        </w:tc>
      </w:tr>
      <w:tr>
        <w:tc>
          <w:tcPr>
            <w:tcW w:type="dxa" w:w="2592"/>
            <w:shd w:val="clear" w:color="auto" w:fill="1F3864"/>
          </w:tcPr>
          <w:p>
            <w:pPr>
              <w:spacing w:before="60" w:after="60"/>
            </w:pPr>
            <w:r/>
            <w:r>
              <w:rPr>
                <w:rFonts w:ascii="Arial" w:hAnsi="Arial"/>
                <w:b/>
                <w:color w:val="FFFFFF"/>
                <w:sz w:val="20"/>
              </w:rPr>
              <w:t>Model</w:t>
            </w:r>
          </w:p>
        </w:tc>
        <w:tc>
          <w:tcPr>
            <w:tcW w:type="dxa" w:w="3168"/>
            <w:shd w:val="clear" w:color="auto" w:fill="1F3864"/>
          </w:tcPr>
          <w:p>
            <w:pPr>
              <w:spacing w:before="60" w:after="60"/>
            </w:pPr>
            <w:r/>
            <w:r>
              <w:rPr>
                <w:rFonts w:ascii="Arial" w:hAnsi="Arial"/>
                <w:b/>
                <w:color w:val="FFFFFF"/>
                <w:sz w:val="20"/>
              </w:rPr>
              <w:t>Data Volume Risk</w:t>
            </w:r>
          </w:p>
        </w:tc>
        <w:tc>
          <w:tcPr>
            <w:tcW w:type="dxa" w:w="4752"/>
            <w:shd w:val="clear" w:color="auto" w:fill="1F3864"/>
          </w:tcPr>
          <w:p>
            <w:pPr>
              <w:spacing w:before="60" w:after="60"/>
            </w:pPr>
            <w:r/>
            <w:r>
              <w:rPr>
                <w:rFonts w:ascii="Arial" w:hAnsi="Arial"/>
                <w:b/>
                <w:color w:val="FFFFFF"/>
                <w:sz w:val="20"/>
              </w:rPr>
              <w:t>Recommendation</w:t>
            </w:r>
          </w:p>
        </w:tc>
      </w:tr>
      <w:tr>
        <w:tc>
          <w:tcPr>
            <w:tcW w:type="dxa" w:w="2592"/>
            <w:shd w:val="clear" w:color="auto" w:fill="EBF3FB"/>
          </w:tcPr>
          <w:p>
            <w:pPr>
              <w:spacing w:before="60" w:after="60"/>
            </w:pPr>
            <w:r/>
            <w:r>
              <w:rPr>
                <w:rFonts w:ascii="Arial" w:hAnsi="Arial"/>
                <w:b w:val="0"/>
                <w:color w:val="000000"/>
                <w:sz w:val="20"/>
              </w:rPr>
              <w:t>claude-opus-4-8</w:t>
            </w:r>
          </w:p>
        </w:tc>
        <w:tc>
          <w:tcPr>
            <w:tcW w:type="dxa" w:w="3168"/>
            <w:shd w:val="clear" w:color="auto" w:fill="EBF3FB"/>
          </w:tcPr>
          <w:p>
            <w:pPr>
              <w:spacing w:before="60" w:after="60"/>
            </w:pPr>
            <w:r/>
            <w:r>
              <w:rPr>
                <w:rFonts w:ascii="Arial" w:hAnsi="Arial"/>
                <w:b w:val="0"/>
                <w:color w:val="000000"/>
                <w:sz w:val="20"/>
              </w:rPr>
              <w:t>Low for Chained and Format. Moderate for Scope at T4+.</w:t>
            </w:r>
          </w:p>
        </w:tc>
        <w:tc>
          <w:tcPr>
            <w:tcW w:type="dxa" w:w="4752"/>
            <w:shd w:val="clear" w:color="auto" w:fill="EBF3FB"/>
          </w:tcPr>
          <w:p>
            <w:pPr>
              <w:spacing w:before="60" w:after="60"/>
            </w:pPr>
            <w:r/>
            <w:r>
              <w:rPr>
                <w:rFonts w:ascii="Arial" w:hAnsi="Arial"/>
                <w:b w:val="0"/>
                <w:color w:val="000000"/>
                <w:sz w:val="20"/>
              </w:rPr>
              <w:t>Safe for large payloads with Chained and Format rules. Avoid Scope rules beyond T3 if inference restraint is critical.</w:t>
            </w:r>
          </w:p>
        </w:tc>
      </w:tr>
      <w:tr>
        <w:tc>
          <w:tcPr>
            <w:tcW w:type="dxa" w:w="2592"/>
            <w:shd w:val="clear" w:color="auto" w:fill="FFFFFF"/>
          </w:tcPr>
          <w:p>
            <w:pPr>
              <w:spacing w:before="60" w:after="60"/>
            </w:pPr>
            <w:r/>
            <w:r>
              <w:rPr>
                <w:rFonts w:ascii="Arial" w:hAnsi="Arial"/>
                <w:b w:val="0"/>
                <w:color w:val="000000"/>
                <w:sz w:val="20"/>
              </w:rPr>
              <w:t>claude-sonnet-4-6</w:t>
            </w:r>
          </w:p>
        </w:tc>
        <w:tc>
          <w:tcPr>
            <w:tcW w:type="dxa" w:w="3168"/>
            <w:shd w:val="clear" w:color="auto" w:fill="FFFFFF"/>
          </w:tcPr>
          <w:p>
            <w:pPr>
              <w:spacing w:before="60" w:after="60"/>
            </w:pPr>
            <w:r/>
            <w:r>
              <w:rPr>
                <w:rFonts w:ascii="Arial" w:hAnsi="Arial"/>
                <w:b w:val="0"/>
                <w:color w:val="000000"/>
                <w:sz w:val="20"/>
              </w:rPr>
              <w:t>Low to moderate. Format bookend rules drop at Large+.</w:t>
            </w:r>
          </w:p>
        </w:tc>
        <w:tc>
          <w:tcPr>
            <w:tcW w:type="dxa" w:w="4752"/>
            <w:shd w:val="clear" w:color="auto" w:fill="FFFFFF"/>
          </w:tcPr>
          <w:p>
            <w:pPr>
              <w:spacing w:before="60" w:after="60"/>
            </w:pPr>
            <w:r/>
            <w:r>
              <w:rPr>
                <w:rFonts w:ascii="Arial" w:hAnsi="Arial"/>
                <w:b w:val="0"/>
                <w:color w:val="000000"/>
                <w:sz w:val="20"/>
              </w:rPr>
              <w:t>Test your specific system prompt at your target payload size before deploying. Add exact-phrase reminders in user message for large outputs.</w:t>
            </w:r>
          </w:p>
        </w:tc>
      </w:tr>
      <w:tr>
        <w:tc>
          <w:tcPr>
            <w:tcW w:type="dxa" w:w="2592"/>
            <w:shd w:val="clear" w:color="auto" w:fill="EBF3FB"/>
          </w:tcPr>
          <w:p>
            <w:pPr>
              <w:spacing w:before="60" w:after="60"/>
            </w:pPr>
            <w:r/>
            <w:r>
              <w:rPr>
                <w:rFonts w:ascii="Arial" w:hAnsi="Arial"/>
                <w:b w:val="0"/>
                <w:color w:val="000000"/>
                <w:sz w:val="20"/>
              </w:rPr>
              <w:t>claude-haiku-4-5</w:t>
            </w:r>
          </w:p>
        </w:tc>
        <w:tc>
          <w:tcPr>
            <w:tcW w:type="dxa" w:w="3168"/>
            <w:shd w:val="clear" w:color="auto" w:fill="EBF3FB"/>
          </w:tcPr>
          <w:p>
            <w:pPr>
              <w:spacing w:before="60" w:after="60"/>
            </w:pPr>
            <w:r/>
            <w:r>
              <w:rPr>
                <w:rFonts w:ascii="Arial" w:hAnsi="Arial"/>
                <w:b w:val="0"/>
                <w:color w:val="000000"/>
                <w:sz w:val="20"/>
              </w:rPr>
              <w:t>None detected within its safe zone (T1-T2).</w:t>
            </w:r>
          </w:p>
        </w:tc>
        <w:tc>
          <w:tcPr>
            <w:tcW w:type="dxa" w:w="4752"/>
            <w:shd w:val="clear" w:color="auto" w:fill="EBF3FB"/>
          </w:tcPr>
          <w:p>
            <w:pPr>
              <w:spacing w:before="60" w:after="60"/>
            </w:pPr>
            <w:r/>
            <w:r>
              <w:rPr>
                <w:rFonts w:ascii="Arial" w:hAnsi="Arial"/>
                <w:b w:val="0"/>
                <w:color w:val="000000"/>
                <w:sz w:val="20"/>
              </w:rPr>
              <w:t>Data volume is not an additional risk at T1-T2. The ceiling is still instruction complexity from Round 2, not context size.</w:t>
            </w:r>
          </w:p>
        </w:tc>
      </w:tr>
    </w:tbl>
    <w:p/>
    <w:p>
      <w:pPr>
        <w:spacing w:before="360" w:after="80"/>
      </w:pPr>
      <w:r>
        <w:rPr>
          <w:rFonts w:ascii="Arial" w:hAnsi="Arial"/>
          <w:b/>
          <w:color w:val="1F3864"/>
          <w:sz w:val="30"/>
        </w:rPr>
        <w:t>5. How Round 3 Connects to the Framework</w:t>
      </w:r>
    </w:p>
    <w:p>
      <w:pPr>
        <w:spacing w:after="120" w:before="0"/>
      </w:pPr>
      <w:r>
        <w:rPr>
          <w:rFonts w:ascii="Arial" w:hAnsi="Arial"/>
          <w:color w:val="000000"/>
          <w:sz w:val="22"/>
        </w:rPr>
        <w:t>The four-round framework builds a layered picture of model capability. Each round isolates one variable while holding the others constant:</w:t>
      </w:r>
    </w:p>
    <w:p>
      <w:pPr>
        <w:pStyle w:val="ListBullet"/>
        <w:spacing w:after="60"/>
      </w:pPr>
      <w:r>
        <w:rPr>
          <w:rFonts w:ascii="Arial" w:hAnsi="Arial"/>
          <w:b/>
          <w:color w:val="000000"/>
          <w:sz w:val="22"/>
        </w:rPr>
        <w:t xml:space="preserve">Round 1: </w:t>
      </w:r>
      <w:r>
        <w:rPr>
          <w:rFonts w:ascii="Arial" w:hAnsi="Arial"/>
          <w:color w:val="000000"/>
          <w:sz w:val="22"/>
        </w:rPr>
        <w:t>Established per-category failure rates across 11 rule types (weights).</w:t>
      </w:r>
    </w:p>
    <w:p>
      <w:pPr>
        <w:pStyle w:val="ListBullet"/>
        <w:spacing w:after="60"/>
      </w:pPr>
      <w:r>
        <w:rPr>
          <w:rFonts w:ascii="Arial" w:hAnsi="Arial"/>
          <w:b/>
          <w:color w:val="000000"/>
          <w:sz w:val="22"/>
        </w:rPr>
        <w:t xml:space="preserve">Round 2: </w:t>
      </w:r>
      <w:r>
        <w:rPr>
          <w:rFonts w:ascii="Arial" w:hAnsi="Arial"/>
          <w:color w:val="000000"/>
          <w:sz w:val="22"/>
        </w:rPr>
        <w:t>Showed how combining rule categories changes the failure profile.</w:t>
      </w:r>
    </w:p>
    <w:p>
      <w:pPr>
        <w:pStyle w:val="ListBullet"/>
        <w:spacing w:after="60"/>
      </w:pPr>
      <w:r>
        <w:rPr>
          <w:rFonts w:ascii="Arial" w:hAnsi="Arial"/>
          <w:b/>
          <w:color w:val="000000"/>
          <w:sz w:val="22"/>
        </w:rPr>
        <w:t xml:space="preserve">Round 3: </w:t>
      </w:r>
      <w:r>
        <w:rPr>
          <w:rFonts w:ascii="Arial" w:hAnsi="Arial"/>
          <w:color w:val="000000"/>
          <w:sz w:val="22"/>
        </w:rPr>
        <w:t>Tested whether increasing data payload degrades ceilings established in Rounds 1 and 2.</w:t>
      </w:r>
    </w:p>
    <w:p>
      <w:pPr>
        <w:pStyle w:val="ListBullet"/>
        <w:spacing w:after="60"/>
      </w:pPr>
      <w:r>
        <w:rPr>
          <w:rFonts w:ascii="Arial" w:hAnsi="Arial"/>
          <w:b/>
          <w:color w:val="000000"/>
          <w:sz w:val="22"/>
        </w:rPr>
        <w:t xml:space="preserve">Round 4: </w:t>
      </w:r>
      <w:r>
        <w:rPr>
          <w:rFonts w:ascii="Arial" w:hAnsi="Arial"/>
          <w:color w:val="000000"/>
          <w:sz w:val="22"/>
        </w:rPr>
        <w:t>Will test whether adding tools changes the failure profile from Round 1 and 2 baselines.</w:t>
      </w:r>
    </w:p>
    <w:p>
      <w:pPr>
        <w:spacing w:after="120" w:before="0"/>
      </w:pPr>
      <w:r>
        <w:rPr>
          <w:rFonts w:ascii="Arial" w:hAnsi="Arial"/>
          <w:b/>
          <w:color w:val="000000"/>
          <w:sz w:val="22"/>
        </w:rPr>
        <w:t>Round 3's finding that data volume is largely not the driver strengthens the Round 2 findings.</w:t>
      </w:r>
      <w:r>
        <w:rPr>
          <w:rFonts w:ascii="Arial" w:hAnsi="Arial"/>
          <w:color w:val="000000"/>
          <w:sz w:val="22"/>
        </w:rPr>
        <w:t xml:space="preserve"> The safe rule count ceilings identified in Round 2 — Opus T5-T6, Sonnet T3-T4, Haiku T1-T2 — hold under realistic data loads. Practitioners can rely on those ceilings as stable guides when designing system prompts for data-heavy tasks, with the caveat that exact-phrase bookend rules should be validated at full payload size for Sonnet.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