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keepLines/>
      </w:pPr>
    </w:p>
    <w:tbl>
      <w:tblPr>
        <w:tblW w:type="auto" w:w="0"/>
        <w:jc w:val="center"/>
        <w:tblLayout w:type="fixed"/>
        <w:tblLook w:firstColumn="1" w:firstRow="1" w:lastColumn="0" w:lastRow="0" w:noHBand="0" w:noVBand="1" w:val="04A0"/>
      </w:tblPr>
      <w:tblGrid>
        <w:gridCol w:w="9524"/>
      </w:tblGrid>
      <w:tr>
        <w:tc>
          <w:tcPr>
            <w:tcW w:type="dxa" w:w="10200"/>
            <w:shd w:fill="1E7A52"/>
            <w:tcMar>
              <w:top w:w="90" w:type="dxa"/>
              <w:start w:w="100" w:type="dxa"/>
              <w:bottom w:w="90" w:type="dxa"/>
              <w:end w:w="100" w:type="dxa"/>
            </w:tcMar>
            <w:vAlign w:val="center"/>
          </w:tcPr>
          <w:p>
            <w:pPr>
              <w:spacing w:after="36" w:before="0" w:line="240" w:lineRule="auto"/>
              <w:jc w:val="center"/>
              <w:keepLines/>
            </w:pPr>
            <w:r>
              <w:rPr>
                <w:rFonts w:ascii="Aptos Display" w:hAnsi="Aptos Display"/>
                <w:b/>
                <w:color w:val="FFFFFF"/>
                <w:sz w:val="44"/>
              </w:rPr>
              <w:t>BARREAU ÉNERGIES</w:t>
            </w:r>
          </w:p>
        </w:tc>
      </w:tr>
    </w:tbl>
    <w:p>
      <w:pPr>
        <w:spacing w:before="680"/>
        <w:jc w:val="center"/>
        <w:keepLines/>
      </w:pPr>
      <w:r>
        <w:rPr>
          <w:rFonts w:ascii="Aptos Display" w:hAnsi="Aptos Display"/>
          <w:b/>
          <w:color w:val="18312A"/>
          <w:sz w:val="62"/>
        </w:rPr>
        <w:t>OPERATING MODEL</w:t>
      </w:r>
    </w:p>
    <w:p>
      <w:pPr>
        <w:jc w:val="center"/>
        <w:keepLines/>
      </w:pPr>
      <w:r>
        <w:rPr>
          <w:rFonts w:ascii="Aptos Display" w:hAnsi="Aptos Display"/>
          <w:b/>
          <w:color w:val="1E7A52"/>
          <w:sz w:val="40"/>
        </w:rPr>
        <w:t>2026 - 2030</w:t>
      </w:r>
    </w:p>
    <w:p>
      <w:pPr>
        <w:spacing w:before="300"/>
        <w:jc w:val="center"/>
        <w:keepLines/>
      </w:pPr>
      <w:r>
        <w:rPr>
          <w:rFonts w:ascii="Aptos" w:hAnsi="Aptos"/>
          <w:b/>
          <w:color w:val="1B1F1E"/>
          <w:sz w:val="28"/>
        </w:rPr>
        <w:t>Construire une plateforme locale de Home Services</w:t>
      </w:r>
    </w:p>
    <w:p>
      <w:pPr>
        <w:jc w:val="center"/>
        <w:keepLines/>
      </w:pPr>
      <w:r>
        <w:rPr>
          <w:rFonts w:ascii="Aptos" w:hAnsi="Aptos"/>
          <w:b w:val="0"/>
          <w:color w:val="56635E"/>
          <w:sz w:val="24"/>
        </w:rPr>
        <w:t>Équiper  |  Protéger  |  Piloter  |  Entretenir</w:t>
      </w:r>
    </w:p>
    <w:tbl>
      <w:tblPr>
        <w:tblW w:type="auto" w:w="0"/>
        <w:jc w:val="center"/>
        <w:tblLayout w:type="fixed"/>
        <w:tblLook w:firstColumn="1" w:firstRow="1" w:lastColumn="0" w:lastRow="0" w:noHBand="0" w:noVBand="1" w:val="04A0"/>
      </w:tblPr>
      <w:tblGrid>
        <w:gridCol w:w="8957"/>
      </w:tblGrid>
      <w:tr>
        <w:tc>
          <w:tcPr>
            <w:tcW w:type="dxa" w:w="10200"/>
            <w:shd w:fill="EAF4EF"/>
            <w:tcMar>
              <w:top w:w="90" w:type="dxa"/>
              <w:start w:w="100" w:type="dxa"/>
              <w:bottom w:w="90" w:type="dxa"/>
              <w:end w:w="100" w:type="dxa"/>
            </w:tcMar>
            <w:vAlign w:val="center"/>
          </w:tcPr>
          <w:p>
            <w:pPr>
              <w:spacing w:after="36" w:before="0" w:line="240" w:lineRule="auto"/>
              <w:jc w:val="center"/>
              <w:keepLines/>
            </w:pPr>
            <w:r>
              <w:rPr>
                <w:rFonts w:ascii="Aptos" w:hAnsi="Aptos"/>
                <w:b/>
                <w:color w:val="1E7A52"/>
                <w:sz w:val="18"/>
              </w:rPr>
              <w:t>VISION</w:t>
            </w:r>
          </w:p>
          <w:p>
            <w:pPr>
              <w:spacing w:after="36" w:before="0" w:line="240" w:lineRule="auto"/>
              <w:jc w:val="center"/>
              <w:keepLines/>
            </w:pPr>
            <w:r>
              <w:rPr>
                <w:rFonts w:ascii="Aptos" w:hAnsi="Aptos"/>
                <w:b/>
                <w:color w:val="18312A"/>
                <w:sz w:val="23"/>
              </w:rPr>
              <w:t>Ne pas construire seulement une entreprise d’installation CVC, mais une marque capable de gérer les principaux systèmes techniques du logement sur toute leur durée de vie.</w:t>
            </w:r>
          </w:p>
        </w:tc>
      </w:tr>
    </w:tbl>
    <w:p>
      <w:pPr>
        <w:spacing w:before="700"/>
        <w:jc w:val="center"/>
        <w:keepLines/>
      </w:pPr>
      <w:r>
        <w:rPr>
          <w:rFonts w:ascii="Aptos" w:hAnsi="Aptos"/>
          <w:b w:val="0"/>
          <w:color w:val="56635E"/>
          <w:sz w:val="17"/>
        </w:rPr>
        <w:t>Document de travail stratégique - noms d’offres à valider juridiquement avant exploitation commerciale.</w:t>
      </w:r>
    </w:p>
    <w:p>
      <w:pPr>
        <w:keepLines/>
      </w:pPr>
      <w:r>
        <w:br w:type="page"/>
      </w:r>
    </w:p>
    <w:p>
      <w:pPr>
        <w:pStyle w:val="Heading1"/>
        <w:keepLines/>
        <w:keepNext/>
      </w:pPr>
      <w:r>
        <w:t>0. Synthèse exécutive</w:t>
      </w:r>
    </w:p>
    <w:p>
      <w:pPr>
        <w:pStyle w:val="Lead"/>
        <w:keepLines/>
      </w:pPr>
      <w:r>
        <w:rPr>
          <w:b/>
        </w:rPr>
        <w:t xml:space="preserve">Le modèle cible : </w:t>
      </w:r>
      <w:r>
        <w:t>Barreau Énergies devient l’intégrateur local des systèmes techniques de la maison. Le premier chantier n’est plus une transaction isolée : il est le point d’entrée d’une relation multi-équipements, multi-années et récurrente.</w:t>
      </w:r>
    </w:p>
    <w:tbl>
      <w:tblPr>
        <w:tblW w:type="auto" w:w="0"/>
        <w:jc w:val="center"/>
        <w:tblLayout w:type="autofit"/>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550"/>
        <w:gridCol w:w="2550"/>
        <w:gridCol w:w="2550"/>
        <w:gridCol w:w="2550"/>
      </w:tblGrid>
      <w:tr>
        <w:tc>
          <w:tcPr>
            <w:tcW w:type="dxa" w:w="2550"/>
            <w:shd w:fill="1E7A52"/>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9"/>
              </w:rPr>
              <w:t>ÉQUIPER</w:t>
            </w:r>
          </w:p>
        </w:tc>
        <w:tc>
          <w:tcPr>
            <w:tcW w:type="dxa" w:w="2550"/>
            <w:shd w:fill="1E7A52"/>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9"/>
              </w:rPr>
              <w:t>PROTÉGER</w:t>
            </w:r>
          </w:p>
        </w:tc>
        <w:tc>
          <w:tcPr>
            <w:tcW w:type="dxa" w:w="2550"/>
            <w:shd w:fill="1E7A52"/>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9"/>
              </w:rPr>
              <w:t>PILOTER</w:t>
            </w:r>
          </w:p>
        </w:tc>
        <w:tc>
          <w:tcPr>
            <w:tcW w:type="dxa" w:w="2550"/>
            <w:shd w:fill="1E7A52"/>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9"/>
              </w:rPr>
              <w:t>ENTRETENIR</w:t>
            </w:r>
          </w:p>
        </w:tc>
      </w:tr>
      <w:tr>
        <w:tc>
          <w:tcPr>
            <w:tcW w:type="dxa" w:w="2550"/>
            <w:shd w:fill="F5F8F6"/>
            <w:vAlign w:val="center"/>
            <w:tcMar>
              <w:top w:w="90" w:type="dxa"/>
              <w:start w:w="100" w:type="dxa"/>
              <w:bottom w:w="90" w:type="dxa"/>
              <w:end w:w="100" w:type="dxa"/>
            </w:tcMar>
          </w:tcPr>
          <w:p>
            <w:pPr>
              <w:spacing w:after="36" w:before="0" w:line="240" w:lineRule="auto"/>
              <w:jc w:val="center"/>
              <w:keepLines/>
            </w:pPr>
            <w:r>
              <w:rPr>
                <w:rFonts w:ascii="Aptos" w:hAnsi="Aptos"/>
                <w:b w:val="0"/>
                <w:color w:val="1B1F1E"/>
                <w:sz w:val="17"/>
              </w:rPr>
              <w:t>PAC, ECS, eau, ventilation</w:t>
            </w:r>
          </w:p>
        </w:tc>
        <w:tc>
          <w:tcPr>
            <w:tcW w:type="dxa" w:w="2550"/>
            <w:shd w:fill="F5F8F6"/>
            <w:vAlign w:val="center"/>
            <w:tcMar>
              <w:top w:w="90" w:type="dxa"/>
              <w:start w:w="100" w:type="dxa"/>
              <w:bottom w:w="90" w:type="dxa"/>
              <w:end w:w="100" w:type="dxa"/>
            </w:tcMar>
          </w:tcPr>
          <w:p>
            <w:pPr>
              <w:spacing w:after="36" w:before="0" w:line="240" w:lineRule="auto"/>
              <w:jc w:val="center"/>
              <w:keepLines/>
            </w:pPr>
            <w:r>
              <w:rPr>
                <w:rFonts w:ascii="Aptos" w:hAnsi="Aptos"/>
                <w:b w:val="0"/>
                <w:color w:val="1B1F1E"/>
                <w:sz w:val="17"/>
              </w:rPr>
              <w:t>Fuite, pression, électrique</w:t>
            </w:r>
          </w:p>
        </w:tc>
        <w:tc>
          <w:tcPr>
            <w:tcW w:type="dxa" w:w="2550"/>
            <w:shd w:fill="F5F8F6"/>
            <w:vAlign w:val="center"/>
            <w:tcMar>
              <w:top w:w="90" w:type="dxa"/>
              <w:start w:w="100" w:type="dxa"/>
              <w:bottom w:w="90" w:type="dxa"/>
              <w:end w:w="100" w:type="dxa"/>
            </w:tcMar>
          </w:tcPr>
          <w:p>
            <w:pPr>
              <w:spacing w:after="36" w:before="0" w:line="240" w:lineRule="auto"/>
              <w:jc w:val="center"/>
              <w:keepLines/>
            </w:pPr>
            <w:r>
              <w:rPr>
                <w:rFonts w:ascii="Aptos" w:hAnsi="Aptos"/>
                <w:b w:val="0"/>
                <w:color w:val="1B1F1E"/>
                <w:sz w:val="17"/>
              </w:rPr>
              <w:t>Consommation, HEMS, régulation</w:t>
            </w:r>
          </w:p>
        </w:tc>
        <w:tc>
          <w:tcPr>
            <w:tcW w:type="dxa" w:w="2550"/>
            <w:shd w:fill="F5F8F6"/>
            <w:vAlign w:val="center"/>
            <w:tcMar>
              <w:top w:w="90" w:type="dxa"/>
              <w:start w:w="100" w:type="dxa"/>
              <w:bottom w:w="90" w:type="dxa"/>
              <w:end w:w="100" w:type="dxa"/>
            </w:tcMar>
          </w:tcPr>
          <w:p>
            <w:pPr>
              <w:spacing w:after="36" w:before="0" w:line="240" w:lineRule="auto"/>
              <w:jc w:val="center"/>
              <w:keepLines/>
            </w:pPr>
            <w:r>
              <w:rPr>
                <w:rFonts w:ascii="Aptos" w:hAnsi="Aptos"/>
                <w:b w:val="0"/>
                <w:color w:val="1B1F1E"/>
                <w:sz w:val="17"/>
              </w:rPr>
              <w:t>Maintenance, alertes, suivi</w:t>
            </w:r>
          </w:p>
        </w:tc>
      </w:tr>
    </w:tbl>
    <w:p>
      <w:pPr>
        <w:spacing w:before="200"/>
        <w:keepLines/>
      </w:pPr>
      <w:r>
        <w:rPr>
          <w:rFonts w:ascii="Aptos" w:hAnsi="Aptos"/>
          <w:b/>
          <w:color w:val="1E7A52"/>
          <w:sz w:val="21"/>
        </w:rPr>
        <w:t xml:space="preserve">North Star Metric : </w:t>
      </w:r>
      <w:r>
        <w:rPr>
          <w:rFonts w:ascii="Aptos" w:hAnsi="Aptos"/>
          <w:b w:val="0"/>
          <w:color w:val="1B1F1E"/>
          <w:sz w:val="21"/>
        </w:rPr>
        <w:t>nombre de foyers actifs dans l’écosystème Barreau, avec au moins un équipement suivi et une prochaine action client identifiée.</w:t>
      </w:r>
    </w:p>
    <w:p>
      <w:pPr>
        <w:keepLines/>
      </w:pPr>
      <w:r>
        <w:rPr>
          <w:rFonts w:ascii="Aptos" w:hAnsi="Aptos"/>
          <w:b/>
          <w:color w:val="18312A"/>
          <w:sz w:val="20"/>
        </w:rPr>
        <w:t xml:space="preserve">1. Une marque unique - </w:t>
      </w:r>
      <w:r>
        <w:rPr>
          <w:rFonts w:ascii="Aptos" w:hAnsi="Aptos"/>
          <w:b w:val="0"/>
          <w:color w:val="1B1F1E"/>
          <w:sz w:val="19"/>
        </w:rPr>
        <w:t>Une seule marque Barreau Énergies, avec des divisions et des offres propriétaires. Éviter la fragmentation en multiples petites marques métiers.</w:t>
      </w:r>
    </w:p>
    <w:p>
      <w:pPr>
        <w:keepLines/>
      </w:pPr>
      <w:r>
        <w:rPr>
          <w:rFonts w:ascii="Aptos" w:hAnsi="Aptos"/>
          <w:b/>
          <w:color w:val="18312A"/>
          <w:sz w:val="20"/>
        </w:rPr>
        <w:t xml:space="preserve">2. Des offres productisées - </w:t>
      </w:r>
      <w:r>
        <w:rPr>
          <w:rFonts w:ascii="Aptos" w:hAnsi="Aptos"/>
          <w:b w:val="0"/>
          <w:color w:val="1B1F1E"/>
          <w:sz w:val="19"/>
        </w:rPr>
        <w:t>Chaque prestation doit avoir un périmètre, un prix ou une logique de prix, un temps standard, des options et un niveau Essentiel / Plus / Premium lorsque pertinent.</w:t>
      </w:r>
    </w:p>
    <w:p>
      <w:pPr>
        <w:keepLines/>
      </w:pPr>
      <w:r>
        <w:rPr>
          <w:rFonts w:ascii="Aptos" w:hAnsi="Aptos"/>
          <w:b/>
          <w:color w:val="18312A"/>
          <w:sz w:val="20"/>
        </w:rPr>
        <w:t xml:space="preserve">3. Une relation à vie - </w:t>
      </w:r>
      <w:r>
        <w:rPr>
          <w:rFonts w:ascii="Aptos" w:hAnsi="Aptos"/>
          <w:b w:val="0"/>
          <w:color w:val="1B1F1E"/>
          <w:sz w:val="19"/>
        </w:rPr>
        <w:t>Passeport Maison, entretien, rappels, contrats, cross-sell et recommandations doivent transformer le fichier clients en actif stratégique.</w:t>
      </w:r>
    </w:p>
    <w:p>
      <w:pPr>
        <w:keepLines/>
      </w:pPr>
      <w:r>
        <w:rPr>
          <w:rFonts w:ascii="Aptos" w:hAnsi="Aptos"/>
          <w:b/>
          <w:color w:val="18312A"/>
          <w:sz w:val="20"/>
        </w:rPr>
        <w:t xml:space="preserve">4. Une entreprise duplicable - </w:t>
      </w:r>
      <w:r>
        <w:rPr>
          <w:rFonts w:ascii="Aptos" w:hAnsi="Aptos"/>
          <w:b w:val="0"/>
          <w:color w:val="1B1F1E"/>
          <w:sz w:val="19"/>
        </w:rPr>
        <w:t>Les process doivent être exécutables demain par un technicien, un conseiller ou un coordinateur sans dépendre de la mémoire du dirigeant.</w:t>
      </w:r>
    </w:p>
    <w:p>
      <w:pPr>
        <w:pStyle w:val="Heading1"/>
        <w:keepLines/>
        <w:keepNext/>
      </w:pPr>
      <w:r>
        <w:t>Sommaire</w:t>
      </w:r>
    </w:p>
    <w:p>
      <w:pPr>
        <w:spacing w:after="40"/>
        <w:ind w:left="227"/>
        <w:keepLines/>
      </w:pPr>
      <w:r>
        <w:rPr>
          <w:rFonts w:ascii="Aptos" w:hAnsi="Aptos"/>
          <w:b w:val="0"/>
          <w:color w:val="18312A"/>
          <w:sz w:val="19"/>
        </w:rPr>
        <w:t>1. Ambition et positionnement</w:t>
      </w:r>
    </w:p>
    <w:p>
      <w:pPr>
        <w:spacing w:after="40"/>
        <w:ind w:left="227"/>
        <w:keepLines/>
      </w:pPr>
      <w:r>
        <w:rPr>
          <w:rFonts w:ascii="Aptos" w:hAnsi="Aptos"/>
          <w:b w:val="0"/>
          <w:color w:val="18312A"/>
          <w:sz w:val="19"/>
        </w:rPr>
        <w:t>2. Architecture de marque</w:t>
      </w:r>
    </w:p>
    <w:p>
      <w:pPr>
        <w:spacing w:after="40"/>
        <w:ind w:left="227"/>
        <w:keepLines/>
      </w:pPr>
      <w:r>
        <w:rPr>
          <w:rFonts w:ascii="Aptos" w:hAnsi="Aptos"/>
          <w:b w:val="0"/>
          <w:color w:val="18312A"/>
          <w:sz w:val="19"/>
        </w:rPr>
        <w:t>3. Flywheel du modèle économique</w:t>
      </w:r>
    </w:p>
    <w:p>
      <w:pPr>
        <w:spacing w:after="40"/>
        <w:ind w:left="227"/>
        <w:keepLines/>
      </w:pPr>
      <w:r>
        <w:rPr>
          <w:rFonts w:ascii="Aptos" w:hAnsi="Aptos"/>
          <w:b w:val="0"/>
          <w:color w:val="18312A"/>
          <w:sz w:val="19"/>
        </w:rPr>
        <w:t>4. Les cinq divisions Barreau</w:t>
      </w:r>
    </w:p>
    <w:p>
      <w:pPr>
        <w:spacing w:after="40"/>
        <w:ind w:left="227"/>
        <w:keepLines/>
      </w:pPr>
      <w:r>
        <w:rPr>
          <w:rFonts w:ascii="Aptos" w:hAnsi="Aptos"/>
          <w:b w:val="0"/>
          <w:color w:val="18312A"/>
          <w:sz w:val="19"/>
        </w:rPr>
        <w:t>5. Catalogue de services cible</w:t>
      </w:r>
    </w:p>
    <w:p>
      <w:pPr>
        <w:spacing w:after="40"/>
        <w:ind w:left="227"/>
        <w:keepLines/>
      </w:pPr>
      <w:r>
        <w:rPr>
          <w:rFonts w:ascii="Aptos" w:hAnsi="Aptos"/>
          <w:b w:val="0"/>
          <w:color w:val="18312A"/>
          <w:sz w:val="19"/>
        </w:rPr>
        <w:t>6. Productisation : Essentiel / Plus / Premium</w:t>
      </w:r>
    </w:p>
    <w:p>
      <w:pPr>
        <w:spacing w:after="40"/>
        <w:ind w:left="227"/>
        <w:keepLines/>
      </w:pPr>
      <w:r>
        <w:rPr>
          <w:rFonts w:ascii="Aptos" w:hAnsi="Aptos"/>
          <w:b w:val="0"/>
          <w:color w:val="18312A"/>
          <w:sz w:val="19"/>
        </w:rPr>
        <w:t>7. Offres phares à lancer</w:t>
      </w:r>
    </w:p>
    <w:p>
      <w:pPr>
        <w:spacing w:after="40"/>
        <w:ind w:left="227"/>
        <w:keepLines/>
      </w:pPr>
      <w:r>
        <w:rPr>
          <w:rFonts w:ascii="Aptos" w:hAnsi="Aptos"/>
          <w:b w:val="0"/>
          <w:color w:val="18312A"/>
          <w:sz w:val="19"/>
        </w:rPr>
        <w:t>8. Barreau Care et le revenu récurrent</w:t>
      </w:r>
    </w:p>
    <w:p>
      <w:pPr>
        <w:spacing w:after="40"/>
        <w:ind w:left="227"/>
        <w:keepLines/>
      </w:pPr>
      <w:r>
        <w:rPr>
          <w:rFonts w:ascii="Aptos" w:hAnsi="Aptos"/>
          <w:b w:val="0"/>
          <w:color w:val="18312A"/>
          <w:sz w:val="19"/>
        </w:rPr>
        <w:t>9. Parcours client et Passeport Maison</w:t>
      </w:r>
    </w:p>
    <w:p>
      <w:pPr>
        <w:spacing w:after="40"/>
        <w:ind w:left="227"/>
        <w:keepLines/>
      </w:pPr>
      <w:r>
        <w:rPr>
          <w:rFonts w:ascii="Aptos" w:hAnsi="Aptos"/>
          <w:b w:val="0"/>
          <w:color w:val="18312A"/>
          <w:sz w:val="19"/>
        </w:rPr>
        <w:t>10. Moteur de ventes croisées</w:t>
      </w:r>
    </w:p>
    <w:p>
      <w:pPr>
        <w:spacing w:after="40"/>
        <w:ind w:left="227"/>
        <w:keepLines/>
      </w:pPr>
      <w:r>
        <w:rPr>
          <w:rFonts w:ascii="Aptos" w:hAnsi="Aptos"/>
          <w:b w:val="0"/>
          <w:color w:val="18312A"/>
          <w:sz w:val="19"/>
        </w:rPr>
        <w:t>11. Système commercial et Pricebook</w:t>
      </w:r>
    </w:p>
    <w:p>
      <w:pPr>
        <w:spacing w:after="40"/>
        <w:ind w:left="227"/>
        <w:keepLines/>
      </w:pPr>
      <w:r>
        <w:rPr>
          <w:rFonts w:ascii="Aptos" w:hAnsi="Aptos"/>
          <w:b w:val="0"/>
          <w:color w:val="18312A"/>
          <w:sz w:val="19"/>
        </w:rPr>
        <w:t>12. Exécution terrain et camion-stock</w:t>
      </w:r>
    </w:p>
    <w:p>
      <w:pPr>
        <w:spacing w:after="40"/>
        <w:ind w:left="227"/>
        <w:keepLines/>
      </w:pPr>
      <w:r>
        <w:rPr>
          <w:rFonts w:ascii="Aptos" w:hAnsi="Aptos"/>
          <w:b w:val="0"/>
          <w:color w:val="18312A"/>
          <w:sz w:val="19"/>
        </w:rPr>
        <w:t>13. Promesse de service et qualité</w:t>
      </w:r>
    </w:p>
    <w:p>
      <w:pPr>
        <w:spacing w:after="40"/>
        <w:ind w:left="227"/>
        <w:keepLines/>
      </w:pPr>
      <w:r>
        <w:rPr>
          <w:rFonts w:ascii="Aptos" w:hAnsi="Aptos"/>
          <w:b w:val="0"/>
          <w:color w:val="18312A"/>
          <w:sz w:val="19"/>
        </w:rPr>
        <w:t>14. Marketing et acquisition</w:t>
      </w:r>
    </w:p>
    <w:p>
      <w:pPr>
        <w:spacing w:after="40"/>
        <w:ind w:left="227"/>
        <w:keepLines/>
      </w:pPr>
      <w:r>
        <w:rPr>
          <w:rFonts w:ascii="Aptos" w:hAnsi="Aptos"/>
          <w:b w:val="0"/>
          <w:color w:val="18312A"/>
          <w:sz w:val="19"/>
        </w:rPr>
        <w:t>15. Organisation et montée en équipe</w:t>
      </w:r>
    </w:p>
    <w:p>
      <w:pPr>
        <w:spacing w:after="40"/>
        <w:ind w:left="227"/>
        <w:keepLines/>
      </w:pPr>
      <w:r>
        <w:rPr>
          <w:rFonts w:ascii="Aptos" w:hAnsi="Aptos"/>
          <w:b w:val="0"/>
          <w:color w:val="18312A"/>
          <w:sz w:val="19"/>
        </w:rPr>
        <w:t>16. Tableau de bord KPI</w:t>
      </w:r>
    </w:p>
    <w:p>
      <w:pPr>
        <w:spacing w:after="40"/>
        <w:ind w:left="227"/>
        <w:keepLines/>
      </w:pPr>
      <w:r>
        <w:rPr>
          <w:rFonts w:ascii="Aptos" w:hAnsi="Aptos"/>
          <w:b w:val="0"/>
          <w:color w:val="18312A"/>
          <w:sz w:val="19"/>
        </w:rPr>
        <w:t>17. Roadmap 2026-2030</w:t>
      </w:r>
    </w:p>
    <w:p>
      <w:pPr>
        <w:spacing w:after="40"/>
        <w:ind w:left="227"/>
        <w:keepLines/>
      </w:pPr>
      <w:r>
        <w:rPr>
          <w:rFonts w:ascii="Aptos" w:hAnsi="Aptos"/>
          <w:b w:val="0"/>
          <w:color w:val="18312A"/>
          <w:sz w:val="19"/>
        </w:rPr>
        <w:t>18. Plan d’action 90 jours</w:t>
      </w:r>
    </w:p>
    <w:p>
      <w:pPr>
        <w:spacing w:after="40"/>
        <w:ind w:left="227"/>
        <w:keepLines/>
      </w:pPr>
      <w:r>
        <w:rPr>
          <w:rFonts w:ascii="Aptos" w:hAnsi="Aptos"/>
          <w:b w:val="0"/>
          <w:color w:val="18312A"/>
          <w:sz w:val="19"/>
        </w:rPr>
        <w:t>19. Règles de décision et garde-fous</w:t>
      </w:r>
    </w:p>
    <w:p>
      <w:pPr>
        <w:spacing w:after="40"/>
        <w:ind w:left="227"/>
        <w:keepLines/>
      </w:pPr>
      <w:r>
        <w:rPr>
          <w:rFonts w:ascii="Aptos" w:hAnsi="Aptos"/>
          <w:b w:val="0"/>
          <w:color w:val="18312A"/>
          <w:sz w:val="19"/>
        </w:rPr>
        <w:t>20. Sources et inspirations</w:t>
      </w:r>
    </w:p>
    <w:p>
      <w:pPr>
        <w:keepLines/>
      </w:pPr>
      <w:r>
        <w:br w:type="page"/>
      </w:r>
    </w:p>
    <w:p>
      <w:pPr>
        <w:pStyle w:val="Heading1"/>
        <w:keepLines/>
        <w:keepNext/>
      </w:pPr>
      <w:r>
        <w:t>1. Ambition et positionnement</w:t>
      </w:r>
    </w:p>
    <w:p>
      <w:pPr>
        <w:pStyle w:val="Heading2"/>
        <w:keepLines/>
        <w:keepNext/>
      </w:pPr>
      <w:r>
        <w:t>1.1 Ambition 2030</w:t>
      </w:r>
    </w:p>
    <w:p>
      <w:pPr>
        <w:pStyle w:val="Lead"/>
        <w:keepLines/>
      </w:pPr>
      <w:r>
        <w:rPr>
          <w:b/>
        </w:rPr>
        <w:t xml:space="preserve">Ambition : </w:t>
      </w:r>
      <w:r>
        <w:t>faire de Barreau Énergies une référence locale des Home Services techniques, capable d’acquérir un foyer sur un besoin précis puis de gérer progressivement son confort, son eau, son énergie, sa protection et sa maintenance.</w:t>
      </w:r>
    </w:p>
    <w:tbl>
      <w:tblPr>
        <w:tblW w:type="auto" w:w="0"/>
        <w:jc w:val="center"/>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5100"/>
        <w:gridCol w:w="5100"/>
      </w:tblGrid>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8"/>
              </w:rPr>
              <w:t>Nous sommes</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8"/>
              </w:rPr>
              <w:t>un intégrateur de systèmes techniques résidentiels</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8"/>
              </w:rPr>
              <w:t>Nous ne sommes pas</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8"/>
              </w:rPr>
              <w:t>un artisan généraliste qui “fait un peu de tout”</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8"/>
              </w:rPr>
              <w:t>Client cœur</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8"/>
              </w:rPr>
              <w:t>propriétaire occupant recherchant fiabilité, confort, économie et simplicité</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8"/>
              </w:rPr>
              <w:t>Avantage recherché</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8"/>
              </w:rPr>
              <w:t>marque, rapidité, standardisation, suivi, multi-équipement</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8"/>
              </w:rPr>
              <w:t>Résultat</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8"/>
              </w:rPr>
              <w:t>une part croissante du budget technique du même foyer sur plusieurs années</w:t>
            </w:r>
          </w:p>
        </w:tc>
      </w:tr>
    </w:tbl>
    <w:p>
      <w:pPr>
        <w:pStyle w:val="Heading2"/>
        <w:keepLines/>
        <w:keepNext/>
      </w:pPr>
      <w:r>
        <w:t>1.2 Proposition de valeur</w:t>
      </w:r>
    </w:p>
    <w:p>
      <w:pPr>
        <w:ind w:left="170"/>
        <w:keepLines/>
      </w:pPr>
      <w:r>
        <w:t>• Un seul interlocuteur pour les équipements techniques essentiels du logement.</w:t>
      </w:r>
    </w:p>
    <w:p>
      <w:pPr>
        <w:ind w:left="170"/>
        <w:keepLines/>
      </w:pPr>
      <w:r>
        <w:t>• Des solutions conçues autour d’un résultat client, pas autour d’une référence produit.</w:t>
      </w:r>
    </w:p>
    <w:p>
      <w:pPr>
        <w:ind w:left="170"/>
        <w:keepLines/>
      </w:pPr>
      <w:r>
        <w:t>• Des installations documentées, expliquées et suivies dans le temps.</w:t>
      </w:r>
    </w:p>
    <w:p>
      <w:pPr>
        <w:ind w:left="170"/>
        <w:keepLines/>
      </w:pPr>
      <w:r>
        <w:t>• Des équipements rendus mesurables et pilotables quand cela crée de la valeur.</w:t>
      </w:r>
    </w:p>
    <w:p>
      <w:pPr>
        <w:ind w:left="170"/>
        <w:keepLines/>
      </w:pPr>
      <w:r>
        <w:t>• Une expérience homogène : devis clair, chantier propre, dossier numérique, suivi après intervention.</w:t>
      </w:r>
    </w:p>
    <w:tbl>
      <w:tblPr>
        <w:tblW w:type="auto" w:w="0"/>
        <w:tblLook w:firstColumn="1" w:firstRow="1" w:lastColumn="0" w:lastRow="0" w:noHBand="0" w:noVBand="1" w:val="04A0"/>
        <w:tblBorders>
          <w:top w:val="single" w:sz="6" w:color="1E7A52"/>
          <w:left w:val="single" w:sz="6" w:color="1E7A52"/>
          <w:bottom w:val="single" w:sz="6" w:color="1E7A52"/>
          <w:right w:val="single" w:sz="6" w:color="1E7A52"/>
          <w:insideH w:val="single" w:sz="6" w:color="1E7A52"/>
          <w:insideV w:val="single" w:sz="6" w:color="1E7A52"/>
        </w:tblBorders>
      </w:tblPr>
      <w:tblGrid>
        <w:gridCol w:w="10200"/>
      </w:tblGrid>
      <w:tr>
        <w:tc>
          <w:tcPr>
            <w:tcW w:type="dxa" w:w="10200"/>
            <w:shd w:fill="EAF4EF"/>
            <w:tcMar>
              <w:top w:w="90" w:type="dxa"/>
              <w:start w:w="100" w:type="dxa"/>
              <w:bottom w:w="90" w:type="dxa"/>
              <w:end w:w="100" w:type="dxa"/>
            </w:tcMar>
            <w:vAlign w:val="center"/>
          </w:tcPr>
          <w:p>
            <w:pPr>
              <w:spacing w:after="36" w:before="0" w:line="240" w:lineRule="auto"/>
              <w:keepLines/>
            </w:pPr>
            <w:r>
              <w:rPr>
                <w:rFonts w:ascii="Aptos" w:hAnsi="Aptos"/>
                <w:b/>
                <w:color w:val="1E7A52"/>
                <w:sz w:val="20"/>
              </w:rPr>
              <w:t xml:space="preserve">Positionnement recommandé : </w:t>
            </w:r>
            <w:r>
              <w:rPr>
                <w:rFonts w:ascii="Aptos" w:hAnsi="Aptos"/>
                <w:b/>
                <w:color w:val="18312A"/>
                <w:sz w:val="22"/>
              </w:rPr>
              <w:t>« Barreau Énergies - les systèmes techniques de votre habitat, maîtrisés. »</w:t>
            </w:r>
          </w:p>
        </w:tc>
      </w:tr>
    </w:tbl>
    <w:p>
      <w:pPr>
        <w:pStyle w:val="Heading1"/>
        <w:keepLines/>
        <w:keepNext/>
      </w:pPr>
      <w:r>
        <w:t>2. Architecture de marque</w:t>
      </w:r>
    </w:p>
    <w:p>
      <w:pPr>
        <w:pStyle w:val="Lead"/>
        <w:keepLines/>
      </w:pPr>
      <w:r>
        <w:rPr>
          <w:b/>
        </w:rPr>
        <w:t xml:space="preserve">Une marque forte, cinq divisions, des offres propriétaires. </w:t>
      </w:r>
      <w:r>
        <w:t>Le client doit comprendre l’univers Barreau en moins de 10 secondes.</w:t>
      </w:r>
    </w:p>
    <w:tbl>
      <w:tblPr>
        <w:tblW w:type="auto" w:w="0"/>
        <w:jc w:val="center"/>
        <w:tblLook w:firstColumn="1" w:firstRow="1" w:lastColumn="0" w:lastRow="0" w:noHBand="0" w:noVBand="1" w:val="04A0"/>
        <w:tblBorders>
          <w:top w:val="single" w:sz="1" w:color="FFFFFF"/>
          <w:left w:val="single" w:sz="1" w:color="FFFFFF"/>
          <w:bottom w:val="single" w:sz="1" w:color="FFFFFF"/>
          <w:right w:val="single" w:sz="1" w:color="FFFFFF"/>
          <w:insideH w:val="single" w:sz="1" w:color="FFFFFF"/>
          <w:insideV w:val="single" w:sz="1" w:color="FFFFFF"/>
        </w:tblBorders>
      </w:tblPr>
      <w:tblGrid>
        <w:gridCol w:w="2040"/>
        <w:gridCol w:w="2040"/>
        <w:gridCol w:w="2040"/>
        <w:gridCol w:w="2040"/>
        <w:gridCol w:w="2040"/>
      </w:tblGrid>
      <w:tr>
        <w:tc>
          <w:tcPr>
            <w:tcW w:type="dxa" w:w="2040"/>
            <w:shd w:fill="18312A"/>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8"/>
              </w:rPr>
              <w:t>CLIMATE</w:t>
            </w:r>
          </w:p>
        </w:tc>
        <w:tc>
          <w:tcPr>
            <w:tcW w:type="dxa" w:w="2040"/>
            <w:shd w:fill="18312A"/>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8"/>
              </w:rPr>
              <w:t>WATER</w:t>
            </w:r>
          </w:p>
        </w:tc>
        <w:tc>
          <w:tcPr>
            <w:tcW w:type="dxa" w:w="2040"/>
            <w:shd w:fill="18312A"/>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8"/>
              </w:rPr>
              <w:t>ENERGY</w:t>
            </w:r>
          </w:p>
        </w:tc>
        <w:tc>
          <w:tcPr>
            <w:tcW w:type="dxa" w:w="2040"/>
            <w:shd w:fill="18312A"/>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8"/>
              </w:rPr>
              <w:t>HOME</w:t>
            </w:r>
          </w:p>
        </w:tc>
        <w:tc>
          <w:tcPr>
            <w:tcW w:type="dxa" w:w="2040"/>
            <w:shd w:fill="1E7A52"/>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8"/>
              </w:rPr>
              <w:t>CARE</w:t>
            </w:r>
          </w:p>
        </w:tc>
      </w:tr>
      <w:tr>
        <w:tc>
          <w:tcPr>
            <w:tcW w:type="dxa" w:w="2040"/>
            <w:shd w:fill="F5F8F6"/>
            <w:vAlign w:val="center"/>
            <w:tcMar>
              <w:top w:w="90" w:type="dxa"/>
              <w:start w:w="100" w:type="dxa"/>
              <w:bottom w:w="90" w:type="dxa"/>
              <w:end w:w="100" w:type="dxa"/>
            </w:tcMar>
          </w:tcPr>
          <w:p>
            <w:pPr>
              <w:spacing w:after="36" w:before="0" w:line="240" w:lineRule="auto"/>
              <w:jc w:val="center"/>
              <w:keepLines/>
            </w:pPr>
            <w:r>
              <w:rPr>
                <w:rFonts w:ascii="Aptos" w:hAnsi="Aptos"/>
                <w:b w:val="0"/>
                <w:color w:val="1B1F1E"/>
                <w:sz w:val="16"/>
              </w:rPr>
              <w:t>Confort thermique</w:t>
            </w:r>
          </w:p>
        </w:tc>
        <w:tc>
          <w:tcPr>
            <w:tcW w:type="dxa" w:w="2040"/>
            <w:shd w:fill="F5F8F6"/>
            <w:vAlign w:val="center"/>
            <w:tcMar>
              <w:top w:w="90" w:type="dxa"/>
              <w:start w:w="100" w:type="dxa"/>
              <w:bottom w:w="90" w:type="dxa"/>
              <w:end w:w="100" w:type="dxa"/>
            </w:tcMar>
          </w:tcPr>
          <w:p>
            <w:pPr>
              <w:spacing w:after="36" w:before="0" w:line="240" w:lineRule="auto"/>
              <w:jc w:val="center"/>
              <w:keepLines/>
            </w:pPr>
            <w:r>
              <w:rPr>
                <w:rFonts w:ascii="Aptos" w:hAnsi="Aptos"/>
                <w:b w:val="0"/>
                <w:color w:val="1B1F1E"/>
                <w:sz w:val="16"/>
              </w:rPr>
              <w:t>Eau &amp; protection</w:t>
            </w:r>
          </w:p>
        </w:tc>
        <w:tc>
          <w:tcPr>
            <w:tcW w:type="dxa" w:w="2040"/>
            <w:shd w:fill="F5F8F6"/>
            <w:vAlign w:val="center"/>
            <w:tcMar>
              <w:top w:w="90" w:type="dxa"/>
              <w:start w:w="100" w:type="dxa"/>
              <w:bottom w:w="90" w:type="dxa"/>
              <w:end w:w="100" w:type="dxa"/>
            </w:tcMar>
          </w:tcPr>
          <w:p>
            <w:pPr>
              <w:spacing w:after="36" w:before="0" w:line="240" w:lineRule="auto"/>
              <w:jc w:val="center"/>
              <w:keepLines/>
            </w:pPr>
            <w:r>
              <w:rPr>
                <w:rFonts w:ascii="Aptos" w:hAnsi="Aptos"/>
                <w:b w:val="0"/>
                <w:color w:val="1B1F1E"/>
                <w:sz w:val="16"/>
              </w:rPr>
              <w:t>Électricité &amp; pilotage</w:t>
            </w:r>
          </w:p>
        </w:tc>
        <w:tc>
          <w:tcPr>
            <w:tcW w:type="dxa" w:w="2040"/>
            <w:shd w:fill="F5F8F6"/>
            <w:vAlign w:val="center"/>
            <w:tcMar>
              <w:top w:w="90" w:type="dxa"/>
              <w:start w:w="100" w:type="dxa"/>
              <w:bottom w:w="90" w:type="dxa"/>
              <w:end w:w="100" w:type="dxa"/>
            </w:tcMar>
          </w:tcPr>
          <w:p>
            <w:pPr>
              <w:spacing w:after="36" w:before="0" w:line="240" w:lineRule="auto"/>
              <w:jc w:val="center"/>
              <w:keepLines/>
            </w:pPr>
            <w:r>
              <w:rPr>
                <w:rFonts w:ascii="Aptos" w:hAnsi="Aptos"/>
                <w:b w:val="0"/>
                <w:color w:val="1B1F1E"/>
                <w:sz w:val="16"/>
              </w:rPr>
              <w:t>Air &amp; systèmes maison</w:t>
            </w:r>
          </w:p>
        </w:tc>
        <w:tc>
          <w:tcPr>
            <w:tcW w:type="dxa" w:w="2040"/>
            <w:shd w:fill="F5F8F6"/>
            <w:vAlign w:val="center"/>
            <w:tcMar>
              <w:top w:w="90" w:type="dxa"/>
              <w:start w:w="100" w:type="dxa"/>
              <w:bottom w:w="90" w:type="dxa"/>
              <w:end w:w="100" w:type="dxa"/>
            </w:tcMar>
          </w:tcPr>
          <w:p>
            <w:pPr>
              <w:spacing w:after="36" w:before="0" w:line="240" w:lineRule="auto"/>
              <w:jc w:val="center"/>
              <w:keepLines/>
            </w:pPr>
            <w:r>
              <w:rPr>
                <w:rFonts w:ascii="Aptos" w:hAnsi="Aptos"/>
                <w:b w:val="0"/>
                <w:color w:val="1B1F1E"/>
                <w:sz w:val="16"/>
              </w:rPr>
              <w:t>Maintenance &amp; assistance</w:t>
            </w:r>
          </w:p>
        </w:tc>
      </w:tr>
    </w:tbl>
    <w:p>
      <w:pPr>
        <w:pStyle w:val="Small"/>
        <w:keepLines/>
      </w:pPr>
      <w:r>
        <w:t>Noms de division et d’offres : noms de travail. Vérifier disponibilité de marque, noms de domaine et conformité des allégations avant lancement.</w:t>
      </w:r>
    </w:p>
    <w:p>
      <w:pPr>
        <w:pStyle w:val="Heading2"/>
        <w:keepLines/>
        <w:keepNext/>
      </w:pPr>
      <w:r>
        <w:t>2.1 Règle d’extension</w:t>
      </w:r>
    </w:p>
    <w:p>
      <w:pPr>
        <w:keepLines/>
      </w:pPr>
      <w:r>
        <w:t>Une nouvelle prestation n’entre au catalogue que si elle renforce au moins deux des cinq leviers ci-dessous :</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040"/>
        <w:gridCol w:w="2040"/>
        <w:gridCol w:w="2040"/>
        <w:gridCol w:w="2040"/>
        <w:gridCol w:w="2040"/>
      </w:tblGrid>
      <w:tr>
        <w:tc>
          <w:tcPr>
            <w:tcW w:type="dxa" w:w="2040"/>
            <w:shd w:fill="EAF4EF"/>
            <w:vAlign w:val="center"/>
            <w:tcMar>
              <w:top w:w="90" w:type="dxa"/>
              <w:start w:w="100" w:type="dxa"/>
              <w:bottom w:w="90" w:type="dxa"/>
              <w:end w:w="100" w:type="dxa"/>
            </w:tcMar>
          </w:tcPr>
          <w:p>
            <w:pPr>
              <w:spacing w:after="36" w:before="0" w:line="240" w:lineRule="auto"/>
              <w:jc w:val="center"/>
              <w:keepLines/>
            </w:pPr>
            <w:r>
              <w:rPr>
                <w:rFonts w:ascii="Aptos" w:hAnsi="Aptos"/>
                <w:b/>
                <w:color w:val="18312A"/>
                <w:sz w:val="15"/>
              </w:rPr>
              <w:t>VENTE À LA BASE CLIENTS EXISTANTE</w:t>
            </w:r>
          </w:p>
        </w:tc>
        <w:tc>
          <w:tcPr>
            <w:tcW w:type="dxa" w:w="2040"/>
            <w:shd w:fill="F5F8F6"/>
            <w:vAlign w:val="center"/>
            <w:tcMar>
              <w:top w:w="90" w:type="dxa"/>
              <w:start w:w="100" w:type="dxa"/>
              <w:bottom w:w="90" w:type="dxa"/>
              <w:end w:w="100" w:type="dxa"/>
            </w:tcMar>
          </w:tcPr>
          <w:p>
            <w:pPr>
              <w:spacing w:after="36" w:before="0" w:line="240" w:lineRule="auto"/>
              <w:jc w:val="center"/>
              <w:keepLines/>
            </w:pPr>
            <w:r>
              <w:rPr>
                <w:rFonts w:ascii="Aptos" w:hAnsi="Aptos"/>
                <w:b/>
                <w:color w:val="18312A"/>
                <w:sz w:val="15"/>
              </w:rPr>
              <w:t>MARGE ET PANIER MOYEN</w:t>
            </w:r>
          </w:p>
        </w:tc>
        <w:tc>
          <w:tcPr>
            <w:tcW w:type="dxa" w:w="2040"/>
            <w:shd w:fill="EAF4EF"/>
            <w:vAlign w:val="center"/>
            <w:tcMar>
              <w:top w:w="90" w:type="dxa"/>
              <w:start w:w="100" w:type="dxa"/>
              <w:bottom w:w="90" w:type="dxa"/>
              <w:end w:w="100" w:type="dxa"/>
            </w:tcMar>
          </w:tcPr>
          <w:p>
            <w:pPr>
              <w:spacing w:after="36" w:before="0" w:line="240" w:lineRule="auto"/>
              <w:jc w:val="center"/>
              <w:keepLines/>
            </w:pPr>
            <w:r>
              <w:rPr>
                <w:rFonts w:ascii="Aptos" w:hAnsi="Aptos"/>
                <w:b/>
                <w:color w:val="18312A"/>
                <w:sz w:val="15"/>
              </w:rPr>
              <w:t>REVENU RÉCURRENT</w:t>
            </w:r>
          </w:p>
        </w:tc>
        <w:tc>
          <w:tcPr>
            <w:tcW w:type="dxa" w:w="2040"/>
            <w:shd w:fill="F5F8F6"/>
            <w:vAlign w:val="center"/>
            <w:tcMar>
              <w:top w:w="90" w:type="dxa"/>
              <w:start w:w="100" w:type="dxa"/>
              <w:bottom w:w="90" w:type="dxa"/>
              <w:end w:w="100" w:type="dxa"/>
            </w:tcMar>
          </w:tcPr>
          <w:p>
            <w:pPr>
              <w:spacing w:after="36" w:before="0" w:line="240" w:lineRule="auto"/>
              <w:jc w:val="center"/>
              <w:keepLines/>
            </w:pPr>
            <w:r>
              <w:rPr>
                <w:rFonts w:ascii="Aptos" w:hAnsi="Aptos"/>
                <w:b/>
                <w:color w:val="18312A"/>
                <w:sz w:val="15"/>
              </w:rPr>
              <w:t>DIFFÉRENCIATION MESURABLE</w:t>
            </w:r>
          </w:p>
        </w:tc>
        <w:tc>
          <w:tcPr>
            <w:tcW w:type="dxa" w:w="2040"/>
            <w:shd w:fill="EAF4EF"/>
            <w:vAlign w:val="center"/>
            <w:tcMar>
              <w:top w:w="90" w:type="dxa"/>
              <w:start w:w="100" w:type="dxa"/>
              <w:bottom w:w="90" w:type="dxa"/>
              <w:end w:w="100" w:type="dxa"/>
            </w:tcMar>
          </w:tcPr>
          <w:p>
            <w:pPr>
              <w:spacing w:after="36" w:before="0" w:line="240" w:lineRule="auto"/>
              <w:jc w:val="center"/>
              <w:keepLines/>
            </w:pPr>
            <w:r>
              <w:rPr>
                <w:rFonts w:ascii="Aptos" w:hAnsi="Aptos"/>
                <w:b/>
                <w:color w:val="18312A"/>
                <w:sz w:val="15"/>
              </w:rPr>
              <w:t>DUPLICATION PAR UN SALARIÉ</w:t>
            </w:r>
          </w:p>
        </w:tc>
      </w:tr>
    </w:tbl>
    <w:p>
      <w:pPr>
        <w:pStyle w:val="Heading1"/>
        <w:keepLines/>
        <w:keepNext/>
      </w:pPr>
      <w:r>
        <w:t>3. Flywheel du modèle économique</w:t>
      </w:r>
    </w:p>
    <w:p>
      <w:pPr>
        <w:pStyle w:val="Lead"/>
        <w:keepLines/>
      </w:pPr>
      <w:r>
        <w:rPr>
          <w:b/>
        </w:rPr>
        <w:t xml:space="preserve">Le système doit créer sa propre répétition : </w:t>
      </w:r>
      <w:r>
        <w:t>acquisition, installation, suivi, deuxième vente, abonnement, avis, recommandation, nouvelle acquisition.</w:t>
      </w:r>
    </w:p>
    <w:tbl>
      <w:tblPr>
        <w:tblW w:type="auto" w:w="0"/>
        <w:jc w:val="center"/>
        <w:tblLook w:firstColumn="1" w:firstRow="1" w:lastColumn="0" w:lastRow="0" w:noHBand="0" w:noVBand="1" w:val="04A0"/>
        <w:tblBorders>
          <w:top w:val="single" w:sz="1" w:color="FFFFFF"/>
          <w:left w:val="single" w:sz="1" w:color="FFFFFF"/>
          <w:bottom w:val="single" w:sz="1" w:color="FFFFFF"/>
          <w:right w:val="single" w:sz="1" w:color="FFFFFF"/>
          <w:insideH w:val="single" w:sz="1" w:color="FFFFFF"/>
          <w:insideV w:val="single" w:sz="1" w:color="FFFFFF"/>
        </w:tblBorders>
      </w:tblPr>
      <w:tblGrid>
        <w:gridCol w:w="1457"/>
        <w:gridCol w:w="1457"/>
        <w:gridCol w:w="1457"/>
        <w:gridCol w:w="1457"/>
        <w:gridCol w:w="1457"/>
        <w:gridCol w:w="1457"/>
        <w:gridCol w:w="1457"/>
      </w:tblGrid>
      <w:tr>
        <w:tc>
          <w:tcPr>
            <w:tcW w:type="dxa" w:w="1457"/>
            <w:shd w:fill="1E7A52"/>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4"/>
              </w:rPr>
              <w:t>1. LEAD</w:t>
            </w:r>
          </w:p>
        </w:tc>
        <w:tc>
          <w:tcPr>
            <w:tcW w:type="dxa" w:w="1457"/>
            <w:shd w:fill="18312A"/>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4"/>
              </w:rPr>
              <w:t>2. HOME CHECK</w:t>
            </w:r>
          </w:p>
        </w:tc>
        <w:tc>
          <w:tcPr>
            <w:tcW w:type="dxa" w:w="1457"/>
            <w:shd w:fill="18312A"/>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4"/>
              </w:rPr>
              <w:t>3. 3 OPTIONS</w:t>
            </w:r>
          </w:p>
        </w:tc>
        <w:tc>
          <w:tcPr>
            <w:tcW w:type="dxa" w:w="1457"/>
            <w:shd w:fill="18312A"/>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4"/>
              </w:rPr>
              <w:t>4. INSTALL</w:t>
            </w:r>
          </w:p>
        </w:tc>
        <w:tc>
          <w:tcPr>
            <w:tcW w:type="dxa" w:w="1457"/>
            <w:shd w:fill="1E7A52"/>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4"/>
              </w:rPr>
              <w:t>5. CARE</w:t>
            </w:r>
          </w:p>
        </w:tc>
        <w:tc>
          <w:tcPr>
            <w:tcW w:type="dxa" w:w="1457"/>
            <w:shd w:fill="18312A"/>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4"/>
              </w:rPr>
              <w:t>6. CROSS-SELL</w:t>
            </w:r>
          </w:p>
        </w:tc>
        <w:tc>
          <w:tcPr>
            <w:tcW w:type="dxa" w:w="1457"/>
            <w:shd w:fill="18312A"/>
            <w:tcMar>
              <w:top w:w="90" w:type="dxa"/>
              <w:start w:w="100" w:type="dxa"/>
              <w:bottom w:w="90" w:type="dxa"/>
              <w:end w:w="100" w:type="dxa"/>
            </w:tcMar>
            <w:vAlign w:val="center"/>
          </w:tcPr>
          <w:p>
            <w:pPr>
              <w:spacing w:after="36" w:before="0" w:line="240" w:lineRule="auto"/>
              <w:jc w:val="center"/>
              <w:keepLines/>
            </w:pPr>
            <w:r>
              <w:rPr>
                <w:rFonts w:ascii="Aptos" w:hAnsi="Aptos"/>
                <w:b/>
                <w:color w:val="FFFFFF"/>
                <w:sz w:val="14"/>
              </w:rPr>
              <w:t>7. AVIS / PARRAINAGE</w:t>
            </w:r>
          </w:p>
        </w:tc>
      </w:tr>
    </w:tbl>
    <w:p>
      <w:pPr>
        <w:keepLines/>
      </w:pPr>
      <w:r>
        <w:rPr>
          <w:rFonts w:ascii="Aptos" w:hAnsi="Aptos"/>
          <w:b/>
          <w:color w:val="1E7A52"/>
          <w:sz w:val="19"/>
        </w:rPr>
        <w:t xml:space="preserve">Acquisition : </w:t>
      </w:r>
      <w:r>
        <w:rPr>
          <w:rFonts w:ascii="Aptos" w:hAnsi="Aptos"/>
          <w:b w:val="0"/>
          <w:color w:val="1B1F1E"/>
          <w:sz w:val="19"/>
        </w:rPr>
        <w:t>Google, recommandations, SEO local, partenariats, base clients et campagnes de rappel.</w:t>
      </w:r>
    </w:p>
    <w:p>
      <w:pPr>
        <w:keepLines/>
      </w:pPr>
      <w:r>
        <w:rPr>
          <w:rFonts w:ascii="Aptos" w:hAnsi="Aptos"/>
          <w:b/>
          <w:color w:val="1E7A52"/>
          <w:sz w:val="19"/>
        </w:rPr>
        <w:t xml:space="preserve">Conversion : </w:t>
      </w:r>
      <w:r>
        <w:rPr>
          <w:rFonts w:ascii="Aptos" w:hAnsi="Aptos"/>
          <w:b w:val="0"/>
          <w:color w:val="1B1F1E"/>
          <w:sz w:val="19"/>
        </w:rPr>
        <w:t>Diagnostic standardisé, présentation pédagogique, options de niveau, financement partenaire sur gros tickets si pertinent.</w:t>
      </w:r>
    </w:p>
    <w:p>
      <w:pPr>
        <w:keepLines/>
      </w:pPr>
      <w:r>
        <w:rPr>
          <w:rFonts w:ascii="Aptos" w:hAnsi="Aptos"/>
          <w:b/>
          <w:color w:val="1E7A52"/>
          <w:sz w:val="19"/>
        </w:rPr>
        <w:t xml:space="preserve">Exécution : </w:t>
      </w:r>
      <w:r>
        <w:rPr>
          <w:rFonts w:ascii="Aptos" w:hAnsi="Aptos"/>
          <w:b w:val="0"/>
          <w:color w:val="1B1F1E"/>
          <w:sz w:val="19"/>
        </w:rPr>
        <w:t>Chantier documenté, contrôle qualité, explication client, activation du dossier numérique.</w:t>
      </w:r>
    </w:p>
    <w:p>
      <w:pPr>
        <w:keepLines/>
      </w:pPr>
      <w:r>
        <w:rPr>
          <w:rFonts w:ascii="Aptos" w:hAnsi="Aptos"/>
          <w:b/>
          <w:color w:val="1E7A52"/>
          <w:sz w:val="19"/>
        </w:rPr>
        <w:t xml:space="preserve">Récurrence : </w:t>
      </w:r>
      <w:r>
        <w:rPr>
          <w:rFonts w:ascii="Aptos" w:hAnsi="Aptos"/>
          <w:b w:val="0"/>
          <w:color w:val="1B1F1E"/>
          <w:sz w:val="19"/>
        </w:rPr>
        <w:t>Entretien, contrôle, alertes, consumables, renouvellement, priorisation client.</w:t>
      </w:r>
    </w:p>
    <w:p>
      <w:pPr>
        <w:keepLines/>
      </w:pPr>
      <w:r>
        <w:rPr>
          <w:rFonts w:ascii="Aptos" w:hAnsi="Aptos"/>
          <w:b/>
          <w:color w:val="1E7A52"/>
          <w:sz w:val="19"/>
        </w:rPr>
        <w:t xml:space="preserve">Expansion : </w:t>
      </w:r>
      <w:r>
        <w:rPr>
          <w:rFonts w:ascii="Aptos" w:hAnsi="Aptos"/>
          <w:b w:val="0"/>
          <w:color w:val="1B1F1E"/>
          <w:sz w:val="19"/>
        </w:rPr>
        <w:t>Le CRM détecte les équipements manquants, vieillissants ou non protégés et crée les prochaines opportunités.</w:t>
      </w:r>
    </w:p>
    <w:p>
      <w:pPr>
        <w:pStyle w:val="Heading1"/>
        <w:keepLines/>
        <w:keepNext/>
      </w:pPr>
      <w:r>
        <w:t>4. Les cinq divisions Barreau</w:t>
      </w:r>
    </w:p>
    <w:p>
      <w:pPr>
        <w:pStyle w:val="Heading2"/>
        <w:keepLines/>
        <w:keepNext/>
      </w:pPr>
      <w:r>
        <w:t>4.1 CLIMATE - Confort thermique</w:t>
      </w:r>
    </w:p>
    <w:p>
      <w:pPr>
        <w:keepLines/>
      </w:pPr>
      <w:r>
        <w:rPr>
          <w:rFonts w:ascii="Aptos" w:hAnsi="Aptos"/>
          <w:b/>
          <w:color w:val="1E7A52"/>
          <w:sz w:val="19"/>
        </w:rPr>
        <w:t xml:space="preserve">Mission : </w:t>
      </w:r>
      <w:r>
        <w:rPr>
          <w:rFonts w:ascii="Aptos" w:hAnsi="Aptos"/>
          <w:b w:val="0"/>
          <w:color w:val="1B1F1E"/>
          <w:sz w:val="19"/>
        </w:rPr>
        <w:t>Installer et optimiser le chauffage et le rafraîchissement.</w:t>
      </w:r>
    </w:p>
    <w:tbl>
      <w:tblPr>
        <w:tblW w:type="auto" w:w="0"/>
        <w:jc w:val="center"/>
        <w:tblLook w:firstColumn="1" w:firstRow="1" w:lastColumn="0" w:lastRow="0" w:noHBand="0" w:noVBand="1" w:val="04A0"/>
        <w:tblBorders>
          <w:top w:val="single" w:sz="3" w:color="D9E2DE"/>
          <w:left w:val="single" w:sz="3" w:color="D9E2DE"/>
          <w:bottom w:val="single" w:sz="3" w:color="D9E2DE"/>
          <w:right w:val="single" w:sz="3" w:color="D9E2DE"/>
          <w:insideH w:val="single" w:sz="3" w:color="D9E2DE"/>
          <w:insideV w:val="single" w:sz="3" w:color="D9E2DE"/>
        </w:tblBorders>
      </w:tblPr>
      <w:tblGrid>
        <w:gridCol w:w="5100"/>
        <w:gridCol w:w="5100"/>
      </w:tblGrid>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PAC air/air mono et multi-split</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PAC air/eau</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Gainable / zoning lorsque pertinent</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Régulation et thermostats</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Mise en service et optimisation</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Diagnostic de performance PAC</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Remplacement et modernisation</w:t>
            </w:r>
          </w:p>
        </w:tc>
        <w:tc>
          <w:tcPr>
            <w:tcW w:type="dxa" w:w="5100"/>
            <w:vAlign w:val="center"/>
            <w:tcMar>
              <w:top w:w="90" w:type="dxa"/>
              <w:start w:w="100" w:type="dxa"/>
              <w:bottom w:w="90" w:type="dxa"/>
              <w:end w:w="100" w:type="dxa"/>
            </w:tcMar>
          </w:tcPr>
          <w:p>
            <w:pPr>
              <w:spacing w:after="36" w:before="0" w:line="240" w:lineRule="auto"/>
              <w:keepLines/>
            </w:pPr>
          </w:p>
        </w:tc>
      </w:tr>
    </w:tbl>
    <w:p>
      <w:pPr>
        <w:pStyle w:val="Heading2"/>
        <w:keepLines/>
        <w:keepNext/>
      </w:pPr>
      <w:r>
        <w:t>4.2 WATER - Eau &amp; protection</w:t>
      </w:r>
    </w:p>
    <w:p>
      <w:pPr>
        <w:keepLines/>
      </w:pPr>
      <w:r>
        <w:rPr>
          <w:rFonts w:ascii="Aptos" w:hAnsi="Aptos"/>
          <w:b/>
          <w:color w:val="1E7A52"/>
          <w:sz w:val="19"/>
        </w:rPr>
        <w:t xml:space="preserve">Mission : </w:t>
      </w:r>
      <w:r>
        <w:rPr>
          <w:rFonts w:ascii="Aptos" w:hAnsi="Aptos"/>
          <w:b w:val="0"/>
          <w:color w:val="1B1F1E"/>
          <w:sz w:val="19"/>
        </w:rPr>
        <w:t>Traiter l’eau, produire l’ECS et prévenir les dégâts.</w:t>
      </w:r>
    </w:p>
    <w:tbl>
      <w:tblPr>
        <w:tblW w:type="auto" w:w="0"/>
        <w:jc w:val="center"/>
        <w:tblLook w:firstColumn="1" w:firstRow="1" w:lastColumn="0" w:lastRow="0" w:noHBand="0" w:noVBand="1" w:val="04A0"/>
        <w:tblBorders>
          <w:top w:val="single" w:sz="3" w:color="D9E2DE"/>
          <w:left w:val="single" w:sz="3" w:color="D9E2DE"/>
          <w:bottom w:val="single" w:sz="3" w:color="D9E2DE"/>
          <w:right w:val="single" w:sz="3" w:color="D9E2DE"/>
          <w:insideH w:val="single" w:sz="3" w:color="D9E2DE"/>
          <w:insideV w:val="single" w:sz="3" w:color="D9E2DE"/>
        </w:tblBorders>
      </w:tblPr>
      <w:tblGrid>
        <w:gridCol w:w="5100"/>
        <w:gridCol w:w="5100"/>
      </w:tblGrid>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Adoucisseurs</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Filtration et traitement ciblé</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Chauffe-eau thermodynamique</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Chauffe-eau électrique</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Water Protect : détection et coupure automatique</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Contrôle pression / réducteur</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Capteurs locaux dans zones critiques</w:t>
            </w:r>
          </w:p>
        </w:tc>
        <w:tc>
          <w:tcPr>
            <w:tcW w:type="dxa" w:w="5100"/>
            <w:vAlign w:val="center"/>
            <w:tcMar>
              <w:top w:w="90" w:type="dxa"/>
              <w:start w:w="100" w:type="dxa"/>
              <w:bottom w:w="90" w:type="dxa"/>
              <w:end w:w="100" w:type="dxa"/>
            </w:tcMar>
          </w:tcPr>
          <w:p>
            <w:pPr>
              <w:spacing w:after="36" w:before="0" w:line="240" w:lineRule="auto"/>
              <w:keepLines/>
            </w:pPr>
          </w:p>
        </w:tc>
      </w:tr>
    </w:tbl>
    <w:p>
      <w:pPr>
        <w:pStyle w:val="Heading2"/>
        <w:keepLines/>
        <w:keepNext/>
      </w:pPr>
      <w:r>
        <w:t>4.3 ENERGY - Électricité &amp; pilotage</w:t>
      </w:r>
    </w:p>
    <w:p>
      <w:pPr>
        <w:keepLines/>
      </w:pPr>
      <w:r>
        <w:rPr>
          <w:rFonts w:ascii="Aptos" w:hAnsi="Aptos"/>
          <w:b/>
          <w:color w:val="1E7A52"/>
          <w:sz w:val="19"/>
        </w:rPr>
        <w:t xml:space="preserve">Mission : </w:t>
      </w:r>
      <w:r>
        <w:rPr>
          <w:rFonts w:ascii="Aptos" w:hAnsi="Aptos"/>
          <w:b w:val="0"/>
          <w:color w:val="1B1F1E"/>
          <w:sz w:val="19"/>
        </w:rPr>
        <w:t>Rendre les usages visibles, pilotables et compatibles avec les nouveaux rythmes énergétiques.</w:t>
      </w:r>
    </w:p>
    <w:tbl>
      <w:tblPr>
        <w:tblW w:type="auto" w:w="0"/>
        <w:jc w:val="center"/>
        <w:tblLook w:firstColumn="1" w:firstRow="1" w:lastColumn="0" w:lastRow="0" w:noHBand="0" w:noVBand="1" w:val="04A0"/>
        <w:tblBorders>
          <w:top w:val="single" w:sz="3" w:color="D9E2DE"/>
          <w:left w:val="single" w:sz="3" w:color="D9E2DE"/>
          <w:bottom w:val="single" w:sz="3" w:color="D9E2DE"/>
          <w:right w:val="single" w:sz="3" w:color="D9E2DE"/>
          <w:insideH w:val="single" w:sz="3" w:color="D9E2DE"/>
          <w:insideV w:val="single" w:sz="3" w:color="D9E2DE"/>
        </w:tblBorders>
      </w:tblPr>
      <w:tblGrid>
        <w:gridCol w:w="5100"/>
        <w:gridCol w:w="5100"/>
      </w:tblGrid>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Sous-comptage et mesure</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Pilotage ECS / PAC / chauffage</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Délestage</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Optimisation heures tarifaires</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Gestionnaire d’énergie / HEMS</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Optimisation autoconsommation</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Recharge VE intelligente - phase future et qualification adaptée</w:t>
            </w:r>
          </w:p>
        </w:tc>
        <w:tc>
          <w:tcPr>
            <w:tcW w:type="dxa" w:w="5100"/>
            <w:vAlign w:val="center"/>
            <w:tcMar>
              <w:top w:w="90" w:type="dxa"/>
              <w:start w:w="100" w:type="dxa"/>
              <w:bottom w:w="90" w:type="dxa"/>
              <w:end w:w="100" w:type="dxa"/>
            </w:tcMar>
          </w:tcPr>
          <w:p>
            <w:pPr>
              <w:spacing w:after="36" w:before="0" w:line="240" w:lineRule="auto"/>
              <w:keepLines/>
            </w:pPr>
          </w:p>
        </w:tc>
      </w:tr>
    </w:tbl>
    <w:p>
      <w:pPr>
        <w:pStyle w:val="Heading2"/>
        <w:keepLines/>
        <w:keepNext/>
      </w:pPr>
      <w:r>
        <w:t>4.4 HOME - Air &amp; systèmes maison</w:t>
      </w:r>
    </w:p>
    <w:p>
      <w:pPr>
        <w:keepLines/>
      </w:pPr>
      <w:r>
        <w:rPr>
          <w:rFonts w:ascii="Aptos" w:hAnsi="Aptos"/>
          <w:b/>
          <w:color w:val="1E7A52"/>
          <w:sz w:val="19"/>
        </w:rPr>
        <w:t xml:space="preserve">Mission : </w:t>
      </w:r>
      <w:r>
        <w:rPr>
          <w:rFonts w:ascii="Aptos" w:hAnsi="Aptos"/>
          <w:b w:val="0"/>
          <w:color w:val="1B1F1E"/>
          <w:sz w:val="19"/>
        </w:rPr>
        <w:t>Étendre la maîtrise technique du logement sans devenir entreprise générale du bâtiment.</w:t>
      </w:r>
    </w:p>
    <w:tbl>
      <w:tblPr>
        <w:tblW w:type="auto" w:w="0"/>
        <w:jc w:val="center"/>
        <w:tblLook w:firstColumn="1" w:firstRow="1" w:lastColumn="0" w:lastRow="0" w:noHBand="0" w:noVBand="1" w:val="04A0"/>
        <w:tblBorders>
          <w:top w:val="single" w:sz="3" w:color="D9E2DE"/>
          <w:left w:val="single" w:sz="3" w:color="D9E2DE"/>
          <w:bottom w:val="single" w:sz="3" w:color="D9E2DE"/>
          <w:right w:val="single" w:sz="3" w:color="D9E2DE"/>
          <w:insideH w:val="single" w:sz="3" w:color="D9E2DE"/>
          <w:insideV w:val="single" w:sz="3" w:color="D9E2DE"/>
        </w:tblBorders>
      </w:tblPr>
      <w:tblGrid>
        <w:gridCol w:w="5100"/>
        <w:gridCol w:w="5100"/>
      </w:tblGrid>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Ventilation résidentielle</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Contrôle fonctionnement VMC</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Mesure humidité / CO2 lorsque utile</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Qualité d’air et filtration selon équipements</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Maison absente : capteurs techniques ciblés</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Intégration de capteurs non intrusifs</w:t>
            </w:r>
          </w:p>
        </w:tc>
      </w:tr>
    </w:tbl>
    <w:p>
      <w:pPr>
        <w:pStyle w:val="Heading2"/>
        <w:keepLines/>
        <w:keepNext/>
      </w:pPr>
      <w:r>
        <w:t>4.5 CARE - Maintenance &amp; assistance</w:t>
      </w:r>
    </w:p>
    <w:p>
      <w:pPr>
        <w:keepLines/>
      </w:pPr>
      <w:r>
        <w:rPr>
          <w:rFonts w:ascii="Aptos" w:hAnsi="Aptos"/>
          <w:b/>
          <w:color w:val="1E7A52"/>
          <w:sz w:val="19"/>
        </w:rPr>
        <w:t xml:space="preserve">Mission : </w:t>
      </w:r>
      <w:r>
        <w:rPr>
          <w:rFonts w:ascii="Aptos" w:hAnsi="Aptos"/>
          <w:b w:val="0"/>
          <w:color w:val="1B1F1E"/>
          <w:sz w:val="19"/>
        </w:rPr>
        <w:t>Créer une relation continue autour de l’équipement installé.</w:t>
      </w:r>
    </w:p>
    <w:tbl>
      <w:tblPr>
        <w:tblW w:type="auto" w:w="0"/>
        <w:jc w:val="center"/>
        <w:tblLook w:firstColumn="1" w:firstRow="1" w:lastColumn="0" w:lastRow="0" w:noHBand="0" w:noVBand="1" w:val="04A0"/>
        <w:tblBorders>
          <w:top w:val="single" w:sz="3" w:color="D9E2DE"/>
          <w:left w:val="single" w:sz="3" w:color="D9E2DE"/>
          <w:bottom w:val="single" w:sz="3" w:color="D9E2DE"/>
          <w:right w:val="single" w:sz="3" w:color="D9E2DE"/>
          <w:insideH w:val="single" w:sz="3" w:color="D9E2DE"/>
          <w:insideV w:val="single" w:sz="3" w:color="D9E2DE"/>
        </w:tblBorders>
      </w:tblPr>
      <w:tblGrid>
        <w:gridCol w:w="5100"/>
        <w:gridCol w:w="5100"/>
      </w:tblGrid>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Entretiens périodiques</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Dépannage prioritaire</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Contrôles préventifs</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Rappels consommables</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Suivi des garanties</w:t>
            </w:r>
          </w:p>
        </w:tc>
        <w:tc>
          <w:tcPr>
            <w:tcW w:type="dxa" w:w="51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Passeport Maison</w:t>
            </w:r>
          </w:p>
        </w:tc>
      </w:tr>
      <w:tr>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 Abonnements / memberships</w:t>
            </w:r>
          </w:p>
        </w:tc>
        <w:tc>
          <w:tcPr>
            <w:tcW w:type="dxa" w:w="5100"/>
            <w:vAlign w:val="center"/>
            <w:tcMar>
              <w:top w:w="90" w:type="dxa"/>
              <w:start w:w="100" w:type="dxa"/>
              <w:bottom w:w="90" w:type="dxa"/>
              <w:end w:w="100" w:type="dxa"/>
            </w:tcMar>
          </w:tcPr>
          <w:p>
            <w:pPr>
              <w:spacing w:after="36" w:before="0" w:line="240" w:lineRule="auto"/>
              <w:keepLines/>
            </w:pPr>
          </w:p>
        </w:tc>
      </w:tr>
    </w:tbl>
    <w:p>
      <w:pPr>
        <w:pStyle w:val="Heading1"/>
        <w:keepLines/>
        <w:keepNext/>
      </w:pPr>
      <w:r>
        <w:t>5. Catalogue de services cible</w:t>
      </w:r>
    </w:p>
    <w:p>
      <w:pPr>
        <w:pStyle w:val="Lead"/>
        <w:keepLines/>
      </w:pPr>
      <w:r>
        <w:rPr>
          <w:b/>
        </w:rPr>
        <w:t xml:space="preserve">Objectif : </w:t>
      </w:r>
      <w:r>
        <w:t>25 à 30 services maximum, clairement codifiés, avant d’en ajouter d’autres. Le catalogue ci-dessous distingue NOW / NEXT / LATER.</w:t>
      </w:r>
    </w:p>
    <w:tbl>
      <w:tblPr>
        <w:tblW w:type="auto" w:w="0"/>
        <w:jc w:val="center"/>
        <w:tblLayout w:type="fixed"/>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1700"/>
        <w:gridCol w:w="1700"/>
        <w:gridCol w:w="1700"/>
        <w:gridCol w:w="1700"/>
        <w:gridCol w:w="1700"/>
        <w:gridCol w:w="1700"/>
      </w:tblGrid>
      <w:tr>
        <w:trPr>
          <w:tblHeader w:val="true"/>
        </w:trPr>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Code</w:t>
            </w:r>
          </w:p>
        </w:tc>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Service</w:t>
            </w:r>
          </w:p>
        </w:tc>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Division</w:t>
            </w:r>
          </w:p>
        </w:tc>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Phase</w:t>
            </w:r>
          </w:p>
        </w:tc>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Type</w:t>
            </w:r>
          </w:p>
        </w:tc>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Rôle stratégique</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C01</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PAC air/air - installation</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CLIMATE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NOW</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Installation</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Entrée</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C02</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PAC air/eau - installation</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CLIMATE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NOW</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Installation</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Entrée</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C03</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Gainable / zoning</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CLIMATE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NOW</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Installation</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Entrée</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C04</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Régulation / thermostat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CLIMATE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Upgrade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Cross-sell</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C05</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PAC Performance Check</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CLIMATE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Diagnostic</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Qualification</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C06</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Entretien clim / PAC</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CARE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NOW</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Récurrent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Récurrence</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W01</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Adoucisseur</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NOW</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Installation</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Entrée</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W02</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Chauffe-eau thermodynamique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NOW</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Installation</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Entrée</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W03</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Chauffe-eau électrique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NOW</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Installation</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Entrée</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W04</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 Protect Local</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Protection</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Cross-sell</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W05</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 Protect Auto</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Protection</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Cross-sell</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W06</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 Protect Connect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Protection</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Cross-sell</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W07</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Contrôle pression eau</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Diagnostic</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Qualification</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W08</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Filtration eau</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WATER</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56635E"/>
                <w:sz w:val="15"/>
              </w:rPr>
              <w:t>LATER</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Installation</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Entrée</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E01</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Energy Check</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ENERGY</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Diagnostic</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Qualification</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E02</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Mesure circuits principaux</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ENERGY</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Pilotage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Cross-sell</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E03</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Pilotage ECS / heures tarifaires</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ENERGY</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Pilotage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Cross-sell</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E04</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Délestage intelligent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ENERGY</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56635E"/>
                <w:sz w:val="15"/>
              </w:rPr>
              <w:t>LATER</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Pilotage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Cross-sell</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E05</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HEMS / gestionnaire énergie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ENERGY</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56635E"/>
                <w:sz w:val="15"/>
              </w:rPr>
              <w:t>LATER</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Plateforme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Qualification</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E06</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Optimisation autoconsommation</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ENERGY</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56635E"/>
                <w:sz w:val="15"/>
              </w:rPr>
              <w:t>LATER</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Pilotage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Cross-sell</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E07</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Recharge VE intelligente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ENERGY</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56635E"/>
                <w:sz w:val="15"/>
              </w:rPr>
              <w:t>LATER</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Installation</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Entrée</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H01</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Contrôle VMC</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HOME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Diagnostic</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Qualification</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H02</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Ventilation résidentielle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HOME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56635E"/>
                <w:sz w:val="15"/>
              </w:rPr>
              <w:t>LATER</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Installation</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Entrée</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H03</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Maison Absente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HOME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56635E"/>
                <w:sz w:val="15"/>
              </w:rPr>
              <w:t>LATER</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Protection</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Cross-sell</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S01</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Barreau Home Check</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CARE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Diagnostic</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Qualification</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S02</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Passeport Maison</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CARE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Data</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Qualification</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S03</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Barreau Care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CARE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Abonnement</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Récurrence</w:t>
            </w:r>
          </w:p>
        </w:tc>
      </w:tr>
      <w:tr>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S04</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Dépannage prioritaire membre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CARE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color w:val="C26A2E"/>
                <w:sz w:val="15"/>
              </w:rPr>
              <w:t>NEXT</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Service</w:t>
            </w:r>
          </w:p>
        </w:tc>
        <w:tc>
          <w:tcPr>
            <w:tcW w:type="dxa" w:w="17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Qualification</w:t>
            </w:r>
          </w:p>
        </w:tc>
      </w:tr>
    </w:tbl>
    <w:p>
      <w:pPr>
        <w:pStyle w:val="Heading1"/>
        <w:keepLines/>
        <w:keepNext/>
      </w:pPr>
      <w:r>
        <w:t>6. Productisation : Essentiel / Plus / Premium</w:t>
      </w:r>
    </w:p>
    <w:p>
      <w:pPr>
        <w:pStyle w:val="Lead"/>
        <w:keepLines/>
      </w:pPr>
      <w:r>
        <w:rPr>
          <w:b/>
        </w:rPr>
        <w:t xml:space="preserve">Principe : </w:t>
      </w:r>
      <w:r>
        <w:t>le client choisit un niveau de résultat et de service, pas seulement une référence de machine.</w:t>
      </w:r>
    </w:p>
    <w:tbl>
      <w:tblPr>
        <w:tblW w:type="auto" w:w="0"/>
        <w:jc w:val="center"/>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550"/>
        <w:gridCol w:w="2550"/>
        <w:gridCol w:w="2550"/>
        <w:gridCol w:w="2550"/>
      </w:tblGrid>
      <w:tr>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7"/>
              </w:rPr>
              <w:t>Dimension</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7"/>
              </w:rPr>
              <w:t>ESSENTIEL</w:t>
            </w:r>
          </w:p>
        </w:tc>
        <w:tc>
          <w:tcPr>
            <w:tcW w:type="dxa" w:w="2550"/>
            <w:shd w:fill="1E7A52"/>
            <w:vAlign w:val="center"/>
            <w:tcMar>
              <w:top w:w="90" w:type="dxa"/>
              <w:start w:w="100" w:type="dxa"/>
              <w:bottom w:w="90" w:type="dxa"/>
              <w:end w:w="100" w:type="dxa"/>
            </w:tcMar>
          </w:tcPr>
          <w:p>
            <w:pPr>
              <w:spacing w:after="36" w:before="0" w:line="240" w:lineRule="auto"/>
              <w:keepLines/>
            </w:pPr>
            <w:r>
              <w:rPr>
                <w:rFonts w:ascii="Aptos" w:hAnsi="Aptos"/>
                <w:b/>
                <w:color w:val="FFFFFF"/>
                <w:sz w:val="17"/>
              </w:rPr>
              <w:t>PLUS - recommandé</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7"/>
              </w:rPr>
              <w:t>PREMIUM</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Équipement</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solution conforme au besoin</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équipement + confort / pilotage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meilleur niveau compatible</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Service</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pose + mise en service</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pose + optimisation + suivi</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suivi renforcé + options protection</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Relation</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garanties et dossier</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Passeport Maison</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Passeport + Care / priorité</w:t>
            </w:r>
          </w:p>
        </w:tc>
      </w:tr>
    </w:tbl>
    <w:p>
      <w:pPr>
        <w:keepLines/>
      </w:pPr>
      <w:r>
        <w:rPr>
          <w:rFonts w:ascii="Aptos" w:hAnsi="Aptos"/>
          <w:b/>
          <w:color w:val="1E7A52"/>
          <w:sz w:val="19"/>
        </w:rPr>
        <w:t xml:space="preserve">Règle commerciale : </w:t>
      </w:r>
      <w:r>
        <w:rPr>
          <w:rFonts w:ascii="Aptos" w:hAnsi="Aptos"/>
          <w:b w:val="0"/>
          <w:color w:val="1B1F1E"/>
          <w:sz w:val="19"/>
        </w:rPr>
        <w:t>au moins 70 % des devis résidentiels standardisables doivent pouvoir être présentés en trois options. Les exceptions : diagnostic pur, urgence, chantier complexe ou appel d’offres spécifique.</w:t>
      </w:r>
    </w:p>
    <w:p>
      <w:pPr>
        <w:pStyle w:val="Heading1"/>
        <w:keepLines/>
        <w:keepNext/>
      </w:pPr>
      <w:r>
        <w:t>7. Offres phares à lancer</w:t>
      </w:r>
    </w:p>
    <w:p>
      <w:pPr>
        <w:pStyle w:val="Heading2"/>
        <w:keepLines/>
        <w:keepNext/>
      </w:pPr>
      <w:r>
        <w:t>7.1 Water Protect</w:t>
      </w:r>
    </w:p>
    <w:p>
      <w:pPr>
        <w:keepLines/>
      </w:pPr>
      <w:r>
        <w:rPr>
          <w:rFonts w:ascii="Aptos" w:hAnsi="Aptos"/>
          <w:b w:val="0"/>
          <w:color w:val="56635E"/>
          <w:sz w:val="18"/>
        </w:rPr>
        <w:t>Vendre la protection du logement, pas la vanne.</w:t>
      </w:r>
    </w:p>
    <w:tbl>
      <w:tblPr>
        <w:tblW w:type="auto" w:w="0"/>
        <w:jc w:val="center"/>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550"/>
        <w:gridCol w:w="2550"/>
        <w:gridCol w:w="2550"/>
        <w:gridCol w:w="2550"/>
      </w:tblGrid>
      <w:tr>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Niveau</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Promesse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Contenu type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Upsell naturel</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Local</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Détecter au point critique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1 à 3 capteurs ciblés + test</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Auto</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Auto</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Couper l’eau en cas d’anomalie</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détection générale + vanne motorisée</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Connect</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Connect</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Être alerté et agir à distance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coupure + notification + suivi</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Care</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360</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Protection globale</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système + capteurs stratégiques + contrôle annuel</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Care Protect</w:t>
            </w:r>
          </w:p>
        </w:tc>
      </w:tr>
    </w:tbl>
    <w:p>
      <w:pPr>
        <w:pStyle w:val="Heading2"/>
        <w:keepLines/>
        <w:keepNext/>
      </w:pPr>
      <w:r>
        <w:t>7.2 Energy Control</w:t>
      </w:r>
    </w:p>
    <w:p>
      <w:pPr>
        <w:keepLines/>
      </w:pPr>
      <w:r>
        <w:rPr>
          <w:rFonts w:ascii="Aptos" w:hAnsi="Aptos"/>
          <w:b w:val="0"/>
          <w:color w:val="56635E"/>
          <w:sz w:val="18"/>
        </w:rPr>
        <w:t>Rendre les gros usages électriques mesurables et pilotables.</w:t>
      </w:r>
    </w:p>
    <w:tbl>
      <w:tblPr>
        <w:tblW w:type="auto" w:w="0"/>
        <w:jc w:val="center"/>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550"/>
        <w:gridCol w:w="2550"/>
        <w:gridCol w:w="2550"/>
        <w:gridCol w:w="2550"/>
      </w:tblGrid>
      <w:tr>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Niveau</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Promesse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Contenu type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Upsell naturel</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Measure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Comprendre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mesure générale + principaux usages</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Control</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Control</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Programmer</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ECS/PAC + plages tarifaires</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Flex</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Flex</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Limiter / décaler</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délestage + logique de priorité</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HEMS</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HEMS</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Orchestrer</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PAC, ECS, PV, VE selon compatibilités</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Care</w:t>
            </w:r>
          </w:p>
        </w:tc>
      </w:tr>
    </w:tbl>
    <w:p>
      <w:pPr>
        <w:pStyle w:val="Heading2"/>
        <w:keepLines/>
        <w:keepNext/>
      </w:pPr>
      <w:r>
        <w:t>7.3 PAC Performance</w:t>
      </w:r>
    </w:p>
    <w:p>
      <w:pPr>
        <w:keepLines/>
      </w:pPr>
      <w:r>
        <w:rPr>
          <w:rFonts w:ascii="Aptos" w:hAnsi="Aptos"/>
          <w:b w:val="0"/>
          <w:color w:val="56635E"/>
          <w:sz w:val="18"/>
        </w:rPr>
        <w:t>Créer une offre indépendante de la vente de PAC.</w:t>
      </w:r>
    </w:p>
    <w:tbl>
      <w:tblPr>
        <w:tblW w:type="auto" w:w="0"/>
        <w:jc w:val="center"/>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550"/>
        <w:gridCol w:w="2550"/>
        <w:gridCol w:w="2550"/>
        <w:gridCol w:w="2550"/>
      </w:tblGrid>
      <w:tr>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Niveau</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Promesse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Contenu type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Upsell naturel</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Check</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Évaluer</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températures, régulation, hydraulique, consommations disponibles</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Tune</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Tune</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Optimiser</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réglages, programmation, recommandations</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Monitor</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Monitor</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Suivre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mesure et revue après période de fonctionnement</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Care</w:t>
            </w:r>
          </w:p>
        </w:tc>
      </w:tr>
    </w:tbl>
    <w:p>
      <w:pPr>
        <w:pStyle w:val="Heading2"/>
        <w:keepLines/>
        <w:keepNext/>
      </w:pPr>
      <w:r>
        <w:t>7.4 Barreau Home Check</w:t>
      </w:r>
    </w:p>
    <w:p>
      <w:pPr>
        <w:keepLines/>
      </w:pPr>
      <w:r>
        <w:t>Contrôle visuel et fonctionnel standardisé effectué lors d’une visite pertinente. Il ne remplace aucun diagnostic réglementaire. Il sert à documenter l’état technique du foyer et à détecter les besoins futurs.</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1700"/>
        <w:gridCol w:w="1700"/>
        <w:gridCol w:w="1700"/>
        <w:gridCol w:w="1700"/>
        <w:gridCol w:w="1700"/>
        <w:gridCol w:w="1700"/>
      </w:tblGrid>
      <w:tr>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Chauffage</w:t>
            </w:r>
          </w:p>
        </w:tc>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ECS</w:t>
            </w:r>
          </w:p>
        </w:tc>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Eau</w:t>
            </w:r>
          </w:p>
        </w:tc>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Électricité</w:t>
            </w:r>
          </w:p>
        </w:tc>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Ventilation</w:t>
            </w:r>
          </w:p>
        </w:tc>
        <w:tc>
          <w:tcPr>
            <w:tcW w:type="dxa" w:w="17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5"/>
              </w:rPr>
              <w:t>Pilotage</w:t>
            </w:r>
          </w:p>
        </w:tc>
      </w:tr>
      <w:tr>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Vert / Orange / Rouge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Vert / Orange / Rouge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Vert / Orange / Rouge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Vert / Orange / Rouge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Vert / Orange / Rouge</w:t>
            </w:r>
          </w:p>
        </w:tc>
        <w:tc>
          <w:tcPr>
            <w:tcW w:type="dxa" w:w="17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Vert / Orange / Rouge</w:t>
            </w:r>
          </w:p>
        </w:tc>
      </w:tr>
    </w:tbl>
    <w:p>
      <w:pPr>
        <w:pStyle w:val="Heading1"/>
        <w:keepLines/>
        <w:keepNext/>
      </w:pPr>
      <w:r>
        <w:t>8. Barreau Care et le revenu récurrent</w:t>
      </w:r>
    </w:p>
    <w:p>
      <w:pPr>
        <w:pStyle w:val="Lead"/>
        <w:keepLines/>
      </w:pPr>
      <w:r>
        <w:rPr>
          <w:b/>
        </w:rPr>
        <w:t xml:space="preserve">L’abonnement doit être une conséquence de la valeur créée, pas une taxe. </w:t>
      </w:r>
      <w:r>
        <w:t>Le modèle exact devra être testé sur une cohorte pilote avant généralisation.</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040"/>
        <w:gridCol w:w="2040"/>
        <w:gridCol w:w="2040"/>
        <w:gridCol w:w="2040"/>
        <w:gridCol w:w="2040"/>
      </w:tblGrid>
      <w:tr>
        <w:tc>
          <w:tcPr>
            <w:tcW w:type="dxa" w:w="204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Niveau</w:t>
            </w:r>
          </w:p>
        </w:tc>
        <w:tc>
          <w:tcPr>
            <w:tcW w:type="dxa" w:w="204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Cible</w:t>
            </w:r>
          </w:p>
        </w:tc>
        <w:tc>
          <w:tcPr>
            <w:tcW w:type="dxa" w:w="204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Inclus</w:t>
            </w:r>
          </w:p>
        </w:tc>
        <w:tc>
          <w:tcPr>
            <w:tcW w:type="dxa" w:w="204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Bénéfice client</w:t>
            </w:r>
          </w:p>
        </w:tc>
        <w:tc>
          <w:tcPr>
            <w:tcW w:type="dxa" w:w="204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Objectif Barreau</w:t>
            </w:r>
          </w:p>
        </w:tc>
      </w:tr>
      <w:tr>
        <w:tc>
          <w:tcPr>
            <w:tcW w:type="dxa" w:w="204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CARE</w:t>
            </w:r>
          </w:p>
        </w:tc>
        <w:tc>
          <w:tcPr>
            <w:tcW w:type="dxa" w:w="204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1 équipement</w:t>
            </w:r>
          </w:p>
        </w:tc>
        <w:tc>
          <w:tcPr>
            <w:tcW w:type="dxa" w:w="204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rappels + dossier + priorité relative</w:t>
            </w:r>
          </w:p>
        </w:tc>
        <w:tc>
          <w:tcPr>
            <w:tcW w:type="dxa" w:w="204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simplicité</w:t>
            </w:r>
          </w:p>
        </w:tc>
        <w:tc>
          <w:tcPr>
            <w:tcW w:type="dxa" w:w="204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fidéliser</w:t>
            </w:r>
          </w:p>
        </w:tc>
      </w:tr>
      <w:tr>
        <w:tc>
          <w:tcPr>
            <w:tcW w:type="dxa" w:w="204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CARE+</w:t>
            </w:r>
          </w:p>
        </w:tc>
        <w:tc>
          <w:tcPr>
            <w:tcW w:type="dxa" w:w="204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plusieurs équipements</w:t>
            </w:r>
          </w:p>
        </w:tc>
        <w:tc>
          <w:tcPr>
            <w:tcW w:type="dxa" w:w="204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entretien(s) + contrôles ciblés + remise membre</w:t>
            </w:r>
          </w:p>
        </w:tc>
        <w:tc>
          <w:tcPr>
            <w:tcW w:type="dxa" w:w="204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prévention</w:t>
            </w:r>
          </w:p>
        </w:tc>
        <w:tc>
          <w:tcPr>
            <w:tcW w:type="dxa" w:w="204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augmenter récurrence</w:t>
            </w:r>
          </w:p>
        </w:tc>
      </w:tr>
      <w:tr>
        <w:tc>
          <w:tcPr>
            <w:tcW w:type="dxa" w:w="204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CARE PROTECT</w:t>
            </w:r>
          </w:p>
        </w:tc>
        <w:tc>
          <w:tcPr>
            <w:tcW w:type="dxa" w:w="204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foyer connecté</w:t>
            </w:r>
          </w:p>
        </w:tc>
        <w:tc>
          <w:tcPr>
            <w:tcW w:type="dxa" w:w="204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contrôles capteurs / alertes compatibles + maintenance</w:t>
            </w:r>
          </w:p>
        </w:tc>
        <w:tc>
          <w:tcPr>
            <w:tcW w:type="dxa" w:w="204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sérénité</w:t>
            </w:r>
          </w:p>
        </w:tc>
        <w:tc>
          <w:tcPr>
            <w:tcW w:type="dxa" w:w="204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ancrer l’écosystème</w:t>
            </w:r>
          </w:p>
        </w:tc>
      </w:tr>
    </w:tbl>
    <w:p>
      <w:pPr>
        <w:keepLines/>
      </w:pPr>
      <w:r>
        <w:rPr>
          <w:rFonts w:ascii="Aptos" w:hAnsi="Aptos"/>
          <w:b/>
          <w:color w:val="1E7A52"/>
          <w:sz w:val="19"/>
        </w:rPr>
        <w:t xml:space="preserve">KPI clé : </w:t>
      </w:r>
      <w:r>
        <w:rPr>
          <w:rFonts w:ascii="Aptos" w:hAnsi="Aptos"/>
          <w:b w:val="0"/>
          <w:color w:val="1B1F1E"/>
          <w:sz w:val="19"/>
        </w:rPr>
        <w:t>taux d’attachement Care = nombre de nouveaux clients éligibles qui souscrivent / nombre de nouveaux clients éligibles.</w:t>
      </w:r>
    </w:p>
    <w:p>
      <w:pPr>
        <w:pStyle w:val="Heading1"/>
        <w:keepLines/>
        <w:keepNext/>
      </w:pPr>
      <w:r>
        <w:t>9. Parcours client et Passeport Maison</w:t>
      </w:r>
    </w:p>
    <w:p>
      <w:pPr>
        <w:pStyle w:val="Lead"/>
        <w:keepLines/>
      </w:pPr>
      <w:r>
        <w:rPr>
          <w:b/>
        </w:rPr>
        <w:t xml:space="preserve">Le même parcours doit être reconnaissable à chaque intervention. </w:t>
      </w:r>
      <w:r>
        <w:t>Il devient une partie du produit Barreau.</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3400"/>
        <w:gridCol w:w="3400"/>
        <w:gridCol w:w="3400"/>
      </w:tblGrid>
      <w:tr>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Étape</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Moment</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Donnée / action obligatoire</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1</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Lead capté</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source + besoin + urgence</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2</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Qualification</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type de logement, équipements, photos si utiles</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3</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RDV confirmé</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créneau, préparation, rappel</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4</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Diagnostic / Home Check</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constats structurés</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5</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Options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Essentiel / Plus / Premium</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6</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Validation</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signature + acompte + financement partenaire si besoin</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7</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Préparation</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matériel, stock, checklist</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8</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Installation</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standard terrain</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9</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Mise en service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mesures + tests + paramétrage</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10</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Handover</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explication + dossier + photos</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11</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Follow-up</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message / appel court après installation</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12</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Cycle de vie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Care, rappel, cross-sell, avis, parrainage</w:t>
            </w:r>
          </w:p>
        </w:tc>
      </w:tr>
    </w:tbl>
    <w:p>
      <w:pPr>
        <w:pStyle w:val="Heading2"/>
        <w:keepLines/>
        <w:keepNext/>
      </w:pPr>
      <w:r>
        <w:t>9.1 Passeport Maison Barreau</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5100"/>
        <w:gridCol w:w="5100"/>
      </w:tblGrid>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Identité équipement</w:t>
              <w:br/>
            </w:r>
            <w:r>
              <w:rPr>
                <w:rFonts w:ascii="Aptos" w:hAnsi="Aptos"/>
                <w:b w:val="0"/>
                <w:color w:val="1B1F1E"/>
                <w:sz w:val="16"/>
              </w:rPr>
              <w:t>marque, modèle, série, date, garantie</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7"/>
              </w:rPr>
              <w:t>Installation</w:t>
              <w:br/>
            </w:r>
            <w:r>
              <w:rPr>
                <w:rFonts w:ascii="Aptos" w:hAnsi="Aptos"/>
                <w:b w:val="0"/>
                <w:color w:val="1B1F1E"/>
                <w:sz w:val="16"/>
              </w:rPr>
              <w:t>photos, schéma simple, réglages, protections</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Performance</w:t>
              <w:br/>
            </w:r>
            <w:r>
              <w:rPr>
                <w:rFonts w:ascii="Aptos" w:hAnsi="Aptos"/>
                <w:b w:val="0"/>
                <w:color w:val="1B1F1E"/>
                <w:sz w:val="16"/>
              </w:rPr>
              <w:t>mesures disponibles, consignes, historique</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7"/>
              </w:rPr>
              <w:t>Maintenance</w:t>
              <w:br/>
            </w:r>
            <w:r>
              <w:rPr>
                <w:rFonts w:ascii="Aptos" w:hAnsi="Aptos"/>
                <w:b w:val="0"/>
                <w:color w:val="1B1F1E"/>
                <w:sz w:val="16"/>
              </w:rPr>
              <w:t>dates, consommables, anomalies, réparations</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Opportunités</w:t>
              <w:br/>
            </w:r>
            <w:r>
              <w:rPr>
                <w:rFonts w:ascii="Aptos" w:hAnsi="Aptos"/>
                <w:b w:val="0"/>
                <w:color w:val="1B1F1E"/>
                <w:sz w:val="16"/>
              </w:rPr>
              <w:t>âge des autres équipements, protection absente, projet futur</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7"/>
              </w:rPr>
              <w:t>Relation</w:t>
              <w:br/>
            </w:r>
            <w:r>
              <w:rPr>
                <w:rFonts w:ascii="Aptos" w:hAnsi="Aptos"/>
                <w:b w:val="0"/>
                <w:color w:val="1B1F1E"/>
                <w:sz w:val="16"/>
              </w:rPr>
              <w:t>avis, recommandations, Care, prochaine action</w:t>
            </w:r>
          </w:p>
        </w:tc>
      </w:tr>
    </w:tbl>
    <w:p>
      <w:pPr>
        <w:pStyle w:val="Small"/>
        <w:keepLines/>
      </w:pPr>
      <w:r>
        <w:t>Point France : le “Passeport Maison Barreau” est un outil commercial/interne. Il ne doit pas être présenté comme un substitut au Carnet d’information du logement (CIL) lorsque celui-ci est légalement requis.</w:t>
      </w:r>
    </w:p>
    <w:p>
      <w:pPr>
        <w:pStyle w:val="Heading1"/>
        <w:keepLines/>
        <w:keepNext/>
      </w:pPr>
      <w:r>
        <w:t>10. Moteur de ventes croisées</w:t>
      </w:r>
    </w:p>
    <w:p>
      <w:pPr>
        <w:pStyle w:val="Lead"/>
        <w:keepLines/>
      </w:pPr>
      <w:r>
        <w:rPr>
          <w:b/>
        </w:rPr>
        <w:t xml:space="preserve">Chaque prestation doit avoir une “next best offer”. </w:t>
      </w:r>
      <w:r>
        <w:t>Le cross-sell doit partir d’un besoin observable, jamais d’un argumentaire générique.</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550"/>
        <w:gridCol w:w="2550"/>
        <w:gridCol w:w="2550"/>
        <w:gridCol w:w="2550"/>
      </w:tblGrid>
      <w:tr>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Achat initial</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Prochaine offre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Deuxième opportunité</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Troisième opportunité</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PAC air/air</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entretien</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Energy Control</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protection électrique / Home Check</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PAC air/eau</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PAC Performance</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régulation</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Care</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CET</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Water Protect</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pilotage ECS</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Care</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Chauffe-eau électrique</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Water Protect</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pilotage ECS</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remplacement futur</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Adoucisseur</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Water Protect</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contrôle pression</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Care</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Water Protect</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Care Protect</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filtration</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Maison Absente</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Energy Control</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HEMS</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PV / VE future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Care</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Entretien</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Home Check</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upgrade ciblé</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avis / parrainage</w:t>
            </w:r>
          </w:p>
        </w:tc>
      </w:tr>
    </w:tbl>
    <w:p>
      <w:pPr>
        <w:pStyle w:val="Heading1"/>
        <w:keepLines/>
        <w:keepNext/>
      </w:pPr>
      <w:r>
        <w:t>11. Système commercial et Pricebook</w:t>
      </w:r>
    </w:p>
    <w:p>
      <w:pPr>
        <w:pStyle w:val="Heading2"/>
        <w:keepLines/>
        <w:keepNext/>
      </w:pPr>
      <w:r>
        <w:t>11.1 Barreau Pricebook</w:t>
      </w:r>
    </w:p>
    <w:p>
      <w:pPr>
        <w:keepLines/>
      </w:pPr>
      <w:r>
        <w:t>Le Pricebook est la base de la duplication. Chaque service standard doit comporter :</w:t>
      </w:r>
    </w:p>
    <w:p>
      <w:pPr>
        <w:spacing w:after="20"/>
        <w:ind w:left="227"/>
        <w:keepLines/>
      </w:pPr>
      <w:r>
        <w:t>• code service</w:t>
      </w:r>
    </w:p>
    <w:p>
      <w:pPr>
        <w:spacing w:after="20"/>
        <w:ind w:left="227"/>
        <w:keepLines/>
      </w:pPr>
      <w:r>
        <w:t>• description client</w:t>
      </w:r>
    </w:p>
    <w:p>
      <w:pPr>
        <w:spacing w:after="20"/>
        <w:ind w:left="227"/>
        <w:keepLines/>
      </w:pPr>
      <w:r>
        <w:t>• inclusions / exclusions</w:t>
      </w:r>
    </w:p>
    <w:p>
      <w:pPr>
        <w:spacing w:after="20"/>
        <w:ind w:left="227"/>
        <w:keepLines/>
      </w:pPr>
      <w:r>
        <w:t>• temps standard</w:t>
      </w:r>
    </w:p>
    <w:p>
      <w:pPr>
        <w:spacing w:after="20"/>
        <w:ind w:left="227"/>
        <w:keepLines/>
      </w:pPr>
      <w:r>
        <w:t>• coût matériel standard</w:t>
      </w:r>
    </w:p>
    <w:p>
      <w:pPr>
        <w:spacing w:after="20"/>
        <w:ind w:left="227"/>
        <w:keepLines/>
      </w:pPr>
      <w:r>
        <w:t>• coût de main-d’œuvre cible</w:t>
      </w:r>
    </w:p>
    <w:p>
      <w:pPr>
        <w:spacing w:after="20"/>
        <w:ind w:left="227"/>
        <w:keepLines/>
      </w:pPr>
      <w:r>
        <w:t>• frais indirects imputés</w:t>
      </w:r>
    </w:p>
    <w:p>
      <w:pPr>
        <w:spacing w:after="20"/>
        <w:ind w:left="227"/>
        <w:keepLines/>
      </w:pPr>
      <w:r>
        <w:t>• marge cible</w:t>
      </w:r>
    </w:p>
    <w:p>
      <w:pPr>
        <w:spacing w:after="20"/>
        <w:ind w:left="227"/>
        <w:keepLines/>
      </w:pPr>
      <w:r>
        <w:t>• prix forfaitaire ou règle de calcul</w:t>
      </w:r>
    </w:p>
    <w:p>
      <w:pPr>
        <w:spacing w:after="20"/>
        <w:ind w:left="227"/>
        <w:keepLines/>
      </w:pPr>
      <w:r>
        <w:t>• options et upsells compatibles</w:t>
      </w:r>
    </w:p>
    <w:p>
      <w:pPr>
        <w:spacing w:after="20"/>
        <w:ind w:left="227"/>
        <w:keepLines/>
      </w:pPr>
      <w:r>
        <w:t>• photos / preuves / fiche explicative</w:t>
      </w:r>
    </w:p>
    <w:p>
      <w:pPr>
        <w:spacing w:after="20"/>
        <w:ind w:left="227"/>
        <w:keepLines/>
      </w:pPr>
      <w:r>
        <w:t>• checklist d’exécution</w:t>
      </w:r>
    </w:p>
    <w:p>
      <w:pPr>
        <w:pStyle w:val="Heading2"/>
        <w:keepLines/>
        <w:keepNext/>
      </w:pPr>
      <w:r>
        <w:t>11.2 Architecture d’un devis</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5100"/>
        <w:gridCol w:w="5100"/>
      </w:tblGrid>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1. Problème</w:t>
            </w:r>
          </w:p>
        </w:tc>
        <w:tc>
          <w:tcPr>
            <w:tcW w:type="dxa" w:w="5100"/>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ce que le client veut résoudre</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2. Diagnostic</w:t>
            </w:r>
          </w:p>
        </w:tc>
        <w:tc>
          <w:tcPr>
            <w:tcW w:type="dxa" w:w="5100"/>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ce qui a été observé</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3. Options</w:t>
            </w:r>
          </w:p>
        </w:tc>
        <w:tc>
          <w:tcPr>
            <w:tcW w:type="dxa" w:w="5100"/>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Essentiel / Plus / Premium</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4. Résultat</w:t>
            </w:r>
          </w:p>
        </w:tc>
        <w:tc>
          <w:tcPr>
            <w:tcW w:type="dxa" w:w="5100"/>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bénéfices et limites clairement formulés</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5. Prix</w:t>
            </w:r>
          </w:p>
        </w:tc>
        <w:tc>
          <w:tcPr>
            <w:tcW w:type="dxa" w:w="5100"/>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forfait clair + options</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6. Décision</w:t>
            </w:r>
          </w:p>
        </w:tc>
        <w:tc>
          <w:tcPr>
            <w:tcW w:type="dxa" w:w="5100"/>
            <w:vAlign w:val="center"/>
            <w:tcMar>
              <w:top w:w="90" w:type="dxa"/>
              <w:start w:w="100" w:type="dxa"/>
              <w:bottom w:w="90" w:type="dxa"/>
              <w:end w:w="100" w:type="dxa"/>
            </w:tcMar>
          </w:tcPr>
          <w:p>
            <w:pPr>
              <w:spacing w:after="36" w:before="0" w:line="240" w:lineRule="auto"/>
              <w:keepLines/>
            </w:pPr>
            <w:r>
              <w:rPr>
                <w:rFonts w:ascii="Aptos" w:hAnsi="Aptos"/>
                <w:b w:val="0"/>
                <w:color w:val="1B1F1E"/>
                <w:sz w:val="17"/>
              </w:rPr>
              <w:t>signature, délai, acompte, suite</w:t>
            </w:r>
          </w:p>
        </w:tc>
      </w:tr>
    </w:tbl>
    <w:p>
      <w:pPr>
        <w:keepLines/>
      </w:pPr>
      <w:r>
        <w:rPr>
          <w:rFonts w:ascii="Aptos" w:hAnsi="Aptos"/>
          <w:b/>
          <w:color w:val="1E7A52"/>
          <w:sz w:val="18"/>
        </w:rPr>
        <w:t xml:space="preserve">Principe éthique : </w:t>
      </w:r>
      <w:r>
        <w:rPr>
          <w:rFonts w:ascii="Aptos" w:hAnsi="Aptos"/>
          <w:b w:val="0"/>
          <w:color w:val="1B1F1E"/>
          <w:sz w:val="18"/>
        </w:rPr>
        <w:t>la montée en gamme doit correspondre à une valeur réelle et explicable. Pas de faux “premium”, pas de composants superflus, pas d’urgence artificielle.</w:t>
      </w:r>
    </w:p>
    <w:p>
      <w:pPr>
        <w:pStyle w:val="Heading1"/>
        <w:keepLines/>
        <w:keepNext/>
      </w:pPr>
      <w:r>
        <w:t>12. Exécution terrain et camion-stock</w:t>
      </w:r>
    </w:p>
    <w:p>
      <w:pPr>
        <w:pStyle w:val="Lead"/>
        <w:keepLines/>
      </w:pPr>
      <w:r>
        <w:rPr>
          <w:b/>
        </w:rPr>
        <w:t xml:space="preserve">Objectif opérationnel : </w:t>
      </w:r>
      <w:r>
        <w:t>maximiser la résolution dès la première visite et réduire les kilomètres, oublis, retours fournisseurs et improvisations.</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3400"/>
        <w:gridCol w:w="3400"/>
        <w:gridCol w:w="3400"/>
      </w:tblGrid>
      <w:tr>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Moment</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Standard Barreau</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Mesure</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Avant départ</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ordre de mission + photos + matériel réservé</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OK / anomalie / action</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Arrivée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présentation + protection de la zone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OK / anomalie / action</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Diagnostic</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checklist + mesures + photos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OK / anomalie / action</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Proposition</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prix validé avant travaux additionnels</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OK / anomalie / action</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Exécution</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méthode standard + pièces stockées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OK / anomalie / action</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Contrôle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tests + nettoyage + photos finales</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OK / anomalie / action</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Clôture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explication + paiement + dossier + prochaine action</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OK / anomalie / action</w:t>
            </w:r>
          </w:p>
        </w:tc>
      </w:tr>
    </w:tbl>
    <w:p>
      <w:pPr>
        <w:pStyle w:val="Heading2"/>
        <w:keepLines/>
        <w:keepNext/>
      </w:pPr>
      <w:r>
        <w:t>12.1 Stock mobile</w:t>
      </w:r>
    </w:p>
    <w:p>
      <w:pPr>
        <w:keepLines/>
      </w:pPr>
      <w:r>
        <w:t>Le camion doit être géré comme une mini-agence mobile. La liste stockée dépend du catalogue, des statistiques de panne et de la rotation. Le principe : A = critique et fréquent, B = utile et régulier, C = commande chantier.</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550"/>
        <w:gridCol w:w="2550"/>
        <w:gridCol w:w="2550"/>
        <w:gridCol w:w="2550"/>
      </w:tblGrid>
      <w:tr>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Classe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Règle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Exemples</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Recomplètement</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A</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toujours à bord</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consommables, raccords, protections, pièces fréquentes</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seuil mini/maxi</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B</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selon saison / activité</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modules, capteurs, pièces secondaires</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hebdomadaire</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C</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réservé chantier</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équipements et pièces coûteuses</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à la commande</w:t>
            </w:r>
          </w:p>
        </w:tc>
      </w:tr>
    </w:tbl>
    <w:p>
      <w:pPr>
        <w:pStyle w:val="Heading1"/>
        <w:keepLines/>
        <w:keepNext/>
      </w:pPr>
      <w:r>
        <w:t>13. Promesse de service et qualité</w:t>
      </w:r>
    </w:p>
    <w:p>
      <w:pPr>
        <w:pStyle w:val="Lead"/>
        <w:keepLines/>
      </w:pPr>
      <w:r>
        <w:rPr>
          <w:b/>
        </w:rPr>
        <w:t xml:space="preserve">Les garanties de service doivent être simples, vérifiables et opérables. </w:t>
      </w:r>
      <w:r>
        <w:t>Elles deviennent des standards internes avant de devenir des slogans marketing.</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5100"/>
        <w:gridCol w:w="5100"/>
      </w:tblGrid>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BARREAU CLEAR</w:t>
              <w:br/>
            </w:r>
            <w:r>
              <w:rPr>
                <w:rFonts w:ascii="Aptos" w:hAnsi="Aptos"/>
                <w:b w:val="0"/>
                <w:color w:val="1B1F1E"/>
                <w:sz w:val="16"/>
              </w:rPr>
              <w:t>prix et périmètre expliqués avant intervention</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7"/>
              </w:rPr>
              <w:t>BARREAU CLEAN</w:t>
              <w:br/>
            </w:r>
            <w:r>
              <w:rPr>
                <w:rFonts w:ascii="Aptos" w:hAnsi="Aptos"/>
                <w:b w:val="0"/>
                <w:color w:val="1B1F1E"/>
                <w:sz w:val="16"/>
              </w:rPr>
              <w:t>zone protégée et laissée propre</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BARREAU START</w:t>
              <w:br/>
            </w:r>
            <w:r>
              <w:rPr>
                <w:rFonts w:ascii="Aptos" w:hAnsi="Aptos"/>
                <w:b w:val="0"/>
                <w:color w:val="1B1F1E"/>
                <w:sz w:val="16"/>
              </w:rPr>
              <w:t>mise en service et explication client</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7"/>
              </w:rPr>
              <w:t>BARREAU DIGITAL</w:t>
              <w:br/>
            </w:r>
            <w:r>
              <w:rPr>
                <w:rFonts w:ascii="Aptos" w:hAnsi="Aptos"/>
                <w:b w:val="0"/>
                <w:color w:val="1B1F1E"/>
                <w:sz w:val="16"/>
              </w:rPr>
              <w:t>rapport, photos et références conservés</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7"/>
              </w:rPr>
              <w:t>BARREAU FOLLOW</w:t>
              <w:br/>
            </w:r>
            <w:r>
              <w:rPr>
                <w:rFonts w:ascii="Aptos" w:hAnsi="Aptos"/>
                <w:b w:val="0"/>
                <w:color w:val="1B1F1E"/>
                <w:sz w:val="16"/>
              </w:rPr>
              <w:t>suivi post-installation sur travaux éligibles</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7"/>
              </w:rPr>
              <w:t>BARREAU PRIORITY</w:t>
              <w:br/>
            </w:r>
            <w:r>
              <w:rPr>
                <w:rFonts w:ascii="Aptos" w:hAnsi="Aptos"/>
                <w:b w:val="0"/>
                <w:color w:val="1B1F1E"/>
                <w:sz w:val="16"/>
              </w:rPr>
              <w:t>priorité définie pour membres Care selon conditions</w:t>
            </w:r>
          </w:p>
        </w:tc>
      </w:tr>
    </w:tbl>
    <w:p>
      <w:pPr>
        <w:pStyle w:val="Heading1"/>
        <w:keepLines/>
        <w:keepNext/>
      </w:pPr>
      <w:r>
        <w:t>14. Marketing et acquisition</w:t>
      </w:r>
    </w:p>
    <w:p>
      <w:pPr>
        <w:pStyle w:val="Lead"/>
        <w:keepLines/>
      </w:pPr>
      <w:r>
        <w:rPr>
          <w:b/>
        </w:rPr>
        <w:t xml:space="preserve">Le marketing doit montrer des preuves de compétence et une expérience simple. </w:t>
      </w:r>
      <w:r>
        <w:t>L’objectif n’est pas de paraître “gros”, mais de paraître structuré, fiable et spécialisé.</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3400"/>
        <w:gridCol w:w="3400"/>
        <w:gridCol w:w="3400"/>
      </w:tblGrid>
      <w:tr>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Canal</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Système</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But</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Google Business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avis, photos réelles, services, réponses rapides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conversion locale</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SEO local</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pages besoins + zones + cas clients</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flux organique</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Site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simulateur, prise de RDV, offres, preuves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conversion</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Base clients</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rappels, entretien, upgrades</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CAC très faible</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Parrainage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mécanisme simple et mesurable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recommandation</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Partenaires</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agents, syndics ciblés, assureurs/courtiers, artisans complémentaires</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leads qualifiés</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Contenu</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avant/après, explications, erreurs à éviter</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confiance</w:t>
            </w:r>
          </w:p>
        </w:tc>
      </w:tr>
    </w:tbl>
    <w:p>
      <w:pPr>
        <w:pStyle w:val="Heading1"/>
        <w:keepLines/>
        <w:keepNext/>
      </w:pPr>
      <w:r>
        <w:t>15. Organisation et montée en équipe</w:t>
      </w:r>
    </w:p>
    <w:p>
      <w:pPr>
        <w:pStyle w:val="Lead"/>
        <w:keepLines/>
      </w:pPr>
      <w:r>
        <w:rPr>
          <w:b/>
        </w:rPr>
        <w:t xml:space="preserve">L’entreprise doit être conçue pour séparer progressivement vente, coordination, service et installation. </w:t>
      </w:r>
      <w:r>
        <w:t>Au début, une personne peut porter plusieurs rôles ; les responsabilités, elles, doivent déjà être distinctes.</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3400"/>
        <w:gridCol w:w="3400"/>
        <w:gridCol w:w="3400"/>
      </w:tblGrid>
      <w:tr>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Étape</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Rôles</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But</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Phase 1 - fondateur</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vente + technique + installation + pilotage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documenter les méthodes</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Phase 2 - 1er technicien</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installation / service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libérer du temps commercial</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Phase 3 - coordination</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planning + relation client + commandes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augmenter capacité terrain</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Phase 4 - spécialistes</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Climate / Water / Energy selon volume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améliorer productivité</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Phase 5 - management</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responsable service / install / sales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entreprise moins dépendante du dirigeant</w:t>
            </w:r>
          </w:p>
        </w:tc>
      </w:tr>
    </w:tbl>
    <w:p>
      <w:pPr>
        <w:pStyle w:val="Heading1"/>
        <w:keepLines/>
        <w:keepNext/>
      </w:pPr>
      <w:r>
        <w:t>16. Tableau de bord KPI</w:t>
      </w:r>
    </w:p>
    <w:p>
      <w:pPr>
        <w:pStyle w:val="Lead"/>
        <w:keepLines/>
      </w:pPr>
      <w:r>
        <w:rPr>
          <w:b/>
        </w:rPr>
        <w:t xml:space="preserve">Mesurer peu, mais mesurer chaque semaine. </w:t>
      </w:r>
      <w:r>
        <w:t>Le dashboard doit distinguer acquisition, vente, marge, productivité, qualité et récurrence.</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3400"/>
        <w:gridCol w:w="3400"/>
        <w:gridCol w:w="3400"/>
      </w:tblGrid>
      <w:tr>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Bloc</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KPI</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Question à laquelle il répond</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Acquisition</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Leads / semaine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volume entrant</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Acquisition</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Coût d’acquisition client (CAC)</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efficacité marketing</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Vente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Taux RDV -&gt; devis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qualification</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Vente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Taux devis -&gt; signé</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conversion</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Vente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Panier moyen</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montée en valeur</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Vente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Mix Essentiel / Plus / Premium</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efficacité productisation</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Finance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Marge brute par service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rentabilité réelle</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Finance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CA par jour terrain</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productivité</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Ops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First Visit Completion</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résolution premier passage</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Ops</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Temps non facturable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friction</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Qualité</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Retours / reprises à 30 jours</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qualité</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Qualité</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Note &amp; volume avis</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preuve sociale</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Récurrence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Attach rate Care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conversion abonnement</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Récurrence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Taux renouvellement Care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valeur récurrente</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Client</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Services / foyer</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profondeur relation</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Client</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CLV estimée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valeur portefeuille</w:t>
            </w:r>
          </w:p>
        </w:tc>
      </w:tr>
    </w:tbl>
    <w:p>
      <w:pPr>
        <w:pStyle w:val="Heading1"/>
        <w:keepLines/>
        <w:keepNext/>
      </w:pPr>
      <w:r>
        <w:t>17. Roadmap 2026-2030</w:t>
      </w:r>
    </w:p>
    <w:p>
      <w:pPr>
        <w:pStyle w:val="Lead"/>
        <w:keepLines/>
      </w:pPr>
      <w:r>
        <w:rPr>
          <w:b/>
        </w:rPr>
        <w:t xml:space="preserve">Le séquencement protège la marque contre la dispersion. </w:t>
      </w:r>
      <w:r>
        <w:t>Chaque phase doit être rentable et opérable avant d’ouvrir la suivante.</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550"/>
        <w:gridCol w:w="2550"/>
        <w:gridCol w:w="2550"/>
        <w:gridCol w:w="2550"/>
      </w:tblGrid>
      <w:tr>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Période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Phase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Priorité</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Livrables</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T3-T4 2026</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FOUNDATION</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standardiser le cœur actuel</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Pricebook V1, CRM/Passeport, parcours client, offres PAC/ECS/adoucisseur, Home Check V0</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T4 2026-T1 2027</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PROTECT</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lancer Water Protect</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2-3 configurations matériel, protocole, prix, page web, pilote clients</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T1-T2 2027</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CONTROL</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lancer régulation &amp; Energy Control</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mesure, pilotage ECS/PAC, offre conformité/régulation 2027 selon cas</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2027</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CARE</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créer récurrence</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entretien standard, Care pilote, rappels automatiques, attach rate</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2028</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SCALE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premier système d’équipe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technicien, dispatch, stock, KPI, SOP</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2029</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EXPAND</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ajouter verticales validées</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ventilation, HEMS avancé, VE selon qualifications, partenariats</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2030</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PLATFORM</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densifier la base clients</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plusieurs techniciens/divisions, management, forte part de CA récurrent et cross-sell</w:t>
            </w:r>
          </w:p>
        </w:tc>
      </w:tr>
    </w:tbl>
    <w:p>
      <w:pPr>
        <w:pStyle w:val="Heading1"/>
        <w:keepLines/>
        <w:keepNext/>
      </w:pPr>
      <w:r>
        <w:t>18. Plan d’action 90 jours</w:t>
      </w:r>
    </w:p>
    <w:p>
      <w:pPr>
        <w:pStyle w:val="Lead"/>
        <w:keepLines/>
      </w:pPr>
      <w:r>
        <w:rPr>
          <w:b/>
        </w:rPr>
        <w:t xml:space="preserve">But : </w:t>
      </w:r>
      <w:r>
        <w:t>mettre en place l’ossature du système avant de multiplier les services.</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2550"/>
        <w:gridCol w:w="2550"/>
        <w:gridCol w:w="2550"/>
        <w:gridCol w:w="2550"/>
      </w:tblGrid>
      <w:tr>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Fenêtre</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Chantier</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Action</w:t>
            </w:r>
          </w:p>
        </w:tc>
        <w:tc>
          <w:tcPr>
            <w:tcW w:type="dxa" w:w="255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Livrable</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Jours 1-15</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Architecture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valider 5 divisions, nomenclature, codes services, promesse de marque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1 page architecture + catalogue V0</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Jours 1-30</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Pricebook</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chiffrer 15 services NOW/NEXT, temps standards, marge, options</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Pricebook V1</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Jours 15-35</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CRM</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créer fiche foyer, équipements, dates, prochaine action</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Passeport Maison V1</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Jours 20-45</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Home Check</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construire checklist et rapport client</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test sur 10 interventions</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Jours 25-55</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Water Protect</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sélectionner 2-3 architectures fiables et fournisseurs</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offre pilote + protocole</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Jours 35-65</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Good/Better/Best</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repenser devis PAC, CET, adoucisseur</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3 modèles de devis</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Jours 45-75</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Care</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définir prestations, coût réel, limites, conditions</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pilote 20 clients max</w:t>
            </w:r>
          </w:p>
        </w:tc>
      </w:tr>
      <w:tr>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B1F1E"/>
                <w:sz w:val="15"/>
              </w:rPr>
              <w:t>Jours 60-90</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5"/>
              </w:rPr>
              <w:t>Marketing</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restructurer site et messages par besoin</w:t>
            </w:r>
          </w:p>
        </w:tc>
        <w:tc>
          <w:tcPr>
            <w:tcW w:type="dxa" w:w="255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pages Climate / Water / Energy / Care</w:t>
            </w:r>
          </w:p>
        </w:tc>
      </w:tr>
      <w:tr>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B1F1E"/>
                <w:sz w:val="15"/>
              </w:rPr>
              <w:t>Jours 60-90</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5"/>
              </w:rPr>
              <w:t>Dashboard</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mettre en place 10 KPI essentiels</w:t>
            </w:r>
          </w:p>
        </w:tc>
        <w:tc>
          <w:tcPr>
            <w:tcW w:type="dxa" w:w="255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5"/>
              </w:rPr>
              <w:t>revue hebdomadaire 30 min</w:t>
            </w:r>
          </w:p>
        </w:tc>
      </w:tr>
    </w:tbl>
    <w:p>
      <w:pPr>
        <w:keepLines/>
      </w:pPr>
      <w:r>
        <w:br w:type="page"/>
      </w:r>
    </w:p>
    <w:p>
      <w:pPr>
        <w:pStyle w:val="Heading1"/>
        <w:keepLines/>
        <w:keepNext/>
      </w:pPr>
      <w:r>
        <w:t>19. Règles de décision et garde-fous</w:t>
      </w:r>
    </w:p>
    <w:p>
      <w:pPr>
        <w:pStyle w:val="Lead"/>
        <w:keepLines/>
      </w:pPr>
      <w:r>
        <w:rPr>
          <w:b/>
        </w:rPr>
        <w:t xml:space="preserve">La croissance ne doit jamais dégrader le positionnement. </w:t>
      </w:r>
      <w:r>
        <w:t>Ces règles sont volontairement strictes.</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5100"/>
        <w:gridCol w:w="5100"/>
      </w:tblGrid>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6"/>
              </w:rPr>
              <w:t xml:space="preserve">R1  </w:t>
            </w:r>
            <w:r>
              <w:rPr>
                <w:rFonts w:ascii="Aptos" w:hAnsi="Aptos"/>
                <w:b w:val="0"/>
                <w:color w:val="1B1F1E"/>
                <w:sz w:val="16"/>
              </w:rPr>
              <w:t>Pas de nouvelle verticale sans protocole, assurance/qualification adaptée, prix et fournisseur.</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 xml:space="preserve">R2  </w:t>
            </w:r>
            <w:r>
              <w:rPr>
                <w:rFonts w:ascii="Aptos" w:hAnsi="Aptos"/>
                <w:b w:val="0"/>
                <w:color w:val="1B1F1E"/>
                <w:sz w:val="16"/>
              </w:rPr>
              <w:t>Pas de service “smart” si le bénéfice client n’est pas mesurable ou explicable.</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6"/>
              </w:rPr>
              <w:t xml:space="preserve">R3  </w:t>
            </w:r>
            <w:r>
              <w:rPr>
                <w:rFonts w:ascii="Aptos" w:hAnsi="Aptos"/>
                <w:b w:val="0"/>
                <w:color w:val="1B1F1E"/>
                <w:sz w:val="16"/>
              </w:rPr>
              <w:t>Pas de produit au catalogue uniquement parce qu’un fournisseur le propose.</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 xml:space="preserve">R4  </w:t>
            </w:r>
            <w:r>
              <w:rPr>
                <w:rFonts w:ascii="Aptos" w:hAnsi="Aptos"/>
                <w:b w:val="0"/>
                <w:color w:val="1B1F1E"/>
                <w:sz w:val="16"/>
              </w:rPr>
              <w:t>Pas de remise improvisée : toute réduction doit avoir une logique commerciale codifiée.</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6"/>
              </w:rPr>
              <w:t xml:space="preserve">R5  </w:t>
            </w:r>
            <w:r>
              <w:rPr>
                <w:rFonts w:ascii="Aptos" w:hAnsi="Aptos"/>
                <w:b w:val="0"/>
                <w:color w:val="1B1F1E"/>
                <w:sz w:val="16"/>
              </w:rPr>
              <w:t>Pas de dépendance à une seule marque si une alternative technique raisonnable est nécessaire.</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 xml:space="preserve">R6  </w:t>
            </w:r>
            <w:r>
              <w:rPr>
                <w:rFonts w:ascii="Aptos" w:hAnsi="Aptos"/>
                <w:b w:val="0"/>
                <w:color w:val="1B1F1E"/>
                <w:sz w:val="16"/>
              </w:rPr>
              <w:t>Pas d’abonnement sans coût de service maîtrisé et conditions précises.</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6"/>
              </w:rPr>
              <w:t xml:space="preserve">R7  </w:t>
            </w:r>
            <w:r>
              <w:rPr>
                <w:rFonts w:ascii="Aptos" w:hAnsi="Aptos"/>
                <w:b w:val="0"/>
                <w:color w:val="1B1F1E"/>
                <w:sz w:val="16"/>
              </w:rPr>
              <w:t>Pas de cross-sell sans constat client documenté.</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 xml:space="preserve">R8  </w:t>
            </w:r>
            <w:r>
              <w:rPr>
                <w:rFonts w:ascii="Aptos" w:hAnsi="Aptos"/>
                <w:b w:val="0"/>
                <w:color w:val="1B1F1E"/>
                <w:sz w:val="16"/>
              </w:rPr>
              <w:t>Pas de process critique uniquement “dans la tête” du dirigeant.</w:t>
            </w:r>
          </w:p>
        </w:tc>
      </w:tr>
      <w:tr>
        <w:tc>
          <w:tcPr>
            <w:tcW w:type="dxa" w:w="5100"/>
            <w:shd w:fill="EAF4EF"/>
            <w:vAlign w:val="center"/>
            <w:tcMar>
              <w:top w:w="90" w:type="dxa"/>
              <w:start w:w="100" w:type="dxa"/>
              <w:bottom w:w="90" w:type="dxa"/>
              <w:end w:w="100" w:type="dxa"/>
            </w:tcMar>
          </w:tcPr>
          <w:p>
            <w:pPr>
              <w:spacing w:after="36" w:before="0" w:line="240" w:lineRule="auto"/>
              <w:keepLines/>
            </w:pPr>
            <w:r>
              <w:rPr>
                <w:rFonts w:ascii="Aptos" w:hAnsi="Aptos"/>
                <w:b/>
                <w:color w:val="1E7A52"/>
                <w:sz w:val="16"/>
              </w:rPr>
              <w:t xml:space="preserve">R9  </w:t>
            </w:r>
            <w:r>
              <w:rPr>
                <w:rFonts w:ascii="Aptos" w:hAnsi="Aptos"/>
                <w:b w:val="0"/>
                <w:color w:val="1B1F1E"/>
                <w:sz w:val="16"/>
              </w:rPr>
              <w:t>Pas de KPI décoratif : chaque métrique doit déclencher une décision.</w:t>
            </w:r>
          </w:p>
        </w:tc>
        <w:tc>
          <w:tcPr>
            <w:tcW w:type="dxa" w:w="51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 xml:space="preserve">R10  </w:t>
            </w:r>
            <w:r>
              <w:rPr>
                <w:rFonts w:ascii="Aptos" w:hAnsi="Aptos"/>
                <w:b w:val="0"/>
                <w:color w:val="1B1F1E"/>
                <w:sz w:val="16"/>
              </w:rPr>
              <w:t>Pas d’expansion géographique avant densité opérationnelle suffisante sur la zone cœur.</w:t>
            </w:r>
          </w:p>
        </w:tc>
      </w:tr>
    </w:tbl>
    <w:p>
      <w:pPr>
        <w:pStyle w:val="Heading2"/>
        <w:keepLines/>
        <w:keepNext/>
      </w:pPr>
      <w:r>
        <w:t>19.1 Scorecard pour accepter une nouvelle offre</w:t>
      </w:r>
    </w:p>
    <w:tbl>
      <w:tblPr>
        <w:tblW w:type="auto" w:w="0"/>
        <w:tblLook w:firstColumn="1" w:firstRow="1" w:lastColumn="0" w:lastRow="0" w:noHBand="0" w:noVBand="1" w:val="04A0"/>
        <w:tblBorders>
          <w:top w:val="single" w:sz="4" w:color="D9E2DE"/>
          <w:left w:val="single" w:sz="4" w:color="D9E2DE"/>
          <w:bottom w:val="single" w:sz="4" w:color="D9E2DE"/>
          <w:right w:val="single" w:sz="4" w:color="D9E2DE"/>
          <w:insideH w:val="single" w:sz="4" w:color="D9E2DE"/>
          <w:insideV w:val="single" w:sz="4" w:color="D9E2DE"/>
        </w:tblBorders>
      </w:tblPr>
      <w:tblGrid>
        <w:gridCol w:w="3400"/>
        <w:gridCol w:w="3400"/>
        <w:gridCol w:w="3400"/>
      </w:tblGrid>
      <w:tr>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Critère</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Note</w:t>
            </w:r>
          </w:p>
        </w:tc>
        <w:tc>
          <w:tcPr>
            <w:tcW w:type="dxa" w:w="3400"/>
            <w:shd w:fill="18312A"/>
            <w:vAlign w:val="center"/>
            <w:tcMar>
              <w:top w:w="90" w:type="dxa"/>
              <w:start w:w="100" w:type="dxa"/>
              <w:bottom w:w="90" w:type="dxa"/>
              <w:end w:w="100" w:type="dxa"/>
            </w:tcMar>
          </w:tcPr>
          <w:p>
            <w:pPr>
              <w:spacing w:after="36" w:before="0" w:line="240" w:lineRule="auto"/>
              <w:keepLines/>
            </w:pPr>
            <w:r>
              <w:rPr>
                <w:rFonts w:ascii="Aptos" w:hAnsi="Aptos"/>
                <w:b/>
                <w:color w:val="FFFFFF"/>
                <w:sz w:val="16"/>
              </w:rPr>
              <w:t>Question</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Fit marque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0-5</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renforce Climate / Water / Energy / Home / Care</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Cross-sell</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0-5</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vendable à la base clients</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Marge</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0-5</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potentiel de marge après SAV</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Récurrence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0-5</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entretien / consommables / suivi</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Standardisation</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0-5</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temps et méthode reproductibles</w:t>
            </w:r>
          </w:p>
        </w:tc>
      </w:tr>
      <w:tr>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color w:val="1E7A52"/>
                <w:sz w:val="16"/>
              </w:rPr>
              <w:t>Risque</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0-5</w:t>
            </w:r>
          </w:p>
        </w:tc>
        <w:tc>
          <w:tcPr>
            <w:tcW w:type="dxa" w:w="3400"/>
            <w:shd w:fill="FFFFFF"/>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assurance, qualification, SAV, dépendance fournisseur</w:t>
            </w:r>
          </w:p>
        </w:tc>
      </w:tr>
      <w:tr>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color w:val="1E7A52"/>
                <w:sz w:val="16"/>
              </w:rPr>
              <w:t>Différenciation</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0-5</w:t>
            </w:r>
          </w:p>
        </w:tc>
        <w:tc>
          <w:tcPr>
            <w:tcW w:type="dxa" w:w="3400"/>
            <w:shd w:fill="F5F8F6"/>
            <w:vAlign w:val="center"/>
            <w:tcMar>
              <w:top w:w="90" w:type="dxa"/>
              <w:start w:w="100" w:type="dxa"/>
              <w:bottom w:w="90" w:type="dxa"/>
              <w:end w:w="100" w:type="dxa"/>
            </w:tcMar>
          </w:tcPr>
          <w:p>
            <w:pPr>
              <w:spacing w:after="36" w:before="0" w:line="240" w:lineRule="auto"/>
              <w:keepLines/>
            </w:pPr>
            <w:r>
              <w:rPr>
                <w:rFonts w:ascii="Aptos" w:hAnsi="Aptos"/>
                <w:b w:val="0"/>
                <w:color w:val="1B1F1E"/>
                <w:sz w:val="16"/>
              </w:rPr>
              <w:t>raison claire de choisir Barreau</w:t>
            </w:r>
          </w:p>
        </w:tc>
      </w:tr>
    </w:tbl>
    <w:p>
      <w:pPr>
        <w:keepLines/>
      </w:pPr>
      <w:r>
        <w:rPr>
          <w:rFonts w:ascii="Aptos" w:hAnsi="Aptos"/>
          <w:b/>
          <w:color w:val="1E7A52"/>
          <w:sz w:val="18"/>
        </w:rPr>
        <w:t xml:space="preserve">Seuil recommandé : </w:t>
      </w:r>
      <w:r>
        <w:rPr>
          <w:rFonts w:ascii="Aptos" w:hAnsi="Aptos"/>
          <w:b w:val="0"/>
          <w:color w:val="1B1F1E"/>
          <w:sz w:val="18"/>
        </w:rPr>
        <w:t>ne pas lancer à grande échelle si le score est inférieur à 24/35 ou si le risque réglementaire/assurantiel n’est pas maîtrisé.</w:t>
      </w:r>
    </w:p>
    <w:p>
      <w:pPr>
        <w:pStyle w:val="Heading1"/>
        <w:keepLines/>
        <w:keepNext/>
      </w:pPr>
      <w:r>
        <w:t>20. Sources et inspirations</w:t>
      </w:r>
    </w:p>
    <w:p>
      <w:pPr>
        <w:keepLines/>
      </w:pPr>
      <w:r>
        <w:t>Ces références ne sont pas des modèles à copier à l’identique. Elles documentent des pratiques de Home Services nord-américaines et des tendances françaises qui justifient certaines briques du modèle.</w:t>
      </w:r>
    </w:p>
    <w:p>
      <w:pPr>
        <w:keepLines/>
      </w:pPr>
      <w:r>
        <w:rPr>
          <w:rFonts w:ascii="Aptos" w:hAnsi="Aptos"/>
          <w:b/>
          <w:color w:val="1E7A52"/>
          <w:sz w:val="18"/>
        </w:rPr>
        <w:t>S1 - ServiceTitan, “Build Estimates &amp; Close Sales” (2026)</w:t>
      </w:r>
      <w:r>
        <w:br/>
      </w:r>
      <w:r>
        <w:rPr>
          <w:rFonts w:ascii="Aptos" w:hAnsi="Aptos"/>
          <w:b w:val="0"/>
          <w:color w:val="1B1F1E"/>
          <w:sz w:val="17"/>
        </w:rPr>
        <w:t xml:space="preserve">Good/Better/Best, memberships et pricebook. </w:t>
      </w:r>
      <w:hyperlink r:id="rId11">
        <w:r>
          <w:rPr>
            <w:color w:val="1E7A52"/>
            <w:u w:val="single"/>
            <w:rFonts w:ascii="Aptos" w:hAnsi="Aptos"/>
          </w:rPr>
          <w:t>Consulter la source</w:t>
        </w:r>
      </w:hyperlink>
    </w:p>
    <w:p>
      <w:pPr>
        <w:keepLines/>
      </w:pPr>
      <w:r>
        <w:rPr>
          <w:rFonts w:ascii="Aptos" w:hAnsi="Aptos"/>
          <w:b/>
          <w:color w:val="1E7A52"/>
          <w:sz w:val="18"/>
        </w:rPr>
        <w:t>S2 - ServiceTitan, “Pricebook Pro”</w:t>
      </w:r>
      <w:r>
        <w:br/>
      </w:r>
      <w:r>
        <w:rPr>
          <w:rFonts w:ascii="Aptos" w:hAnsi="Aptos"/>
          <w:b w:val="0"/>
          <w:color w:val="1B1F1E"/>
          <w:sz w:val="17"/>
        </w:rPr>
        <w:t xml:space="preserve">Tarification forfaitaire, contenu standardisé, outils terrain. </w:t>
      </w:r>
      <w:hyperlink r:id="rId12">
        <w:r>
          <w:rPr>
            <w:color w:val="1E7A52"/>
            <w:u w:val="single"/>
            <w:rFonts w:ascii="Aptos" w:hAnsi="Aptos"/>
          </w:rPr>
          <w:t>Consulter la source</w:t>
        </w:r>
      </w:hyperlink>
    </w:p>
    <w:p>
      <w:pPr>
        <w:keepLines/>
      </w:pPr>
      <w:r>
        <w:rPr>
          <w:rFonts w:ascii="Aptos" w:hAnsi="Aptos"/>
          <w:b/>
          <w:color w:val="1E7A52"/>
          <w:sz w:val="18"/>
        </w:rPr>
        <w:t>S3 - Morris-Jenkins</w:t>
      </w:r>
      <w:r>
        <w:br/>
      </w:r>
      <w:r>
        <w:rPr>
          <w:rFonts w:ascii="Aptos" w:hAnsi="Aptos"/>
          <w:b w:val="0"/>
          <w:color w:val="1B1F1E"/>
          <w:sz w:val="17"/>
        </w:rPr>
        <w:t xml:space="preserve">Marque multi-services : HVAC, plomberie, électricité, home performance. </w:t>
      </w:r>
      <w:hyperlink r:id="rId13">
        <w:r>
          <w:rPr>
            <w:color w:val="1E7A52"/>
            <w:u w:val="single"/>
            <w:rFonts w:ascii="Aptos" w:hAnsi="Aptos"/>
          </w:rPr>
          <w:t>Consulter la source</w:t>
        </w:r>
      </w:hyperlink>
    </w:p>
    <w:p>
      <w:pPr>
        <w:keepLines/>
      </w:pPr>
      <w:r>
        <w:rPr>
          <w:rFonts w:ascii="Aptos" w:hAnsi="Aptos"/>
          <w:b/>
          <w:color w:val="1E7A52"/>
          <w:sz w:val="18"/>
        </w:rPr>
        <w:t>S4 - Goettl, Smart Sadie Membership</w:t>
      </w:r>
      <w:r>
        <w:br/>
      </w:r>
      <w:r>
        <w:rPr>
          <w:rFonts w:ascii="Aptos" w:hAnsi="Aptos"/>
          <w:b w:val="0"/>
          <w:color w:val="1B1F1E"/>
          <w:sz w:val="17"/>
        </w:rPr>
        <w:t xml:space="preserve">Membership avec capteurs, suivi et prévention. </w:t>
      </w:r>
      <w:hyperlink r:id="rId14">
        <w:r>
          <w:rPr>
            <w:color w:val="1E7A52"/>
            <w:u w:val="single"/>
            <w:rFonts w:ascii="Aptos" w:hAnsi="Aptos"/>
          </w:rPr>
          <w:t>Consulter la source</w:t>
        </w:r>
      </w:hyperlink>
    </w:p>
    <w:p>
      <w:pPr>
        <w:keepLines/>
      </w:pPr>
      <w:r>
        <w:rPr>
          <w:rFonts w:ascii="Aptos" w:hAnsi="Aptos"/>
          <w:b/>
          <w:color w:val="1E7A52"/>
          <w:sz w:val="18"/>
        </w:rPr>
        <w:t>S5 - Enedis, Baromètre des flexibilités 2026</w:t>
      </w:r>
      <w:r>
        <w:br/>
      </w:r>
      <w:r>
        <w:rPr>
          <w:rFonts w:ascii="Aptos" w:hAnsi="Aptos"/>
          <w:b w:val="0"/>
          <w:color w:val="1B1F1E"/>
          <w:sz w:val="17"/>
        </w:rPr>
        <w:t xml:space="preserve">HEMS comme brique centrale pour piloter PAC, ECS, recharge VE, PV, stockage et autres usages. </w:t>
      </w:r>
      <w:hyperlink r:id="rId15">
        <w:r>
          <w:rPr>
            <w:color w:val="1E7A52"/>
            <w:u w:val="single"/>
            <w:rFonts w:ascii="Aptos" w:hAnsi="Aptos"/>
          </w:rPr>
          <w:t>Consulter la source</w:t>
        </w:r>
      </w:hyperlink>
    </w:p>
    <w:p>
      <w:pPr>
        <w:keepLines/>
      </w:pPr>
      <w:r>
        <w:rPr>
          <w:rFonts w:ascii="Aptos" w:hAnsi="Aptos"/>
          <w:b/>
          <w:color w:val="1E7A52"/>
          <w:sz w:val="18"/>
        </w:rPr>
        <w:t>S6 - ADEME, thermostat programmable</w:t>
      </w:r>
      <w:r>
        <w:br/>
      </w:r>
      <w:r>
        <w:rPr>
          <w:rFonts w:ascii="Aptos" w:hAnsi="Aptos"/>
          <w:b w:val="0"/>
          <w:color w:val="1B1F1E"/>
          <w:sz w:val="17"/>
        </w:rPr>
        <w:t xml:space="preserve">Contexte de régulation automatique du chauffage à partir du 1er janvier 2027, avec exceptions. </w:t>
      </w:r>
      <w:hyperlink r:id="rId16">
        <w:r>
          <w:rPr>
            <w:color w:val="1E7A52"/>
            <w:u w:val="single"/>
            <w:rFonts w:ascii="Aptos" w:hAnsi="Aptos"/>
          </w:rPr>
          <w:t>Consulter la source</w:t>
        </w:r>
      </w:hyperlink>
    </w:p>
    <w:p>
      <w:pPr>
        <w:keepLines/>
      </w:pPr>
      <w:r>
        <w:rPr>
          <w:rFonts w:ascii="Aptos" w:hAnsi="Aptos"/>
          <w:b/>
          <w:color w:val="1E7A52"/>
          <w:sz w:val="18"/>
        </w:rPr>
        <w:t>S7 - Service-Public, Carnet d’information du logement</w:t>
      </w:r>
      <w:r>
        <w:br/>
      </w:r>
      <w:r>
        <w:rPr>
          <w:rFonts w:ascii="Aptos" w:hAnsi="Aptos"/>
          <w:b w:val="0"/>
          <w:color w:val="1B1F1E"/>
          <w:sz w:val="17"/>
        </w:rPr>
        <w:t xml:space="preserve">Cadre du CIL pour certains travaux et équipements techniques du logement. </w:t>
      </w:r>
      <w:hyperlink r:id="rId17">
        <w:r>
          <w:rPr>
            <w:color w:val="1E7A52"/>
            <w:u w:val="single"/>
            <w:rFonts w:ascii="Aptos" w:hAnsi="Aptos"/>
          </w:rPr>
          <w:t>Consulter la source</w:t>
        </w:r>
      </w:hyperlink>
    </w:p>
    <w:p>
      <w:pPr>
        <w:spacing w:before="680"/>
        <w:jc w:val="center"/>
        <w:keepLines/>
      </w:pPr>
      <w:r>
        <w:rPr>
          <w:rFonts w:ascii="Aptos Display" w:hAnsi="Aptos Display"/>
          <w:b/>
          <w:color w:val="1E7A52"/>
          <w:sz w:val="48"/>
        </w:rPr>
        <w:t>BARREAU ÉNERGIES</w:t>
      </w:r>
    </w:p>
    <w:p>
      <w:pPr>
        <w:jc w:val="center"/>
        <w:keepLines/>
      </w:pPr>
      <w:r>
        <w:rPr>
          <w:rFonts w:ascii="Aptos Display" w:hAnsi="Aptos Display"/>
          <w:b/>
          <w:color w:val="18312A"/>
          <w:sz w:val="36"/>
        </w:rPr>
        <w:t>Le système avant la taille.</w:t>
      </w:r>
    </w:p>
    <w:p>
      <w:pPr>
        <w:jc w:val="center"/>
        <w:keepLines/>
      </w:pPr>
      <w:r>
        <w:rPr>
          <w:rFonts w:ascii="Aptos" w:hAnsi="Aptos"/>
          <w:b w:val="0"/>
          <w:color w:val="56635E"/>
          <w:sz w:val="22"/>
        </w:rPr>
        <w:t>Construire aujourd’hui les standards que l’équipe utilisera demain.</w:t>
      </w:r>
    </w:p>
    <w:p>
      <w:pPr>
        <w:spacing w:before="520"/>
        <w:keepLines/>
      </w:pPr>
    </w:p>
    <w:tbl>
      <w:tblPr>
        <w:tblW w:type="auto" w:w="0"/>
        <w:jc w:val="center"/>
        <w:tblLook w:firstColumn="1" w:firstRow="1" w:lastColumn="0" w:lastRow="0" w:noHBand="0" w:noVBand="1" w:val="04A0"/>
        <w:tblBorders>
          <w:top w:val="single" w:sz="5" w:color="1E7A52"/>
          <w:left w:val="single" w:sz="5" w:color="1E7A52"/>
          <w:bottom w:val="single" w:sz="5" w:color="1E7A52"/>
          <w:right w:val="single" w:sz="5" w:color="1E7A52"/>
          <w:insideH w:val="single" w:sz="5" w:color="1E7A52"/>
          <w:insideV w:val="single" w:sz="5" w:color="1E7A52"/>
        </w:tblBorders>
      </w:tblPr>
      <w:tblGrid>
        <w:gridCol w:w="10200"/>
      </w:tblGrid>
      <w:tr>
        <w:tc>
          <w:tcPr>
            <w:tcW w:type="dxa" w:w="10200"/>
            <w:shd w:fill="EAF4EF"/>
            <w:tcMar>
              <w:top w:w="90" w:type="dxa"/>
              <w:start w:w="100" w:type="dxa"/>
              <w:bottom w:w="90" w:type="dxa"/>
              <w:end w:w="100" w:type="dxa"/>
            </w:tcMar>
            <w:vAlign w:val="center"/>
          </w:tcPr>
          <w:p>
            <w:pPr>
              <w:spacing w:after="36" w:before="0" w:line="240" w:lineRule="auto"/>
              <w:keepLines/>
            </w:pPr>
            <w:r>
              <w:rPr>
                <w:rFonts w:ascii="Aptos" w:hAnsi="Aptos"/>
                <w:b/>
                <w:color w:val="1E7A52"/>
                <w:sz w:val="19"/>
              </w:rPr>
              <w:t>LES 5 LIVRABLES À PRODUIRE ENSUITE</w:t>
            </w:r>
          </w:p>
          <w:p>
            <w:pPr>
              <w:spacing w:after="36" w:before="0" w:line="240" w:lineRule="auto"/>
              <w:keepLines/>
            </w:pPr>
            <w:r>
              <w:rPr>
                <w:rFonts w:ascii="Aptos" w:hAnsi="Aptos"/>
                <w:b/>
                <w:color w:val="18312A"/>
                <w:sz w:val="19"/>
              </w:rPr>
              <w:t>1. Pricebook V1 chiffré</w:t>
            </w:r>
          </w:p>
          <w:p>
            <w:pPr>
              <w:spacing w:after="36" w:before="0" w:line="240" w:lineRule="auto"/>
              <w:keepLines/>
            </w:pPr>
            <w:r>
              <w:rPr>
                <w:rFonts w:ascii="Aptos" w:hAnsi="Aptos"/>
                <w:b/>
                <w:color w:val="18312A"/>
                <w:sz w:val="19"/>
              </w:rPr>
              <w:t>2. Catalogue commercial client</w:t>
            </w:r>
          </w:p>
          <w:p>
            <w:pPr>
              <w:spacing w:after="36" w:before="0" w:line="240" w:lineRule="auto"/>
              <w:keepLines/>
            </w:pPr>
            <w:r>
              <w:rPr>
                <w:rFonts w:ascii="Aptos" w:hAnsi="Aptos"/>
                <w:b/>
                <w:color w:val="18312A"/>
                <w:sz w:val="19"/>
              </w:rPr>
              <w:t>3. Checklist Barreau Home Check</w:t>
            </w:r>
          </w:p>
          <w:p>
            <w:pPr>
              <w:spacing w:after="36" w:before="0" w:line="240" w:lineRule="auto"/>
              <w:keepLines/>
            </w:pPr>
            <w:r>
              <w:rPr>
                <w:rFonts w:ascii="Aptos" w:hAnsi="Aptos"/>
                <w:b/>
                <w:color w:val="18312A"/>
                <w:sz w:val="19"/>
              </w:rPr>
              <w:t>4. Passeport Maison / fiche CRM</w:t>
            </w:r>
          </w:p>
          <w:p>
            <w:pPr>
              <w:spacing w:after="36" w:before="0" w:line="240" w:lineRule="auto"/>
              <w:keepLines/>
            </w:pPr>
            <w:r>
              <w:rPr>
                <w:rFonts w:ascii="Aptos" w:hAnsi="Aptos"/>
                <w:b/>
                <w:color w:val="18312A"/>
                <w:sz w:val="19"/>
              </w:rPr>
              <w:t>5. Pack pilote Water Protect</w:t>
            </w:r>
          </w:p>
        </w:tc>
      </w:tr>
    </w:tbl>
    <w:sectPr w:rsidR="00FC693F" w:rsidRPr="0006063C" w:rsidSect="00034616">
      <w:headerReference w:type="default" r:id="rId9"/>
      <w:footerReference w:type="default" r:id="rId10"/>
      <w:pgSz w:w="12240" w:h="15840"/>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6635E"/>
        <w:sz w:val="16"/>
      </w:rPr>
      <w:t>Document directeur interne - version 1.0 - 22 août 2026</w:t>
    </w:r>
    <w:r>
      <w:tab/>
    </w:r>
    <w:r>
      <w:rPr>
        <w:rFonts w:ascii="Aptos" w:hAnsi="Aptos"/>
        <w:color w:val="56635E"/>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E2DE"/>
      </w:pBdr>
    </w:pPr>
    <w:r>
      <w:rPr>
        <w:rFonts w:ascii="Aptos Display" w:hAnsi="Aptos Display"/>
        <w:b/>
        <w:color w:val="1E7A52"/>
        <w:sz w:val="18"/>
      </w:rPr>
      <w:t>BARREAU ÉNERGIES</w:t>
    </w:r>
    <w:r>
      <w:rPr>
        <w:rFonts w:ascii="Aptos" w:hAnsi="Aptos"/>
        <w:b w:val="0"/>
        <w:color w:val="56635E"/>
        <w:sz w:val="17"/>
      </w:rPr>
      <w:t xml:space="preserve">   |   OPERATING MODEL 2026-2030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1B1F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8312A"/>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7A52"/>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831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31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Brand">
    <w:name w:val="SubtitleBrand"/>
    <w:rPr>
      <w:rFonts w:ascii="Aptos" w:hAnsi="Aptos"/>
      <w:color w:val="1E7A52"/>
      <w:sz w:val="26"/>
    </w:rPr>
  </w:style>
  <w:style w:type="paragraph" w:customStyle="1" w:styleId="Lead">
    <w:name w:val="Lead"/>
    <w:pPr>
      <w:spacing w:after="160"/>
    </w:pPr>
    <w:rPr>
      <w:rFonts w:ascii="Aptos" w:hAnsi="Aptos"/>
      <w:color w:val="56635E"/>
      <w:sz w:val="22"/>
    </w:rPr>
  </w:style>
  <w:style w:type="paragraph" w:customStyle="1" w:styleId="Small">
    <w:name w:val="Small"/>
    <w:rPr>
      <w:rFonts w:ascii="Aptos" w:hAnsi="Aptos"/>
      <w:color w:val="56635E"/>
      <w:sz w:val="16"/>
    </w:rPr>
  </w:style>
  <w:style w:type="paragraph" w:customStyle="1" w:styleId="Callout">
    <w:name w:val="Callout"/>
    <w:rPr>
      <w:rFonts w:ascii="Aptos" w:hAnsi="Aptos"/>
      <w:b/>
      <w:color w:val="1831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servicetitan.com/docs/build-estimates-close-sales" TargetMode="External"/><Relationship Id="rId12" Type="http://schemas.openxmlformats.org/officeDocument/2006/relationships/hyperlink" Target="https://www.servicetitan.com/features/pro/pricebook" TargetMode="External"/><Relationship Id="rId13" Type="http://schemas.openxmlformats.org/officeDocument/2006/relationships/hyperlink" Target="https://morrisjenkins.com/about/contact" TargetMode="External"/><Relationship Id="rId14" Type="http://schemas.openxmlformats.org/officeDocument/2006/relationships/hyperlink" Target="https://www.goettl.com/expert-center/press-releases/goettl-air-conditioning-heating-plumbing-unveils-smart-sadie-membership/" TargetMode="External"/><Relationship Id="rId15" Type="http://schemas.openxmlformats.org/officeDocument/2006/relationships/hyperlink" Target="https://www.enedis.fr/presse/barometre-des-flexibilites-de-consommation-delectricite-2026" TargetMode="External"/><Relationship Id="rId16" Type="http://schemas.openxmlformats.org/officeDocument/2006/relationships/hyperlink" Target="https://agirpourlatransition.ademe.fr/particuliers/amenager-maison/renover/installer-thermostat-programmable" TargetMode="External"/><Relationship Id="rId17" Type="http://schemas.openxmlformats.org/officeDocument/2006/relationships/hyperlink" Target="https://www.service-public.fr/particuliers/vosdroits/F367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Barreau Énergies - Operating Model 2026-2030</dc:title>
  <dc:subject>Modèle opérationnel et stratégique Home Services</dc:subject>
  <dc:creator>Barreau Énergies</dc:creator>
  <cp:keywords>Home Services, HVAC, eau, énergie, maintenance, stratégie, operating model</cp:keywords>
  <dc:description>generated by python-docx</dc:description>
  <cp:lastModifiedBy/>
  <cp:revision>1</cp:revision>
  <dcterms:created xsi:type="dcterms:W3CDTF">2013-12-23T23:15:00Z</dcterms:created>
  <dcterms:modified xsi:type="dcterms:W3CDTF">2013-12-23T23:15:00Z</dcterms:modified>
  <cp:category/>
</cp:coreProperties>
</file>