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/>
      </w:pPr>
      <w:r>
        <w:rPr>
          <w:rFonts w:ascii="Arial" w:hAnsi="Arial"/>
          <w:b/>
          <w:color w:val="B45309"/>
          <w:sz w:val="56"/>
        </w:rPr>
        <w:t>Gravity Inventory Center</w:t>
      </w:r>
    </w:p>
    <w:p>
      <w:pPr>
        <w:pStyle w:val="Subtitle"/>
        <w:spacing w:after="160"/>
      </w:pPr>
      <w:r>
        <w:t>Windows Edition - Beta</w:t>
      </w:r>
    </w:p>
    <w:p>
      <w:r>
        <w:rPr>
          <w:b/>
          <w:color w:val="B45309"/>
          <w:sz w:val="20"/>
        </w:rPr>
        <w:t>COMPREHENSIVE USER MANUAL - COLOR EDITION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69080" cy="61036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vity System: Restaurant Inventory Contro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69080" cy="6103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ubtitle"/>
        <w:spacing w:after="160"/>
      </w:pPr>
      <w:r>
        <w:t>A non-enterprise restaurant inventory system for item setup, locations, pars, purchasing, receiving, counts, transfers, waste, supplier pricing, reporting, import/export, history, and backup.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tcMar>
              <w:top w:w="90" w:type="dxa"/>
              <w:start w:w="110" w:type="dxa"/>
              <w:bottom w:w="90" w:type="dxa"/>
              <w:end w:w="110" w:type="dxa"/>
            </w:tcMar>
            <w:shd w:fill="EEF4F7"/>
          </w:tcPr>
          <w:p>
            <w:r>
              <w:rPr>
                <w:b/>
              </w:rPr>
              <w:t xml:space="preserve">Release: </w:t>
            </w:r>
            <w:r>
              <w:t>Public Beta</w:t>
            </w:r>
          </w:p>
        </w:tc>
        <w:tc>
          <w:tcPr>
            <w:tcW w:type="dxa" w:w="5141"/>
            <w:tcMar>
              <w:top w:w="90" w:type="dxa"/>
              <w:start w:w="110" w:type="dxa"/>
              <w:bottom w:w="90" w:type="dxa"/>
              <w:end w:w="110" w:type="dxa"/>
            </w:tcMar>
            <w:shd w:fill="EEF4F7"/>
          </w:tcPr>
          <w:p>
            <w:r>
              <w:rPr>
                <w:b/>
              </w:rPr>
              <w:t xml:space="preserve">Platform: </w:t>
            </w:r>
            <w:r>
              <w:t>Windows x64</w:t>
            </w:r>
          </w:p>
        </w:tc>
      </w:tr>
      <w:tr>
        <w:tc>
          <w:tcPr>
            <w:tcW w:type="dxa" w:w="5141"/>
            <w:tcMar>
              <w:top w:w="90" w:type="dxa"/>
              <w:start w:w="110" w:type="dxa"/>
              <w:bottom w:w="90" w:type="dxa"/>
              <w:end w:w="110" w:type="dxa"/>
            </w:tcMar>
            <w:shd w:fill="EEF4F7"/>
          </w:tcPr>
          <w:p>
            <w:r>
              <w:rPr>
                <w:b/>
              </w:rPr>
              <w:t xml:space="preserve">Distribution: </w:t>
            </w:r>
            <w:r>
              <w:t>Easy-install ZIP</w:t>
            </w:r>
          </w:p>
        </w:tc>
        <w:tc>
          <w:tcPr>
            <w:tcW w:type="dxa" w:w="5141"/>
            <w:tcMar>
              <w:top w:w="90" w:type="dxa"/>
              <w:start w:w="110" w:type="dxa"/>
              <w:bottom w:w="90" w:type="dxa"/>
              <w:end w:w="110" w:type="dxa"/>
            </w:tcMar>
            <w:shd w:fill="EEF4F7"/>
          </w:tcPr>
          <w:p>
            <w:r>
              <w:rPr>
                <w:b/>
              </w:rPr>
              <w:t xml:space="preserve">Edition: </w:t>
            </w:r>
            <w:r>
              <w:t>Color</w:t>
            </w:r>
          </w:p>
        </w:tc>
      </w:tr>
    </w:tbl>
    <w:p>
      <w:pPr>
        <w:pStyle w:val="ManualSmall"/>
      </w:pPr>
      <w:r>
        <w:t>This edition uses color diagrams and visual references.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tcMar>
              <w:top w:w="110" w:type="dxa"/>
              <w:start w:w="130" w:type="dxa"/>
              <w:bottom w:w="110" w:type="dxa"/>
              <w:end w:w="130" w:type="dxa"/>
            </w:tcMar>
            <w:shd w:fill="EEF5FA"/>
          </w:tcPr>
          <w:p>
            <w:r>
              <w:rPr>
                <w:b/>
                <w:sz w:val="19"/>
              </w:rPr>
              <w:t>Important</w:t>
            </w:r>
          </w:p>
          <w:p>
            <w:pPr>
              <w:spacing w:after="0"/>
            </w:pPr>
            <w:r>
              <w:rPr>
                <w:sz w:val="18"/>
              </w:rPr>
              <w:t>Keep program data and backups under restaurant control. Verify this beta on the restaurant's own Windows hardware before broad operational reliance.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Contents</w:t>
      </w:r>
    </w:p>
    <w:p>
      <w:pPr>
        <w:spacing w:after="40"/>
      </w:pPr>
      <w:r>
        <w:rPr>
          <w:sz w:val="19"/>
        </w:rPr>
        <w:t>1. Installation and first launch</w:t>
      </w:r>
    </w:p>
    <w:p>
      <w:pPr>
        <w:spacing w:after="40"/>
      </w:pPr>
      <w:r>
        <w:rPr>
          <w:sz w:val="19"/>
        </w:rPr>
        <w:t>2. The inventory process from setup to review</w:t>
      </w:r>
    </w:p>
    <w:p>
      <w:pPr>
        <w:spacing w:after="40"/>
      </w:pPr>
      <w:r>
        <w:rPr>
          <w:sz w:val="19"/>
        </w:rPr>
        <w:t>3. Locations and count order</w:t>
      </w:r>
    </w:p>
    <w:p>
      <w:pPr>
        <w:spacing w:after="40"/>
      </w:pPr>
      <w:r>
        <w:rPr>
          <w:sz w:val="19"/>
        </w:rPr>
        <w:t>4. Item Master</w:t>
      </w:r>
    </w:p>
    <w:p>
      <w:pPr>
        <w:spacing w:after="40"/>
      </w:pPr>
      <w:r>
        <w:rPr>
          <w:sz w:val="19"/>
        </w:rPr>
        <w:t>5. Pars and reorder worksheet</w:t>
      </w:r>
    </w:p>
    <w:p>
      <w:pPr>
        <w:spacing w:after="40"/>
      </w:pPr>
      <w:r>
        <w:rPr>
          <w:sz w:val="19"/>
        </w:rPr>
        <w:t>6. Suppliers and purchase sources</w:t>
      </w:r>
    </w:p>
    <w:p>
      <w:pPr>
        <w:spacing w:after="40"/>
      </w:pPr>
      <w:r>
        <w:rPr>
          <w:sz w:val="19"/>
        </w:rPr>
        <w:t>7. Purchase orders</w:t>
      </w:r>
    </w:p>
    <w:p>
      <w:pPr>
        <w:spacing w:after="40"/>
      </w:pPr>
      <w:r>
        <w:rPr>
          <w:sz w:val="19"/>
        </w:rPr>
        <w:t>8. Receiving</w:t>
      </w:r>
    </w:p>
    <w:p>
      <w:pPr>
        <w:spacing w:after="40"/>
      </w:pPr>
      <w:r>
        <w:rPr>
          <w:sz w:val="19"/>
        </w:rPr>
        <w:t>9. Counts and count readiness</w:t>
      </w:r>
    </w:p>
    <w:p>
      <w:pPr>
        <w:spacing w:after="40"/>
      </w:pPr>
      <w:r>
        <w:rPr>
          <w:sz w:val="19"/>
        </w:rPr>
        <w:t>10. Transfers, waste, and adjustments</w:t>
      </w:r>
    </w:p>
    <w:p>
      <w:pPr>
        <w:spacing w:after="40"/>
      </w:pPr>
      <w:r>
        <w:rPr>
          <w:sz w:val="19"/>
        </w:rPr>
        <w:t>11. Reports and net sales</w:t>
      </w:r>
    </w:p>
    <w:p>
      <w:pPr>
        <w:spacing w:after="40"/>
      </w:pPr>
      <w:r>
        <w:rPr>
          <w:sz w:val="19"/>
        </w:rPr>
        <w:t>12. Movement/cost history</w:t>
      </w:r>
    </w:p>
    <w:p>
      <w:pPr>
        <w:spacing w:after="40"/>
      </w:pPr>
      <w:r>
        <w:rPr>
          <w:sz w:val="19"/>
        </w:rPr>
        <w:t>13. Import Center</w:t>
      </w:r>
    </w:p>
    <w:p>
      <w:pPr>
        <w:spacing w:after="40"/>
      </w:pPr>
      <w:r>
        <w:rPr>
          <w:sz w:val="19"/>
        </w:rPr>
        <w:t>14. Backup, restore, export, help, and glossary</w:t>
      </w:r>
    </w:p>
    <w:p>
      <w:pPr>
        <w:spacing w:after="40"/>
      </w:pPr>
      <w:r>
        <w:rPr>
          <w:sz w:val="19"/>
        </w:rPr>
        <w:t>15. Recommended inventory cadence</w:t>
      </w:r>
    </w:p>
    <w:p>
      <w:pPr>
        <w:spacing w:after="40"/>
      </w:pPr>
      <w:r>
        <w:rPr>
          <w:sz w:val="19"/>
        </w:rPr>
        <w:t>16. Troubleshooting and release checklist</w:t>
      </w:r>
    </w:p>
    <w:p>
      <w:r>
        <w:br w:type="page"/>
      </w:r>
    </w:p>
    <w:p>
      <w:pPr>
        <w:pStyle w:val="Heading1"/>
      </w:pPr>
      <w:r>
        <w:t>Quick Start</w:t>
      </w:r>
    </w:p>
    <w:p>
      <w:r>
        <w:t>Install and verify the program before entering production data.</w:t>
      </w:r>
    </w:p>
    <w:p>
      <w:pPr>
        <w:pStyle w:val="Heading2"/>
      </w:pPr>
      <w:r>
        <w:t>Easy-install sequence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b45309"/>
          </w:tcPr>
          <w:p>
            <w:pPr>
              <w:jc w:val="center"/>
            </w:pPr>
            <w:r>
              <w:rPr>
                <w:b/>
                <w:color w:val="FFFFFF"/>
              </w:rPr>
              <w:t>1</w:t>
            </w:r>
          </w:p>
        </w:tc>
        <w:tc>
          <w:tcPr>
            <w:tcW w:type="dxa" w:w="89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6F8FA"/>
          </w:tcPr>
          <w:p>
            <w:r>
              <w:rPr>
                <w:sz w:val="19"/>
              </w:rPr>
              <w:t>Download the Windows Beta ZIP from Thomas Monroe Books.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b45309"/>
          </w:tcPr>
          <w:p>
            <w:pPr>
              <w:jc w:val="center"/>
            </w:pPr>
            <w:r>
              <w:rPr>
                <w:b/>
                <w:color w:val="FFFFFF"/>
              </w:rPr>
              <w:t>2</w:t>
            </w:r>
          </w:p>
        </w:tc>
        <w:tc>
          <w:tcPr>
            <w:tcW w:type="dxa" w:w="89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6F8FA"/>
          </w:tcPr>
          <w:p>
            <w:r>
              <w:rPr>
                <w:sz w:val="19"/>
              </w:rPr>
              <w:t>Right-click the ZIP and choose Extract All. Do not run the program from inside the ZIP.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b45309"/>
          </w:tcPr>
          <w:p>
            <w:pPr>
              <w:jc w:val="center"/>
            </w:pPr>
            <w:r>
              <w:rPr>
                <w:b/>
                <w:color w:val="FFFFFF"/>
              </w:rPr>
              <w:t>3</w:t>
            </w:r>
          </w:p>
        </w:tc>
        <w:tc>
          <w:tcPr>
            <w:tcW w:type="dxa" w:w="89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6F8FA"/>
          </w:tcPr>
          <w:p>
            <w:r>
              <w:rPr>
                <w:sz w:val="19"/>
              </w:rPr>
              <w:t>Open the extracted folder and double-click the clearly named INSTALL GRAVITY ... command file.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b45309"/>
          </w:tcPr>
          <w:p>
            <w:pPr>
              <w:jc w:val="center"/>
            </w:pPr>
            <w:r>
              <w:rPr>
                <w:b/>
                <w:color w:val="FFFFFF"/>
              </w:rPr>
              <w:t>4</w:t>
            </w:r>
          </w:p>
        </w:tc>
        <w:tc>
          <w:tcPr>
            <w:tcW w:type="dxa" w:w="89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6F8FA"/>
          </w:tcPr>
          <w:p>
            <w:r>
              <w:rPr>
                <w:sz w:val="19"/>
              </w:rPr>
              <w:t>Allow Windows to finish the per-user installation. Administrator rights normally are not required.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b45309"/>
          </w:tcPr>
          <w:p>
            <w:pPr>
              <w:jc w:val="center"/>
            </w:pPr>
            <w:r>
              <w:rPr>
                <w:b/>
                <w:color w:val="FFFFFF"/>
              </w:rPr>
              <w:t>5</w:t>
            </w:r>
          </w:p>
        </w:tc>
        <w:tc>
          <w:tcPr>
            <w:tcW w:type="dxa" w:w="89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6F8FA"/>
          </w:tcPr>
          <w:p>
            <w:r>
              <w:rPr>
                <w:sz w:val="19"/>
              </w:rPr>
              <w:t>Launch the program from the Desktop or Start Menu shortcut created by the installer.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b45309"/>
          </w:tcPr>
          <w:p>
            <w:pPr>
              <w:jc w:val="center"/>
            </w:pPr>
            <w:r>
              <w:rPr>
                <w:b/>
                <w:color w:val="FFFFFF"/>
              </w:rPr>
              <w:t>6</w:t>
            </w:r>
          </w:p>
        </w:tc>
        <w:tc>
          <w:tcPr>
            <w:tcW w:type="dxa" w:w="89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6F8FA"/>
          </w:tcPr>
          <w:p>
            <w:r>
              <w:rPr>
                <w:sz w:val="19"/>
              </w:rPr>
              <w:t>Complete the first-run profile/setup and create a backup after initial configuration.</w:t>
            </w:r>
          </w:p>
        </w:tc>
      </w:tr>
    </w:tbl>
    <w:p>
      <w:pPr>
        <w:spacing w:after="0"/>
      </w:pPr>
    </w:p>
    <w:p>
      <w:pPr>
        <w:pStyle w:val="Heading2"/>
      </w:pPr>
      <w:r>
        <w:t>First-run verification checklist</w:t>
      </w:r>
    </w:p>
    <w:p>
      <w:pPr>
        <w:pStyle w:val="ListBullet"/>
        <w:spacing w:after="60"/>
      </w:pPr>
      <w:r>
        <w:t>Program launches from the Start Menu/Desktop shortcut.</w:t>
      </w:r>
    </w:p>
    <w:p>
      <w:pPr>
        <w:pStyle w:val="ListBullet"/>
        <w:spacing w:after="60"/>
      </w:pPr>
      <w:r>
        <w:t>Restaurant/location profile is correct.</w:t>
      </w:r>
    </w:p>
    <w:p>
      <w:pPr>
        <w:pStyle w:val="ListBullet"/>
        <w:spacing w:after="60"/>
      </w:pPr>
      <w:r>
        <w:t>A small test record can be saved and reopened.</w:t>
      </w:r>
    </w:p>
    <w:p>
      <w:pPr>
        <w:pStyle w:val="ListBullet"/>
        <w:spacing w:after="60"/>
      </w:pPr>
      <w:r>
        <w:t>Print or PDF output works on the intended device.</w:t>
      </w:r>
    </w:p>
    <w:p>
      <w:pPr>
        <w:pStyle w:val="ListBullet"/>
        <w:spacing w:after="60"/>
      </w:pPr>
      <w:r>
        <w:t>A backup can be created and is stored outside the live data folder.</w:t>
      </w:r>
    </w:p>
    <w:p>
      <w:pPr>
        <w:pStyle w:val="ListBullet"/>
        <w:spacing w:after="60"/>
      </w:pPr>
      <w:r>
        <w:t>Any employee/public link or QR feature is tested from a second device where applicable.</w:t>
      </w:r>
    </w:p>
    <w:p>
      <w:r>
        <w:br w:type="page"/>
      </w:r>
    </w:p>
    <w:p>
      <w:pPr>
        <w:pStyle w:val="Heading1"/>
      </w:pPr>
      <w:r>
        <w:t>Program Map</w:t>
      </w:r>
    </w:p>
    <w:p>
      <w:r>
        <w:t>The map below uses the names of controls in the current packaged Windows beta.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4680"/>
            <w:tcMar>
              <w:top w:w="110" w:type="dxa"/>
              <w:start w:w="120" w:type="dxa"/>
              <w:bottom w:w="100" w:type="dxa"/>
              <w:end w:w="120" w:type="dxa"/>
            </w:tcMar>
            <w:vAlign w:val="top"/>
            <w:shd w:fill="E8F1F8"/>
          </w:tcPr>
          <w:p>
            <w:r>
              <w:rPr>
                <w:b/>
                <w:sz w:val="21"/>
              </w:rPr>
              <w:t>Setup</w:t>
            </w:r>
          </w:p>
          <w:p>
            <w:pPr>
              <w:spacing w:after="20"/>
              <w:ind w:left="115"/>
            </w:pPr>
            <w:r>
              <w:rPr>
                <w:sz w:val="17"/>
              </w:rPr>
              <w:t>• Restaurant Profile</w:t>
            </w:r>
          </w:p>
          <w:p>
            <w:pPr>
              <w:spacing w:after="20"/>
              <w:ind w:left="115"/>
            </w:pPr>
            <w:r>
              <w:rPr>
                <w:sz w:val="17"/>
              </w:rPr>
              <w:t>• Locations</w:t>
            </w:r>
          </w:p>
          <w:p>
            <w:pPr>
              <w:spacing w:after="20"/>
              <w:ind w:left="115"/>
            </w:pPr>
            <w:r>
              <w:rPr>
                <w:sz w:val="17"/>
              </w:rPr>
              <w:t>• Item Master</w:t>
            </w:r>
          </w:p>
        </w:tc>
        <w:tc>
          <w:tcPr>
            <w:tcW w:type="dxa" w:w="4680"/>
            <w:tcMar>
              <w:top w:w="110" w:type="dxa"/>
              <w:start w:w="120" w:type="dxa"/>
              <w:bottom w:w="100" w:type="dxa"/>
              <w:end w:w="120" w:type="dxa"/>
            </w:tcMar>
            <w:vAlign w:val="top"/>
            <w:shd w:fill="E8F5EE"/>
          </w:tcPr>
          <w:p>
            <w:r>
              <w:rPr>
                <w:b/>
                <w:sz w:val="21"/>
              </w:rPr>
              <w:t>Control</w:t>
            </w:r>
          </w:p>
          <w:p>
            <w:pPr>
              <w:spacing w:after="20"/>
              <w:ind w:left="115"/>
            </w:pPr>
            <w:r>
              <w:rPr>
                <w:sz w:val="17"/>
              </w:rPr>
              <w:t>• Par &amp; Reorder</w:t>
            </w:r>
          </w:p>
          <w:p>
            <w:pPr>
              <w:spacing w:after="20"/>
              <w:ind w:left="115"/>
            </w:pPr>
            <w:r>
              <w:rPr>
                <w:sz w:val="17"/>
              </w:rPr>
              <w:t>• Purchasing</w:t>
            </w:r>
          </w:p>
          <w:p>
            <w:pPr>
              <w:spacing w:after="20"/>
              <w:ind w:left="115"/>
            </w:pPr>
            <w:r>
              <w:rPr>
                <w:sz w:val="17"/>
              </w:rPr>
              <w:t>• Receiving</w:t>
            </w:r>
          </w:p>
        </w:tc>
      </w:tr>
      <w:tr>
        <w:tc>
          <w:tcPr>
            <w:tcW w:type="dxa" w:w="4680"/>
            <w:tcMar>
              <w:top w:w="110" w:type="dxa"/>
              <w:start w:w="120" w:type="dxa"/>
              <w:bottom w:w="100" w:type="dxa"/>
              <w:end w:w="120" w:type="dxa"/>
            </w:tcMar>
            <w:vAlign w:val="top"/>
            <w:shd w:fill="FFF4DF"/>
          </w:tcPr>
          <w:p>
            <w:r>
              <w:rPr>
                <w:b/>
                <w:sz w:val="21"/>
              </w:rPr>
              <w:t>Stock</w:t>
            </w:r>
          </w:p>
          <w:p>
            <w:pPr>
              <w:spacing w:after="20"/>
              <w:ind w:left="115"/>
            </w:pPr>
            <w:r>
              <w:rPr>
                <w:sz w:val="17"/>
              </w:rPr>
              <w:t>• Counts</w:t>
            </w:r>
          </w:p>
          <w:p>
            <w:pPr>
              <w:spacing w:after="20"/>
              <w:ind w:left="115"/>
            </w:pPr>
            <w:r>
              <w:rPr>
                <w:sz w:val="17"/>
              </w:rPr>
              <w:t>• Transfers / Waste</w:t>
            </w:r>
          </w:p>
        </w:tc>
        <w:tc>
          <w:tcPr>
            <w:tcW w:type="dxa" w:w="4680"/>
            <w:tcMar>
              <w:top w:w="110" w:type="dxa"/>
              <w:start w:w="120" w:type="dxa"/>
              <w:bottom w:w="100" w:type="dxa"/>
              <w:end w:w="120" w:type="dxa"/>
            </w:tcMar>
            <w:vAlign w:val="top"/>
            <w:shd w:fill="F2ECFA"/>
          </w:tcPr>
          <w:p>
            <w:r>
              <w:rPr>
                <w:b/>
                <w:sz w:val="21"/>
              </w:rPr>
              <w:t>Insight</w:t>
            </w:r>
          </w:p>
          <w:p>
            <w:pPr>
              <w:spacing w:after="20"/>
              <w:ind w:left="115"/>
            </w:pPr>
            <w:r>
              <w:rPr>
                <w:sz w:val="17"/>
              </w:rPr>
              <w:t>• Dashboard</w:t>
            </w:r>
          </w:p>
          <w:p>
            <w:pPr>
              <w:spacing w:after="20"/>
              <w:ind w:left="115"/>
            </w:pPr>
            <w:r>
              <w:rPr>
                <w:sz w:val="17"/>
              </w:rPr>
              <w:t>• Reports</w:t>
            </w:r>
          </w:p>
          <w:p>
            <w:pPr>
              <w:spacing w:after="20"/>
              <w:ind w:left="115"/>
            </w:pPr>
            <w:r>
              <w:rPr>
                <w:sz w:val="17"/>
              </w:rPr>
              <w:t>• History</w:t>
            </w:r>
          </w:p>
        </w:tc>
      </w:tr>
      <w:tr>
        <w:tc>
          <w:tcPr>
            <w:tcW w:type="dxa" w:w="4680"/>
            <w:tcMar>
              <w:top w:w="110" w:type="dxa"/>
              <w:start w:w="120" w:type="dxa"/>
              <w:bottom w:w="100" w:type="dxa"/>
              <w:end w:w="120" w:type="dxa"/>
            </w:tcMar>
            <w:vAlign w:val="top"/>
            <w:shd w:fill="FBEAEC"/>
          </w:tcPr>
          <w:p>
            <w:r>
              <w:rPr>
                <w:b/>
                <w:sz w:val="21"/>
              </w:rPr>
              <w:t>Data</w:t>
            </w:r>
          </w:p>
          <w:p>
            <w:pPr>
              <w:spacing w:after="20"/>
              <w:ind w:left="115"/>
            </w:pPr>
            <w:r>
              <w:rPr>
                <w:sz w:val="17"/>
              </w:rPr>
              <w:t>• Import Center</w:t>
            </w:r>
          </w:p>
          <w:p>
            <w:pPr>
              <w:spacing w:after="20"/>
              <w:ind w:left="115"/>
            </w:pPr>
            <w:r>
              <w:rPr>
                <w:sz w:val="17"/>
              </w:rPr>
              <w:t>• Export Items</w:t>
            </w:r>
          </w:p>
          <w:p>
            <w:pPr>
              <w:spacing w:after="20"/>
              <w:ind w:left="115"/>
            </w:pPr>
            <w:r>
              <w:rPr>
                <w:sz w:val="17"/>
              </w:rPr>
              <w:t>• Export History</w:t>
            </w:r>
          </w:p>
          <w:p>
            <w:pPr>
              <w:spacing w:after="20"/>
              <w:ind w:left="115"/>
            </w:pPr>
            <w:r>
              <w:rPr>
                <w:sz w:val="17"/>
              </w:rPr>
              <w:t>• Export Recipe Costs</w:t>
            </w:r>
          </w:p>
        </w:tc>
        <w:tc>
          <w:tcPr>
            <w:tcW w:type="dxa" w:w="4680"/>
            <w:tcMar>
              <w:top w:w="110" w:type="dxa"/>
              <w:start w:w="120" w:type="dxa"/>
              <w:bottom w:w="100" w:type="dxa"/>
              <w:end w:w="120" w:type="dxa"/>
            </w:tcMar>
            <w:vAlign w:val="top"/>
            <w:shd w:fill="E6F5FA"/>
          </w:tcPr>
          <w:p>
            <w:r>
              <w:rPr>
                <w:b/>
                <w:sz w:val="21"/>
              </w:rPr>
              <w:t>Safety</w:t>
            </w:r>
          </w:p>
          <w:p>
            <w:pPr>
              <w:spacing w:after="20"/>
              <w:ind w:left="115"/>
            </w:pPr>
            <w:r>
              <w:rPr>
                <w:sz w:val="17"/>
              </w:rPr>
              <w:t>• Create Backup</w:t>
            </w:r>
          </w:p>
          <w:p>
            <w:pPr>
              <w:spacing w:after="20"/>
              <w:ind w:left="115"/>
            </w:pPr>
            <w:r>
              <w:rPr>
                <w:sz w:val="17"/>
              </w:rPr>
              <w:t>• Restore Backup</w:t>
            </w:r>
          </w:p>
          <w:p>
            <w:pPr>
              <w:spacing w:after="20"/>
              <w:ind w:left="115"/>
            </w:pPr>
            <w:r>
              <w:rPr>
                <w:sz w:val="17"/>
              </w:rPr>
              <w:t>• Help</w:t>
            </w:r>
          </w:p>
          <w:p>
            <w:pPr>
              <w:spacing w:after="20"/>
              <w:ind w:left="115"/>
            </w:pPr>
            <w:r>
              <w:rPr>
                <w:sz w:val="17"/>
              </w:rPr>
              <w:t>• Glossary</w:t>
            </w:r>
          </w:p>
          <w:p>
            <w:pPr>
              <w:spacing w:after="20"/>
              <w:ind w:left="115"/>
            </w:pPr>
            <w:r>
              <w:rPr>
                <w:sz w:val="17"/>
              </w:rPr>
              <w:t>• Ask Gravity</w:t>
            </w:r>
          </w:p>
        </w:tc>
      </w:tr>
    </w:tbl>
    <w:p>
      <w:pPr>
        <w:spacing w:after="0"/>
      </w:pPr>
    </w:p>
    <w:p>
      <w:pPr>
        <w:pStyle w:val="Heading2"/>
      </w:pPr>
      <w:r>
        <w:t>Core operating 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b45309"/>
          </w:tcPr>
          <w:p>
            <w:pPr>
              <w:jc w:val="center"/>
            </w:pPr>
            <w:r>
              <w:rPr>
                <w:b/>
                <w:color w:val="FFFFFF"/>
              </w:rPr>
              <w:t>1</w:t>
            </w:r>
          </w:p>
        </w:tc>
        <w:tc>
          <w:tcPr>
            <w:tcW w:type="dxa" w:w="89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6F8FA"/>
          </w:tcPr>
          <w:p>
            <w:r>
              <w:rPr>
                <w:sz w:val="19"/>
              </w:rPr>
              <w:t>Set physical locations and count order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b45309"/>
          </w:tcPr>
          <w:p>
            <w:pPr>
              <w:jc w:val="center"/>
            </w:pPr>
            <w:r>
              <w:rPr>
                <w:b/>
                <w:color w:val="FFFFFF"/>
              </w:rPr>
              <w:t>2</w:t>
            </w:r>
          </w:p>
        </w:tc>
        <w:tc>
          <w:tcPr>
            <w:tcW w:type="dxa" w:w="89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6F8FA"/>
          </w:tcPr>
          <w:p>
            <w:r>
              <w:rPr>
                <w:sz w:val="19"/>
              </w:rPr>
              <w:t>Build the Item Master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b45309"/>
          </w:tcPr>
          <w:p>
            <w:pPr>
              <w:jc w:val="center"/>
            </w:pPr>
            <w:r>
              <w:rPr>
                <w:b/>
                <w:color w:val="FFFFFF"/>
              </w:rPr>
              <w:t>3</w:t>
            </w:r>
          </w:p>
        </w:tc>
        <w:tc>
          <w:tcPr>
            <w:tcW w:type="dxa" w:w="89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6F8FA"/>
          </w:tcPr>
          <w:p>
            <w:r>
              <w:rPr>
                <w:sz w:val="19"/>
              </w:rPr>
              <w:t>Connect suppliers and purchase units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b45309"/>
          </w:tcPr>
          <w:p>
            <w:pPr>
              <w:jc w:val="center"/>
            </w:pPr>
            <w:r>
              <w:rPr>
                <w:b/>
                <w:color w:val="FFFFFF"/>
              </w:rPr>
              <w:t>4</w:t>
            </w:r>
          </w:p>
        </w:tc>
        <w:tc>
          <w:tcPr>
            <w:tcW w:type="dxa" w:w="89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6F8FA"/>
          </w:tcPr>
          <w:p>
            <w:r>
              <w:rPr>
                <w:sz w:val="19"/>
              </w:rPr>
              <w:t>Set pars/reorder points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b45309"/>
          </w:tcPr>
          <w:p>
            <w:pPr>
              <w:jc w:val="center"/>
            </w:pPr>
            <w:r>
              <w:rPr>
                <w:b/>
                <w:color w:val="FFFFFF"/>
              </w:rPr>
              <w:t>5</w:t>
            </w:r>
          </w:p>
        </w:tc>
        <w:tc>
          <w:tcPr>
            <w:tcW w:type="dxa" w:w="89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6F8FA"/>
          </w:tcPr>
          <w:p>
            <w:r>
              <w:rPr>
                <w:sz w:val="19"/>
              </w:rPr>
              <w:t>Create purchase orders as needed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b45309"/>
          </w:tcPr>
          <w:p>
            <w:pPr>
              <w:jc w:val="center"/>
            </w:pPr>
            <w:r>
              <w:rPr>
                <w:b/>
                <w:color w:val="FFFFFF"/>
              </w:rPr>
              <w:t>6</w:t>
            </w:r>
          </w:p>
        </w:tc>
        <w:tc>
          <w:tcPr>
            <w:tcW w:type="dxa" w:w="89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6F8FA"/>
          </w:tcPr>
          <w:p>
            <w:r>
              <w:rPr>
                <w:sz w:val="19"/>
              </w:rPr>
              <w:t>Receive purchases into the correct location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b45309"/>
          </w:tcPr>
          <w:p>
            <w:pPr>
              <w:jc w:val="center"/>
            </w:pPr>
            <w:r>
              <w:rPr>
                <w:b/>
                <w:color w:val="FFFFFF"/>
              </w:rPr>
              <w:t>7</w:t>
            </w:r>
          </w:p>
        </w:tc>
        <w:tc>
          <w:tcPr>
            <w:tcW w:type="dxa" w:w="89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6F8FA"/>
          </w:tcPr>
          <w:p>
            <w:r>
              <w:rPr>
                <w:sz w:val="19"/>
              </w:rPr>
              <w:t>Count inventory on a controlled schedule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b45309"/>
          </w:tcPr>
          <w:p>
            <w:pPr>
              <w:jc w:val="center"/>
            </w:pPr>
            <w:r>
              <w:rPr>
                <w:b/>
                <w:color w:val="FFFFFF"/>
              </w:rPr>
              <w:t>8</w:t>
            </w:r>
          </w:p>
        </w:tc>
        <w:tc>
          <w:tcPr>
            <w:tcW w:type="dxa" w:w="89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6F8FA"/>
          </w:tcPr>
          <w:p>
            <w:r>
              <w:rPr>
                <w:sz w:val="19"/>
              </w:rPr>
              <w:t>Record transfers, waste, and adjustments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b45309"/>
          </w:tcPr>
          <w:p>
            <w:pPr>
              <w:jc w:val="center"/>
            </w:pPr>
            <w:r>
              <w:rPr>
                <w:b/>
                <w:color w:val="FFFFFF"/>
              </w:rPr>
              <w:t>9</w:t>
            </w:r>
          </w:p>
        </w:tc>
        <w:tc>
          <w:tcPr>
            <w:tcW w:type="dxa" w:w="89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6F8FA"/>
          </w:tcPr>
          <w:p>
            <w:r>
              <w:rPr>
                <w:sz w:val="19"/>
              </w:rPr>
              <w:t>Review value, losses, price movement, and variance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b45309"/>
          </w:tcPr>
          <w:p>
            <w:pPr>
              <w:jc w:val="center"/>
            </w:pPr>
            <w:r>
              <w:rPr>
                <w:b/>
                <w:color w:val="FFFFFF"/>
              </w:rPr>
              <w:t>10</w:t>
            </w:r>
          </w:p>
        </w:tc>
        <w:tc>
          <w:tcPr>
            <w:tcW w:type="dxa" w:w="89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6F8FA"/>
          </w:tcPr>
          <w:p>
            <w:r>
              <w:rPr>
                <w:sz w:val="19"/>
              </w:rPr>
              <w:t>Back up and correct the system before the next cycle</w:t>
            </w:r>
          </w:p>
        </w:tc>
      </w:tr>
    </w:tbl>
    <w:p>
      <w:pPr>
        <w:spacing w:after="0"/>
      </w:pPr>
    </w:p>
    <w:p>
      <w:pPr>
        <w:pStyle w:val="Heading2"/>
      </w:pPr>
      <w:r>
        <w:t>Built-in help, examples, and glossary</w:t>
      </w:r>
    </w:p>
    <w:p>
      <w:pPr/>
      <w:r>
        <w:t>The Windows Beta includes in-program guidance so a manager does not have to guess what an unfamiliar field, control, or term means. Use the guidance before relying on memory or making assumptions.</w:t>
      </w:r>
    </w:p>
    <w:p>
      <w:pPr>
        <w:pStyle w:val="ListBullet"/>
      </w:pPr>
      <w:r>
        <w:t>Hover help: pause over supported fields and buttons for a short explanation of what the control does or what belongs in the field.</w:t>
      </w:r>
    </w:p>
    <w:p>
      <w:pPr>
        <w:pStyle w:val="ListBullet"/>
      </w:pPr>
      <w:r>
        <w:t>Examples: fields that can be confusing include sample formats or entries where practical, such as times, units, locations, roles, or notes.</w:t>
      </w:r>
    </w:p>
    <w:p>
      <w:pPr>
        <w:pStyle w:val="ListBullet"/>
      </w:pPr>
      <w:r>
        <w:t>Glossary: use the in-program Help and Glossary area for plain-language definitions of inventory, purchasing, count, reorder, variance, and reporting terms.</w:t>
      </w:r>
    </w:p>
    <w:p>
      <w:pPr>
        <w:pStyle w:val="ListBullet"/>
      </w:pPr>
      <w:r>
        <w:t>If the on-screen guidance and this manual ever appear to disagree, stop and verify the current program behavior before using the result operationally.</w:t>
      </w:r>
    </w:p>
    <w:p>
      <w:pPr>
        <w:pStyle w:val="Heading2"/>
      </w:pPr>
      <w:r>
        <w:t>Visual workflow note</w:t>
      </w:r>
    </w:p>
    <w:p>
      <w:r>
        <w:t>The workflow map above is the primary visual guide. It uses the current control names and sequence from the packaged application rather than fabricated screenshots.</w:t>
      </w:r>
    </w:p>
    <w:p>
      <w:r>
        <w:br w:type="page"/>
      </w:r>
    </w:p>
    <w:p>
      <w:pPr>
        <w:pStyle w:val="Heading1"/>
        <w:keepNext/>
      </w:pPr>
      <w:r>
        <w:t>1. Installation and first launch</w:t>
      </w:r>
    </w:p>
    <w:p>
      <w:pPr>
        <w:pStyle w:val="Heading2"/>
        <w:keepNext/>
      </w:pPr>
      <w:r>
        <w:t>Install</w:t>
      </w:r>
    </w:p>
    <w:p>
      <w:pPr>
        <w:keepLines/>
      </w:pPr>
      <w:r>
        <w:t>Extract the easy-install ZIP and run INSTALL GRAVITY INVENTORY CENTER.cmd. Launch from the Desktop or Start Menu shortcut.</w:t>
      </w:r>
    </w:p>
    <w:p>
      <w:pPr>
        <w:pStyle w:val="Heading2"/>
        <w:keepNext/>
      </w:pPr>
      <w:r>
        <w:t>Use the success path</w:t>
      </w:r>
    </w:p>
    <w:p>
      <w:pPr>
        <w:keepLines/>
      </w:pPr>
      <w:r>
        <w:t>The Dashboard shows what success looks like: set up locations, set up items, then count stock. Follow that order instead of entering transactions before the item/location structure exists.</w:t>
      </w:r>
    </w:p>
    <w:p>
      <w:pPr>
        <w:pStyle w:val="Heading2"/>
        <w:keepNext/>
      </w:pPr>
      <w:r>
        <w:t>Back up the initial setup</w:t>
      </w:r>
    </w:p>
    <w:p>
      <w:pPr>
        <w:keepLines/>
      </w:pPr>
      <w:r>
        <w:t>After locations, item master, suppliers, and pars are established, create a backup before live transaction entry.</w:t>
      </w:r>
    </w:p>
    <w:p>
      <w:pPr>
        <w:pStyle w:val="Heading1"/>
        <w:keepNext/>
      </w:pPr>
      <w:r>
        <w:t>2. Locations and count order</w:t>
      </w:r>
    </w:p>
    <w:p>
      <w:pPr>
        <w:pStyle w:val="Heading2"/>
        <w:keepNext/>
      </w:pPr>
      <w:r>
        <w:t>Model the physical restaurant</w:t>
      </w:r>
    </w:p>
    <w:p>
      <w:pPr>
        <w:keepLines/>
      </w:pPr>
      <w:r>
        <w:t>Create locations that reflect where inventory is actually stored or counted: walk-in, freezer, dry storage, bar, line, prep, cleaning, office, etc.</w:t>
      </w:r>
    </w:p>
    <w:p>
      <w:pPr>
        <w:pStyle w:val="Heading2"/>
        <w:keepNext/>
      </w:pPr>
      <w:r>
        <w:t>Use route order</w:t>
      </w:r>
    </w:p>
    <w:p>
      <w:pPr>
        <w:keepLines/>
      </w:pPr>
      <w:r>
        <w:t>Set route order so count sheets follow the physical path managers use. A good route reduces missed shelves and duplicate counting.</w:t>
      </w:r>
    </w:p>
    <w:p>
      <w:pPr>
        <w:pStyle w:val="Heading2"/>
        <w:keepNext/>
      </w:pPr>
      <w:r>
        <w:t>Department labels</w:t>
      </w:r>
    </w:p>
    <w:p>
      <w:pPr>
        <w:keepLines/>
      </w:pPr>
      <w:r>
        <w:t>Use area/department to group locations meaningfully while preserving the actual physical count sequence.</w:t>
      </w:r>
    </w:p>
    <w:p>
      <w:pPr>
        <w:pStyle w:val="Heading1"/>
        <w:keepNext/>
      </w:pPr>
      <w:r>
        <w:t>3. Item Master</w:t>
      </w:r>
    </w:p>
    <w:p>
      <w:pPr>
        <w:pStyle w:val="Heading2"/>
        <w:keepNext/>
      </w:pPr>
      <w:r>
        <w:t>Create each stock item once</w:t>
      </w:r>
    </w:p>
    <w:p>
      <w:pPr>
        <w:keepLines/>
      </w:pPr>
      <w:r>
        <w:t>Use a single clean master record per item rather than separate duplicates for each storage location.</w:t>
      </w:r>
    </w:p>
    <w:p>
      <w:pPr>
        <w:pStyle w:val="Heading2"/>
        <w:keepNext/>
      </w:pPr>
      <w:r>
        <w:t>Use consistent units</w:t>
      </w:r>
    </w:p>
    <w:p>
      <w:pPr>
        <w:keepLines/>
      </w:pPr>
      <w:r>
        <w:t>Decide how the restaurant counts the item and how it purchases the item. Correct conversion between purchase units and count units is essential for value, receiving, and reorder accuracy.</w:t>
      </w:r>
    </w:p>
    <w:p>
      <w:pPr>
        <w:pStyle w:val="Heading2"/>
        <w:keepNext/>
      </w:pPr>
      <w:r>
        <w:t>Fix item setup before counting</w:t>
      </w:r>
    </w:p>
    <w:p>
      <w:pPr>
        <w:keepLines/>
      </w:pPr>
      <w:r>
        <w:t>Count Readiness is designed to surface setup problems. Correct item configuration before posting a full inventory.</w:t>
      </w:r>
    </w:p>
    <w:p>
      <w:pPr>
        <w:pStyle w:val="Heading1"/>
        <w:keepNext/>
      </w:pPr>
      <w:r>
        <w:t>4. Pars and reorder</w:t>
      </w:r>
    </w:p>
    <w:p>
      <w:pPr>
        <w:pStyle w:val="Heading2"/>
        <w:keepNext/>
      </w:pPr>
      <w:r>
        <w:t>Set practical pars</w:t>
      </w:r>
    </w:p>
    <w:p>
      <w:pPr>
        <w:keepLines/>
      </w:pPr>
      <w:r>
        <w:t>Par should represent the inventory level needed to support operations between deliveries with an appropriate buffer, not a permanently inflated target.</w:t>
      </w:r>
    </w:p>
    <w:p>
      <w:pPr>
        <w:pStyle w:val="Heading2"/>
        <w:keepNext/>
      </w:pPr>
      <w:r>
        <w:t>Use the worksheet</w:t>
      </w:r>
    </w:p>
    <w:p>
      <w:pPr>
        <w:keepLines/>
      </w:pPr>
      <w:r>
        <w:t>The Par &amp; Reorder worksheet compares on-hand/reorder needs and can feed purchasing decisions.</w:t>
      </w:r>
    </w:p>
    <w:p>
      <w:pPr>
        <w:pStyle w:val="Heading2"/>
        <w:keepNext/>
      </w:pPr>
      <w:r>
        <w:t>Review unusual reorder quantities</w:t>
      </w:r>
    </w:p>
    <w:p>
      <w:pPr>
        <w:keepLines/>
      </w:pPr>
      <w:r>
        <w:t>Unexpected suggested orders often point to an incorrect par, unit conversion, missing receiving, or count error.</w:t>
      </w:r>
    </w:p>
    <w:p>
      <w:pPr>
        <w:pStyle w:val="Heading1"/>
        <w:keepNext/>
      </w:pPr>
      <w:r>
        <w:t>5. Suppliers and purchase sources</w:t>
      </w:r>
    </w:p>
    <w:p>
      <w:pPr>
        <w:pStyle w:val="Heading2"/>
        <w:keepNext/>
      </w:pPr>
      <w:r>
        <w:t>Supplier directory</w:t>
      </w:r>
    </w:p>
    <w:p>
      <w:pPr>
        <w:keepLines/>
      </w:pPr>
      <w:r>
        <w:t>Create distributors, local/retail stores, specialty suppliers, and other purchase sources.</w:t>
      </w:r>
    </w:p>
    <w:p>
      <w:pPr>
        <w:pStyle w:val="Heading2"/>
        <w:keepNext/>
      </w:pPr>
      <w:r>
        <w:t>Connect items to suppliers</w:t>
      </w:r>
    </w:p>
    <w:p>
      <w:pPr>
        <w:keepLines/>
      </w:pPr>
      <w:r>
        <w:t>Store supplier item code, purchase unit, count-units-per-purchase-unit, order increment, price, and preferred source.</w:t>
      </w:r>
    </w:p>
    <w:p>
      <w:pPr>
        <w:pStyle w:val="Heading2"/>
        <w:keepNext/>
      </w:pPr>
      <w:r>
        <w:t>Local purchases</w:t>
      </w:r>
    </w:p>
    <w:p>
      <w:pPr>
        <w:keepLines/>
      </w:pPr>
      <w:r>
        <w:t>Use a local/retail supplier source for Walmart or similar local purchases rather than pretending every item is supplied by a distributor.</w:t>
      </w:r>
    </w:p>
    <w:p>
      <w:pPr>
        <w:pStyle w:val="Heading1"/>
        <w:keepNext/>
      </w:pPr>
      <w:r>
        <w:t>6. Purchase orders</w:t>
      </w:r>
    </w:p>
    <w:p>
      <w:pPr>
        <w:pStyle w:val="Heading2"/>
        <w:keepNext/>
      </w:pPr>
      <w:r>
        <w:t>Build suggested PO</w:t>
      </w:r>
    </w:p>
    <w:p>
      <w:pPr>
        <w:keepLines/>
      </w:pPr>
      <w:r>
        <w:t>Select the supplier and build suggested purchase-order lines from reorder needs.</w:t>
      </w:r>
    </w:p>
    <w:p>
      <w:pPr>
        <w:pStyle w:val="Heading2"/>
        <w:keepNext/>
      </w:pPr>
      <w:r>
        <w:t>Review before ordering</w:t>
      </w:r>
    </w:p>
    <w:p>
      <w:pPr>
        <w:keepLines/>
      </w:pPr>
      <w:r>
        <w:t>Suggested quantities are a starting point. Review events, forecast changes, delivery schedule, stock already on order, and unusual usage.</w:t>
      </w:r>
    </w:p>
    <w:p>
      <w:pPr>
        <w:pStyle w:val="Heading2"/>
        <w:keepNext/>
      </w:pPr>
      <w:r>
        <w:t>Import when helpful</w:t>
      </w:r>
    </w:p>
    <w:p>
      <w:pPr>
        <w:keepLines/>
      </w:pPr>
      <w:r>
        <w:t>Use the PO template/import for larger data sets, then review imported lines before treating the order as final.</w:t>
      </w:r>
    </w:p>
    <w:p>
      <w:pPr>
        <w:pStyle w:val="Heading1"/>
        <w:keepNext/>
      </w:pPr>
      <w:r>
        <w:t>7. Receiving</w:t>
      </w:r>
    </w:p>
    <w:p>
      <w:pPr>
        <w:pStyle w:val="Heading2"/>
        <w:keepNext/>
      </w:pPr>
      <w:r>
        <w:t>Receive into the correct location</w:t>
      </w:r>
    </w:p>
    <w:p>
      <w:pPr>
        <w:keepLines/>
      </w:pPr>
      <w:r>
        <w:t>Choose receiving location deliberately. Inventory value is only useful when movements reflect where stock actually went.</w:t>
      </w:r>
    </w:p>
    <w:p>
      <w:pPr>
        <w:pStyle w:val="Heading2"/>
        <w:keepNext/>
      </w:pPr>
      <w:r>
        <w:t>Choose purchase or count units</w:t>
      </w:r>
    </w:p>
    <w:p>
      <w:pPr>
        <w:keepLines/>
      </w:pPr>
      <w:r>
        <w:t>Receive using the selected unit and enter the correct cost per selected unit.</w:t>
      </w:r>
    </w:p>
    <w:p>
      <w:pPr>
        <w:pStyle w:val="Heading2"/>
        <w:keepNext/>
      </w:pPr>
      <w:r>
        <w:t>Keep the source document traceable</w:t>
      </w:r>
    </w:p>
    <w:p>
      <w:pPr>
        <w:keepLines/>
      </w:pPr>
      <w:r>
        <w:t>Enter supplier/receipt/invoice reference, date, and recorded-by information so cost changes can be traced later.</w:t>
      </w:r>
    </w:p>
    <w:p>
      <w:pPr>
        <w:pStyle w:val="Heading1"/>
        <w:keepNext/>
      </w:pPr>
      <w:r>
        <w:t>8. Counts</w:t>
      </w:r>
    </w:p>
    <w:p>
      <w:pPr>
        <w:pStyle w:val="Heading2"/>
        <w:keepNext/>
      </w:pPr>
      <w:r>
        <w:t>Choose cycle or full inventory</w:t>
      </w:r>
    </w:p>
    <w:p>
      <w:pPr>
        <w:keepLines/>
      </w:pPr>
      <w:r>
        <w:t>Cycle counts are useful for selected areas/items; full inventory is the controlled whole-restaurant count.</w:t>
      </w:r>
    </w:p>
    <w:p>
      <w:pPr>
        <w:pStyle w:val="Heading2"/>
        <w:keepNext/>
      </w:pPr>
      <w:r>
        <w:t>Use count readiness</w:t>
      </w:r>
    </w:p>
    <w:p>
      <w:pPr>
        <w:keepLines/>
      </w:pPr>
      <w:r>
        <w:t>Fix missing/invalid item setup before a full count.</w:t>
      </w:r>
    </w:p>
    <w:p>
      <w:pPr>
        <w:pStyle w:val="Heading2"/>
        <w:keepNext/>
      </w:pPr>
      <w:r>
        <w:t>Blind count where useful</w:t>
      </w:r>
    </w:p>
    <w:p>
      <w:pPr>
        <w:keepLines/>
      </w:pPr>
      <w:r>
        <w:t>Blind count can reduce anchoring to expected quantities.</w:t>
      </w:r>
    </w:p>
    <w:p>
      <w:pPr>
        <w:pStyle w:val="Heading2"/>
        <w:keepNext/>
      </w:pPr>
      <w:r>
        <w:t>Unexpected stock</w:t>
      </w:r>
    </w:p>
    <w:p>
      <w:pPr>
        <w:keepLines/>
      </w:pPr>
      <w:r>
        <w:t>If an item is found in an unplanned location, add the count row rather than ignoring stock or forcing it into the wrong location.</w:t>
      </w:r>
    </w:p>
    <w:p>
      <w:pPr>
        <w:pStyle w:val="Heading2"/>
        <w:keepNext/>
      </w:pPr>
      <w:r>
        <w:t>Post only after review</w:t>
      </w:r>
    </w:p>
    <w:p>
      <w:pPr>
        <w:keepLines/>
      </w:pPr>
      <w:r>
        <w:t>Review variances and the count sheet before posting. Posting turns the count into an official inventory event.</w:t>
      </w:r>
    </w:p>
    <w:p>
      <w:pPr>
        <w:pStyle w:val="Heading1"/>
        <w:keepNext/>
      </w:pPr>
      <w:r>
        <w:t>9. Transfers, waste, and adjustments</w:t>
      </w:r>
    </w:p>
    <w:p>
      <w:pPr>
        <w:pStyle w:val="Heading2"/>
        <w:keepNext/>
      </w:pPr>
      <w:r>
        <w:t>Choose the correct action</w:t>
      </w:r>
    </w:p>
    <w:p>
      <w:pPr>
        <w:keepLines/>
      </w:pPr>
      <w:r>
        <w:t>Use Transfer for movement between locations; use Waste, Spill, Comp, Spoilage, Damage, or positive/negative adjustment for the actual reason.</w:t>
      </w:r>
    </w:p>
    <w:p>
      <w:pPr>
        <w:pStyle w:val="Heading2"/>
        <w:keepNext/>
      </w:pPr>
      <w:r>
        <w:t>Require a reason/reference</w:t>
      </w:r>
    </w:p>
    <w:p>
      <w:pPr>
        <w:keepLines/>
      </w:pPr>
      <w:r>
        <w:t>The reason/reference is required because unexplained adjustments destroy the usefulness of inventory history.</w:t>
      </w:r>
    </w:p>
    <w:p>
      <w:pPr>
        <w:pStyle w:val="Heading2"/>
        <w:keepNext/>
      </w:pPr>
      <w:r>
        <w:t>Record near the event</w:t>
      </w:r>
    </w:p>
    <w:p>
      <w:pPr>
        <w:keepLines/>
      </w:pPr>
      <w:r>
        <w:t>Enter waste and transfers as close to the real event as practical rather than reconstructing them days later.</w:t>
      </w:r>
    </w:p>
    <w:p>
      <w:pPr>
        <w:pStyle w:val="Heading1"/>
        <w:keepNext/>
      </w:pPr>
      <w:r>
        <w:t>10. Reports and sales</w:t>
      </w:r>
    </w:p>
    <w:p>
      <w:pPr>
        <w:pStyle w:val="Heading2"/>
        <w:keepNext/>
      </w:pPr>
      <w:r>
        <w:t>Inventory value by category</w:t>
      </w:r>
    </w:p>
    <w:p>
      <w:pPr>
        <w:keepLines/>
      </w:pPr>
      <w:r>
        <w:t>Use the report to understand where cash is tied up in stock.</w:t>
      </w:r>
    </w:p>
    <w:p>
      <w:pPr>
        <w:pStyle w:val="Heading2"/>
        <w:keepNext/>
      </w:pPr>
      <w:r>
        <w:t>Largest recent losses</w:t>
      </w:r>
    </w:p>
    <w:p>
      <w:pPr>
        <w:keepLines/>
      </w:pPr>
      <w:r>
        <w:t>Review large waste/adjustment activity for operational causes, not just accounting symptoms.</w:t>
      </w:r>
    </w:p>
    <w:p>
      <w:pPr>
        <w:pStyle w:val="Heading2"/>
        <w:keepNext/>
      </w:pPr>
      <w:r>
        <w:t>Price Movers</w:t>
      </w:r>
    </w:p>
    <w:p>
      <w:pPr>
        <w:keepLines/>
      </w:pPr>
      <w:r>
        <w:t>Use supplier price changes to identify recipe-cost or purchasing pressure.</w:t>
      </w:r>
    </w:p>
    <w:p>
      <w:pPr>
        <w:pStyle w:val="Heading2"/>
        <w:keepNext/>
      </w:pPr>
      <w:r>
        <w:t>Full-count variance</w:t>
      </w:r>
    </w:p>
    <w:p>
      <w:pPr>
        <w:keepLines/>
      </w:pPr>
      <w:r>
        <w:t>Use the latest full-count variance as a control measure for count accuracy and unexplained movement.</w:t>
      </w:r>
    </w:p>
    <w:p>
      <w:pPr>
        <w:pStyle w:val="Heading2"/>
        <w:keepNext/>
      </w:pPr>
      <w:r>
        <w:t>Net sales</w:t>
      </w:r>
    </w:p>
    <w:p>
      <w:pPr>
        <w:keepLines/>
      </w:pPr>
      <w:r>
        <w:t>Record daily net sales when you want inventory/cost information interpreted against restaurant sales activity.</w:t>
      </w:r>
    </w:p>
    <w:p>
      <w:pPr>
        <w:pStyle w:val="Heading1"/>
        <w:keepNext/>
      </w:pPr>
      <w:r>
        <w:t>11. History and imports</w:t>
      </w:r>
    </w:p>
    <w:p>
      <w:pPr>
        <w:pStyle w:val="Heading2"/>
        <w:keepNext/>
      </w:pPr>
      <w:r>
        <w:t>Movement and cost history</w:t>
      </w:r>
    </w:p>
    <w:p>
      <w:pPr>
        <w:keepLines/>
      </w:pPr>
      <w:r>
        <w:t>History provides the audit trail for receiving, counts, transfers, waste, and cost movement.</w:t>
      </w:r>
    </w:p>
    <w:p>
      <w:pPr>
        <w:pStyle w:val="Heading2"/>
        <w:keepNext/>
      </w:pPr>
      <w:r>
        <w:t>Import Center</w:t>
      </w:r>
    </w:p>
    <w:p>
      <w:pPr>
        <w:keepLines/>
      </w:pPr>
      <w:r>
        <w:t>Use the provided templates for Inventory Items, Purchase Order Items, Receiving/Invoice, and supplier price updates. Import into a backup-protected workspace and review the result.</w:t>
      </w:r>
    </w:p>
    <w:p>
      <w:pPr>
        <w:pStyle w:val="Heading2"/>
        <w:keepNext/>
      </w:pPr>
      <w:r>
        <w:t>Never guess import units</w:t>
      </w:r>
    </w:p>
    <w:p>
      <w:pPr>
        <w:keepLines/>
      </w:pPr>
      <w:r>
        <w:t>Unit conversion errors can affect every downstream value. Verify sample rows after an import before processing the rest of the workflow.</w:t>
      </w:r>
    </w:p>
    <w:p>
      <w:pPr>
        <w:pStyle w:val="Heading1"/>
        <w:keepNext/>
      </w:pPr>
      <w:r>
        <w:t>12. Backup, restore, exports, help, and glossary</w:t>
      </w:r>
    </w:p>
    <w:p>
      <w:pPr>
        <w:pStyle w:val="Heading2"/>
        <w:keepNext/>
      </w:pPr>
      <w:r>
        <w:t>Create Backup</w:t>
      </w:r>
    </w:p>
    <w:p>
      <w:pPr>
        <w:keepLines/>
      </w:pPr>
      <w:r>
        <w:t>Create backups before large imports, full counts, structural item changes, or application updates.</w:t>
      </w:r>
    </w:p>
    <w:p>
      <w:pPr>
        <w:pStyle w:val="Heading2"/>
        <w:keepNext/>
      </w:pPr>
      <w:r>
        <w:t>Restore Backup</w:t>
      </w:r>
    </w:p>
    <w:p>
      <w:pPr>
        <w:keepLines/>
      </w:pPr>
      <w:r>
        <w:t>Restore only a known-good Inventory Center backup. Keep the source backup file untouched until the restored workspace has been checked.</w:t>
      </w:r>
    </w:p>
    <w:p>
      <w:pPr>
        <w:pStyle w:val="Heading2"/>
        <w:keepNext/>
      </w:pPr>
      <w:r>
        <w:t>Exports</w:t>
      </w:r>
    </w:p>
    <w:p>
      <w:pPr>
        <w:keepLines/>
      </w:pPr>
      <w:r>
        <w:t>Export Items, History, and Recipe Costs are data outputs for analysis/integration; they do not replace a full application backup.</w:t>
      </w:r>
    </w:p>
    <w:p>
      <w:pPr>
        <w:pStyle w:val="Heading2"/>
        <w:keepNext/>
      </w:pPr>
      <w:r>
        <w:t>Help and Glossary</w:t>
      </w:r>
    </w:p>
    <w:p>
      <w:pPr>
        <w:keepLines/>
      </w:pPr>
      <w:r>
        <w:t>Use in-program Help and Glossary when a term or process is unclear. The goal is for the main workflow to be understandable without Help, but the answer should be there when needed.</w:t>
      </w:r>
    </w:p>
    <w:p>
      <w:pPr>
        <w:pStyle w:val="Heading1"/>
        <w:keepNext/>
      </w:pPr>
      <w:r>
        <w:t>13. Recommended operating cadence</w:t>
      </w:r>
    </w:p>
    <w:p>
      <w:pPr>
        <w:pStyle w:val="Heading2"/>
        <w:keepNext/>
      </w:pPr>
      <w:r>
        <w:t>Daily</w:t>
      </w:r>
    </w:p>
    <w:p>
      <w:pPr>
        <w:keepLines/>
      </w:pPr>
      <w:r>
        <w:t>Post receiving, transfers, significant waste/adjustments, and sales when used.</w:t>
      </w:r>
    </w:p>
    <w:p>
      <w:pPr>
        <w:pStyle w:val="Heading2"/>
        <w:keepNext/>
      </w:pPr>
      <w:r>
        <w:t>Weekly</w:t>
      </w:r>
    </w:p>
    <w:p>
      <w:pPr>
        <w:keepLines/>
      </w:pPr>
      <w:r>
        <w:t>Review reorder worksheet, supplier price movement, high losses, stale items, and backup status.</w:t>
      </w:r>
    </w:p>
    <w:p>
      <w:pPr>
        <w:pStyle w:val="Heading2"/>
        <w:keepNext/>
      </w:pPr>
      <w:r>
        <w:t>Inventory day</w:t>
      </w:r>
    </w:p>
    <w:p>
      <w:pPr>
        <w:keepLines/>
      </w:pPr>
      <w:r>
        <w:t>Freeze/coordinate movements as required by restaurant policy, count by physical route, review variance, post count, and save a dated backup.</w:t>
      </w:r>
    </w:p>
    <w:p>
      <w:pPr>
        <w:pStyle w:val="Heading2"/>
        <w:keepNext/>
      </w:pPr>
      <w:r>
        <w:t>Monthly</w:t>
      </w:r>
    </w:p>
    <w:p>
      <w:pPr>
        <w:keepLines/>
      </w:pPr>
      <w:r>
        <w:t>Audit unit conversions, pars, supplier links, inactive items, and high-value variance patterns.</w:t>
      </w:r>
    </w:p>
    <w:p>
      <w:pPr>
        <w:pStyle w:val="Heading1"/>
        <w:keepNext/>
      </w:pPr>
      <w:r>
        <w:t>14. Troubleshooting</w:t>
      </w:r>
    </w:p>
    <w:p>
      <w:pPr>
        <w:pStyle w:val="Heading2"/>
        <w:keepNext/>
      </w:pPr>
      <w:r>
        <w:t>Reorder suggestion is unrealistic</w:t>
      </w:r>
    </w:p>
    <w:p>
      <w:pPr>
        <w:keepLines/>
      </w:pPr>
      <w:r>
        <w:t>Check on-hand quantity, par, purchase/count unit conversion, order increment, open purchase orders, and recent receiving.</w:t>
      </w:r>
    </w:p>
    <w:p>
      <w:pPr>
        <w:pStyle w:val="Heading2"/>
        <w:keepNext/>
      </w:pPr>
      <w:r>
        <w:t>Inventory value is too high/low</w:t>
      </w:r>
    </w:p>
    <w:p>
      <w:pPr>
        <w:keepLines/>
      </w:pPr>
      <w:r>
        <w:t>Check count units, costs, duplicate items, unposted receiving, and incorrect positive/negative adjustments.</w:t>
      </w:r>
    </w:p>
    <w:p>
      <w:pPr>
        <w:pStyle w:val="Heading2"/>
        <w:keepNext/>
      </w:pPr>
      <w:r>
        <w:t>Count is missing a product</w:t>
      </w:r>
    </w:p>
    <w:p>
      <w:pPr>
        <w:keepLines/>
      </w:pPr>
      <w:r>
        <w:t>Check whether the item is active and assigned/available for the selected location; use unexpected stock handling when physically found elsewhere.</w:t>
      </w:r>
    </w:p>
    <w:p>
      <w:pPr>
        <w:pStyle w:val="Heading2"/>
        <w:keepNext/>
      </w:pPr>
      <w:r>
        <w:t>Supplier price looks wrong</w:t>
      </w:r>
    </w:p>
    <w:p>
      <w:pPr>
        <w:keepLines/>
      </w:pPr>
      <w:r>
        <w:t>Review selected purchase unit, count-unit conversion, imported price updates, and latest receiving cost.</w:t>
      </w:r>
    </w:p>
    <w:p>
      <w:pPr>
        <w:pStyle w:val="Heading2"/>
        <w:keepNext/>
      </w:pPr>
      <w:r>
        <w:t>History does not explain a variance</w:t>
      </w:r>
    </w:p>
    <w:p>
      <w:pPr>
        <w:keepLines/>
      </w:pPr>
      <w:r>
        <w:t>Look for missing transfers/waste, late receiving, wrong location, incorrect count entry, or unit conversion errors before creating a compensating adjustment.</w:t>
      </w:r>
    </w:p>
    <w:p>
      <w:pPr>
        <w:pStyle w:val="Heading1"/>
      </w:pPr>
      <w:r>
        <w:t>Manager Rollout Checklist</w:t>
      </w:r>
    </w:p>
    <w:p>
      <w:pPr>
        <w:pStyle w:val="ListBullet"/>
        <w:spacing w:after="60"/>
      </w:pPr>
      <w:r>
        <w:t>Install from the extracted easy-install ZIP and confirm the shortcut launches the correct program.</w:t>
      </w:r>
    </w:p>
    <w:p>
      <w:pPr>
        <w:pStyle w:val="ListBullet"/>
        <w:spacing w:after="60"/>
      </w:pPr>
      <w:r>
        <w:t>Enter restaurant-specific setup and save a test record.</w:t>
      </w:r>
    </w:p>
    <w:p>
      <w:pPr>
        <w:pStyle w:val="ListBullet"/>
        <w:spacing w:after="60"/>
      </w:pPr>
      <w:r>
        <w:t>Verify printing/PDF output and any QR/public link behavior used by the restaurant.</w:t>
      </w:r>
    </w:p>
    <w:p>
      <w:pPr>
        <w:pStyle w:val="ListBullet"/>
        <w:spacing w:after="60"/>
      </w:pPr>
      <w:r>
        <w:t>Create and retain a dated backup before live rollout.</w:t>
      </w:r>
    </w:p>
    <w:p>
      <w:pPr>
        <w:pStyle w:val="ListBullet"/>
        <w:spacing w:after="60"/>
      </w:pPr>
      <w:r>
        <w:t>Train the manager who owns the process, not just the person who installs the software.</w:t>
      </w:r>
    </w:p>
    <w:p>
      <w:pPr>
        <w:pStyle w:val="ListBullet"/>
        <w:spacing w:after="60"/>
      </w:pPr>
      <w:r>
        <w:t>Run one controlled live cycle before depending on the program for the entire restaurant.</w:t>
      </w:r>
    </w:p>
    <w:p>
      <w:pPr>
        <w:pStyle w:val="ListBullet"/>
        <w:spacing w:after="60"/>
      </w:pPr>
      <w:r>
        <w:t>Document any beta issue with the screen, action, expected result, and actual result.</w:t>
      </w:r>
    </w:p>
    <w:p>
      <w:pPr>
        <w:pStyle w:val="Heading2"/>
      </w:pPr>
      <w:r>
        <w:t>Release posture</w:t>
      </w:r>
    </w:p>
    <w:p>
      <w:r>
        <w:t>The software is distributed as a Windows Beta. Use it operationally with normal management controls, backups, verification, and a fallback method until the restaurant has completed its own successful live cycle.</w:t>
      </w:r>
      <w:r>
        <w:t xml:space="preserve"> The release also includes field-level hover help, examples where needed, and an in-program glossary/help path.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anualSmall"/>
      <w:jc w:val="right"/>
    </w:pPr>
    <w:r>
      <w:t xml:space="preserve">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anualSmall"/>
      <w:jc w:val="left"/>
      <w:pBdr>
        <w:bottom w:val="single" w:sz="6" w:space="1" w:color="b45309"/>
      </w:pBdr>
    </w:pPr>
    <w:r>
      <w:t>Gravity Inventory Center - Windows Beta User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B4530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B4530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Arial" w:hAnsi="Arial"/>
      <w:b/>
      <w:bCs/>
      <w:color w:val="B4530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B45309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6464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i/>
      <w:color w:val="5A5A5A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nualSmall">
    <w:name w:val="Manual Small"/>
    <w:pPr>
      <w:spacing w:after="60"/>
    </w:pPr>
    <w:rPr>
      <w:rFonts w:ascii="Arial" w:hAnsi="Arial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Gravity Inventory Center Windows Beta Full User Manual</dc:title>
  <dc:subject>Comprehensive user manual</dc:subject>
  <dc:creator>Thomas Monroe Books</dc:creator>
  <cp:keywords>Gravity, restaurant, Windows beta, user manual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