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4"/>
          <w:szCs w:val="24"/>
          <w:lang w:val="fr-CA" w:eastAsia="en-US"/>
          <w14:ligatures w14:val="standardContextual"/>
        </w:rPr>
        <w:id w:val="-965740656"/>
        <w:docPartObj>
          <w:docPartGallery w:val="Cover Pages"/>
          <w:docPartUnique/>
        </w:docPartObj>
      </w:sdtPr>
      <w:sdtContent>
        <w:p w14:paraId="6817DB70" w14:textId="7225A160" w:rsidR="00FE4D30" w:rsidRDefault="00FE4D30">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64A38CB" wp14:editId="1871AD2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30T00:00:00Z">
                                      <w:dateFormat w:val="dd/MM/yyyy"/>
                                      <w:lid w:val="fr-FR"/>
                                      <w:storeMappedDataAs w:val="dateTime"/>
                                      <w:calendar w:val="gregorian"/>
                                    </w:date>
                                  </w:sdtPr>
                                  <w:sdtContent>
                                    <w:p w14:paraId="5C230315" w14:textId="380B3DA2" w:rsidR="00FE4D30" w:rsidRDefault="00C71DA5">
                                      <w:pPr>
                                        <w:pStyle w:val="Sansinterligne"/>
                                        <w:jc w:val="right"/>
                                        <w:rPr>
                                          <w:color w:val="FFFFFF" w:themeColor="background1"/>
                                          <w:sz w:val="28"/>
                                          <w:szCs w:val="28"/>
                                        </w:rPr>
                                      </w:pPr>
                                      <w:r>
                                        <w:rPr>
                                          <w:color w:val="FFFFFF" w:themeColor="background1"/>
                                          <w:sz w:val="28"/>
                                          <w:szCs w:val="28"/>
                                          <w:lang w:val="fr-FR"/>
                                        </w:rPr>
                                        <w:t>30</w:t>
                                      </w:r>
                                      <w:r w:rsidR="00FE4D30">
                                        <w:rPr>
                                          <w:color w:val="FFFFFF" w:themeColor="background1"/>
                                          <w:sz w:val="28"/>
                                          <w:szCs w:val="28"/>
                                          <w:lang w:val="fr-FR"/>
                                        </w:rPr>
                                        <w:t>/03/2023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4A38CB"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dEbUCQAAKcEAQAOAAAAZHJzL2Uyb0RvYy54bWzsXV2PWzeSfV9g/4PQjwtsrPuhK6kxziBw&#13;&#10;PrBAZiaY9GKeZbXaaoxa0kpy2plfv6eqyKuiWORVWnImtm8eom6r+txiXZJ1qlgk//TnD0+rwS+L&#13;&#10;3f5xs359U3w1vBks1vPN/eP63eub/737/r8nN4P9Yba+n60268Xrm18X+5s/f/2f//Gn5+3totws&#13;&#10;N6v7xW4AkPX+9nn7+mZ5OGxvX73az5eLp9n+q812scaXD5vd0+yAX3fvXt3vZs9Af1q9KofD5tXz&#13;&#10;Zne/3W3mi/0e//qtfHnzNeM/PCzmh789POwXh8Hq9Q10O/D/d/z/t/T/V1//aXb7bjfbLh/nTo3Z&#13;&#10;C7R4mj2u8dAW6tvZYTZ4v3uMoJ4e57vNfvNw+Gq+eXq1eXh4nC+4DWhNMTxpzQ+7zfstt+Xd7fO7&#13;&#10;bWsmmPbETi+Gnf/1lx9225+3P+1gieftO9iCf6O2fHjYPdEntBx8YJP92pps8eEwmOMfy2JajxpY&#13;&#10;do7vpkU5GhelGHW+hOWjv5svv+v4y1f+wa8CdZ636CD7ow32l9ng5+Vsu2DT7m9hg592g8f71zfV&#13;&#10;zWA9e0I3/Ts6zmz9brUYVNQaejikWjPtb/ew2Lk2IhNVo8hEbUNnt9vd/vDDYvM0oB9e3+zwdO5N&#13;&#10;s19+3B/wfIh6EXrofrN6vP/+cbXiX2ioLN6sdoNfZujkhw9sf/xFILVak+x6Q38lgPQvMLFvCv90&#13;&#10;+HW1ILnV+u+LB1iEXjArwuPx+JDZfL5YHwr5ajm7X8izR0P8R/aip3u1+DcGJOQHPL/FdgBeUkA8&#13;&#10;tsA4efrTBQ/n9o+HOcXkj9u/4Cdv1of2j58e15udBbBCq9yTRd4bSUxDVnq7uf8V/WW3kclkv51/&#13;&#10;/4jX9uNsf/hptsPsgdGAGRHfLje7f90MnjG7vL7Z/9/72W5xM1j9zxpdd1rUNU1H/Es9Gpf4Zae/&#13;&#10;eau/Wb9/erPBuy0wl27n/CPJH1b+x4fd5ukfmAi/oafiq9l6jme/vpkfdv6XNweZ9TCVzhfffMNi&#13;&#10;mIK2s8OP65+3cwInK1E3u/vwj9lu6/riASP9rxs/XGa3J11SZOkv15tv3h82D4/cX492cvbD0JVh&#13;&#10;9NHHcO3H8E/oorN38DqD+gVjuKibZjJyDsKc7Uajcjgaud7i50o/TJ31lpunxU+r2YGmmsh2NOLp&#13;&#10;n/ux+XCtsXn48PYDhu+x+11xmLZDtJiUkwl+kzGKHz6f8en8v1CBo1+E8xK/yIxkMeBeT+75N9CH&#13;&#10;cQO+djMATajLYjiMhtZwNK5JgIhEPS2GVTmhsTW7bYnEZNjU0EQQismRaHhKUVTDphzDiRNGVeAx&#13;&#10;ZROMz1NKkWhuc9JcBgmbS4oxVfpxM//nfrDevFmCLyy+2W/hu2kyJSdy+icBofE0p+VXRV1A/bh9&#13;&#10;fvIphvV4DLOdtk5ZKAVxZF0pkJaMnJrod2Bd5Pyke30Pnr8YrB7f7hYD/KsbyY55kcn3W7a3GLfl&#13;&#10;ZDLgiZIN3j7/ZXMPAjeDL+I510/MjsRWzbRxRm7KopmU3JVBLhwrLaZVM3ZcrZnCAXg+43Hm74Wq&#13;&#10;kTbeF6Ir3IOocZ+4d025Q6MenlagA//1ajAcPA+K0hHjd60I/LkSWQ6IE3CXP4qgP7Qi1dSGQYdv&#13;&#10;ZYpROTCB4BZboUltA6HdrUw1rG0gDI5WCG2ykcZKqC7GNhJCw26kqRKCfWykQht73Ng6FdrcmCkS&#13;&#10;UOdYvAhMPklppW2eUkrbfFQldNI2T/UlbXKlEAZ22zlnSwknMGN8WLsOi59AFxFRCp/ebvYUs1Hv&#13;&#10;xRx658kwpKh3J4Rl0rrjUAnPywvDKITsiVNeGA0n4bGbxfPC6E8kPD1LmLoMt/C8JsLZiPh5jSxc&#13;&#10;K4vzmlm4dhZBQ8WU7j1RTHiaxNiBg7y+eStzBpg8vV56TfTj4BleCFPOYAl3inmF/v1p88vibsMS&#13;&#10;h5PIHM86frtaa6kKQxCWwsziDOu/9p9bBptIkzFvZMVYJ8BhVjhPTuZE6Ocf5z/lsWMxHcZzFs43&#13;&#10;AryNnEcKTcBG/iX7R/lPeaT0nFOg+WqzXwg22Z8f0r4TepXKcQSheRspdwTw9EZd0Pvb43+KS76d&#13;&#10;7ZfyDH4+GWJ2ixTT+p5/Wi5m99+5nw+zx5X8zKZyQZwkPRS5/mhhrg9gD6fh6xVDVk5+SDDv2vf7&#13;&#10;BaklfJFBeXguIvtek/IguzDxlGc6HE2E0ijKM6kLTyvrcjysmHfjvV9OeTCvcdc68hntg8lLlQ1P&#13;&#10;1+SkPHHCnNXSggm58hglcL9TGwbTUQtTjW0c7Xyn5HwNdTAltDhNAkf73gJCJlBAdwrmA3HLNN2B&#13;&#10;MjZSQHeKYcJIAd9JY2lzN0wuYq1CvpNUKzB5Ciqw+STRQG30wn538B/HF1OOEkDa6CmNtM1Vn8QI&#13;&#10;6JmTQQ0/AeaUZKqF44hFQBLJO7eE+EVEC0OGiBZNHy8nWqJbq5onHf5TyEeFbg/6NM1TlEakMBdl&#13;&#10;6Q5NrYTmpj329UL9wodijjlLjhaCiCrKpJ6Eq0Rs6h2Nf5j/lJbCVZBqnkH7L/1nz8V2QaKz52Kd&#13;&#10;66l+FcMxLLfoR0GSwcU42rk2F0sl6Hz6qcR/nothQXhaXTH/FCeXTslYUY6jHJWmB+xAYxjNxsh/&#13;&#10;WjCaGrBDj2E0MRgT87FwNDGoiBjEOJoXFKMUkCYGBWexYiRNDCrOYlkqBWysTCgVkLEaKSq7eZRm&#13;&#10;aNmm5PtitQI21lSUpzP10jYfMUk0sEKrU/LQxNJ2n6TaqC0/rYnbmViB6YdMqQ3FtPHhf1IWo+Rx&#13;&#10;a7GiGtl9guKto1SJt2TrRnPBUQ7pRrOHlbrHUxNTaPoNFFXiFcDDqWeWTRJNv4NimGqpfgkFVhRS&#13;&#10;uum3ME68hFK/hGmdGkvkz1urIYlpGq3Sr2A8TbWy0m8g9Tor/QLSI6DS9i8TL5MqM1rl0yOz0tbn&#13;&#10;RHzcZ4mbtVDpCQMB9lEsMfVQvqqFSs9i0OEolmhgHRo+0R9qbfcUkja7nun7UMnOon9+oVIysqJ5&#13;&#10;GHT9DjOtJEHzuXqaaFncxzEd4hjJLO6jgQ5xDFYW9+FPhzgGJIsHUWGyqS58ucOMdk5TaUYjdExa&#13;&#10;Z4m7pmJeOkvcNRVzz1nirqmYX84Rp/mFdMcccpa4a2odNPXy8JrUQHjNbOLl8bW05TRvH8aTmCvR&#13;&#10;3rG3jv/Sf7oYnIUwKzuj+G/9p4tfxRjwA1kxIhN4JDxPVswtYMDZZcVG8n7hX7NiE3koSFpWrBjC&#13;&#10;o0E54l95QfKiJAhqlRd0PcoTw2SOAHTJISJ3LX3Pm9d/OjMP3aPBdbKCY2kLaExWDIs/0gXyj3UN&#13;&#10;7nofblrservw9rBeZ1cRi3T0O+nmHV3YHgv9GtYVSzU/+zUsDBQjb8Lj/9p5kwq1URMZv/WkQVjj&#13;&#10;CmV83mRc1DRfUN0XYkCseHnnedEaVk0xFkrOMP3oBSrNp4kFT0Y8J2sRTP0te0+gwHqtSAJFhy8c&#13;&#10;CsW66OCloVjPUEZHLiWtO8UwOnApKoqODRwYuNW4oBKiGEdHLSUvhBk4QcLE1idMlwwLW6EwW2Iq&#13;&#10;FORKRpwrsTTSlk5oFFqaQmELSNs6YaNg4WoyTBibViqO1qbUQWxtLBUcZaCNrVOYIbGRgvzIZJSw&#13;&#10;d5AdoRg4VilIjUxgAdNMpbZ3QiNt76SVUN95tADlFQ2NdN9ueO3SeHEoNj0CUfhrAGlrJ7tSkAuh&#13;&#10;VEgMFGRC6lTnDhIhnKE0kPQkkhxvYRrEntOCLEhRUXbGsFKQBMFgMlsX2jsBpM2dmiC1vdUM2Scb&#13;&#10;+mSD0Nc+2RDVbX4CyYaL0wGYBykbQPOTlQygr8EDfZyfKms8EfNBpf90kb5gNfnIkrwQM8+u2JfF&#13;&#10;ME9nA1ABg1/ISkmUCjeUlRIseL2slKtWhZfNi2HSRjOdX0hH7l4s3wDM7gSGZ+eie4fVpRljdTVT&#13;&#10;Jo0uk4lhu8zv6oG73iWt7XDP6EgmSM6vo5slemwftPdBu7F5PFHsgJ5mBO08CK8etDcVNmHJ0Cyr&#13;&#10;osDPHEn7oL2s69rvtZlir80VC0/jiPw0aG+wtnkS1+ugveAlsBhGE+6aohsDRwc3JRc7xDiYF47R&#13;&#10;HYJyE0gHN8y2ixhIs+0Si+kmkGbbsj4bA2m2XXIxrNG0IHQf8xJ0jBQE7xXvjrGgQnMn7B3E79iS&#13;&#10;a7ePHJgyZwpLG32EN2Paikrijlh14v0FQfyI6zmsNmrD09YsrIwb9tKmbwqqmzCwwjAewb6JFQTy&#13;&#10;QElgBbaXModYryCWH02pxNbSK7B9kegTQZHDiONLC0vbHn3QbqLu8nWTMpc2vdRtGy3Ulq9Q12K2&#13;&#10;MAjpay6ViKGCoL5MGSsI6ksuCDGg9CSTHNNBVC8VTAaU7vLY+5looDZ7YvAEtQ0UjbvX10fjfTTe&#13;&#10;R+OoL7B2Uf47ovGLw2vyUBRf0wC34utw6TAVXrvSlzof3pG7ovio3afvw2//6cJwaAQxzIXZYNEt&#13;&#10;3YK9ZMWIcwINzCQrRotMJAfWkZdza7xgFHk5KsQCHthCXg4bLUkOTKBDTqxynIi90fynWyB3S+7w&#13;&#10;4Hk8bFZl/dBrcyE5rCtmyavntiDAq2bRanhzNBYeMytG+XkS6+gBLtyAp8uihV3Ym6sPpPtA+vxA&#13;&#10;GoPFCKS5F187kMbJKbVb/R6jwMZtCjju4ByV1QTjg1e/h9MrxtFSsqYXtqMwOhtFYyX5eRCDaH7L&#13;&#10;C3LxJlAdVJQU68QomtomUDSvZYoco+hgAmvs4LVRi3QkQew4BtFhBHNjn2/9kjcQXkxEYGfmIZfQ&#13;&#10;EMIgX+pfiJ/r/ae4SFqP7pZyzqUtzPQY/lOwet/iT8jrd6S9dEca5i3DtzBtvLZvQbVUNXbdvxhV&#13;&#10;lVROHX0LXAvl4Ni3oIrxmjlaomg53yI0XkvotBXvwYhqs7Rrwa7/5SAG0a7FBtGehY8cikECzyI5&#13;&#10;r9PmaM/C+dQYRXsWG0R7Ft5/E4MEOVnJ3pyqEmRkyUEJSp+7scN2F7vewWwSCPH2gYv9GcVXiKth&#13;&#10;+5eH1egPcFRtsb93Pf5TXJAIIezLhXEu2mt7gofwnwIFlfG8jpLp3uX1Lu/sQ60T65KYLQ2Xx/me&#13;&#10;a7u8EdYlKZ2Njj1qJlMcqijzpV+XbMpRuy6JQySb4XWqiaspxzFTTk1or3YaU40l4aRFtONL4mjf&#13;&#10;R5O8gaN9XzWiSlegnXoL7f6wadUE0v6vKsiNGkDaA2KLqQmkXWDJBxMaQNoLFrwR22hb4AdLOEtT&#13;&#10;p8AV4t3aWhHVbxcBaQnGxtIWL3nhztJLGx1HTiawtNVLXlC0sLTdi4oWJw1zBYuTFbaRm5YPKoyn&#13;&#10;KbW06ethaUMFa5OIxU2tgqXJmovDjRYGNcZcGWo0MFyZ5LDdgtKG58J3C0rbveEVMgsqsHtiHJe6&#13;&#10;vzdjWk20oHSPT3SsYN/1uKZVbwMpWJdMjOVgWRIYCSTd3TnFEc8KFEm3Q2LMXNTSSds80T2DWuMx&#13;&#10;V1FYSNrkCTsFi5JJi9POkFZzLsgw+kGw4brhqnxDKUqlt1C8bm5ABRuuEVLZNg82XDfE/i0obXQp&#13;&#10;f7C00kZPeRmqHlOqJya+Wlsdm/QSaumeXlWJXoXNhccnFk1i1IBbHqVK1JSYfZ0ORWm1RzrU1muk&#13;&#10;XWmJWgQbS/f2EudUmKanxaT2iQXOz7CxtOnLCVV4GK8Rx8QrLJz9ZmNp21dwJzaWtn3KT9A20Fb5&#13;&#10;iotFLLW06TlaNjoXnel0hEr1rkZbXvWtPsT8LSFmcsu5Sz3eIRWjItK0OHol2O3dRcfPptHRuRjd&#13;&#10;J1U7dtdLeNgX63+KxfrJTuAWlS87GSCN7jownNY5/Z28FvVILCafJe46cJvWyHdg8j2EDu9yDrpb&#13;&#10;vr9rTxHuQHdNba8S6RB3TR2d11R3HsBdu2c8j+4O8LvDdK6aenHmi3wPpb7IvVi5L/4eJvYZq1RR&#13;&#10;yamcz1X5T8lZIbDlF9bmqv3X/tOJ0fZJPBTnAkhb/df+U8QQlLIY4s68HBEZwCGmzMu5MxUQL2bl&#13;&#10;ECkyHmLBvBxRfDwXcV5WDqctkhhiuKwYVspYrGOTituLQPdaZY0nbwJxVVbMbUABg8+KgfnQ+8Jo&#13;&#10;zz1THumYDLquf53+U16rjGnEMVksMS1ilKyU6NWlvat1QmyRBfPVOrLKnNS/AaWk19lRnEQDj996&#13;&#10;vlOC6bMcuHxWObB4lgNPz8qBoYtcy0C89f2nG1wUI0A/8Os83gScneTkbOKkVcCaWa5jzIARs1hH&#13;&#10;Hj013fSFQn2h0PmFQuiRRmab+/tHzGw3U6zmni7m4nZGf7poNRxP20F80SkZnC/iaUNnrE/jQVyC&#13;&#10;SCNci+gwnNNXEUgQglPUbKBgJLfhKacrIpQg+OYzDGNd4DRalILzVhGMjrt5U4uhDN51C8MHDsp8&#13;&#10;qlutY27ZaG/gBLlsqaKK9Akz2RNKdlhI2srI1CCnECMFdkaIbyNpS0saLUYKbN3QFhtLp8DanPqK&#13;&#10;kbS5CySCbSRt8ASQNvgkoVGQwLZff5i+TuFoa9sDI8hdU6bEGQg+7UuuFkuGgvZifFpciMKXmylB&#13;&#10;P0KMd8GtQXTIB2I16pZWrCbE2dPJVKQmJLyDrQnn7DjwnqY5ML+OYn1Xg48JNcsjXTlgMcnTVzIB&#13;&#10;sU3xE0m26Rh90UbLntz6TyG5rtICk1hWNyH0Ex95ewz/6bBYsfY4Rv+l/9SxjX9F/ruetfas9XzW&#13;&#10;Cq9psFaOlq/NWpvheHwsb582oKjMFH09Rj0t2xLEISI8Hypezlp5rGlydspaEWVnSKusv0cgmk1h&#13;&#10;YQ8l5RFKQKW4SD5C0UwqgaJpFJONCESTKOIaosnnRzUud3p487TnbXSBz3OJuNbGfuL1ny7lge4B&#13;&#10;39IhFXpZj9BP4f0UfvYUTuUh8RSOf8WMdu0pXJXUNZPxpL2b2U/hOPzDT+FNQxfsQgeM2YtncE7J&#13;&#10;5yZwVFlkJnAKhyMIPX3L1bURhp6+KecQYejJu6aiqVgPPXmbeui5m2u4Ygwd/ZIDiPTQsS9fehFj&#13;&#10;BKkGEyRINJAXEZDPz4skg0rYGVP2nV8ryK+h2QHrxR4K3QEOCqa/OCjjXgJ9vFfxn+KfJChrX7H/&#13;&#10;0n+KkMRHHStO4sOQ75DB7hH8Zx+r7PoLvL56epzvLqwdJ95lODomw1d3dBMcNY1ZFdMBfhiNUJjD&#13;&#10;/sU7On0Q9WTsEvDX8HSSPMi5ukIWlLWIzkaSj4lBAmfHGfYYRXs7zvvGMIG/4xR7DKMdHqe0Yxjt&#13;&#10;8lALjtxoDKN9XuLkWO31gGDjBH4PRaiWdQLPl0bSZi7sM3+J/bQrA3zPu9G08BgrSkPHJqJkUgvE&#13;&#10;1MIC0rYmn27gaFtzGlpM3Xv1T7Zg72KKgV7CmV/0hItJBi/oJEmGy5x2VF+4bC0KcHIMgrSmZG3b&#13;&#10;fz3B8J9CNFDDcY4YDVSgtcVbHsR/CphLSnewpD6I/5z3xeH++He373bbn7dE44IfcX27u1wUs6xQ&#13;&#10;kx92m/fbhURoJA2RH+hvfwIJhMumH3/czP+5H6w3b5a4dXnxzX67mB/Qr7nzn/5J+0D5ex9Ibx4e&#13;&#10;Bh9osaRxo6Ke4G5ff6unJylFNWxK1Frxrm7cNzqaNEzSEf8s/xYhNPV0irIfpjnz5XcfDoM5PWJc&#13;&#10;j6kqmTeGN+Px9CQte7QOaUg07Hm/HXx4Wq3x03b/+mZ5OGxvX73az5eLp9n+GjwQzCCmgR+lzgJz&#13;&#10;zdgZeFRgB6EcYnzcNF9MJ+19JMQIr5fwKHxJx7t719i705x17fPnRxFNUOREyxhGE5RiRGlrA0hT&#13;&#10;QVzJifMZYyBNUKohkUEDSBMUYNhImqLUfMW7gaT5YBJJM0Jg2DoFjBA30JqtCyghDrVNQJ1j8YAT&#13;&#10;Fnz6pNG+gBRSsskweUAK+R4QC0jbnEihBaRNrszUs8IvlxVSN+HUE+aVl9NCd/gdZpYsmcM9c0S/&#13;&#10;MG9kxVgnyGFWOE9O5sQkH8VtafxYjO4s1cRcS1Sz40w7DCKikHna+vHJIb2s2Wq7nA1+ma3o7Dz8&#13;&#10;55rHXnfxZgXXDJvsN6vH++8fVyv6i9V68EyV+PRz8EX7NwJ3+CCpyN/+hO1uf/h2tl8KDj+D1Jrd&#13;&#10;giKt7/mn5WJ2/537+TB7XMnP/PqgMbGJPTMn+unt5v5XsK3+tKEXnjaErh/Tpo+y0F9hgyTOeeTB&#13;&#10;MZnihkd+iqJNkjFjTllXDRaVXHf19Hb+fn/4YbF54p79C2qcuLO0ZXNHwoPB1SZJ2NXFeaRT2uRK&#13;&#10;2lPpM9qNaWRaNGtCwedyYMBo0oRdliaOJk1TysMZONp/8yZ7Qx/tv4txQqGAMvE+UwNJUyYoY6sU&#13;&#10;UKYCZM9sXMCZ0liaM6F01IbSBi/GlCM0LBVwpirVAbTNcdhrAkpbPYWkrc6H+Vs6aaungLTRlUI9&#13;&#10;/fpk6VdyTREzEk2Ed235I68q4k1fVr1JI5nYGvVAmiaPBZrWetvx2zC/JbqhqDLHhtwZOtN8qs9t&#13;&#10;KMNklAVjvWEPN3LY1d9tqAWhZphk2G5dcrQhnagazrbLtkFomLtQNPlUkeo4pbpndD2jO9x9+Mds&#13;&#10;h4wgk1Shpu4X5L9+p0QYeeWY0uFfMRKIMSP36BOPe8k60hAJvvEUe/D2+S+b+8Xrm9n7w4YnFM/F&#13;&#10;olTjaFgMK+wjBNaR0uFKa4RekiWclsOTJCEmu5cyOpmbNFs7JXQ4ukt0OdJCzTBwCsfzIEbR/GJc&#13;&#10;ghMYMJrQ8S6fGCbgFnzVjIGjqQXTsBhHMwtcoGTrc8osYhjNK1C1arYq4HJEUGKYgMgRP3GN6vnJ&#13;&#10;b+EnF/t4vBhep0MHf7mLp3uO4CBlbSDp+OhR5EZlLCXFHJlxV3wlxQQM9Ro5lyxCp2zhmqWvZLTf&#13;&#10;nrboEyPUGdbvn95skE3CbPu5X3BPy1uGG+WKn8BZIlF2qRvFyKl8aqQclvXpihJW6SaUh5Uz/nEi&#13;&#10;4RVzI7L3PudKm9qtDyZcKQfrMYz2pXyInYET+FK5II2X7LQ6oTOlFSUDSDtT3ufqzhTQQNqblrx2&#13;&#10;YwBpb4p1MKQh4pYF/pRv8DaAAoeKk7pMpMClIiNmN466YpvQAs1KYAUGl0vp4jcXJEfQ7RJY2uhy&#13;&#10;iJ3VRG31gquoDGsF51GOJnxjm6GXNjytQNr20qZv5CK5GItmqqO9cHibiQWndpRC62zbBydSFii5&#13;&#10;srG07Zthoo3BxfcIeRNYge3lmkmjjdr2uHDOVkt3+XqcUkubXlKLcZ8PDqWspsQijR4RHErpLsuL&#13;&#10;BjRVbLavp+JTRS0o3elxlaHZwOBYypIZsgWlpxku0TO6aXAuZSF3acZmp72hre6cx4tNFZxLSTzZ&#13;&#10;qQRi1CarZ0ufvz4mfPCTdY2YMCIs9Att4kRRMq8Eo4Gw3fnUeV4YZiFhv4iWF0bDSdiXj+eF0aNI&#13;&#10;2C/j5YVppiTpdvmtQ9y1EQvo51iEJjxGP6+Zjhjftec9dSjjWhrm8dKvxzW1JdR5dJp8SPe2ir5D&#13;&#10;3DW1XRbtEHevVKJ29M4OcddUuTq3U5ymAtK95ft59E/0sjzYBOlWGuAXxGKYD2GpjoOtXF8oWvP7&#13;&#10;zKj/lAyv27wOfpMNs+hMUjyz6rhnHicpsZis1SUjO3ASaULHyUvgGywHRpHVDlxC5NqMkW+k/3SF&#13;&#10;mK4ZYAJ5PEzS1I7jROxx/KfDQ0knyw39LmP/vf90ci7iHXUcDeY4PTxvVj2XJIdXzYq5y/LgMbNi&#13;&#10;5KnRVnjDrJgrdYWny4rJKO7j8b5Q4d+d1sbUYcTjPJFcOx5HySbS1TIV4CBpBOc0Ro55bfwLZiYJ&#13;&#10;x3F4XstEfHb8xXltmRd10Kq5MnHJMc8RWgJTVstIz7hyb0zUPUbBhNuilHzANltWP0jHJQkUzY7l&#13;&#10;IK0IRYckcnZ41CKYttWFOHZsFR0GHq3yhRNsoWSXnP2DIQY2g87xcjJDERm8j3SwJGFwV+51SFF2&#13;&#10;hEhKfom591D9wusfY+EVc6jhobgE4doeqhjiVF3h8NiFWmNDR+ih9MV9SB5fz0PJka7aLZx6KLnL&#13;&#10;WUtoDyVJL1H2mE/GpNHO+HJxH0frGkQ7KBtE+yfsc8A9dxFI4J8kaXaqivZPyKtZKNo/kauMbaL9&#13;&#10;k1zcF6kS5Iclk3SqSpAdJjcnDfrC3VwyuWLnkS72irS9Al4Rtn+5V5Tws+PAYRHqON2NtIFPbHuC&#13;&#10;D0z9pwSoEj53bLDsHWfvOP8YjhN92nCcPGVe23GiJKlwx4nXem+j3x2JO25RtORiO1qJbZOpFwV3&#13;&#10;dHkaNuJL6ka7tVPvOYZyHGsenaN2n0kc7UE5wotxtAetGj6pINYHTT96YlqPNBTSXhSHXNgN034U&#13;&#10;2+lMIO1Iyyk5QcNC2peiEsVGCrxpycuHBlTgUOlOKlOrYLmVFopNtSh/1lqqLMsEljY6ul4CS1ud&#13;&#10;7kG09dJ2L+QQjfgFBsutldweF/cFSmC22lP5u91Gbfual8yN7hAst6aaGKy2ylKkBRX09UTPCs5Q&#13;&#10;HqVaGCy2lrTxwugQVFTRmqGRuyVjY6Hy9yglR3zEdqc7FI5QvJRvNVDbPaWUtvqYj9E2kIKl1gRS&#13;&#10;sNIKDLtf0dJLq3miJ1BY38qM+URKS6egt9smD9ZZ063TJk+1LrQ4rW5bOmmLywE28csL7/+TK9ri&#13;&#10;fhDf/2d0Kdrq2FpqxEeXG1rRQkMrhYsZzd6JVaWjEC6ltRtIayUtFFcCWFrpjl7zvmxLK211nBOQ&#13;&#10;UEvbveLCCQtL273AhZ92E3VfL/mAdgOLiojbJpa80choY3j/H+/HsrC05UscxmPqFd7/B2dp9i26&#13;&#10;SOSo1yTRRlqkaqWKpF7a9hWnYK02attzQYfVRG36qkkwD1wKdVRLbvqNu3xw/x/0sa0V3/8nSH2k&#13;&#10;apd02JFqOrBFl0XM9+Weap+0jMsj37UkPV9kQI6cDPnFVjwkDUm35JJl2kMd84bs7/+jYhmrWqu/&#13;&#10;/+9ApW2UKtvODks6TYDcGK8rwSlYKTT+Hp3PFxmktiV6uXyVBCJb7sptT/aZMf8pGTI6nJF6PM5+&#13;&#10;kCoy/7X/FDFEpSzWtQUCIafIyVlJ6YUvt6aFgDH7XISKjEf3D+b0QxjIcgj08nI4/IGaiyAuK+ce&#13;&#10;21Wx4pceOp5KMREeisAq+1BXitJ0VBkJGEKGLJiTagmIf5/+U96rWAOBTBZL3sF5T2w6apUoAGZb&#13;&#10;5F+UvwAQFs69d1z8x6+zPVvKN89/SjORJmaxrgNVXLEeyHz2qaDxjAeinpUDRRc5pAZyrQD9Zrmi&#13;&#10;3c/g1fefbhS6CyJAnrN4oM2M11FvBUrMYh1XhPr55vSZ/WYkvNPZbX9Ky++4pxfD3ciQ81TyETPk&#13;&#10;o+mwHp6e0zLCOS1gi7QXCSeg0ZWCMsQvyo9TqkGWx3LJ8UJOG9AiOpqnNEoMopMoBeVQDBQdx1MU&#13;&#10;H6MEMTylmgwUHcFjL4IFg/mzTQW4awT5Jeom6eidE1axNjp0Lyo+Kzk2TZATl8owVyVwXFsIM+K8&#13;&#10;OcdoWJAR50NsYpWCfDgwbBMF24+QNLdsREucrZEKpC9MY1Oh/lGKUsWGTtrcBWeKrdZpgyeAtMHd&#13;&#10;NYLRewvy4JTpjxUKs+C0pG/oE2w5sgdGkAJXMH3CxY7K+oRLKl61t5hcXDSBrk8hH/VuK+QT+u09&#13;&#10;RyrgE44r1TXJiEoYKdazckSTJjD4q65rBIWiY0LNgrmQ63gVmSer/lNIK5kAz3QDPKm/39cBTppt&#13;&#10;gYsvOyIukeqg59JMRBq5B4avyDet576wWc99+Tzn3+s8G4wjg/sylbk698VOInLjFKiXJWpFTsoq&#13;&#10;g8sI63EbfV/OfTmg1iwQg7SlN+ThEfFz1ztyN019z7mMkChZjKKpb8mF/5Eqmo9hrdJC0WSMKUsE&#13;&#10;grdotOfzIyyXu068edpTeInnpIV/6sPcZ9KuR7IlHVK9I+jLBP8YZYKI0wxHwMzv6o7gWCaI+xFq&#13;&#10;SgXy7OvLBPWVhrhkwadNL/YDcYB+Mm1KhlY7Cu0GKHcRQQQJkDGm7xhDOwETQ7sArviIMbQLoExM&#13;&#10;pIf2ADW5tBhDR+LkRiIMHYfLnQDRBrMg7WGCBEmPoyKfny9KLvfCznAPF53PcLGfQ3eAm0MfeHmA&#13;&#10;CAiKsLiXJL2cCElfSwpJqHlWSNTWGviYyH9K2Ne7y95d/jHcJeZKw13yevfV3SVKCt1aY1NU5DFD&#13;&#10;dznGoQVwIXx+2VUPApV0iHaHp3GTW7nXIqceMwYJXCansuXEFo2ifSZnsmMY7TX53hlDGe02paY7&#13;&#10;CvS048S9O0gax9poz4lEN4oaIxjtO4Fg4wTeU25YjIAC/5lG0mYu+IrFGEkbmq8dMpoWrBlIOX4M&#13;&#10;pE3NZ2ZZQNrWxAxiGwXV85xYF1P33OCTTaxfTFTQSziXjZ5wMVXhjptkIS4X3C6pembhP11iGYMG&#13;&#10;tAeX5eTyt6Q1kaO2/3oQ/ylgrpKnS8ydooUqp9wzaWLAMztOxekZUs+QuhjS8QJBPpu8vV+R//35&#13;&#10;HZ1FA1+8m22Xj/NvZ4eZ/p3/4nZRbpab1f1i9/X/AwAA//8DAFBLAwQUAAYACAAAACEAqCi0luAA&#13;&#10;AAALAQAADwAAAGRycy9kb3ducmV2LnhtbEyPzU7DMBCE70i8g7WVuFGntJQqjVOhRoAEB0TKA7jx&#13;&#10;5keN15HtpuHtWbjAZaTV7M7Ol+0m24sRfegcKVjMExBIlTMdNQo+D0+3GxAhajK6d4QKvjDALr++&#13;&#10;ynRq3IU+cCxjIziEQqoVtDEOqZShatHqMHcDEnu181ZHHn0jjdcXDre9vEuStbS6I/7Q6gH3LVan&#13;&#10;8mwVvBS+eA1jfE827nn/VvZ1fShHpW5mU7FledyCiDjFvwv4YeD+kHOxozuTCaJXwDTxV9lbru7X&#13;&#10;II68tFo+LEDmmfzPkH8DAAD//wMAUEsBAi0AFAAGAAgAAAAhALaDOJL+AAAA4QEAABMAAAAAAAAA&#13;&#10;AAAAAAAAAAAAAFtDb250ZW50X1R5cGVzXS54bWxQSwECLQAUAAYACAAAACEAOP0h/9YAAACUAQAA&#13;&#10;CwAAAAAAAAAAAAAAAAAvAQAAX3JlbHMvLnJlbHNQSwECLQAUAAYACAAAACEABCHRG1AkAACnBAEA&#13;&#10;DgAAAAAAAAAAAAAAAAAuAgAAZHJzL2Uyb0RvYy54bWxQSwECLQAUAAYACAAAACEAqCi0luAAAAAL&#13;&#10;AQAADwAAAAAAAAAAAAAAAACqJgAAZHJzL2Rvd25yZXYueG1sUEsFBgAAAAAEAAQA8wAAALcnAAAA&#13;&#10;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30T00:00:00Z">
                                <w:dateFormat w:val="dd/MM/yyyy"/>
                                <w:lid w:val="fr-FR"/>
                                <w:storeMappedDataAs w:val="dateTime"/>
                                <w:calendar w:val="gregorian"/>
                              </w:date>
                            </w:sdtPr>
                            <w:sdtContent>
                              <w:p w14:paraId="5C230315" w14:textId="380B3DA2" w:rsidR="00FE4D30" w:rsidRDefault="00C71DA5">
                                <w:pPr>
                                  <w:pStyle w:val="Sansinterligne"/>
                                  <w:jc w:val="right"/>
                                  <w:rPr>
                                    <w:color w:val="FFFFFF" w:themeColor="background1"/>
                                    <w:sz w:val="28"/>
                                    <w:szCs w:val="28"/>
                                  </w:rPr>
                                </w:pPr>
                                <w:r>
                                  <w:rPr>
                                    <w:color w:val="FFFFFF" w:themeColor="background1"/>
                                    <w:sz w:val="28"/>
                                    <w:szCs w:val="28"/>
                                    <w:lang w:val="fr-FR"/>
                                  </w:rPr>
                                  <w:t>30</w:t>
                                </w:r>
                                <w:r w:rsidR="00FE4D30">
                                  <w:rPr>
                                    <w:color w:val="FFFFFF" w:themeColor="background1"/>
                                    <w:sz w:val="28"/>
                                    <w:szCs w:val="28"/>
                                    <w:lang w:val="fr-FR"/>
                                  </w:rPr>
                                  <w:t>/03/2023</w:t>
                                </w:r>
                              </w:p>
                            </w:sdtContent>
                          </w:sdt>
                        </w:txbxContent>
                      </v:textbox>
                    </v:shape>
                    <v:group id="Grou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e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5C0D3A56" wp14:editId="0283EEC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59CD6" w14:textId="2DB51F1A" w:rsidR="00FE4D30" w:rsidRPr="00FE4D30" w:rsidRDefault="00000000">
                                <w:pPr>
                                  <w:pStyle w:val="Sansinterligne"/>
                                  <w:rPr>
                                    <w:color w:val="4472C4" w:themeColor="accent1"/>
                                    <w:sz w:val="26"/>
                                    <w:szCs w:val="26"/>
                                    <w:lang w:val="fr-CA"/>
                                  </w:rPr>
                                </w:pPr>
                                <w:sdt>
                                  <w:sdtPr>
                                    <w:rPr>
                                      <w:color w:val="4472C4" w:themeColor="accent1"/>
                                      <w:sz w:val="26"/>
                                      <w:szCs w:val="26"/>
                                      <w:lang w:val="fr-CA"/>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4D30" w:rsidRPr="00FE4D30">
                                      <w:rPr>
                                        <w:color w:val="4472C4" w:themeColor="accent1"/>
                                        <w:sz w:val="26"/>
                                        <w:szCs w:val="26"/>
                                        <w:lang w:val="fr-CA"/>
                                      </w:rPr>
                                      <w:t>Thomas Vaudescal</w:t>
                                    </w:r>
                                  </w:sdtContent>
                                </w:sdt>
                              </w:p>
                              <w:p w14:paraId="128EA0CD" w14:textId="709BB3E2" w:rsidR="00FE4D30" w:rsidRPr="00FE4D30" w:rsidRDefault="00000000">
                                <w:pPr>
                                  <w:pStyle w:val="Sansinterligne"/>
                                  <w:rPr>
                                    <w:color w:val="595959" w:themeColor="text1" w:themeTint="A6"/>
                                    <w:sz w:val="20"/>
                                    <w:szCs w:val="20"/>
                                    <w:lang w:val="fr-CA"/>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FE4D3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0D3A56"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3DF59CD6" w14:textId="2DB51F1A" w:rsidR="00FE4D30" w:rsidRPr="00FE4D30" w:rsidRDefault="00000000">
                          <w:pPr>
                            <w:pStyle w:val="Sansinterligne"/>
                            <w:rPr>
                              <w:color w:val="4472C4" w:themeColor="accent1"/>
                              <w:sz w:val="26"/>
                              <w:szCs w:val="26"/>
                              <w:lang w:val="fr-CA"/>
                            </w:rPr>
                          </w:pPr>
                          <w:sdt>
                            <w:sdtPr>
                              <w:rPr>
                                <w:color w:val="4472C4" w:themeColor="accent1"/>
                                <w:sz w:val="26"/>
                                <w:szCs w:val="26"/>
                                <w:lang w:val="fr-CA"/>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4D30" w:rsidRPr="00FE4D30">
                                <w:rPr>
                                  <w:color w:val="4472C4" w:themeColor="accent1"/>
                                  <w:sz w:val="26"/>
                                  <w:szCs w:val="26"/>
                                  <w:lang w:val="fr-CA"/>
                                </w:rPr>
                                <w:t>Thomas Vaudescal</w:t>
                              </w:r>
                            </w:sdtContent>
                          </w:sdt>
                        </w:p>
                        <w:p w14:paraId="128EA0CD" w14:textId="709BB3E2" w:rsidR="00FE4D30" w:rsidRPr="00FE4D30" w:rsidRDefault="00000000">
                          <w:pPr>
                            <w:pStyle w:val="Sansinterligne"/>
                            <w:rPr>
                              <w:color w:val="595959" w:themeColor="text1" w:themeTint="A6"/>
                              <w:sz w:val="20"/>
                              <w:szCs w:val="20"/>
                              <w:lang w:val="fr-CA"/>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FE4D30">
                                <w:rPr>
                                  <w:caps/>
                                  <w:color w:val="595959" w:themeColor="text1" w:themeTint="A6"/>
                                  <w:sz w:val="20"/>
                                  <w:szCs w:val="20"/>
                                </w:rPr>
                                <w:t xml:space="preserve">     </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1A6C1399" wp14:editId="3F389D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2726A" w14:textId="2959B596" w:rsidR="00FE4D30" w:rsidRPr="00FE4D30" w:rsidRDefault="00000000">
                                <w:pPr>
                                  <w:pStyle w:val="Sansinterligne"/>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E4D30" w:rsidRPr="00FE4D30">
                                      <w:rPr>
                                        <w:rFonts w:asciiTheme="majorHAnsi" w:eastAsiaTheme="majorEastAsia" w:hAnsiTheme="majorHAnsi" w:cstheme="majorBidi"/>
                                        <w:color w:val="262626" w:themeColor="text1" w:themeTint="D9"/>
                                        <w:sz w:val="72"/>
                                        <w:szCs w:val="72"/>
                                        <w:lang w:val="fr-CA"/>
                                      </w:rPr>
                                      <w:t>Amélioration de la stratégie faible volati</w:t>
                                    </w:r>
                                    <w:r w:rsidR="00FE4D30">
                                      <w:rPr>
                                        <w:rFonts w:asciiTheme="majorHAnsi" w:eastAsiaTheme="majorEastAsia" w:hAnsiTheme="majorHAnsi" w:cstheme="majorBidi"/>
                                        <w:color w:val="262626" w:themeColor="text1" w:themeTint="D9"/>
                                        <w:sz w:val="72"/>
                                        <w:szCs w:val="72"/>
                                        <w:lang w:val="fr-CA"/>
                                      </w:rPr>
                                      <w:t>lité</w:t>
                                    </w:r>
                                  </w:sdtContent>
                                </w:sdt>
                              </w:p>
                              <w:p w14:paraId="1ADC2274" w14:textId="05AD3589" w:rsidR="00FE4D30"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E4D30">
                                      <w:rPr>
                                        <w:color w:val="404040" w:themeColor="text1" w:themeTint="BF"/>
                                        <w:sz w:val="36"/>
                                        <w:szCs w:val="36"/>
                                      </w:rPr>
                                      <w:t>BNI IQS stage d’été 2023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6C1399"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2AB2726A" w14:textId="2959B596" w:rsidR="00FE4D30" w:rsidRPr="00FE4D30" w:rsidRDefault="00000000">
                          <w:pPr>
                            <w:pStyle w:val="Sansinterligne"/>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E4D30" w:rsidRPr="00FE4D30">
                                <w:rPr>
                                  <w:rFonts w:asciiTheme="majorHAnsi" w:eastAsiaTheme="majorEastAsia" w:hAnsiTheme="majorHAnsi" w:cstheme="majorBidi"/>
                                  <w:color w:val="262626" w:themeColor="text1" w:themeTint="D9"/>
                                  <w:sz w:val="72"/>
                                  <w:szCs w:val="72"/>
                                  <w:lang w:val="fr-CA"/>
                                </w:rPr>
                                <w:t>Amélioration de la stratégie faible volati</w:t>
                              </w:r>
                              <w:r w:rsidR="00FE4D30">
                                <w:rPr>
                                  <w:rFonts w:asciiTheme="majorHAnsi" w:eastAsiaTheme="majorEastAsia" w:hAnsiTheme="majorHAnsi" w:cstheme="majorBidi"/>
                                  <w:color w:val="262626" w:themeColor="text1" w:themeTint="D9"/>
                                  <w:sz w:val="72"/>
                                  <w:szCs w:val="72"/>
                                  <w:lang w:val="fr-CA"/>
                                </w:rPr>
                                <w:t>lité</w:t>
                              </w:r>
                            </w:sdtContent>
                          </w:sdt>
                        </w:p>
                        <w:p w14:paraId="1ADC2274" w14:textId="05AD3589" w:rsidR="00FE4D30"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E4D30">
                                <w:rPr>
                                  <w:color w:val="404040" w:themeColor="text1" w:themeTint="BF"/>
                                  <w:sz w:val="36"/>
                                  <w:szCs w:val="36"/>
                                </w:rPr>
                                <w:t>BNI IQS stage d’été 2023</w:t>
                              </w:r>
                            </w:sdtContent>
                          </w:sdt>
                        </w:p>
                      </w:txbxContent>
                    </v:textbox>
                    <w10:wrap anchorx="page" anchory="page"/>
                  </v:shape>
                </w:pict>
              </mc:Fallback>
            </mc:AlternateContent>
          </w:r>
        </w:p>
        <w:p w14:paraId="63672A0A" w14:textId="79F04BC8" w:rsidR="00FE4D30" w:rsidRDefault="00FE4D30">
          <w:r>
            <w:br w:type="page"/>
          </w:r>
        </w:p>
      </w:sdtContent>
    </w:sdt>
    <w:sdt>
      <w:sdtPr>
        <w:rPr>
          <w:rFonts w:asciiTheme="minorHAnsi" w:eastAsiaTheme="minorHAnsi" w:hAnsiTheme="minorHAnsi" w:cstheme="minorBidi"/>
          <w:b w:val="0"/>
          <w:bCs w:val="0"/>
          <w:color w:val="auto"/>
          <w:kern w:val="2"/>
          <w:sz w:val="24"/>
          <w:szCs w:val="24"/>
          <w:lang w:val="fr-FR" w:eastAsia="en-US"/>
          <w14:ligatures w14:val="standardContextual"/>
        </w:rPr>
        <w:id w:val="1981423280"/>
        <w:docPartObj>
          <w:docPartGallery w:val="Table of Contents"/>
          <w:docPartUnique/>
        </w:docPartObj>
      </w:sdtPr>
      <w:sdtEndPr>
        <w:rPr>
          <w:noProof/>
          <w:lang w:val="fr-CA"/>
        </w:rPr>
      </w:sdtEndPr>
      <w:sdtContent>
        <w:p w14:paraId="76714CFB" w14:textId="05D798CC" w:rsidR="00FE4D30" w:rsidRDefault="00FE4D30">
          <w:pPr>
            <w:pStyle w:val="En-ttedetabledesmatires"/>
          </w:pPr>
          <w:r>
            <w:rPr>
              <w:lang w:val="fr-FR"/>
            </w:rPr>
            <w:t>Table des matières</w:t>
          </w:r>
        </w:p>
        <w:p w14:paraId="674171D3" w14:textId="2DB4803C" w:rsidR="00A459DC" w:rsidRDefault="00FE4D30">
          <w:pPr>
            <w:pStyle w:val="TM1"/>
            <w:tabs>
              <w:tab w:val="right" w:leader="dot" w:pos="9848"/>
            </w:tabs>
            <w:rPr>
              <w:rFonts w:eastAsiaTheme="minorEastAsia" w:cstheme="minorBidi"/>
              <w:b w:val="0"/>
              <w:bCs w:val="0"/>
              <w:i w:val="0"/>
              <w:iCs w:val="0"/>
              <w:noProof/>
              <w:kern w:val="0"/>
              <w:lang w:eastAsia="fr-CA"/>
              <w14:ligatures w14:val="none"/>
            </w:rPr>
          </w:pPr>
          <w:r>
            <w:rPr>
              <w:b w:val="0"/>
              <w:bCs w:val="0"/>
            </w:rPr>
            <w:fldChar w:fldCharType="begin"/>
          </w:r>
          <w:r>
            <w:instrText>TOC \o "1-3" \h \z \u</w:instrText>
          </w:r>
          <w:r>
            <w:rPr>
              <w:b w:val="0"/>
              <w:bCs w:val="0"/>
            </w:rPr>
            <w:fldChar w:fldCharType="separate"/>
          </w:r>
          <w:hyperlink w:anchor="_Toc131153334" w:history="1">
            <w:r w:rsidR="00A459DC" w:rsidRPr="002C0144">
              <w:rPr>
                <w:rStyle w:val="Hyperlien"/>
                <w:noProof/>
              </w:rPr>
              <w:t>Méthodologie S&amp;P et filtre de liquidité</w:t>
            </w:r>
            <w:r w:rsidR="00A459DC">
              <w:rPr>
                <w:noProof/>
                <w:webHidden/>
              </w:rPr>
              <w:tab/>
            </w:r>
            <w:r w:rsidR="00A459DC">
              <w:rPr>
                <w:noProof/>
                <w:webHidden/>
              </w:rPr>
              <w:fldChar w:fldCharType="begin"/>
            </w:r>
            <w:r w:rsidR="00A459DC">
              <w:rPr>
                <w:noProof/>
                <w:webHidden/>
              </w:rPr>
              <w:instrText xml:space="preserve"> PAGEREF _Toc131153334 \h </w:instrText>
            </w:r>
            <w:r w:rsidR="00A459DC">
              <w:rPr>
                <w:noProof/>
                <w:webHidden/>
              </w:rPr>
            </w:r>
            <w:r w:rsidR="00A459DC">
              <w:rPr>
                <w:noProof/>
                <w:webHidden/>
              </w:rPr>
              <w:fldChar w:fldCharType="separate"/>
            </w:r>
            <w:r w:rsidR="00A459DC">
              <w:rPr>
                <w:noProof/>
                <w:webHidden/>
              </w:rPr>
              <w:t>2</w:t>
            </w:r>
            <w:r w:rsidR="00A459DC">
              <w:rPr>
                <w:noProof/>
                <w:webHidden/>
              </w:rPr>
              <w:fldChar w:fldCharType="end"/>
            </w:r>
          </w:hyperlink>
        </w:p>
        <w:p w14:paraId="54B886EA" w14:textId="75E0B66B" w:rsidR="00A459DC" w:rsidRDefault="00A459DC">
          <w:pPr>
            <w:pStyle w:val="TM1"/>
            <w:tabs>
              <w:tab w:val="right" w:leader="dot" w:pos="9848"/>
            </w:tabs>
            <w:rPr>
              <w:rFonts w:eastAsiaTheme="minorEastAsia" w:cstheme="minorBidi"/>
              <w:b w:val="0"/>
              <w:bCs w:val="0"/>
              <w:i w:val="0"/>
              <w:iCs w:val="0"/>
              <w:noProof/>
              <w:kern w:val="0"/>
              <w:lang w:eastAsia="fr-CA"/>
              <w14:ligatures w14:val="none"/>
            </w:rPr>
          </w:pPr>
          <w:hyperlink w:anchor="_Toc131153335" w:history="1">
            <w:r w:rsidRPr="002C0144">
              <w:rPr>
                <w:rStyle w:val="Hyperlien"/>
                <w:noProof/>
              </w:rPr>
              <w:t>Amélioration de la stratégie</w:t>
            </w:r>
            <w:r>
              <w:rPr>
                <w:noProof/>
                <w:webHidden/>
              </w:rPr>
              <w:tab/>
            </w:r>
            <w:r>
              <w:rPr>
                <w:noProof/>
                <w:webHidden/>
              </w:rPr>
              <w:fldChar w:fldCharType="begin"/>
            </w:r>
            <w:r>
              <w:rPr>
                <w:noProof/>
                <w:webHidden/>
              </w:rPr>
              <w:instrText xml:space="preserve"> PAGEREF _Toc131153335 \h </w:instrText>
            </w:r>
            <w:r>
              <w:rPr>
                <w:noProof/>
                <w:webHidden/>
              </w:rPr>
            </w:r>
            <w:r>
              <w:rPr>
                <w:noProof/>
                <w:webHidden/>
              </w:rPr>
              <w:fldChar w:fldCharType="separate"/>
            </w:r>
            <w:r>
              <w:rPr>
                <w:noProof/>
                <w:webHidden/>
              </w:rPr>
              <w:t>3</w:t>
            </w:r>
            <w:r>
              <w:rPr>
                <w:noProof/>
                <w:webHidden/>
              </w:rPr>
              <w:fldChar w:fldCharType="end"/>
            </w:r>
          </w:hyperlink>
        </w:p>
        <w:p w14:paraId="461CA1FD" w14:textId="22D397A5" w:rsidR="00A459DC" w:rsidRDefault="00A459DC">
          <w:pPr>
            <w:pStyle w:val="TM1"/>
            <w:tabs>
              <w:tab w:val="right" w:leader="dot" w:pos="9848"/>
            </w:tabs>
            <w:rPr>
              <w:rFonts w:eastAsiaTheme="minorEastAsia" w:cstheme="minorBidi"/>
              <w:b w:val="0"/>
              <w:bCs w:val="0"/>
              <w:i w:val="0"/>
              <w:iCs w:val="0"/>
              <w:noProof/>
              <w:kern w:val="0"/>
              <w:lang w:eastAsia="fr-CA"/>
              <w14:ligatures w14:val="none"/>
            </w:rPr>
          </w:pPr>
          <w:hyperlink w:anchor="_Toc131153336" w:history="1">
            <w:r w:rsidRPr="002C0144">
              <w:rPr>
                <w:rStyle w:val="Hyperlien"/>
                <w:noProof/>
              </w:rPr>
              <w:t>Annexe</w:t>
            </w:r>
            <w:r>
              <w:rPr>
                <w:noProof/>
                <w:webHidden/>
              </w:rPr>
              <w:tab/>
            </w:r>
            <w:r>
              <w:rPr>
                <w:noProof/>
                <w:webHidden/>
              </w:rPr>
              <w:fldChar w:fldCharType="begin"/>
            </w:r>
            <w:r>
              <w:rPr>
                <w:noProof/>
                <w:webHidden/>
              </w:rPr>
              <w:instrText xml:space="preserve"> PAGEREF _Toc131153336 \h </w:instrText>
            </w:r>
            <w:r>
              <w:rPr>
                <w:noProof/>
                <w:webHidden/>
              </w:rPr>
            </w:r>
            <w:r>
              <w:rPr>
                <w:noProof/>
                <w:webHidden/>
              </w:rPr>
              <w:fldChar w:fldCharType="separate"/>
            </w:r>
            <w:r>
              <w:rPr>
                <w:noProof/>
                <w:webHidden/>
              </w:rPr>
              <w:t>4</w:t>
            </w:r>
            <w:r>
              <w:rPr>
                <w:noProof/>
                <w:webHidden/>
              </w:rPr>
              <w:fldChar w:fldCharType="end"/>
            </w:r>
          </w:hyperlink>
        </w:p>
        <w:p w14:paraId="73A33988" w14:textId="537F3EBA" w:rsidR="00FE4D30" w:rsidRDefault="00FE4D30">
          <w:r>
            <w:rPr>
              <w:b/>
              <w:bCs/>
              <w:noProof/>
            </w:rPr>
            <w:fldChar w:fldCharType="end"/>
          </w:r>
        </w:p>
      </w:sdtContent>
    </w:sdt>
    <w:p w14:paraId="490C9709" w14:textId="2EA79036" w:rsidR="00FE4D30" w:rsidRDefault="00FE4D30"/>
    <w:p w14:paraId="6D542475" w14:textId="77777777" w:rsidR="00FE4D30" w:rsidRDefault="00FE4D30">
      <w:r>
        <w:br w:type="page"/>
      </w:r>
    </w:p>
    <w:p w14:paraId="3973E867" w14:textId="1ECD0F9B" w:rsidR="00B77A4E" w:rsidRDefault="00FE4D30" w:rsidP="00B759EC">
      <w:pPr>
        <w:pStyle w:val="Titre1"/>
        <w:jc w:val="both"/>
      </w:pPr>
      <w:bookmarkStart w:id="0" w:name="_Toc131153334"/>
      <w:r>
        <w:lastRenderedPageBreak/>
        <w:t>Méthodologie S&amp;P et filtre de liquidité</w:t>
      </w:r>
      <w:bookmarkEnd w:id="0"/>
    </w:p>
    <w:p w14:paraId="100C959C" w14:textId="77777777" w:rsidR="00FE4D30" w:rsidRDefault="00FE4D30" w:rsidP="00B759EC">
      <w:pPr>
        <w:jc w:val="both"/>
      </w:pPr>
    </w:p>
    <w:p w14:paraId="616F3FD2" w14:textId="6827DCAF" w:rsidR="00FE4D30" w:rsidRDefault="00FE4D30" w:rsidP="00B759EC">
      <w:pPr>
        <w:spacing w:line="276" w:lineRule="auto"/>
        <w:jc w:val="both"/>
        <w:rPr>
          <w:b/>
          <w:bCs/>
        </w:rPr>
      </w:pPr>
      <w:r w:rsidRPr="00FE4D30">
        <w:rPr>
          <w:b/>
          <w:bCs/>
        </w:rPr>
        <w:t xml:space="preserve">Décrivez une force (ou plus) et faiblesses de l’approche proposée par le S&amp;P (dans sa méthodologie, la contribution de volatilité égale ou l’approche par volatilité inverse). </w:t>
      </w:r>
      <w:r w:rsidR="00C71DA5" w:rsidRPr="00C71DA5">
        <w:rPr>
          <w:i/>
          <w:iCs/>
        </w:rPr>
        <w:t>(Pas plus qu’une demi-page)</w:t>
      </w:r>
    </w:p>
    <w:p w14:paraId="5503FBD5" w14:textId="75AE9FE6" w:rsidR="001B315B" w:rsidRDefault="001B315B" w:rsidP="00B759EC">
      <w:pPr>
        <w:spacing w:line="276" w:lineRule="auto"/>
        <w:jc w:val="both"/>
      </w:pPr>
      <w:r>
        <w:t xml:space="preserve">Pour commencer avec les forces d’une telle approche, on peut mentionner une </w:t>
      </w:r>
      <w:r w:rsidRPr="00702CD2">
        <w:rPr>
          <w:b/>
          <w:bCs/>
        </w:rPr>
        <w:t>ré</w:t>
      </w:r>
      <w:r w:rsidR="00702CD2" w:rsidRPr="00702CD2">
        <w:rPr>
          <w:b/>
          <w:bCs/>
        </w:rPr>
        <w:t>duction du risque</w:t>
      </w:r>
      <w:r w:rsidR="00702CD2">
        <w:t xml:space="preserve"> évidente. En effet, en sélectionnant les titres les moins volatiles d’un univers de titre sur une période donnée, on s’assure de diminuer la volatilité totale du portefeuille par rapport à l’indice de référence</w:t>
      </w:r>
      <w:r w:rsidR="00C310DE">
        <w:t xml:space="preserve"> (voir </w:t>
      </w:r>
      <w:hyperlink w:anchor="figure_1" w:history="1">
        <w:r w:rsidR="00C310DE" w:rsidRPr="00B85BB6">
          <w:rPr>
            <w:rStyle w:val="Hyperlien"/>
          </w:rPr>
          <w:t>figure 1</w:t>
        </w:r>
      </w:hyperlink>
      <w:r w:rsidR="00C310DE">
        <w:t xml:space="preserve"> en annexe)</w:t>
      </w:r>
      <w:r w:rsidR="00702CD2">
        <w:t xml:space="preserve">. De plus, l’approche par volatilité inverse assure une plus grande </w:t>
      </w:r>
      <w:r w:rsidR="00702CD2" w:rsidRPr="00702CD2">
        <w:rPr>
          <w:b/>
          <w:bCs/>
        </w:rPr>
        <w:t>stabilité</w:t>
      </w:r>
      <w:r w:rsidR="00702CD2">
        <w:t xml:space="preserve"> des rendements dans le temps,</w:t>
      </w:r>
      <w:r w:rsidR="006F515C">
        <w:t xml:space="preserve"> ainsi qu’une </w:t>
      </w:r>
      <w:r w:rsidR="006F515C" w:rsidRPr="006F515C">
        <w:rPr>
          <w:b/>
          <w:bCs/>
        </w:rPr>
        <w:t>meilleure performance ajustée au risque</w:t>
      </w:r>
      <w:r w:rsidR="006F515C">
        <w:t>,</w:t>
      </w:r>
      <w:r w:rsidR="00702CD2">
        <w:t xml:space="preserve"> ce qui est un atout considérable pour </w:t>
      </w:r>
      <w:r w:rsidR="00C310DE">
        <w:t>d</w:t>
      </w:r>
      <w:r w:rsidR="00702CD2">
        <w:t>es investisseurs plus conservateurs</w:t>
      </w:r>
      <w:r w:rsidR="00C310DE">
        <w:t xml:space="preserve"> (voir </w:t>
      </w:r>
      <w:hyperlink w:anchor="_Annexe" w:history="1">
        <w:r w:rsidR="00C310DE" w:rsidRPr="00C310DE">
          <w:rPr>
            <w:rStyle w:val="Hyperlien"/>
          </w:rPr>
          <w:t>figure 2</w:t>
        </w:r>
      </w:hyperlink>
      <w:r w:rsidR="00C310DE">
        <w:t xml:space="preserve"> et </w:t>
      </w:r>
      <w:hyperlink w:anchor="figure_3" w:history="1">
        <w:r w:rsidR="00C310DE" w:rsidRPr="00614C4A">
          <w:rPr>
            <w:rStyle w:val="Hyperlien"/>
          </w:rPr>
          <w:t>figure 3</w:t>
        </w:r>
      </w:hyperlink>
      <w:r w:rsidR="00C310DE">
        <w:t>)</w:t>
      </w:r>
      <w:r w:rsidR="00702CD2">
        <w:t xml:space="preserve">. </w:t>
      </w:r>
      <w:r w:rsidR="00614C4A">
        <w:t xml:space="preserve">Enfin, une force considérable de ce type de stratégie demeure la </w:t>
      </w:r>
      <w:r w:rsidR="00614C4A" w:rsidRPr="00614C4A">
        <w:rPr>
          <w:b/>
          <w:bCs/>
        </w:rPr>
        <w:t>résilience des rendements en période de stress</w:t>
      </w:r>
      <w:r w:rsidR="00614C4A">
        <w:t xml:space="preserve">. En effet, ce genre d’indice est composé d’actions de qualité et défensives qui ont tendance à mieux résister aux chocs économiques et financiers, </w:t>
      </w:r>
      <w:proofErr w:type="gramStart"/>
      <w:r w:rsidR="00614C4A">
        <w:t>comme par exemple</w:t>
      </w:r>
      <w:proofErr w:type="gramEnd"/>
      <w:r w:rsidR="00614C4A">
        <w:t xml:space="preserve"> en 2008 (voir </w:t>
      </w:r>
      <w:hyperlink w:anchor="figure_4" w:history="1">
        <w:r w:rsidR="00614C4A" w:rsidRPr="00766ED0">
          <w:rPr>
            <w:rStyle w:val="Hyperlien"/>
          </w:rPr>
          <w:t>figure 4</w:t>
        </w:r>
      </w:hyperlink>
      <w:r w:rsidR="00614C4A">
        <w:t xml:space="preserve">). </w:t>
      </w:r>
    </w:p>
    <w:p w14:paraId="3CFED72F" w14:textId="77777777" w:rsidR="0024067D" w:rsidRDefault="0024067D" w:rsidP="00B759EC">
      <w:pPr>
        <w:spacing w:line="276" w:lineRule="auto"/>
        <w:jc w:val="both"/>
      </w:pPr>
    </w:p>
    <w:p w14:paraId="6DFC8F2D" w14:textId="4B4F11B8" w:rsidR="001B315B" w:rsidRPr="0024067D" w:rsidRDefault="0024067D" w:rsidP="00B759EC">
      <w:pPr>
        <w:spacing w:line="276" w:lineRule="auto"/>
        <w:jc w:val="both"/>
      </w:pPr>
      <w:r>
        <w:t xml:space="preserve">L'approche par indices à faible volatilité présente certaines faiblesses qu'il est important de prendre en compte. Tout d'abord, ces indices peuvent présenter un </w:t>
      </w:r>
      <w:r w:rsidRPr="0024067D">
        <w:rPr>
          <w:b/>
          <w:bCs/>
        </w:rPr>
        <w:t>biais sectoriel</w:t>
      </w:r>
      <w:r>
        <w:t>, car certaines industries sont naturellement moins volatiles que d'autres (</w:t>
      </w:r>
      <w:proofErr w:type="gramStart"/>
      <w:r>
        <w:t>comme par exemple</w:t>
      </w:r>
      <w:proofErr w:type="gramEnd"/>
      <w:r>
        <w:t xml:space="preserve"> le secteur de l’énergie et des matériaux). Cela peut limiter la diversification du portefeuille et augmenter le risque spécifique au secteur. En outre, les indices à faible volatilité peuvent être plus sensibles aux </w:t>
      </w:r>
      <w:r w:rsidRPr="0024067D">
        <w:rPr>
          <w:b/>
          <w:bCs/>
        </w:rPr>
        <w:t>changements de taux d'intérêt</w:t>
      </w:r>
      <w:r>
        <w:t xml:space="preserve"> que d'autres indices, car les actions à faible volatilité ont souvent un rendement en dividendes élevé, ce qui les rend plus sensibles aux variations des taux. De plus, </w:t>
      </w:r>
      <w:r w:rsidRPr="00C71DA5">
        <w:t>la méthode de pondération en fonction de l'inverse de la volatilité</w:t>
      </w:r>
      <w:r>
        <w:t xml:space="preserve"> </w:t>
      </w:r>
      <w:r w:rsidR="00C71DA5" w:rsidRPr="00C71DA5">
        <w:rPr>
          <w:b/>
          <w:bCs/>
        </w:rPr>
        <w:t>ignore la corrélation entre les actifs</w:t>
      </w:r>
      <w:r w:rsidR="00C71DA5">
        <w:t xml:space="preserve">, ce qui peut entrainer une sous-estimation du risque global du portefeuille et entrainer une diversification insuffisante. </w:t>
      </w:r>
    </w:p>
    <w:p w14:paraId="35D7963F" w14:textId="77777777" w:rsidR="001B315B" w:rsidRDefault="001B315B" w:rsidP="00B759EC">
      <w:pPr>
        <w:spacing w:line="276" w:lineRule="auto"/>
        <w:jc w:val="both"/>
        <w:rPr>
          <w:b/>
          <w:bCs/>
        </w:rPr>
      </w:pPr>
    </w:p>
    <w:p w14:paraId="310A7B91" w14:textId="206A9991" w:rsidR="00C310DE" w:rsidRDefault="00FE4D30" w:rsidP="00B759EC">
      <w:pPr>
        <w:spacing w:line="276" w:lineRule="auto"/>
        <w:jc w:val="both"/>
        <w:rPr>
          <w:i/>
          <w:iCs/>
        </w:rPr>
      </w:pPr>
      <w:r>
        <w:rPr>
          <w:b/>
          <w:bCs/>
        </w:rPr>
        <w:t xml:space="preserve">Décrivez le filtre de liquidité appliqué par le S&amp;P par rapport à un univers d’investissement similaire (section facteurs d’éligibilités, sous-section liquidité). Pouvez-vous améliorer cette stratégie et pourquoi ou pourquoi pas (dans le contexte du marché Canadien) ? </w:t>
      </w:r>
      <w:r w:rsidR="00C71DA5" w:rsidRPr="00C71DA5">
        <w:rPr>
          <w:i/>
          <w:iCs/>
        </w:rPr>
        <w:t>(Pas plus qu’une demi-page)</w:t>
      </w:r>
    </w:p>
    <w:p w14:paraId="6A10CAB0" w14:textId="58452102" w:rsidR="00C71DA5" w:rsidRPr="00C71DA5" w:rsidRDefault="00C71DA5" w:rsidP="00B7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pPr>
      <w:r w:rsidRPr="00C71DA5">
        <w:t xml:space="preserve">Dans le cas de l'indice S&amp;P BMI International </w:t>
      </w:r>
      <w:proofErr w:type="spellStart"/>
      <w:r w:rsidRPr="00C71DA5">
        <w:t>Developed</w:t>
      </w:r>
      <w:proofErr w:type="spellEnd"/>
      <w:r w:rsidRPr="00C71DA5">
        <w:t xml:space="preserve"> Low </w:t>
      </w:r>
      <w:proofErr w:type="spellStart"/>
      <w:r w:rsidRPr="00C71DA5">
        <w:t>Volatility</w:t>
      </w:r>
      <w:proofErr w:type="spellEnd"/>
      <w:r>
        <w:t xml:space="preserve"> (univers d’investissement similaire au Canada)</w:t>
      </w:r>
      <w:r w:rsidRPr="00C71DA5">
        <w:t>, les titres doivent avoir un volume moyen de transactions sur trois mois (3M ADVT) d'au moins 3 millions de dollars US</w:t>
      </w:r>
      <w:r w:rsidR="00D81931">
        <w:t xml:space="preserve"> pour les nouveaux constituent</w:t>
      </w:r>
      <w:r w:rsidRPr="00C71DA5">
        <w:t xml:space="preserve"> (ou 2,5 millions de dollars US pour les constituants actuels). </w:t>
      </w:r>
      <w:r w:rsidR="00D81931" w:rsidRPr="00D81931">
        <w:t>On compare le 3M ADVT de chaque titre à son seuil de liquidité respectif. Si le 3M ADVT d'un titre est supérieur ou égal au seuil, le titre est considéré comme suffisamment liquide pour être inclus dans l'indice. Dans le cas contraire, le titre est exclu de l'indice en raison de sa faible liquidité.</w:t>
      </w:r>
      <w:r w:rsidR="00D41EA6">
        <w:t xml:space="preserve"> Afin d’améliorer cette stratégie de seuil fixe dans le contexte du marché Canadien, j’ai décidé d’inclure un seuil adaptatif par quantile entre chaque année de rééquilibrage du portefeuille. Par exemple, de 2021 à 2022, je garde tous les titres qui font partie du quantile supérieur de volume échangé sur l’année (top 80% dans mon cas) et je remplace par des valeurs NaN les autres titres. Cette approche à l’avantage de s’adapter avec l’évolution de la liquidité dans le temps, contrairement à une approche par seuil fixe, comme dans le cas du filtre utilisé par S&amp;P. </w:t>
      </w:r>
    </w:p>
    <w:p w14:paraId="7F1524E0" w14:textId="77777777" w:rsidR="00C71DA5" w:rsidRDefault="00C71DA5" w:rsidP="00C71DA5">
      <w:pPr>
        <w:pStyle w:val="Titre1"/>
      </w:pPr>
      <w:bookmarkStart w:id="1" w:name="_Toc131153335"/>
      <w:r>
        <w:lastRenderedPageBreak/>
        <w:t>Amélioration de la stratégie</w:t>
      </w:r>
      <w:bookmarkEnd w:id="1"/>
    </w:p>
    <w:p w14:paraId="2234425D" w14:textId="77777777" w:rsidR="00C71DA5" w:rsidRDefault="00C71DA5" w:rsidP="00C71DA5">
      <w:pPr>
        <w:pStyle w:val="Titre1"/>
      </w:pPr>
    </w:p>
    <w:p w14:paraId="62CBC71A" w14:textId="77777777" w:rsidR="00C71DA5" w:rsidRDefault="00C71DA5" w:rsidP="00B759EC">
      <w:pPr>
        <w:jc w:val="both"/>
        <w:rPr>
          <w:i/>
          <w:iCs/>
        </w:rPr>
      </w:pPr>
      <w:r w:rsidRPr="00C71DA5">
        <w:rPr>
          <w:b/>
          <w:bCs/>
        </w:rPr>
        <w:t xml:space="preserve">Décrivez votre méthodologie et rationnel afin d’améliorer ou de modifier l’approche de l’attribution des poids par volatilité inverse proposé par le S&amp;P. </w:t>
      </w:r>
      <w:r w:rsidRPr="00C71DA5">
        <w:rPr>
          <w:i/>
          <w:iCs/>
        </w:rPr>
        <w:t>(Pas plus qu’une page)</w:t>
      </w:r>
    </w:p>
    <w:p w14:paraId="26BC548D" w14:textId="77777777" w:rsidR="00C71DA5" w:rsidRDefault="00C71DA5" w:rsidP="00B759EC">
      <w:pPr>
        <w:jc w:val="both"/>
        <w:rPr>
          <w:i/>
          <w:iCs/>
        </w:rPr>
      </w:pPr>
    </w:p>
    <w:p w14:paraId="20B3C430" w14:textId="53F144FF" w:rsidR="00C71DA5" w:rsidRDefault="00C71DA5" w:rsidP="00B759EC">
      <w:pPr>
        <w:spacing w:line="276" w:lineRule="auto"/>
        <w:jc w:val="both"/>
      </w:pPr>
      <w:r>
        <w:t>Pour commencer avec la première stratégie (</w:t>
      </w:r>
      <w:proofErr w:type="spellStart"/>
      <w:r>
        <w:t>Markovitz</w:t>
      </w:r>
      <w:proofErr w:type="spellEnd"/>
      <w:r>
        <w:t xml:space="preserve"> Minimum Variance </w:t>
      </w:r>
      <w:proofErr w:type="spellStart"/>
      <w:r>
        <w:t>Bootstraping</w:t>
      </w:r>
      <w:proofErr w:type="spellEnd"/>
      <w:r>
        <w:t xml:space="preserve">, </w:t>
      </w:r>
      <w:proofErr w:type="spellStart"/>
      <w:r w:rsidR="00A459DC">
        <w:t>i.e</w:t>
      </w:r>
      <w:proofErr w:type="spellEnd"/>
      <w:r>
        <w:t xml:space="preserve"> other_strategy.py), j’ai décidé d’adresser certains points faibles de la stratégie à faible volatilité, comme le fait que la dépendance entre les actifs n’est pas prise en considération. Le rationnel derrière la stratégie MMVB est d’augmenter la diversification du portefeuille en prenant en considération la </w:t>
      </w:r>
      <w:r w:rsidRPr="00A459DC">
        <w:rPr>
          <w:b/>
          <w:bCs/>
        </w:rPr>
        <w:t>dépendance entre les actifs</w:t>
      </w:r>
      <w:r>
        <w:t xml:space="preserve"> (matrice de variance-covariance). De plus, l’approche par optimisation </w:t>
      </w:r>
      <w:r w:rsidRPr="00A459DC">
        <w:rPr>
          <w:b/>
          <w:bCs/>
        </w:rPr>
        <w:t>suit un objectif clair</w:t>
      </w:r>
      <w:r>
        <w:t xml:space="preserve"> à minimiser contrairement à la stratégie initiale, c’est-à-dire minimiser la variance totale du portefeuille. L’approche par </w:t>
      </w:r>
      <w:proofErr w:type="spellStart"/>
      <w:r>
        <w:t>bootsraping</w:t>
      </w:r>
      <w:proofErr w:type="spellEnd"/>
      <w:r>
        <w:t xml:space="preserve"> permet aussi de rendre les résultats plus </w:t>
      </w:r>
      <w:r w:rsidRPr="00A459DC">
        <w:rPr>
          <w:b/>
          <w:bCs/>
        </w:rPr>
        <w:t xml:space="preserve">robustes </w:t>
      </w:r>
      <w:r>
        <w:t xml:space="preserve">que par une simple approche par </w:t>
      </w:r>
      <w:proofErr w:type="spellStart"/>
      <w:r>
        <w:t>Markovitz</w:t>
      </w:r>
      <w:proofErr w:type="spellEnd"/>
      <w:r>
        <w:t xml:space="preserve">. En effet, en générant plusieurs échantillons de la distributions des rendements, il est possible de choisir une allocation plus </w:t>
      </w:r>
      <w:r w:rsidRPr="00A459DC">
        <w:rPr>
          <w:b/>
          <w:bCs/>
        </w:rPr>
        <w:t>stable</w:t>
      </w:r>
      <w:r>
        <w:t xml:space="preserve"> au cours du temps de notre portefeuille. Dans le cadre de la gestion de portefeuille, une allocation stable au cours du temps est un avantage indéniable lorsque l’on prend en compte les frais de transactions </w:t>
      </w:r>
      <w:r w:rsidR="00A459DC">
        <w:t xml:space="preserve">ou encore l’interprétation des résultats obtenus par le modèle. Enfin, l’approche par optimisation rend aussi le modèle plus </w:t>
      </w:r>
      <w:r w:rsidR="00A459DC" w:rsidRPr="00A459DC">
        <w:rPr>
          <w:b/>
          <w:bCs/>
        </w:rPr>
        <w:t>adaptatif</w:t>
      </w:r>
      <w:r w:rsidR="00A459DC">
        <w:t xml:space="preserve">, en permettant à l’investisseur d’ajouter des contraintes sectorielles ou encore des contraintes individuelles sur le poids des actifs. Voici une description plus détaillée de la méthodologie : </w:t>
      </w:r>
    </w:p>
    <w:p w14:paraId="54667139" w14:textId="77777777" w:rsidR="00A459DC" w:rsidRDefault="00A459DC" w:rsidP="00B759EC">
      <w:pPr>
        <w:spacing w:line="276" w:lineRule="auto"/>
        <w:jc w:val="both"/>
      </w:pPr>
    </w:p>
    <w:p w14:paraId="577A8CEA" w14:textId="4CE2CBE4" w:rsidR="00A459DC" w:rsidRDefault="00A459DC" w:rsidP="00B759EC">
      <w:pPr>
        <w:pStyle w:val="Paragraphedeliste"/>
        <w:numPr>
          <w:ilvl w:val="0"/>
          <w:numId w:val="3"/>
        </w:numPr>
        <w:spacing w:line="276" w:lineRule="auto"/>
        <w:jc w:val="both"/>
      </w:pPr>
      <w:r>
        <w:t>Pour une année donnée, estimer la moyenne, variance et covariance de l’échantillon des n rendements observés. Seul les titres qui satisfont le filtre de liquidité sont considérés.</w:t>
      </w:r>
    </w:p>
    <w:p w14:paraId="411FB816" w14:textId="3FBFFC5C" w:rsidR="00C71DA5" w:rsidRPr="00A459DC" w:rsidRDefault="00A459DC" w:rsidP="00B759EC">
      <w:pPr>
        <w:pStyle w:val="Paragraphedeliste"/>
        <w:numPr>
          <w:ilvl w:val="0"/>
          <w:numId w:val="3"/>
        </w:numPr>
        <w:spacing w:line="276" w:lineRule="auto"/>
        <w:jc w:val="both"/>
        <w:rPr>
          <w:i/>
          <w:iCs/>
        </w:rPr>
      </w:pPr>
      <w:r>
        <w:t xml:space="preserve">Simuler n rendements par l’approche de Monte Carlo en utilisant une loi Gaussienne multivariée (on assume cette distribution parmi les rendements) en utilisant la moyenne, variance et covariance de l’échantillon. </w:t>
      </w:r>
    </w:p>
    <w:p w14:paraId="3A7B1502" w14:textId="2A7D3BDE" w:rsidR="00A459DC" w:rsidRPr="00A459DC" w:rsidRDefault="00A459DC" w:rsidP="00B759EC">
      <w:pPr>
        <w:pStyle w:val="Paragraphedeliste"/>
        <w:numPr>
          <w:ilvl w:val="0"/>
          <w:numId w:val="3"/>
        </w:numPr>
        <w:spacing w:line="276" w:lineRule="auto"/>
        <w:jc w:val="both"/>
        <w:rPr>
          <w:i/>
          <w:iCs/>
        </w:rPr>
      </w:pPr>
      <w:r>
        <w:t xml:space="preserve">Effectuer l’optimisation de minimum variance sur l’échantillon de rendements simulé à l’étape 2. </w:t>
      </w:r>
    </w:p>
    <w:p w14:paraId="087EFDD6" w14:textId="77777777" w:rsidR="00A459DC" w:rsidRPr="00A459DC" w:rsidRDefault="00A459DC" w:rsidP="00B759EC">
      <w:pPr>
        <w:pStyle w:val="Paragraphedeliste"/>
        <w:numPr>
          <w:ilvl w:val="0"/>
          <w:numId w:val="3"/>
        </w:numPr>
        <w:spacing w:line="276" w:lineRule="auto"/>
        <w:jc w:val="both"/>
        <w:rPr>
          <w:i/>
          <w:iCs/>
        </w:rPr>
      </w:pPr>
      <w:r>
        <w:t xml:space="preserve">Répétez les étapes 2 à 3 un certain nombre de fois (le plus grand le mieux). Dans mon cas, j’ai choisi 3 pour des raisons computationnelles, mais une centaine de fois aurait été privilégié. </w:t>
      </w:r>
    </w:p>
    <w:p w14:paraId="24573E36" w14:textId="11FFB026" w:rsidR="00A459DC" w:rsidRPr="00A459DC" w:rsidRDefault="00A459DC" w:rsidP="00B759EC">
      <w:pPr>
        <w:pStyle w:val="Paragraphedeliste"/>
        <w:numPr>
          <w:ilvl w:val="0"/>
          <w:numId w:val="3"/>
        </w:numPr>
        <w:spacing w:line="276" w:lineRule="auto"/>
        <w:jc w:val="both"/>
        <w:rPr>
          <w:i/>
          <w:iCs/>
        </w:rPr>
      </w:pPr>
      <w:r>
        <w:t>Afin d’obtenir un portefeuille agrégé, il nous suffit de prendre la moyenne des poids obtenus pour chaque simulation</w:t>
      </w:r>
      <w:r w:rsidR="00B759EC">
        <w:t xml:space="preserve"> (voir </w:t>
      </w:r>
      <w:hyperlink w:anchor="MMVB" w:history="1">
        <w:r w:rsidR="00B759EC" w:rsidRPr="00B759EC">
          <w:rPr>
            <w:rStyle w:val="Hyperlien"/>
          </w:rPr>
          <w:t>figure</w:t>
        </w:r>
      </w:hyperlink>
      <w:r w:rsidR="00B759EC">
        <w:t xml:space="preserve"> pour illustration)</w:t>
      </w:r>
      <w:r>
        <w:t>.</w:t>
      </w:r>
    </w:p>
    <w:p w14:paraId="2826B2EC" w14:textId="4C87E95F" w:rsidR="00A459DC" w:rsidRPr="00B759EC" w:rsidRDefault="00A459DC" w:rsidP="00B759EC">
      <w:pPr>
        <w:pStyle w:val="Paragraphedeliste"/>
        <w:numPr>
          <w:ilvl w:val="0"/>
          <w:numId w:val="3"/>
        </w:numPr>
        <w:spacing w:line="276" w:lineRule="auto"/>
        <w:jc w:val="both"/>
        <w:rPr>
          <w:i/>
          <w:iCs/>
        </w:rPr>
      </w:pPr>
      <w:r>
        <w:t xml:space="preserve">Répétez les étapes 1 à 5 pour chaque année de rééquilibrage du portefeuille (de 2001 à 2022). </w:t>
      </w:r>
    </w:p>
    <w:p w14:paraId="546C0A84" w14:textId="137911EE" w:rsidR="00B759EC" w:rsidRDefault="00B759EC" w:rsidP="00B759EC">
      <w:pPr>
        <w:jc w:val="both"/>
        <w:rPr>
          <w:i/>
          <w:iCs/>
        </w:rPr>
      </w:pPr>
      <w:r>
        <w:rPr>
          <w:i/>
          <w:iCs/>
        </w:rPr>
        <w:br w:type="page"/>
      </w:r>
    </w:p>
    <w:p w14:paraId="26B18D30" w14:textId="77777777" w:rsidR="00B759EC" w:rsidRPr="00B759EC" w:rsidRDefault="00B759EC" w:rsidP="00B759EC">
      <w:pPr>
        <w:jc w:val="both"/>
        <w:rPr>
          <w:i/>
          <w:iCs/>
        </w:rPr>
      </w:pPr>
    </w:p>
    <w:p w14:paraId="401544AB" w14:textId="77777777" w:rsidR="00A459DC" w:rsidRDefault="00A459DC" w:rsidP="00B759EC">
      <w:pPr>
        <w:jc w:val="both"/>
        <w:rPr>
          <w:i/>
          <w:iCs/>
        </w:rPr>
      </w:pPr>
    </w:p>
    <w:p w14:paraId="60E30EEF" w14:textId="7610613C" w:rsidR="00B759EC" w:rsidRDefault="00B759EC" w:rsidP="00B759EC">
      <w:pPr>
        <w:spacing w:line="276" w:lineRule="auto"/>
        <w:jc w:val="both"/>
      </w:pPr>
      <w:r>
        <w:t xml:space="preserve">J’ai aussi réalisé une deuxième stratégie (Inverse </w:t>
      </w:r>
      <w:proofErr w:type="spellStart"/>
      <w:r>
        <w:t>Volatility</w:t>
      </w:r>
      <w:proofErr w:type="spellEnd"/>
      <w:r>
        <w:t xml:space="preserve"> </w:t>
      </w:r>
      <w:proofErr w:type="spellStart"/>
      <w:r>
        <w:t>with</w:t>
      </w:r>
      <w:proofErr w:type="spellEnd"/>
      <w:r>
        <w:t xml:space="preserve"> Positive Skewness, </w:t>
      </w:r>
      <w:proofErr w:type="spellStart"/>
      <w:r>
        <w:t>i.e</w:t>
      </w:r>
      <w:proofErr w:type="spellEnd"/>
      <w:r>
        <w:t xml:space="preserve"> new_strategy.py) qui a pour but d’améliorer d’autres aspects de la stratégie volatilité inverse, comme le fait qu’elle a tendance à être trop prudente dans des périodes de croissance économique. En effet, la stratégie IVPS cherche à investir dans des actifs qui ont une faible volatilité mais aussi une distribution des rendements asymétriques (une skewness positive importante). Cette approche permet de rendre la stratégie de base un peu plus agressive en termes d’allocation, ce qui pouvait lui faire défaut en période de croissance. </w:t>
      </w:r>
      <w:r w:rsidRPr="00B759EC">
        <w:t xml:space="preserve">En intégrant la skewness </w:t>
      </w:r>
      <w:r>
        <w:t>positive</w:t>
      </w:r>
      <w:r w:rsidRPr="00B759EC">
        <w:t xml:space="preserve"> dans la stratégie d'attribution des poids, l'investisseur accorde une plus grande importance aux actifs présentant des profils de risques asymétriques</w:t>
      </w:r>
      <w:r>
        <w:t>, soit une probabilité plus grande d’obtenir des rendements exceptionnels</w:t>
      </w:r>
      <w:r w:rsidRPr="00B759EC">
        <w:t>. Cela signifie que l'investisseur est prêt à tolérer un risque supplémentaire en échange d'un potentiel de rendement plus élevé.</w:t>
      </w:r>
      <w:r>
        <w:t xml:space="preserve"> </w:t>
      </w:r>
      <w:r w:rsidRPr="00B759EC">
        <w:t xml:space="preserve">En d'autres termes, la stratégie combinée (volatilité inverse + skewness </w:t>
      </w:r>
      <w:r>
        <w:t>positive</w:t>
      </w:r>
      <w:r w:rsidRPr="00B759EC">
        <w:t>) cherche à investir dans des actifs qui offrent un meilleur compromis entre la réduction de la volatilité et la possibilité de saisir des opportunités de croissance en tenant compte d</w:t>
      </w:r>
      <w:r>
        <w:t xml:space="preserve">’un potentiel de gain important. Tout comme la stratégie de base, cette stratégie prend en considération des contraintes sectorielles et des contraintes individuelles sur le poids des actifs. Voici une description plus détaillée de la méthodologie : </w:t>
      </w:r>
    </w:p>
    <w:p w14:paraId="1D886D36" w14:textId="77777777" w:rsidR="00B759EC" w:rsidRDefault="00B759EC" w:rsidP="00B759EC">
      <w:pPr>
        <w:spacing w:line="276" w:lineRule="auto"/>
        <w:jc w:val="both"/>
      </w:pPr>
    </w:p>
    <w:p w14:paraId="436DBD5B" w14:textId="247EFE31" w:rsidR="00B759EC" w:rsidRDefault="00B759EC" w:rsidP="00B759EC">
      <w:pPr>
        <w:pStyle w:val="Paragraphedeliste"/>
        <w:numPr>
          <w:ilvl w:val="0"/>
          <w:numId w:val="4"/>
        </w:numPr>
        <w:spacing w:line="276" w:lineRule="auto"/>
        <w:jc w:val="both"/>
      </w:pPr>
      <w:r>
        <w:t xml:space="preserve">Calculer les rendements quotidiens des actifs à partir des prix. </w:t>
      </w:r>
    </w:p>
    <w:p w14:paraId="58424B2F" w14:textId="047B2049" w:rsidR="00B759EC" w:rsidRDefault="00B759EC" w:rsidP="00B759EC">
      <w:pPr>
        <w:pStyle w:val="Paragraphedeliste"/>
        <w:numPr>
          <w:ilvl w:val="0"/>
          <w:numId w:val="4"/>
        </w:numPr>
        <w:spacing w:line="276" w:lineRule="auto"/>
        <w:jc w:val="both"/>
      </w:pPr>
      <w:r>
        <w:t xml:space="preserve">Pour chaque date de rééquilibrage : </w:t>
      </w:r>
    </w:p>
    <w:p w14:paraId="3D89FEDD" w14:textId="78F014DF" w:rsidR="00B759EC" w:rsidRDefault="00B759EC" w:rsidP="00B759EC">
      <w:pPr>
        <w:pStyle w:val="Paragraphedeliste"/>
        <w:numPr>
          <w:ilvl w:val="1"/>
          <w:numId w:val="4"/>
        </w:numPr>
        <w:spacing w:line="276" w:lineRule="auto"/>
        <w:jc w:val="both"/>
      </w:pPr>
      <w:r>
        <w:t>Sélectionner les rendements de l’année écoulée jusqu’à la date de rééquilibrage</w:t>
      </w:r>
    </w:p>
    <w:p w14:paraId="7E6DDED8" w14:textId="0AECF012" w:rsidR="00B759EC" w:rsidRDefault="00B759EC" w:rsidP="00B759EC">
      <w:pPr>
        <w:pStyle w:val="Paragraphedeliste"/>
        <w:numPr>
          <w:ilvl w:val="1"/>
          <w:numId w:val="4"/>
        </w:numPr>
        <w:spacing w:line="276" w:lineRule="auto"/>
        <w:jc w:val="both"/>
      </w:pPr>
      <w:r>
        <w:t>Calculer la volatilité annuelle de chaque actif</w:t>
      </w:r>
    </w:p>
    <w:p w14:paraId="487831D6" w14:textId="47B67F8F" w:rsidR="00B759EC" w:rsidRDefault="00B759EC" w:rsidP="00B759EC">
      <w:pPr>
        <w:pStyle w:val="Paragraphedeliste"/>
        <w:numPr>
          <w:ilvl w:val="1"/>
          <w:numId w:val="4"/>
        </w:numPr>
        <w:spacing w:line="276" w:lineRule="auto"/>
        <w:jc w:val="both"/>
      </w:pPr>
      <w:r>
        <w:t xml:space="preserve">Calculer la skewness positive de chaque actif </w:t>
      </w:r>
    </w:p>
    <w:p w14:paraId="55C01560" w14:textId="4298E14A" w:rsidR="00B759EC" w:rsidRDefault="00B759EC" w:rsidP="00B759EC">
      <w:pPr>
        <w:pStyle w:val="Paragraphedeliste"/>
        <w:numPr>
          <w:ilvl w:val="1"/>
          <w:numId w:val="4"/>
        </w:numPr>
        <w:spacing w:line="276" w:lineRule="auto"/>
        <w:jc w:val="both"/>
      </w:pPr>
      <w:r>
        <w:t xml:space="preserve">Calculer l’inverse de la volatilité et normaliser les valeurs </w:t>
      </w:r>
    </w:p>
    <w:p w14:paraId="09AE6C37" w14:textId="5B3BC176" w:rsidR="00B759EC" w:rsidRDefault="00B759EC" w:rsidP="00B759EC">
      <w:pPr>
        <w:pStyle w:val="Paragraphedeliste"/>
        <w:numPr>
          <w:ilvl w:val="1"/>
          <w:numId w:val="4"/>
        </w:numPr>
        <w:spacing w:line="276" w:lineRule="auto"/>
        <w:jc w:val="both"/>
      </w:pPr>
      <w:r>
        <w:t>Normaliser la skewness positive</w:t>
      </w:r>
    </w:p>
    <w:p w14:paraId="3DA5AD9B" w14:textId="46D4BD6F" w:rsidR="00B759EC" w:rsidRDefault="00B759EC" w:rsidP="00B759EC">
      <w:pPr>
        <w:pStyle w:val="Paragraphedeliste"/>
        <w:numPr>
          <w:ilvl w:val="1"/>
          <w:numId w:val="4"/>
        </w:numPr>
        <w:spacing w:line="276" w:lineRule="auto"/>
        <w:jc w:val="both"/>
      </w:pPr>
      <w:r>
        <w:t>Créer une combinaison pondérée de l’inverse de la volatilité et de la skewness positive</w:t>
      </w:r>
    </w:p>
    <w:p w14:paraId="05ED807C" w14:textId="5BB1C8C0" w:rsidR="00B759EC" w:rsidRDefault="00B759EC" w:rsidP="00B759EC">
      <w:pPr>
        <w:pStyle w:val="Paragraphedeliste"/>
        <w:numPr>
          <w:ilvl w:val="0"/>
          <w:numId w:val="4"/>
        </w:numPr>
        <w:spacing w:line="276" w:lineRule="auto"/>
        <w:jc w:val="both"/>
      </w:pPr>
      <w:r>
        <w:t>Appliquer les contraintes sectorielles et individuelles aux poids combinés</w:t>
      </w:r>
    </w:p>
    <w:p w14:paraId="1E25BD03" w14:textId="754BCE53" w:rsidR="00B759EC" w:rsidRDefault="00B759EC" w:rsidP="00B759EC">
      <w:pPr>
        <w:pStyle w:val="Paragraphedeliste"/>
        <w:numPr>
          <w:ilvl w:val="0"/>
          <w:numId w:val="4"/>
        </w:numPr>
        <w:spacing w:line="276" w:lineRule="auto"/>
        <w:jc w:val="both"/>
      </w:pPr>
      <w:r>
        <w:t>Redistribuer les poids pour s’assurer que leur somme est égale à 1</w:t>
      </w:r>
    </w:p>
    <w:p w14:paraId="791D5F0D" w14:textId="5A8C7EA2" w:rsidR="00B759EC" w:rsidRPr="00B759EC" w:rsidRDefault="00B759EC" w:rsidP="00B759EC">
      <w:pPr>
        <w:pStyle w:val="Paragraphedeliste"/>
        <w:numPr>
          <w:ilvl w:val="0"/>
          <w:numId w:val="4"/>
        </w:numPr>
        <w:spacing w:line="276" w:lineRule="auto"/>
        <w:jc w:val="both"/>
      </w:pPr>
      <w:r>
        <w:t xml:space="preserve">Stocker les poids du portefeuille pour chaque date de rééquilibrage.  </w:t>
      </w:r>
    </w:p>
    <w:p w14:paraId="2753A811" w14:textId="77777777" w:rsidR="00C71DA5" w:rsidRPr="00C71DA5" w:rsidRDefault="00C71DA5" w:rsidP="00C71DA5"/>
    <w:p w14:paraId="6CF51BB6" w14:textId="77777777" w:rsidR="00C71DA5" w:rsidRDefault="00C71DA5" w:rsidP="00C71DA5"/>
    <w:p w14:paraId="6B32A3F9" w14:textId="3EA221BD" w:rsidR="00C71DA5" w:rsidRDefault="00C71DA5" w:rsidP="00C71DA5">
      <w:r>
        <w:br w:type="page"/>
      </w:r>
    </w:p>
    <w:p w14:paraId="1D1BB605" w14:textId="77777777" w:rsidR="00C71DA5" w:rsidRDefault="00C71DA5">
      <w:pPr>
        <w:rPr>
          <w:b/>
          <w:bCs/>
        </w:rPr>
      </w:pPr>
    </w:p>
    <w:p w14:paraId="1E51D3A7" w14:textId="6C5DE99F" w:rsidR="00FE4D30" w:rsidRDefault="00C310DE" w:rsidP="00C310DE">
      <w:pPr>
        <w:pStyle w:val="Titre1"/>
      </w:pPr>
      <w:bookmarkStart w:id="2" w:name="_Annexe"/>
      <w:bookmarkStart w:id="3" w:name="_Toc131153336"/>
      <w:bookmarkEnd w:id="2"/>
      <w:r>
        <w:t>Annexe</w:t>
      </w:r>
      <w:bookmarkEnd w:id="3"/>
    </w:p>
    <w:p w14:paraId="3012D400" w14:textId="77777777" w:rsidR="00C310DE" w:rsidRDefault="00C310DE" w:rsidP="00C310DE"/>
    <w:p w14:paraId="3A238C86" w14:textId="77777777" w:rsidR="00C310DE" w:rsidRDefault="00C310DE" w:rsidP="00C310DE">
      <w:pPr>
        <w:keepNext/>
      </w:pPr>
      <w:r>
        <w:rPr>
          <w:noProof/>
        </w:rPr>
        <w:drawing>
          <wp:inline distT="0" distB="0" distL="0" distR="0" wp14:anchorId="0B70407E" wp14:editId="55ACA1D5">
            <wp:extent cx="5486400" cy="309753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97530"/>
                    </a:xfrm>
                    <a:prstGeom prst="rect">
                      <a:avLst/>
                    </a:prstGeom>
                  </pic:spPr>
                </pic:pic>
              </a:graphicData>
            </a:graphic>
          </wp:inline>
        </w:drawing>
      </w:r>
    </w:p>
    <w:p w14:paraId="25499616" w14:textId="12811EC6" w:rsidR="00C310DE" w:rsidRDefault="00C310DE" w:rsidP="00C310DE">
      <w:pPr>
        <w:pStyle w:val="Lgende"/>
      </w:pPr>
      <w:bookmarkStart w:id="4" w:name="figure_1"/>
      <w:r>
        <w:t xml:space="preserve">Figure </w:t>
      </w:r>
      <w:r w:rsidR="00000000">
        <w:fldChar w:fldCharType="begin"/>
      </w:r>
      <w:r w:rsidR="00000000">
        <w:instrText xml:space="preserve"> SEQ Figure \* ARABIC </w:instrText>
      </w:r>
      <w:r w:rsidR="00000000">
        <w:fldChar w:fldCharType="separate"/>
      </w:r>
      <w:r w:rsidR="00B759EC">
        <w:rPr>
          <w:noProof/>
        </w:rPr>
        <w:t>1</w:t>
      </w:r>
      <w:r w:rsidR="00000000">
        <w:rPr>
          <w:noProof/>
        </w:rPr>
        <w:fldChar w:fldCharType="end"/>
      </w:r>
      <w:bookmarkEnd w:id="4"/>
      <w:r>
        <w:t xml:space="preserve"> - Volatilité annualisé de l'indice faible volatilité du S&amp;P500 en date du 12 décembre 2011. Capture d’écran extraite de : </w:t>
      </w:r>
      <w:hyperlink r:id="rId8" w:history="1">
        <w:r w:rsidRPr="007C3EB4">
          <w:rPr>
            <w:rStyle w:val="Hyperlien"/>
          </w:rPr>
          <w:t>https://www.sec.gov/Archives/edgar/data/83246/000114420412056127/v758274-1_fwp.pdf</w:t>
        </w:r>
      </w:hyperlink>
    </w:p>
    <w:p w14:paraId="10121D36" w14:textId="77777777" w:rsidR="00C310DE" w:rsidRPr="00C310DE" w:rsidRDefault="00C310DE" w:rsidP="00C310DE"/>
    <w:p w14:paraId="78340D52" w14:textId="77777777" w:rsidR="00C310DE" w:rsidRDefault="00C310DE" w:rsidP="00C310DE">
      <w:pPr>
        <w:keepNext/>
      </w:pPr>
      <w:r>
        <w:rPr>
          <w:noProof/>
        </w:rPr>
        <w:drawing>
          <wp:inline distT="0" distB="0" distL="0" distR="0" wp14:anchorId="347D5738" wp14:editId="0C3091DF">
            <wp:extent cx="5486400" cy="3182620"/>
            <wp:effectExtent l="0" t="0" r="0" b="508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182620"/>
                    </a:xfrm>
                    <a:prstGeom prst="rect">
                      <a:avLst/>
                    </a:prstGeom>
                  </pic:spPr>
                </pic:pic>
              </a:graphicData>
            </a:graphic>
          </wp:inline>
        </w:drawing>
      </w:r>
    </w:p>
    <w:p w14:paraId="07B10BF6" w14:textId="63E4F466" w:rsidR="00C310DE" w:rsidRDefault="00C310DE" w:rsidP="00C310DE">
      <w:pPr>
        <w:pStyle w:val="Lgende"/>
      </w:pPr>
      <w:bookmarkStart w:id="5" w:name="figure_2"/>
      <w:r>
        <w:t xml:space="preserve">Figure </w:t>
      </w:r>
      <w:r w:rsidR="00000000">
        <w:fldChar w:fldCharType="begin"/>
      </w:r>
      <w:r w:rsidR="00000000">
        <w:instrText xml:space="preserve"> SEQ Figure \* ARABIC </w:instrText>
      </w:r>
      <w:r w:rsidR="00000000">
        <w:fldChar w:fldCharType="separate"/>
      </w:r>
      <w:r w:rsidR="00B759EC">
        <w:rPr>
          <w:noProof/>
        </w:rPr>
        <w:t>2</w:t>
      </w:r>
      <w:r w:rsidR="00000000">
        <w:rPr>
          <w:noProof/>
        </w:rPr>
        <w:fldChar w:fldCharType="end"/>
      </w:r>
      <w:bookmarkEnd w:id="5"/>
      <w:r>
        <w:t xml:space="preserve"> - Performance de l'indice faible volatilité S&amp;P500 en date du 12 décembre 2011. Capture d’écran extraite de : </w:t>
      </w:r>
      <w:hyperlink r:id="rId10" w:history="1">
        <w:r w:rsidRPr="007C3EB4">
          <w:rPr>
            <w:rStyle w:val="Hyperlien"/>
          </w:rPr>
          <w:t>https://www.sec.gov/Archives/edgar/data/83246/000114420412056127/v758274-1_fwp.pdf</w:t>
        </w:r>
      </w:hyperlink>
    </w:p>
    <w:p w14:paraId="57464C71" w14:textId="77777777" w:rsidR="00C310DE" w:rsidRDefault="00C310DE" w:rsidP="00C310DE">
      <w:pPr>
        <w:keepNext/>
      </w:pPr>
      <w:r>
        <w:rPr>
          <w:noProof/>
        </w:rPr>
        <w:lastRenderedPageBreak/>
        <w:drawing>
          <wp:inline distT="0" distB="0" distL="0" distR="0" wp14:anchorId="084226F2" wp14:editId="55999F4A">
            <wp:extent cx="5486400" cy="3286760"/>
            <wp:effectExtent l="0" t="0" r="0" b="254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286760"/>
                    </a:xfrm>
                    <a:prstGeom prst="rect">
                      <a:avLst/>
                    </a:prstGeom>
                  </pic:spPr>
                </pic:pic>
              </a:graphicData>
            </a:graphic>
          </wp:inline>
        </w:drawing>
      </w:r>
    </w:p>
    <w:p w14:paraId="2E5F6C3F" w14:textId="476CCF7A" w:rsidR="00C310DE" w:rsidRDefault="00C310DE" w:rsidP="00C310DE">
      <w:pPr>
        <w:pStyle w:val="Lgende"/>
      </w:pPr>
      <w:bookmarkStart w:id="6" w:name="figure_3"/>
      <w:r>
        <w:t xml:space="preserve">Figure </w:t>
      </w:r>
      <w:r w:rsidR="00000000">
        <w:fldChar w:fldCharType="begin"/>
      </w:r>
      <w:r w:rsidR="00000000">
        <w:instrText xml:space="preserve"> SEQ Figure \* ARABIC </w:instrText>
      </w:r>
      <w:r w:rsidR="00000000">
        <w:fldChar w:fldCharType="separate"/>
      </w:r>
      <w:r w:rsidR="00B759EC">
        <w:rPr>
          <w:noProof/>
        </w:rPr>
        <w:t>3</w:t>
      </w:r>
      <w:r w:rsidR="00000000">
        <w:rPr>
          <w:noProof/>
        </w:rPr>
        <w:fldChar w:fldCharType="end"/>
      </w:r>
      <w:bookmarkEnd w:id="6"/>
      <w:r>
        <w:t xml:space="preserve"> - Calendrier des rendements de la stratégie faible volatilité S&amp;P500 en date du 31 décembre 2011. Capture d'écran extraite de : </w:t>
      </w:r>
      <w:hyperlink r:id="rId12" w:history="1">
        <w:r w:rsidRPr="007C3EB4">
          <w:rPr>
            <w:rStyle w:val="Hyperlien"/>
          </w:rPr>
          <w:t>https://www.sec.gov/Archives/edgar/data/83246/000114420412056127/v758274-1_fwp.pdf</w:t>
        </w:r>
      </w:hyperlink>
    </w:p>
    <w:p w14:paraId="5F949207" w14:textId="77777777" w:rsidR="00C310DE" w:rsidRPr="00C310DE" w:rsidRDefault="00C310DE" w:rsidP="00C310DE"/>
    <w:p w14:paraId="1430AE86" w14:textId="77777777" w:rsidR="00614C4A" w:rsidRDefault="00614C4A" w:rsidP="00614C4A">
      <w:pPr>
        <w:keepNext/>
      </w:pPr>
      <w:r>
        <w:rPr>
          <w:noProof/>
        </w:rPr>
        <w:drawing>
          <wp:inline distT="0" distB="0" distL="0" distR="0" wp14:anchorId="2E466912" wp14:editId="33997DBD">
            <wp:extent cx="5486400" cy="2374265"/>
            <wp:effectExtent l="0" t="0" r="0" b="63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374265"/>
                    </a:xfrm>
                    <a:prstGeom prst="rect">
                      <a:avLst/>
                    </a:prstGeom>
                  </pic:spPr>
                </pic:pic>
              </a:graphicData>
            </a:graphic>
          </wp:inline>
        </w:drawing>
      </w:r>
    </w:p>
    <w:p w14:paraId="77701BB4" w14:textId="7BEC890C" w:rsidR="00C310DE" w:rsidRDefault="00614C4A" w:rsidP="00614C4A">
      <w:pPr>
        <w:pStyle w:val="Lgende"/>
      </w:pPr>
      <w:bookmarkStart w:id="7" w:name="figure_4"/>
      <w:r>
        <w:t xml:space="preserve">Figure </w:t>
      </w:r>
      <w:r w:rsidR="00000000">
        <w:fldChar w:fldCharType="begin"/>
      </w:r>
      <w:r w:rsidR="00000000">
        <w:instrText xml:space="preserve"> SEQ Figure \* ARABIC </w:instrText>
      </w:r>
      <w:r w:rsidR="00000000">
        <w:fldChar w:fldCharType="separate"/>
      </w:r>
      <w:r w:rsidR="00B759EC">
        <w:rPr>
          <w:noProof/>
        </w:rPr>
        <w:t>4</w:t>
      </w:r>
      <w:r w:rsidR="00000000">
        <w:rPr>
          <w:noProof/>
        </w:rPr>
        <w:fldChar w:fldCharType="end"/>
      </w:r>
      <w:r>
        <w:t xml:space="preserve"> </w:t>
      </w:r>
      <w:bookmarkEnd w:id="7"/>
      <w:r w:rsidR="00766ED0">
        <w:t>–</w:t>
      </w:r>
      <w:r>
        <w:t xml:space="preserve"> </w:t>
      </w:r>
      <w:r w:rsidR="00766ED0">
        <w:t xml:space="preserve">Évolution de la pondération du secteur financier pendant la crise financière de 2008. Capture d’écran extraite de : </w:t>
      </w:r>
      <w:hyperlink r:id="rId14" w:history="1">
        <w:r w:rsidR="00766ED0" w:rsidRPr="007C3EB4">
          <w:rPr>
            <w:rStyle w:val="Hyperlien"/>
          </w:rPr>
          <w:t>https://www.sec.gov/Archives/edgar/data/83246/000114420412056127/v758274-1_fwp.pdf</w:t>
        </w:r>
      </w:hyperlink>
    </w:p>
    <w:p w14:paraId="1C26CDB7" w14:textId="77777777" w:rsidR="00B759EC" w:rsidRDefault="00B759EC" w:rsidP="00B759EC">
      <w:pPr>
        <w:keepNext/>
      </w:pPr>
      <w:r>
        <w:rPr>
          <w:noProof/>
        </w:rPr>
        <w:lastRenderedPageBreak/>
        <w:drawing>
          <wp:inline distT="0" distB="0" distL="0" distR="0" wp14:anchorId="4777DB53" wp14:editId="497F2D72">
            <wp:extent cx="6259830" cy="3745230"/>
            <wp:effectExtent l="0" t="0" r="1270" b="127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59830" cy="3745230"/>
                    </a:xfrm>
                    <a:prstGeom prst="rect">
                      <a:avLst/>
                    </a:prstGeom>
                  </pic:spPr>
                </pic:pic>
              </a:graphicData>
            </a:graphic>
          </wp:inline>
        </w:drawing>
      </w:r>
    </w:p>
    <w:p w14:paraId="30B22B45" w14:textId="2162F0B1" w:rsidR="00766ED0" w:rsidRPr="00766ED0" w:rsidRDefault="00B759EC" w:rsidP="00B759EC">
      <w:pPr>
        <w:pStyle w:val="Lgende"/>
      </w:pPr>
      <w:bookmarkStart w:id="8" w:name="MMVB"/>
      <w:r w:rsidRPr="00B759EC">
        <w:rPr>
          <w:lang w:val="en-US"/>
        </w:rPr>
        <w:t xml:space="preserve">Figure </w:t>
      </w:r>
      <w:r>
        <w:fldChar w:fldCharType="begin"/>
      </w:r>
      <w:r w:rsidRPr="00B759EC">
        <w:rPr>
          <w:lang w:val="en-US"/>
        </w:rPr>
        <w:instrText xml:space="preserve"> SEQ Figure \* ARABIC </w:instrText>
      </w:r>
      <w:r>
        <w:fldChar w:fldCharType="separate"/>
      </w:r>
      <w:r w:rsidRPr="00B759EC">
        <w:rPr>
          <w:noProof/>
          <w:lang w:val="en-US"/>
        </w:rPr>
        <w:t>5</w:t>
      </w:r>
      <w:r>
        <w:fldChar w:fldCharType="end"/>
      </w:r>
      <w:bookmarkEnd w:id="8"/>
      <w:r w:rsidRPr="00B759EC">
        <w:rPr>
          <w:lang w:val="en-US"/>
        </w:rPr>
        <w:t xml:space="preserve"> - Markovitz </w:t>
      </w:r>
      <w:proofErr w:type="spellStart"/>
      <w:r w:rsidRPr="00B759EC">
        <w:rPr>
          <w:lang w:val="en-US"/>
        </w:rPr>
        <w:t>efficients</w:t>
      </w:r>
      <w:proofErr w:type="spellEnd"/>
      <w:r w:rsidRPr="00B759EC">
        <w:rPr>
          <w:lang w:val="en-US"/>
        </w:rPr>
        <w:t xml:space="preserve"> frontiers with </w:t>
      </w:r>
      <w:proofErr w:type="spellStart"/>
      <w:r w:rsidRPr="00B759EC">
        <w:rPr>
          <w:lang w:val="en-US"/>
        </w:rPr>
        <w:t>bootsraping</w:t>
      </w:r>
      <w:proofErr w:type="spellEnd"/>
      <w:r w:rsidRPr="00B759EC">
        <w:rPr>
          <w:lang w:val="en-US"/>
        </w:rPr>
        <w:t xml:space="preserve">. </w:t>
      </w:r>
      <w:r>
        <w:t xml:space="preserve">Capture d'écran extraite du livre </w:t>
      </w:r>
      <w:proofErr w:type="spellStart"/>
      <w:r>
        <w:t>Statisticals</w:t>
      </w:r>
      <w:proofErr w:type="spellEnd"/>
      <w:r>
        <w:t xml:space="preserve"> </w:t>
      </w:r>
      <w:proofErr w:type="spellStart"/>
      <w:r>
        <w:t>methods</w:t>
      </w:r>
      <w:proofErr w:type="spellEnd"/>
      <w:r>
        <w:t xml:space="preserve"> for quantitative finance de David </w:t>
      </w:r>
      <w:proofErr w:type="spellStart"/>
      <w:r>
        <w:t>Ardia</w:t>
      </w:r>
      <w:proofErr w:type="spellEnd"/>
      <w:r>
        <w:t>, 2023.</w:t>
      </w:r>
    </w:p>
    <w:sectPr w:rsidR="00766ED0" w:rsidRPr="00766ED0" w:rsidSect="0024067D">
      <w:pgSz w:w="12240" w:h="15840"/>
      <w:pgMar w:top="1191" w:right="1191" w:bottom="1191" w:left="119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1FDE"/>
    <w:multiLevelType w:val="multilevel"/>
    <w:tmpl w:val="8BC45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7344C"/>
    <w:multiLevelType w:val="hybridMultilevel"/>
    <w:tmpl w:val="0EAAE1D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06313DA"/>
    <w:multiLevelType w:val="hybridMultilevel"/>
    <w:tmpl w:val="9E6E85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EAA18CE"/>
    <w:multiLevelType w:val="multilevel"/>
    <w:tmpl w:val="8E08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426055">
    <w:abstractNumId w:val="3"/>
  </w:num>
  <w:num w:numId="2" w16cid:durableId="1620644136">
    <w:abstractNumId w:val="0"/>
  </w:num>
  <w:num w:numId="3" w16cid:durableId="1848908803">
    <w:abstractNumId w:val="2"/>
  </w:num>
  <w:num w:numId="4" w16cid:durableId="588318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30"/>
    <w:rsid w:val="001B315B"/>
    <w:rsid w:val="0024067D"/>
    <w:rsid w:val="004469D2"/>
    <w:rsid w:val="00614C4A"/>
    <w:rsid w:val="006F515C"/>
    <w:rsid w:val="00702CD2"/>
    <w:rsid w:val="007339F6"/>
    <w:rsid w:val="007376BC"/>
    <w:rsid w:val="00766ED0"/>
    <w:rsid w:val="009E3AA3"/>
    <w:rsid w:val="00A302BA"/>
    <w:rsid w:val="00A459DC"/>
    <w:rsid w:val="00B759EC"/>
    <w:rsid w:val="00B77A4E"/>
    <w:rsid w:val="00B85BB6"/>
    <w:rsid w:val="00C03BEF"/>
    <w:rsid w:val="00C310DE"/>
    <w:rsid w:val="00C71DA5"/>
    <w:rsid w:val="00D41EA6"/>
    <w:rsid w:val="00D81931"/>
    <w:rsid w:val="00FE4D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D7E6"/>
  <w15:chartTrackingRefBased/>
  <w15:docId w15:val="{33347EC0-45C8-384F-9EA0-904B8F9A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DA5"/>
  </w:style>
  <w:style w:type="paragraph" w:styleId="Titre1">
    <w:name w:val="heading 1"/>
    <w:basedOn w:val="Normal"/>
    <w:next w:val="Normal"/>
    <w:link w:val="Titre1Car"/>
    <w:uiPriority w:val="9"/>
    <w:qFormat/>
    <w:rsid w:val="00FE4D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4D30"/>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FE4D30"/>
    <w:rPr>
      <w:rFonts w:eastAsiaTheme="minorEastAsia"/>
      <w:kern w:val="0"/>
      <w:sz w:val="22"/>
      <w:szCs w:val="22"/>
      <w:lang w:val="en-US" w:eastAsia="zh-CN"/>
      <w14:ligatures w14:val="none"/>
    </w:rPr>
  </w:style>
  <w:style w:type="character" w:customStyle="1" w:styleId="Titre1Car">
    <w:name w:val="Titre 1 Car"/>
    <w:basedOn w:val="Policepardfaut"/>
    <w:link w:val="Titre1"/>
    <w:uiPriority w:val="9"/>
    <w:rsid w:val="00FE4D3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E4D30"/>
    <w:pPr>
      <w:spacing w:before="480" w:line="276" w:lineRule="auto"/>
      <w:outlineLvl w:val="9"/>
    </w:pPr>
    <w:rPr>
      <w:b/>
      <w:bCs/>
      <w:kern w:val="0"/>
      <w:sz w:val="28"/>
      <w:szCs w:val="28"/>
      <w:lang w:eastAsia="fr-CA"/>
      <w14:ligatures w14:val="none"/>
    </w:rPr>
  </w:style>
  <w:style w:type="paragraph" w:styleId="TM1">
    <w:name w:val="toc 1"/>
    <w:basedOn w:val="Normal"/>
    <w:next w:val="Normal"/>
    <w:autoRedefine/>
    <w:uiPriority w:val="39"/>
    <w:unhideWhenUsed/>
    <w:rsid w:val="00FE4D30"/>
    <w:pPr>
      <w:spacing w:before="120"/>
    </w:pPr>
    <w:rPr>
      <w:rFonts w:cstheme="minorHAnsi"/>
      <w:b/>
      <w:bCs/>
      <w:i/>
      <w:iCs/>
    </w:rPr>
  </w:style>
  <w:style w:type="paragraph" w:styleId="TM2">
    <w:name w:val="toc 2"/>
    <w:basedOn w:val="Normal"/>
    <w:next w:val="Normal"/>
    <w:autoRedefine/>
    <w:uiPriority w:val="39"/>
    <w:semiHidden/>
    <w:unhideWhenUsed/>
    <w:rsid w:val="00FE4D30"/>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FE4D30"/>
    <w:pPr>
      <w:ind w:left="480"/>
    </w:pPr>
    <w:rPr>
      <w:rFonts w:cstheme="minorHAnsi"/>
      <w:sz w:val="20"/>
      <w:szCs w:val="20"/>
    </w:rPr>
  </w:style>
  <w:style w:type="paragraph" w:styleId="TM4">
    <w:name w:val="toc 4"/>
    <w:basedOn w:val="Normal"/>
    <w:next w:val="Normal"/>
    <w:autoRedefine/>
    <w:uiPriority w:val="39"/>
    <w:semiHidden/>
    <w:unhideWhenUsed/>
    <w:rsid w:val="00FE4D30"/>
    <w:pPr>
      <w:ind w:left="720"/>
    </w:pPr>
    <w:rPr>
      <w:rFonts w:cstheme="minorHAnsi"/>
      <w:sz w:val="20"/>
      <w:szCs w:val="20"/>
    </w:rPr>
  </w:style>
  <w:style w:type="paragraph" w:styleId="TM5">
    <w:name w:val="toc 5"/>
    <w:basedOn w:val="Normal"/>
    <w:next w:val="Normal"/>
    <w:autoRedefine/>
    <w:uiPriority w:val="39"/>
    <w:semiHidden/>
    <w:unhideWhenUsed/>
    <w:rsid w:val="00FE4D30"/>
    <w:pPr>
      <w:ind w:left="960"/>
    </w:pPr>
    <w:rPr>
      <w:rFonts w:cstheme="minorHAnsi"/>
      <w:sz w:val="20"/>
      <w:szCs w:val="20"/>
    </w:rPr>
  </w:style>
  <w:style w:type="paragraph" w:styleId="TM6">
    <w:name w:val="toc 6"/>
    <w:basedOn w:val="Normal"/>
    <w:next w:val="Normal"/>
    <w:autoRedefine/>
    <w:uiPriority w:val="39"/>
    <w:semiHidden/>
    <w:unhideWhenUsed/>
    <w:rsid w:val="00FE4D30"/>
    <w:pPr>
      <w:ind w:left="1200"/>
    </w:pPr>
    <w:rPr>
      <w:rFonts w:cstheme="minorHAnsi"/>
      <w:sz w:val="20"/>
      <w:szCs w:val="20"/>
    </w:rPr>
  </w:style>
  <w:style w:type="paragraph" w:styleId="TM7">
    <w:name w:val="toc 7"/>
    <w:basedOn w:val="Normal"/>
    <w:next w:val="Normal"/>
    <w:autoRedefine/>
    <w:uiPriority w:val="39"/>
    <w:semiHidden/>
    <w:unhideWhenUsed/>
    <w:rsid w:val="00FE4D30"/>
    <w:pPr>
      <w:ind w:left="1440"/>
    </w:pPr>
    <w:rPr>
      <w:rFonts w:cstheme="minorHAnsi"/>
      <w:sz w:val="20"/>
      <w:szCs w:val="20"/>
    </w:rPr>
  </w:style>
  <w:style w:type="paragraph" w:styleId="TM8">
    <w:name w:val="toc 8"/>
    <w:basedOn w:val="Normal"/>
    <w:next w:val="Normal"/>
    <w:autoRedefine/>
    <w:uiPriority w:val="39"/>
    <w:semiHidden/>
    <w:unhideWhenUsed/>
    <w:rsid w:val="00FE4D30"/>
    <w:pPr>
      <w:ind w:left="1680"/>
    </w:pPr>
    <w:rPr>
      <w:rFonts w:cstheme="minorHAnsi"/>
      <w:sz w:val="20"/>
      <w:szCs w:val="20"/>
    </w:rPr>
  </w:style>
  <w:style w:type="paragraph" w:styleId="TM9">
    <w:name w:val="toc 9"/>
    <w:basedOn w:val="Normal"/>
    <w:next w:val="Normal"/>
    <w:autoRedefine/>
    <w:uiPriority w:val="39"/>
    <w:semiHidden/>
    <w:unhideWhenUsed/>
    <w:rsid w:val="00FE4D30"/>
    <w:pPr>
      <w:ind w:left="1920"/>
    </w:pPr>
    <w:rPr>
      <w:rFonts w:cstheme="minorHAnsi"/>
      <w:sz w:val="20"/>
      <w:szCs w:val="20"/>
    </w:rPr>
  </w:style>
  <w:style w:type="paragraph" w:styleId="NormalWeb">
    <w:name w:val="Normal (Web)"/>
    <w:basedOn w:val="Normal"/>
    <w:uiPriority w:val="99"/>
    <w:unhideWhenUsed/>
    <w:rsid w:val="001B315B"/>
    <w:pPr>
      <w:spacing w:before="100" w:beforeAutospacing="1" w:after="100" w:afterAutospacing="1"/>
    </w:pPr>
    <w:rPr>
      <w:rFonts w:ascii="Times New Roman" w:eastAsia="Times New Roman" w:hAnsi="Times New Roman" w:cs="Times New Roman"/>
      <w:kern w:val="0"/>
      <w:lang w:eastAsia="fr-CA"/>
      <w14:ligatures w14:val="none"/>
    </w:rPr>
  </w:style>
  <w:style w:type="paragraph" w:styleId="Lgende">
    <w:name w:val="caption"/>
    <w:basedOn w:val="Normal"/>
    <w:next w:val="Normal"/>
    <w:uiPriority w:val="35"/>
    <w:unhideWhenUsed/>
    <w:qFormat/>
    <w:rsid w:val="00C310DE"/>
    <w:pPr>
      <w:spacing w:after="200"/>
    </w:pPr>
    <w:rPr>
      <w:i/>
      <w:iCs/>
      <w:color w:val="44546A" w:themeColor="text2"/>
      <w:sz w:val="18"/>
      <w:szCs w:val="18"/>
    </w:rPr>
  </w:style>
  <w:style w:type="character" w:styleId="Hyperlien">
    <w:name w:val="Hyperlink"/>
    <w:basedOn w:val="Policepardfaut"/>
    <w:uiPriority w:val="99"/>
    <w:unhideWhenUsed/>
    <w:rsid w:val="00C310DE"/>
    <w:rPr>
      <w:color w:val="0563C1" w:themeColor="hyperlink"/>
      <w:u w:val="single"/>
    </w:rPr>
  </w:style>
  <w:style w:type="character" w:styleId="Mentionnonrsolue">
    <w:name w:val="Unresolved Mention"/>
    <w:basedOn w:val="Policepardfaut"/>
    <w:uiPriority w:val="99"/>
    <w:semiHidden/>
    <w:unhideWhenUsed/>
    <w:rsid w:val="00C310DE"/>
    <w:rPr>
      <w:color w:val="605E5C"/>
      <w:shd w:val="clear" w:color="auto" w:fill="E1DFDD"/>
    </w:rPr>
  </w:style>
  <w:style w:type="character" w:styleId="Lienvisit">
    <w:name w:val="FollowedHyperlink"/>
    <w:basedOn w:val="Policepardfaut"/>
    <w:uiPriority w:val="99"/>
    <w:semiHidden/>
    <w:unhideWhenUsed/>
    <w:rsid w:val="00C310DE"/>
    <w:rPr>
      <w:color w:val="954F72" w:themeColor="followedHyperlink"/>
      <w:u w:val="single"/>
    </w:rPr>
  </w:style>
  <w:style w:type="paragraph" w:styleId="Paragraphedeliste">
    <w:name w:val="List Paragraph"/>
    <w:basedOn w:val="Normal"/>
    <w:uiPriority w:val="34"/>
    <w:qFormat/>
    <w:rsid w:val="00A45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03619">
      <w:bodyDiv w:val="1"/>
      <w:marLeft w:val="0"/>
      <w:marRight w:val="0"/>
      <w:marTop w:val="0"/>
      <w:marBottom w:val="0"/>
      <w:divBdr>
        <w:top w:val="none" w:sz="0" w:space="0" w:color="auto"/>
        <w:left w:val="none" w:sz="0" w:space="0" w:color="auto"/>
        <w:bottom w:val="none" w:sz="0" w:space="0" w:color="auto"/>
        <w:right w:val="none" w:sz="0" w:space="0" w:color="auto"/>
      </w:divBdr>
    </w:div>
    <w:div w:id="320543495">
      <w:bodyDiv w:val="1"/>
      <w:marLeft w:val="0"/>
      <w:marRight w:val="0"/>
      <w:marTop w:val="0"/>
      <w:marBottom w:val="0"/>
      <w:divBdr>
        <w:top w:val="none" w:sz="0" w:space="0" w:color="auto"/>
        <w:left w:val="none" w:sz="0" w:space="0" w:color="auto"/>
        <w:bottom w:val="none" w:sz="0" w:space="0" w:color="auto"/>
        <w:right w:val="none" w:sz="0" w:space="0" w:color="auto"/>
      </w:divBdr>
    </w:div>
    <w:div w:id="176757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83246/000114420412056127/v758274-1_fwp.pdf"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sec.gov/Archives/edgar/data/83246/000114420412056127/v758274-1_fwp.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sec.gov/Archives/edgar/data/83246/000114420412056127/v758274-1_fwp.pdf"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sec.gov/Archives/edgar/data/83246/000114420412056127/v758274-1_fwp.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3693E-7D03-1C45-B578-ADEEEDAD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1591</Words>
  <Characters>8754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Amélioration de la stratégie faible volatilité</dc:title>
  <dc:subject>BNI IQS stage d’été 2023</dc:subject>
  <dc:creator>Thomas Vaudescal</dc:creator>
  <cp:keywords/>
  <dc:description/>
  <cp:lastModifiedBy>Thomas Vaudescal</cp:lastModifiedBy>
  <cp:revision>2</cp:revision>
  <dcterms:created xsi:type="dcterms:W3CDTF">2023-03-31T16:58:00Z</dcterms:created>
  <dcterms:modified xsi:type="dcterms:W3CDTF">2023-03-31T16:58:00Z</dcterms:modified>
</cp:coreProperties>
</file>