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4 – Drei Dimensionen</w:t>
      </w:r>
    </w:p>
    <w:p>
      <w:pPr>
        <w:spacing w:before="120" w:after="360"/>
        <w:jc w:val="both"/>
      </w:pPr>
      <w:r>
        <w:rPr>
          <w:rFonts w:ascii="Georgia" w:cs="Georgia" w:eastAsia="Georgia" w:hAnsi="Georgia"/>
          <w:i/>
          <w:iCs/>
          <w:color w:val="444444"/>
          <w:sz w:val="24"/>
          <w:szCs w:val="24"/>
        </w:rPr>
        <w:t xml:space="preserve">Warum hat unser Universum drei räumliche Dimensionen und nicht zwei oder vier? Das war bisher eine der tiefsten unbeantworteten Fragen der Physik – oft als kontingente Tatsache behandelt, die einfach so ist wie sie ist. In diesem Kapitel wird gezeigt, dass drei Dimensionen strukturell notwendig sind: die minimale kanonisch symmetrische stabile Transitionsstruktur. Nicht zwei, nicht vier – genau drei.</w:t>
      </w:r>
    </w:p>
    <w:p>
      <w:pPr>
        <w:pStyle w:val="Heading2"/>
      </w:pPr>
      <w:r>
        <w:t xml:space="preserve">4.1 – Kategorienkomposition und Phasenaddition</w:t>
      </w:r>
    </w:p>
    <w:p>
      <w:pPr>
        <w:spacing w:before="180" w:after="200"/>
        <w:jc w:val="both"/>
      </w:pPr>
      <w:r>
        <w:rPr>
          <w:rFonts w:ascii="Georgia" w:cs="Georgia" w:eastAsia="Georgia" w:hAnsi="Georgia"/>
          <w:sz w:val="24"/>
          <w:szCs w:val="24"/>
        </w:rPr>
        <w:t xml:space="preserve">Aus Kapitel 3 wissen wir: Transitionen sind komplexe Zahlen r · e^(iφ). Wenn zwei Transitionen nacheinander ausgeführt werden – also komponiert werden im Sinne der Kategorientheorie – was passiert dann?</w:t>
      </w:r>
    </w:p>
    <w:p>
      <w:pPr>
        <w:spacing w:before="0" w:after="200"/>
        <w:jc w:val="both"/>
      </w:pPr>
      <w:r>
        <w:rPr>
          <w:rFonts w:ascii="Georgia" w:cs="Georgia" w:eastAsia="Georgia" w:hAnsi="Georgia"/>
          <w:sz w:val="24"/>
          <w:szCs w:val="24"/>
        </w:rPr>
        <w:t xml:space="preserve">Die Komposition zweier komplexer Zahlen ist ihre Multiplikation. Für zwei Transitionen T₁ = r₁ · e^(iφ₁) und T₂ = r₂ · e^(iφ₂) gilt:</w:t>
      </w:r>
    </w:p>
    <w:p>
      <w:pPr>
        <w:spacing w:before="240" w:after="240"/>
        <w:jc w:val="center"/>
      </w:pPr>
      <w:r>
        <w:rPr>
          <w:rFonts w:ascii="Georgia" w:cs="Georgia" w:eastAsia="Georgia" w:hAnsi="Georgia"/>
          <w:b/>
          <w:bCs/>
          <w:color w:val="0f3460"/>
          <w:sz w:val="28"/>
          <w:szCs w:val="28"/>
        </w:rPr>
        <w:t xml:space="preserve">T₁ ∘ T₂ = r₁r₂ · e^(i(φ₁+φ₂))</w:t>
      </w:r>
    </w:p>
    <w:p>
      <w:pPr>
        <w:spacing w:before="200" w:after="200"/>
        <w:jc w:val="both"/>
      </w:pPr>
      <w:r>
        <w:rPr>
          <w:rFonts w:ascii="Georgia" w:cs="Georgia" w:eastAsia="Georgia" w:hAnsi="Georgia"/>
          <w:sz w:val="24"/>
          <w:szCs w:val="24"/>
        </w:rPr>
        <w:t xml:space="preserve">Das ist nicht postuliert. Es ist die direkte Konsequenz der Multiplikation komplexer Zahlen – Mathematik, nicht Annahme. Magnitudes multiplizieren sich. Phasen addieren sich.</w:t>
      </w:r>
    </w:p>
    <w:p>
      <w:pPr>
        <w:spacing w:before="0" w:after="200"/>
        <w:jc w:val="both"/>
      </w:pPr>
      <w:r>
        <w:rPr>
          <w:rFonts w:ascii="Georgia" w:cs="Georgia" w:eastAsia="Georgia" w:hAnsi="Georgia"/>
          <w:sz w:val="24"/>
          <w:szCs w:val="24"/>
        </w:rPr>
        <w:t xml:space="preserve">Die Phasenaddition bei Komposition ist der Schlüssel zu allem was folgt. Sie bedeutet: Wenn Transitionen verkettet werden, akkumuliert sich ihre Phasenstruktur. Zwei Transitionen mit Phasen φ₁ und φ₂ ergeben eine Gesamttransition mit Phase φ₁ + φ₂. Das ist unvermeidbar und nicht verhandelbar.</w:t>
      </w:r>
    </w:p>
    <w:p>
      <w:pPr>
        <w:pStyle w:val="Heading2"/>
      </w:pPr>
      <w:r>
        <w:t xml:space="preserve">4.2 – Was stabile Transitionsketten benötigen</w:t>
      </w:r>
    </w:p>
    <w:p>
      <w:pPr>
        <w:spacing w:before="180" w:after="200"/>
        <w:jc w:val="both"/>
      </w:pPr>
      <w:r>
        <w:rPr>
          <w:rFonts w:ascii="Georgia" w:cs="Georgia" w:eastAsia="Georgia" w:hAnsi="Georgia"/>
          <w:sz w:val="24"/>
          <w:szCs w:val="24"/>
        </w:rPr>
        <w:t xml:space="preserve">Nicht jede Kette von Transitionen ist stabil. Stabil bedeutet: Die Kette verdichtet sich zu einem persistenten Muster – einem Resonanzknoten. Dafür müssen zwei Bedingungen gleichzeitig erfüllt sein:</w:t>
      </w:r>
    </w:p>
    <w:p>
      <w:pPr>
        <w:spacing w:before="120" w:after="160"/>
        <w:ind w:left="720"/>
        <w:jc w:val="both"/>
      </w:pPr>
      <w:r>
        <w:rPr>
          <w:rFonts w:ascii="Georgia" w:cs="Georgia" w:eastAsia="Georgia" w:hAnsi="Georgia"/>
          <w:sz w:val="24"/>
          <w:szCs w:val="24"/>
        </w:rPr>
        <w:t xml:space="preserve">Magnitudenstabilität: Das Produkt aller Magnitudes muss 1 ergeben: r₁ · r₂ · ... · rn = 1. Andernfalls divergiert die Kette (Produkt &gt; 1) oder verschwindet (Produkt &lt; 1). Nur r_gesamt = 1 ermöglicht Selbsterhaltung.</w:t>
      </w:r>
    </w:p>
    <w:p>
      <w:pPr>
        <w:spacing w:before="120" w:after="160"/>
        <w:ind w:left="720"/>
        <w:jc w:val="both"/>
      </w:pPr>
      <w:r>
        <w:rPr>
          <w:rFonts w:ascii="Georgia" w:cs="Georgia" w:eastAsia="Georgia" w:hAnsi="Georgia"/>
          <w:sz w:val="24"/>
          <w:szCs w:val="24"/>
        </w:rPr>
        <w:t xml:space="preserve">Phasenschluss: Die Summe aller Phasen muss 0 modulo 2π ergeben: φ₁ + φ₂ + ... + φn ≡ 0 (mod 2π). Andernfalls ist die Kette phasenseitig offen – sie kehrt nicht zu ihrer Ausgangsphase zurück und erzeugt neue Differenz statt zu sedimentieren.</w:t>
      </w:r>
    </w:p>
    <w:p>
      <w:pPr>
        <w:spacing w:before="160" w:after="200"/>
        <w:jc w:val="both"/>
      </w:pPr>
      <w:r>
        <w:rPr>
          <w:rFonts w:ascii="Georgia" w:cs="Georgia" w:eastAsia="Georgia" w:hAnsi="Georgia"/>
          <w:sz w:val="24"/>
          <w:szCs w:val="24"/>
        </w:rPr>
        <w:t xml:space="preserve">Diese zwei Bedingungen folgen direkt aus den Ergebnissen der vorherigen Kapitel. Magnitudenstabilität folgt aus der Notwendigkeit persistenter Verdichtung. Phasenschluss folgt aus der Geschlossenheit der Transition: Eine Kette die nicht phasenseitig geschlossen ist, hat keine vollständige Transition vollzogen.</w:t>
      </w:r>
    </w:p>
    <w:p>
      <w:pPr>
        <w:pStyle w:val="Heading2"/>
      </w:pPr>
      <w:r>
        <w:t xml:space="preserve">4.3 – Die formale Definition struktureller Stabilität</w:t>
      </w:r>
    </w:p>
    <w:p>
      <w:pPr>
        <w:spacing w:before="180" w:after="200"/>
        <w:jc w:val="both"/>
      </w:pPr>
      <w:r>
        <w:rPr>
          <w:rFonts w:ascii="Georgia" w:cs="Georgia" w:eastAsia="Georgia" w:hAnsi="Georgia"/>
          <w:sz w:val="24"/>
          <w:szCs w:val="24"/>
        </w:rPr>
        <w:t xml:space="preserve">Eine Transitionskette T = T₁ ∘ T₂ ∘ ... ∘ Tn mit n Elementen ist strukturell stabil wenn vier Bedingungen gleichzeitig erfüllt sind:</w:t>
      </w:r>
    </w:p>
    <w:p>
      <w:pPr>
        <w:spacing w:before="120" w:after="80"/>
        <w:ind w:left="720"/>
        <w:jc w:val="both"/>
      </w:pPr>
      <w:r>
        <w:rPr>
          <w:rFonts w:ascii="Georgia" w:cs="Georgia" w:eastAsia="Georgia" w:hAnsi="Georgia"/>
          <w:b/>
          <w:bCs/>
          <w:sz w:val="24"/>
          <w:szCs w:val="24"/>
        </w:rPr>
        <w:t xml:space="preserve">B1 – Magnitudenstabilität: r₁ · r₂ · ... · rn = 1</w:t>
      </w:r>
    </w:p>
    <w:p>
      <w:pPr>
        <w:spacing w:before="80" w:after="80"/>
        <w:ind w:left="720"/>
        <w:jc w:val="both"/>
      </w:pPr>
      <w:r>
        <w:rPr>
          <w:rFonts w:ascii="Georgia" w:cs="Georgia" w:eastAsia="Georgia" w:hAnsi="Georgia"/>
          <w:b/>
          <w:bCs/>
          <w:sz w:val="24"/>
          <w:szCs w:val="24"/>
        </w:rPr>
        <w:t xml:space="preserve">B2 – Phasenschluss: φ₁ + φ₂ + ... + φn ≡ 0 (mod 2π)</w:t>
      </w:r>
    </w:p>
    <w:p>
      <w:pPr>
        <w:spacing w:before="80" w:after="80"/>
        <w:ind w:left="720"/>
        <w:jc w:val="both"/>
      </w:pPr>
      <w:r>
        <w:rPr>
          <w:rFonts w:ascii="Georgia" w:cs="Georgia" w:eastAsia="Georgia" w:hAnsi="Georgia"/>
          <w:b/>
          <w:bCs/>
          <w:sz w:val="24"/>
          <w:szCs w:val="24"/>
        </w:rPr>
        <w:t xml:space="preserve">B3 – Nicht-Trivialität: Nicht alle φk = 0 (die Kette hat echte interne Struktur)</w:t>
      </w:r>
    </w:p>
    <w:p>
      <w:pPr>
        <w:spacing w:before="80" w:after="160"/>
        <w:ind w:left="720"/>
        <w:jc w:val="both"/>
      </w:pPr>
      <w:r>
        <w:rPr>
          <w:rFonts w:ascii="Georgia" w:cs="Georgia" w:eastAsia="Georgia" w:hAnsi="Georgia"/>
          <w:b/>
          <w:bCs/>
          <w:sz w:val="24"/>
          <w:szCs w:val="24"/>
        </w:rPr>
        <w:t xml:space="preserve">B4 – Komplexe Aufspannung: Die Transitionen spannen die komplexe Ebene auf – sie liegen nicht alle auf einer reellen Linie</w:t>
      </w:r>
    </w:p>
    <w:p>
      <w:pPr>
        <w:spacing w:before="160" w:after="200"/>
        <w:jc w:val="both"/>
      </w:pPr>
      <w:r>
        <w:rPr>
          <w:rFonts w:ascii="Georgia" w:cs="Georgia" w:eastAsia="Georgia" w:hAnsi="Georgia"/>
          <w:sz w:val="24"/>
          <w:szCs w:val="24"/>
        </w:rPr>
        <w:t xml:space="preserve">B4 ist die präzisierte Version des ursprünglichen Kriteriums „keine Phasenkomplementarität“. Es folgt aus Kapitel 3: Eine Struktur die auf die reelle Linie kollabiert, verliert algebraischen Abschluss. Das haben wir ausgeschlossen.</w:t>
      </w:r>
    </w:p>
    <w:p>
      <w:pPr>
        <w:pStyle w:val="Heading2"/>
      </w:pPr>
      <w:r>
        <w:t xml:space="preserve">4.4 – Beweis: n = 1 ist ausgeschlossen</w:t>
      </w:r>
    </w:p>
    <w:p>
      <w:pPr>
        <w:spacing w:before="180" w:after="200"/>
        <w:jc w:val="both"/>
      </w:pPr>
      <w:r>
        <w:rPr>
          <w:rFonts w:ascii="Georgia" w:cs="Georgia" w:eastAsia="Georgia" w:hAnsi="Georgia"/>
          <w:sz w:val="24"/>
          <w:szCs w:val="24"/>
        </w:rPr>
        <w:t xml:space="preserve">Für n = 1 gibt es genau eine Transition T₁ = r₁ · e^(iφ₁).</w:t>
      </w:r>
    </w:p>
    <w:p>
      <w:pPr>
        <w:spacing w:before="0" w:after="200"/>
        <w:jc w:val="both"/>
      </w:pPr>
      <w:r>
        <w:rPr>
          <w:rFonts w:ascii="Georgia" w:cs="Georgia" w:eastAsia="Georgia" w:hAnsi="Georgia"/>
          <w:sz w:val="24"/>
          <w:szCs w:val="24"/>
        </w:rPr>
        <w:t xml:space="preserve">B1 verlangt r₁ = 1. B2 verlangt φ₁ ≡ 0 (mod 2π), also φ₁ = 0 oder φ₁ = 2π – was identisch ist. Also muss T₁ = 1 sein. Aber B3 verlangt, dass nicht alle Phasen null sind. Widerspruch.</w:t>
      </w:r>
    </w:p>
    <w:p>
      <w:pPr>
        <w:spacing w:before="0" w:after="200"/>
        <w:jc w:val="both"/>
      </w:pPr>
      <w:r>
        <w:rPr>
          <w:rFonts w:ascii="Georgia" w:cs="Georgia" w:eastAsia="Georgia" w:hAnsi="Georgia"/>
          <w:b/>
          <w:bCs/>
          <w:sz w:val="24"/>
          <w:szCs w:val="24"/>
        </w:rPr>
        <w:t xml:space="preserve">B2 und B3 sind für n = 1 nicht gleichzeitig erfüllbar. Also ist n = 1 ausgeschlossen.</w:t>
      </w:r>
    </w:p>
    <w:p>
      <w:pPr>
        <w:spacing w:before="0" w:after="200"/>
        <w:jc w:val="both"/>
      </w:pPr>
      <w:r>
        <w:rPr>
          <w:rFonts w:ascii="Georgia" w:cs="Georgia" w:eastAsia="Georgia" w:hAnsi="Georgia"/>
          <w:sz w:val="24"/>
          <w:szCs w:val="24"/>
        </w:rPr>
        <w:t xml:space="preserve">Physikalische Entsprechung: U(1) – die Symmetriegruppe des Elektromagnetismus – hat als einzige Element eine einzelne Phasendimension. Sie ist strukturell möglich als Wechselwirkungsgruppe, aber nicht als Grundstruktur des Raumes selbst: Sie enthält keine interne Differenz, keine echte Komplexität. Sie ist zu arm für stabile dreidimensionale Verdichtung.</w:t>
      </w:r>
    </w:p>
    <w:p>
      <w:pPr>
        <w:pStyle w:val="Heading2"/>
      </w:pPr>
      <w:r>
        <w:t xml:space="preserve">4.5 – Beweis: n = 2 ist ausgeschlossen</w:t>
      </w:r>
    </w:p>
    <w:p>
      <w:pPr>
        <w:spacing w:before="180" w:after="200"/>
        <w:jc w:val="both"/>
      </w:pPr>
      <w:r>
        <w:rPr>
          <w:rFonts w:ascii="Georgia" w:cs="Georgia" w:eastAsia="Georgia" w:hAnsi="Georgia"/>
          <w:sz w:val="24"/>
          <w:szCs w:val="24"/>
        </w:rPr>
        <w:t xml:space="preserve">Für n = 2 haben wir T₁ = r₁ · e^(iφ₁) und T₂ = r₂ · e^(iφ₂).</w:t>
      </w:r>
    </w:p>
    <w:p>
      <w:pPr>
        <w:spacing w:before="0" w:after="200"/>
        <w:jc w:val="both"/>
      </w:pPr>
      <w:r>
        <w:rPr>
          <w:rFonts w:ascii="Georgia" w:cs="Georgia" w:eastAsia="Georgia" w:hAnsi="Georgia"/>
          <w:sz w:val="24"/>
          <w:szCs w:val="24"/>
        </w:rPr>
        <w:t xml:space="preserve">B1 verlangt r₁ · r₂ = 1, also r₂ = 1/r₁. Für r₁ = r₂ = 1 erfüllbar. B2 verlangt φ₁ + φ₂ ≡ 0 (mod 2π), also φ₂ = 2π − φ₁. B3 verlangt φ₁ ≠ 0, was φ₁ ∈ (0, 2π) ermöglicht. Soweit scheinen B1, B2, B3 erfüllbar.</w:t>
      </w:r>
    </w:p>
    <w:p>
      <w:pPr>
        <w:spacing w:before="0" w:after="200"/>
        <w:jc w:val="both"/>
      </w:pPr>
      <w:r>
        <w:rPr>
          <w:rFonts w:ascii="Georgia" w:cs="Georgia" w:eastAsia="Georgia" w:hAnsi="Georgia"/>
          <w:sz w:val="24"/>
          <w:szCs w:val="24"/>
        </w:rPr>
        <w:t xml:space="preserve">Aber B4 scheitert: Phasenschluss bei n = 2 erzwingt φ₂ = 2π − φ₁. Das bedeutet, T₁ und T₂ sind phasenkomplementär. Ihre Vektorsumme in der komplexen Ebene:</w:t>
      </w:r>
    </w:p>
    <w:p>
      <w:pPr>
        <w:spacing w:before="180" w:after="180"/>
        <w:jc w:val="center"/>
      </w:pPr>
      <w:r>
        <w:rPr>
          <w:rFonts w:ascii="Georgia" w:cs="Georgia" w:eastAsia="Georgia" w:hAnsi="Georgia"/>
          <w:b/>
          <w:bCs/>
          <w:color w:val="0f3460"/>
          <w:sz w:val="26"/>
          <w:szCs w:val="26"/>
        </w:rPr>
        <w:t xml:space="preserve">e^(iφ₁) + e^(i(2π−φ₁)) = e^(iφ₁) + e^(−iφ₁) = 2cos(φ₁)</w:t>
      </w:r>
    </w:p>
    <w:p>
      <w:pPr>
        <w:spacing w:before="200" w:after="200"/>
        <w:jc w:val="both"/>
      </w:pPr>
      <w:r>
        <w:rPr>
          <w:rFonts w:ascii="Georgia" w:cs="Georgia" w:eastAsia="Georgia" w:hAnsi="Georgia"/>
          <w:sz w:val="24"/>
          <w:szCs w:val="24"/>
        </w:rPr>
        <w:t xml:space="preserve">Das Ergebnis ist reell. Keine imaginäre Komponente. Die Struktur kollabiert auf die reelle Linie – verletzt algebraischen Abschluss aus Kapitel 3. B4 ist nicht erfüllbar.</w:t>
      </w:r>
    </w:p>
    <w:p>
      <w:pPr>
        <w:spacing w:before="0" w:after="200"/>
        <w:jc w:val="both"/>
      </w:pPr>
      <w:r>
        <w:rPr>
          <w:rFonts w:ascii="Georgia" w:cs="Georgia" w:eastAsia="Georgia" w:hAnsi="Georgia"/>
          <w:b/>
          <w:bCs/>
          <w:sz w:val="24"/>
          <w:szCs w:val="24"/>
        </w:rPr>
        <w:t xml:space="preserve">n = 2 ist ausgeschlossen.</w:t>
      </w:r>
    </w:p>
    <w:p>
      <w:pPr>
        <w:spacing w:before="0" w:after="200"/>
        <w:jc w:val="both"/>
      </w:pPr>
      <w:r>
        <w:rPr>
          <w:rFonts w:ascii="Georgia" w:cs="Georgia" w:eastAsia="Georgia" w:hAnsi="Georgia"/>
          <w:sz w:val="24"/>
          <w:szCs w:val="24"/>
        </w:rPr>
        <w:t xml:space="preserve">Physikalische Entsprechung: SU(2) – die Symmetriegruppe der schwachen Wechselwirkung – hat interne Differenz zwischen zwei Zuständen. Sie ist als Wechselwirkungsgruppe möglich, aber als Grundstruktur des Raumes instabil: Ihre Symmetrie muss gebrochen werden – genau das, was der Higgs-Mechanismus bewirkt.</w:t>
      </w:r>
    </w:p>
    <w:p>
      <w:pPr>
        <w:pStyle w:val="Heading2"/>
      </w:pPr>
      <w:r>
        <w:t xml:space="preserve">4.6 – Beweis: n = 3 erfüllt alle Bedingungen</w:t>
      </w:r>
    </w:p>
    <w:p>
      <w:pPr>
        <w:spacing w:before="180" w:after="200"/>
        <w:jc w:val="both"/>
      </w:pPr>
      <w:r>
        <w:rPr>
          <w:rFonts w:ascii="Georgia" w:cs="Georgia" w:eastAsia="Georgia" w:hAnsi="Georgia"/>
          <w:sz w:val="24"/>
          <w:szCs w:val="24"/>
        </w:rPr>
        <w:t xml:space="preserve">Für n = 3 betrachten wir die kanonische Konfiguration: drei Transitionen mit gleichmäßig verteilten Phasen.</w:t>
      </w:r>
    </w:p>
    <w:p>
      <w:pPr>
        <w:spacing w:before="180" w:after="180"/>
        <w:jc w:val="center"/>
      </w:pPr>
      <w:r>
        <w:rPr>
          <w:rFonts w:ascii="Georgia" w:cs="Georgia" w:eastAsia="Georgia" w:hAnsi="Georgia"/>
          <w:b/>
          <w:bCs/>
          <w:color w:val="0f3460"/>
          <w:sz w:val="26"/>
          <w:szCs w:val="26"/>
        </w:rPr>
        <w:t xml:space="preserve">T₁ = e^(i·0) = 1,    T₂ = e^(i·2π/3),    T₃ = e^(i·4π/3)</w:t>
      </w:r>
    </w:p>
    <w:p>
      <w:pPr>
        <w:spacing w:before="200" w:after="120"/>
        <w:jc w:val="both"/>
      </w:pPr>
      <w:r>
        <w:rPr>
          <w:rFonts w:ascii="Georgia" w:cs="Georgia" w:eastAsia="Georgia" w:hAnsi="Georgia"/>
          <w:sz w:val="24"/>
          <w:szCs w:val="24"/>
        </w:rPr>
        <w:t xml:space="preserve">B1: r₁ · r₂ · r₃ = 1 · 1 · 1 = 1. Erfüllt.</w:t>
      </w:r>
    </w:p>
    <w:p>
      <w:pPr>
        <w:spacing w:before="0" w:after="120"/>
        <w:jc w:val="both"/>
      </w:pPr>
      <w:r>
        <w:rPr>
          <w:rFonts w:ascii="Georgia" w:cs="Georgia" w:eastAsia="Georgia" w:hAnsi="Georgia"/>
          <w:sz w:val="24"/>
          <w:szCs w:val="24"/>
        </w:rPr>
        <w:t xml:space="preserve">B2: 0 + 2π/3 + 4π/3 = 6π/3 = 2π ≡ 0 (mod 2π). Erfüllt.</w:t>
      </w:r>
    </w:p>
    <w:p>
      <w:pPr>
        <w:spacing w:before="0" w:after="120"/>
        <w:jc w:val="both"/>
      </w:pPr>
      <w:r>
        <w:rPr>
          <w:rFonts w:ascii="Georgia" w:cs="Georgia" w:eastAsia="Georgia" w:hAnsi="Georgia"/>
          <w:sz w:val="24"/>
          <w:szCs w:val="24"/>
        </w:rPr>
        <w:t xml:space="preserve">B3: Die Phasen sind 0, 2π/3, 4π/3 – nicht alle null. Erfüllt.</w:t>
      </w:r>
    </w:p>
    <w:p>
      <w:pPr>
        <w:spacing w:before="0" w:after="200"/>
        <w:jc w:val="both"/>
      </w:pPr>
      <w:r>
        <w:rPr>
          <w:rFonts w:ascii="Georgia" w:cs="Georgia" w:eastAsia="Georgia" w:hAnsi="Georgia"/>
          <w:sz w:val="24"/>
          <w:szCs w:val="24"/>
        </w:rPr>
        <w:t xml:space="preserve">B4: T₂ hat Realteil −1/2 und Imaginärteil +√3/2. T₃ hat Realteil −1/2 und Imaginärteil −√3/2. Zusammen mit T₁ auf der reellen Achse spannen die drei Transitionen die vollständige komplexe Ebene auf. Kein Kollaps auf die reelle Linie. Erfüllt.</w:t>
      </w:r>
    </w:p>
    <w:p>
      <w:pPr>
        <w:spacing w:before="0" w:after="200"/>
        <w:jc w:val="both"/>
      </w:pPr>
      <w:r>
        <w:rPr>
          <w:rFonts w:ascii="Georgia" w:cs="Georgia" w:eastAsia="Georgia" w:hAnsi="Georgia"/>
          <w:b/>
          <w:bCs/>
          <w:sz w:val="24"/>
          <w:szCs w:val="24"/>
        </w:rPr>
        <w:t xml:space="preserve">Alle vier Bedingungen sind für n = 3 gleichzeitig erfüllbar.</w:t>
      </w:r>
    </w:p>
    <w:p>
      <w:pPr>
        <w:pStyle w:val="Heading2"/>
      </w:pPr>
      <w:r>
        <w:t xml:space="preserve">4.7 – Beweis: n = 3 ist minimal</w:t>
      </w:r>
    </w:p>
    <w:p>
      <w:pPr>
        <w:spacing w:before="180" w:after="200"/>
        <w:jc w:val="both"/>
      </w:pPr>
      <w:r>
        <w:rPr>
          <w:rFonts w:ascii="Georgia" w:cs="Georgia" w:eastAsia="Georgia" w:hAnsi="Georgia"/>
          <w:sz w:val="24"/>
          <w:szCs w:val="24"/>
        </w:rPr>
        <w:t xml:space="preserve">n = 1 und n = 2 sind ausgeschlossen. n = 3 ist möglich. Also ist n = 3 die minimale Zahl von Transitionen die alle vier Stabiliätsbedingungen erfüllen kann. Das ist der Minimalitätsbeweis.</w:t>
      </w:r>
    </w:p>
    <w:p>
      <w:pPr>
        <w:spacing w:before="0" w:after="200"/>
        <w:jc w:val="both"/>
      </w:pPr>
      <w:r>
        <w:rPr>
          <w:rFonts w:ascii="Georgia" w:cs="Georgia" w:eastAsia="Georgia" w:hAnsi="Georgia"/>
          <w:sz w:val="24"/>
          <w:szCs w:val="24"/>
        </w:rPr>
        <w:t xml:space="preserve">Aber warum ist n = 3 auch die kanonische Konfiguration? Unter allen möglichen n = 3 Konfigurationen die B1–B4 erfüllen, ist die gleichmäßige Verteilung – Phasen bei 0, 2π/3, 4π/3 – die einzige mit maximaler Symmetrie: alle Phasendistänzen zwischen je zwei Transitionen sind gleich. Jede andere Konfiguration bricht diese Symmetrie.</w:t>
      </w:r>
    </w:p>
    <w:p>
      <w:pPr>
        <w:spacing w:before="0" w:after="200"/>
        <w:jc w:val="both"/>
      </w:pPr>
      <w:r>
        <w:rPr>
          <w:rFonts w:ascii="Georgia" w:cs="Georgia" w:eastAsia="Georgia" w:hAnsi="Georgia"/>
          <w:sz w:val="24"/>
          <w:szCs w:val="24"/>
        </w:rPr>
        <w:t xml:space="preserve">Warum ist Symmetrie das richtige Kriterium? Weil die Grundstruktur des Raumes keine ausgezeichnete Richtung haben darf. Wenn die drei Basistransitionen nicht gleichmäßig verteilt wären, gäbe es eine bevorzugte Richtung im Phasenraum – eine intrinsische Asymmetrie die nicht aus Differenz allein folgt. Das wäre eine zusätzliche Annahme. Die gleichmäßige Verteilung folgt ohne zusätzliche Annahme.</w:t>
      </w:r>
    </w:p>
    <w:p>
      <w:pPr>
        <w:spacing w:before="0" w:after="200"/>
        <w:jc w:val="both"/>
      </w:pPr>
      <w:r>
        <w:rPr>
          <w:rFonts w:ascii="Georgia" w:cs="Georgia" w:eastAsia="Georgia" w:hAnsi="Georgia"/>
          <w:b/>
          <w:bCs/>
          <w:color w:val="0f3460"/>
          <w:sz w:val="24"/>
          <w:szCs w:val="24"/>
        </w:rPr>
        <w:t xml:space="preserve">Drei Dimensionen sind die minimale kanonisch symmetrische stabile Transitionsstruktur.</w:t>
      </w:r>
    </w:p>
    <w:p>
      <w:pPr>
        <w:pStyle w:val="Heading2"/>
      </w:pPr>
      <w:r>
        <w:t xml:space="preserve">4.8 – Was mit n = 4 passiert</w:t>
      </w:r>
    </w:p>
    <w:p>
      <w:pPr>
        <w:spacing w:before="180" w:after="200"/>
        <w:jc w:val="both"/>
      </w:pPr>
      <w:r>
        <w:rPr>
          <w:rFonts w:ascii="Georgia" w:cs="Georgia" w:eastAsia="Georgia" w:hAnsi="Georgia"/>
          <w:sz w:val="24"/>
          <w:szCs w:val="24"/>
        </w:rPr>
        <w:t xml:space="preserve">Der vollständigkeit halber: Was wäre mit n = 4? Quaternionen – die natürliche Erweiterung auf vier Dimensionen – sind nicht kommutativ. Das bedeutet: Die Reihenfolge von Transitionen bestimmt das Ergebnis fundamental.</w:t>
      </w:r>
    </w:p>
    <w:p>
      <w:pPr>
        <w:spacing w:before="0" w:after="200"/>
        <w:jc w:val="both"/>
      </w:pPr>
      <w:r>
        <w:rPr>
          <w:rFonts w:ascii="Georgia" w:cs="Georgia" w:eastAsia="Georgia" w:hAnsi="Georgia"/>
          <w:sz w:val="24"/>
          <w:szCs w:val="24"/>
        </w:rPr>
        <w:t xml:space="preserve">Das ist strukturell problematisch für eine Basisstruktur: Eine Grundstruktur des Raumes muss Kommutativität haben – es darf keinen strukturellen Unterschied machen, ob man zuerst in x-Richtung und dann in y-Richtung geht, oder umgekehrt, wenn der Gesamtweg der gleiche ist. Nicht-Kommutativität bei n = 4 macht vier Dimensionen als Grundstruktur instabil.</w:t>
      </w:r>
    </w:p>
    <w:p>
      <w:pPr>
        <w:spacing w:before="0" w:after="200"/>
        <w:jc w:val="both"/>
      </w:pPr>
      <w:r>
        <w:rPr>
          <w:rFonts w:ascii="Georgia" w:cs="Georgia" w:eastAsia="Georgia" w:hAnsi="Georgia"/>
          <w:sz w:val="24"/>
          <w:szCs w:val="24"/>
        </w:rPr>
        <w:t xml:space="preserve">Vier Dimensionen können als interne Strukturen von Teilchen auftreten – das ist bekannt in der Physik durch Dirac-Spinoren. Aber als Grundstruktur des Raumes selbst sind sie ausgeschlossen durch Nicht-Kommutativität.</w:t>
      </w:r>
    </w:p>
    <w:p>
      <w:pPr>
        <w:pStyle w:val="Heading2"/>
      </w:pPr>
      <w:r>
        <w:t xml:space="preserve">4.9 – Spinoren und 720-Grad-Rotation</w:t>
      </w:r>
    </w:p>
    <w:p>
      <w:pPr>
        <w:spacing w:before="180" w:after="200"/>
        <w:jc w:val="both"/>
      </w:pPr>
      <w:r>
        <w:rPr>
          <w:rFonts w:ascii="Georgia" w:cs="Georgia" w:eastAsia="Georgia" w:hAnsi="Georgia"/>
          <w:sz w:val="24"/>
          <w:szCs w:val="24"/>
        </w:rPr>
        <w:t xml:space="preserve">Ein Elektron kehrt nach einer 360-Grad-Rotation nicht zu seinem Ausgangszustand zurück – es braucht 720 Grad. Das ist das Spinor-Phänomen, empirisch gesichert und mathematisch wohlverstanden. In der Quantenmechanik wird es als Eigenschaft des Spins ½ postuliert. In diesem Rahmen folgt es strukturell.</w:t>
      </w:r>
    </w:p>
    <w:p>
      <w:pPr>
        <w:spacing w:before="0" w:after="200"/>
        <w:jc w:val="both"/>
      </w:pPr>
      <w:r>
        <w:rPr>
          <w:rFonts w:ascii="Georgia" w:cs="Georgia" w:eastAsia="Georgia" w:hAnsi="Georgia"/>
          <w:sz w:val="24"/>
          <w:szCs w:val="24"/>
        </w:rPr>
        <w:t xml:space="preserve">SU(2) – die Gruppe der schwachen Wechselwirkung – hat interne Differenz zwischen zwei komplementären Zuständen. Eine vollständige Phasenschließung der externen Struktur – 360 Grad – schließt die interne Differenz noch nicht. Die interne Differenz braucht eine weitere vollständige Rotation um sich zu schließen.</w:t>
      </w:r>
    </w:p>
    <w:p>
      <w:pPr>
        <w:spacing w:before="0" w:after="200"/>
        <w:jc w:val="both"/>
      </w:pPr>
      <w:r>
        <w:rPr>
          <w:rFonts w:ascii="Georgia" w:cs="Georgia" w:eastAsia="Georgia" w:hAnsi="Georgia"/>
          <w:sz w:val="24"/>
          <w:szCs w:val="24"/>
        </w:rPr>
        <w:t xml:space="preserve">Formal: SU(2) ist die doppelte Überlagerung von SO(3) – der Rotationsgruppe des dreidimensionalen Raumes. Zwei verschiedene SU(2)-Zustände können die gleiche physikalische Rotation beschreiben. Eine 360-Grad-Rotation in SO(3) entspricht einer Transition in SU(2) die den Zustand auf sein Negatives abbildet: ψ → −ψ. Erst bei 720 Grad kehrt SU(2) vollständig zurück: ψ → −ψ → +ψ.</w:t>
      </w:r>
    </w:p>
    <w:p>
      <w:pPr>
        <w:spacing w:before="0" w:after="200"/>
        <w:jc w:val="both"/>
      </w:pPr>
      <w:r>
        <w:rPr>
          <w:rFonts w:ascii="Georgia" w:cs="Georgia" w:eastAsia="Georgia" w:hAnsi="Georgia"/>
          <w:sz w:val="24"/>
          <w:szCs w:val="24"/>
        </w:rPr>
        <w:t xml:space="preserve">Der Spinor ist der Abdruck der internen Differenzstruktur von SU(2) auf die Transitionsgeometrie. Teilchen mit Spin ½ sind Knoten in SU(2)-Transitionsketten. Ihre 720-Grad-Eigenschaft ist strukturell notwendig, nicht mysteriös.</w:t>
      </w:r>
    </w:p>
    <w:p>
      <w:pPr>
        <w:pStyle w:val="Heading2"/>
      </w:pPr>
      <w:r>
        <w:t xml:space="preserve">4.10 – CP-Verletzung und Materie-Antimaterie-Asymmetrie</w:t>
      </w:r>
    </w:p>
    <w:p>
      <w:pPr>
        <w:spacing w:before="180" w:after="200"/>
        <w:jc w:val="both"/>
      </w:pPr>
      <w:r>
        <w:rPr>
          <w:rFonts w:ascii="Georgia" w:cs="Georgia" w:eastAsia="Georgia" w:hAnsi="Georgia"/>
          <w:sz w:val="24"/>
          <w:szCs w:val="24"/>
        </w:rPr>
        <w:t xml:space="preserve">Warum besteht unser Universum aus Materie statt aus gleichen Teilen Materie und Antimaterie? Das ist eine der großen offenen Fragen der Kosmologie. Empirisch ist bekannt, dass für jede Milliarde Antimaterie-Teilchen eine Milliarde-plus-eins Materie-Teilchen existierten. Die übriggebliebene Einheit ist unsere Welt.</w:t>
      </w:r>
    </w:p>
    <w:p>
      <w:pPr>
        <w:spacing w:before="0" w:after="200"/>
        <w:jc w:val="both"/>
      </w:pPr>
      <w:r>
        <w:rPr>
          <w:rFonts w:ascii="Georgia" w:cs="Georgia" w:eastAsia="Georgia" w:hAnsi="Georgia"/>
          <w:sz w:val="24"/>
          <w:szCs w:val="24"/>
        </w:rPr>
        <w:t xml:space="preserve">In diesem Rahmen ist das keine mysteriöse Asymmetrie, die von außen eingeführt wurde. Materie und Antimaterie sind phasenkomplementäre Transitionskonfigurationen – n = 2 Strukturen. Wenn sie koppeln, löschen sie sich aus: Vektorsumme null, reelle Struktur, Kollaps auf die Linie, Verlust algebraischen Abschlusses.</w:t>
      </w:r>
    </w:p>
    <w:p>
      <w:pPr>
        <w:spacing w:before="0" w:after="200"/>
        <w:jc w:val="both"/>
      </w:pPr>
      <w:r>
        <w:rPr>
          <w:rFonts w:ascii="Georgia" w:cs="Georgia" w:eastAsia="Georgia" w:hAnsi="Georgia"/>
          <w:sz w:val="24"/>
          <w:szCs w:val="24"/>
        </w:rPr>
        <w:t xml:space="preserve">n = 2 ist strukturell instabil. n = 3 ist strukturell stabil. Die ersten Transitionen des frühen Universums tendieren strukturell zu n = 3 Konfigurationen. Nicht weil ein Gesetz das vorschreibt – sondern weil n = 3 die einzige stabile Konfiguration ist.</w:t>
      </w:r>
    </w:p>
    <w:p>
      <w:pPr>
        <w:spacing w:before="0" w:after="200"/>
        <w:jc w:val="both"/>
      </w:pPr>
      <w:r>
        <w:rPr>
          <w:rFonts w:ascii="Georgia" w:cs="Georgia" w:eastAsia="Georgia" w:hAnsi="Georgia"/>
          <w:sz w:val="24"/>
          <w:szCs w:val="24"/>
        </w:rPr>
        <w:t xml:space="preserve">Die CP-Verletzung – die leichte Asymmetrie zwischen Materie und Antimaterie in der Physik – ist der Abdruck dieser strukturellen Bevorzugung von n = 3 gegenüber n = 2. Sie ist kein Zufall und kein exotisches Phänomen. Sie ist die strukturelle Signatur, dass stabile Verdichtung drei Dimensionen braucht.</w:t>
      </w:r>
    </w:p>
    <w:p>
      <w:pPr>
        <w:pStyle w:val="Heading2"/>
      </w:pPr>
      <w:r>
        <w:t xml:space="preserve">4.11 – Zusammenfassung und Ausblick</w:t>
      </w:r>
    </w:p>
    <w:p>
      <w:pPr>
        <w:spacing w:before="180" w:after="200"/>
        <w:jc w:val="both"/>
      </w:pPr>
      <w:r>
        <w:rPr>
          <w:rFonts w:ascii="Georgia" w:cs="Georgia" w:eastAsia="Georgia" w:hAnsi="Georgia"/>
          <w:sz w:val="24"/>
          <w:szCs w:val="24"/>
        </w:rPr>
        <w:t xml:space="preserve">Kapitel 4 hat bewiesen:</w:t>
      </w:r>
    </w:p>
    <w:p>
      <w:pPr>
        <w:spacing w:before="120" w:after="120"/>
        <w:ind w:left="720"/>
        <w:jc w:val="both"/>
      </w:pPr>
      <w:r>
        <w:rPr>
          <w:rFonts w:ascii="Georgia" w:cs="Georgia" w:eastAsia="Georgia" w:hAnsi="Georgia"/>
          <w:sz w:val="24"/>
          <w:szCs w:val="24"/>
        </w:rPr>
        <w:t xml:space="preserve">n = 1 ist ausgeschlossen – Widerspruch zwischen Phasenschluss und Nicht-Trivialität.</w:t>
      </w:r>
    </w:p>
    <w:p>
      <w:pPr>
        <w:spacing w:before="120" w:after="120"/>
        <w:ind w:left="720"/>
        <w:jc w:val="both"/>
      </w:pPr>
      <w:r>
        <w:rPr>
          <w:rFonts w:ascii="Georgia" w:cs="Georgia" w:eastAsia="Georgia" w:hAnsi="Georgia"/>
          <w:sz w:val="24"/>
          <w:szCs w:val="24"/>
        </w:rPr>
        <w:t xml:space="preserve">n = 2 ist ausgeschlossen – Phasenschluss erzwingt Kollaps auf die reelle Linie.</w:t>
      </w:r>
    </w:p>
    <w:p>
      <w:pPr>
        <w:spacing w:before="120" w:after="120"/>
        <w:ind w:left="720"/>
        <w:jc w:val="both"/>
      </w:pPr>
      <w:r>
        <w:rPr>
          <w:rFonts w:ascii="Georgia" w:cs="Georgia" w:eastAsia="Georgia" w:hAnsi="Georgia"/>
          <w:sz w:val="24"/>
          <w:szCs w:val="24"/>
        </w:rPr>
        <w:t xml:space="preserve">n = 3 erfüllt alle vier Stabiliätsbedingungen – formal bewiesen.</w:t>
      </w:r>
    </w:p>
    <w:p>
      <w:pPr>
        <w:spacing w:before="120" w:after="120"/>
        <w:ind w:left="720"/>
        <w:jc w:val="both"/>
      </w:pPr>
      <w:r>
        <w:rPr>
          <w:rFonts w:ascii="Georgia" w:cs="Georgia" w:eastAsia="Georgia" w:hAnsi="Georgia"/>
          <w:sz w:val="24"/>
          <w:szCs w:val="24"/>
        </w:rPr>
        <w:t xml:space="preserve">n = 3 ist minimal – keine kleinere Konfiguration ist möglich.</w:t>
      </w:r>
    </w:p>
    <w:p>
      <w:pPr>
        <w:spacing w:before="120" w:after="120"/>
        <w:ind w:left="720"/>
        <w:jc w:val="both"/>
      </w:pPr>
      <w:r>
        <w:rPr>
          <w:rFonts w:ascii="Georgia" w:cs="Georgia" w:eastAsia="Georgia" w:hAnsi="Georgia"/>
          <w:sz w:val="24"/>
          <w:szCs w:val="24"/>
        </w:rPr>
        <w:t xml:space="preserve">Die kanonische Konfiguration ist die gleichmäßig verteilte – maximale Symmetrie ohne zusätzliche Annahmen.</w:t>
      </w:r>
    </w:p>
    <w:p>
      <w:pPr>
        <w:spacing w:before="120" w:after="120"/>
        <w:ind w:left="720"/>
        <w:jc w:val="both"/>
      </w:pPr>
      <w:r>
        <w:rPr>
          <w:rFonts w:ascii="Georgia" w:cs="Georgia" w:eastAsia="Georgia" w:hAnsi="Georgia"/>
          <w:sz w:val="24"/>
          <w:szCs w:val="24"/>
        </w:rPr>
        <w:t xml:space="preserve">Spinoren folgen strukturell aus der internen Differenzstruktur von SU(2).</w:t>
      </w:r>
    </w:p>
    <w:p>
      <w:pPr>
        <w:spacing w:before="120" w:after="240"/>
        <w:ind w:left="720"/>
        <w:jc w:val="both"/>
      </w:pPr>
      <w:r>
        <w:rPr>
          <w:rFonts w:ascii="Georgia" w:cs="Georgia" w:eastAsia="Georgia" w:hAnsi="Georgia"/>
          <w:sz w:val="24"/>
          <w:szCs w:val="24"/>
        </w:rPr>
        <w:t xml:space="preserve">CP-Verletzung ist der Abdruck der strukturellen Bevorzugung von n = 3 gegenüber n = 2.</w:t>
      </w:r>
    </w:p>
    <w:p>
      <w:pPr>
        <w:spacing w:before="0" w:after="200"/>
        <w:jc w:val="both"/>
      </w:pPr>
      <w:r>
        <w:rPr>
          <w:rFonts w:ascii="Georgia" w:cs="Georgia" w:eastAsia="Georgia" w:hAnsi="Georgia"/>
          <w:sz w:val="24"/>
          <w:szCs w:val="24"/>
        </w:rPr>
        <w:t xml:space="preserve">Das nächste Kapitel formalisiert die Dissonanz – das Maß der Phasendistanz zwischen Transition und bestehender Verdichtungsstruktur. Das ist das Werkzeug mit dem wir Aufwand, Wechselwirkung, Masse und Gravitation in den folgenden Kapiteln präzise beschreiben.</w:t>
      </w:r>
    </w:p>
    <w:p>
      <w:pPr>
        <w:pBdr>
          <w:top w:val="single" w:color="cccccc" w:sz="4" w:space="8"/>
        </w:pBdr>
        <w:spacing w:before="240" w:after="0"/>
        <w:jc w:val="both"/>
      </w:pPr>
      <w:r>
        <w:rPr>
          <w:rFonts w:ascii="Georgia" w:cs="Georgia" w:eastAsia="Georgia" w:hAnsi="Georgia"/>
          <w:i/>
          <w:iCs/>
          <w:color w:val="666666"/>
          <w:sz w:val="22"/>
          <w:szCs w:val="22"/>
        </w:rPr>
        <w:t xml:space="preserve">Offene Stellen in diesem Kapitel: Keine. Die Beweise für n = 1, n = 2 und n = 3 sind vollständig. Die Verbindung zu SU(3) als Symmetriegruppe der starken Kraft wird in Kapitel 6 formalisiert.</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n"/>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2026-03-23T07:21:10.425Z</dcterms:created>
  <dcterms:modified xsi:type="dcterms:W3CDTF">2026-03-23T07:21:10.426Z</dcterms:modified>
</cp:coreProperties>
</file>

<file path=docProps/custom.xml><?xml version="1.0" encoding="utf-8"?>
<Properties xmlns="http://schemas.openxmlformats.org/officeDocument/2006/custom-properties" xmlns:vt="http://schemas.openxmlformats.org/officeDocument/2006/docPropsVTypes"/>
</file>