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360"/>
        <w:jc w:val="center"/>
      </w:pPr>
      <w:r>
        <w:rPr>
          <w:rFonts w:ascii="Arial" w:cs="Arial" w:eastAsia="Arial" w:hAnsi="Arial"/>
          <w:b/>
          <w:bCs/>
          <w:caps/>
          <w:color w:val="1a1a2e"/>
          <w:sz w:val="32"/>
          <w:szCs w:val="32"/>
        </w:rPr>
        <w:t xml:space="preserve">TEIL II – DIE ERWEITERUNGEN</w:t>
      </w:r>
    </w:p>
    <w:p>
      <w:pPr>
        <w:pBdr>
          <w:bottom w:val="single" w:color="cccccc" w:sz="4" w:space="8"/>
        </w:pBdr>
        <w:spacing w:before="0" w:after="480"/>
        <w:jc w:val="center"/>
      </w:pPr>
      <w:r>
        <w:rPr>
          <w:rFonts w:ascii="Georgia" w:cs="Georgia" w:eastAsia="Georgia" w:hAnsi="Georgia"/>
          <w:i/>
          <w:iCs/>
          <w:color w:val="666666"/>
          <w:sz w:val="22"/>
          <w:szCs w:val="22"/>
        </w:rPr>
        <w:t xml:space="preserve">Die folgenden Kapitel bauen auf dem Fundament der Kapitel 1–5 auf. Sie sind strukturell konsistent und legen physikalisch nahe, was wir beobachten. Wo etwas zwingend folgt, wird das explizit gesagt. Wo die Struktur nahelegt ohne zu beweisen, wird das ebenso explizit markiert. Dieser Unterschied ist nicht Bescheidenheit – er ist methodische Ehrlichkeit.</w:t>
      </w:r>
    </w:p>
    <w:p>
      <w:pPr>
        <w:pStyle w:val="Heading1"/>
      </w:pPr>
      <w:r>
        <w:t xml:space="preserve">Kapitel 6 – Wechselwirkung</w:t>
      </w:r>
    </w:p>
    <w:p>
      <w:pPr>
        <w:spacing w:before="120" w:after="360"/>
        <w:jc w:val="both"/>
      </w:pPr>
      <w:r>
        <w:rPr>
          <w:rFonts w:ascii="Georgia" w:cs="Georgia" w:eastAsia="Georgia" w:hAnsi="Georgia"/>
          <w:i/>
          <w:iCs/>
          <w:color w:val="444444"/>
          <w:sz w:val="24"/>
          <w:szCs w:val="24"/>
        </w:rPr>
        <w:t xml:space="preserve">Wie koppeln zwei Transitionssysteme? Warum können sie nicht vollständig isoliert bleiben? Und warum sind die drei Wechselwirkungen der Physik – Elektromagnetismus, schwache Kraft, starke Kraft – genau diese drei und nicht andere? Kapitel 6 entwickelt die strukturelle Antwort: Wechselwirkung als Tensorprodukt, Isolation als strukturell unmöglich, dimensionale Selektivität als Ursprung der drei Grundkräfte.</w:t>
      </w:r>
    </w:p>
    <w:p>
      <w:pPr>
        <w:pStyle w:val="Heading2"/>
      </w:pPr>
      <w:r>
        <w:t xml:space="preserve">6.1 – Vollständige Isolation ist ausgeschlossen</w:t>
      </w:r>
    </w:p>
    <w:p>
      <w:pPr>
        <w:spacing w:before="180" w:after="200"/>
        <w:jc w:val="both"/>
      </w:pPr>
      <w:r>
        <w:rPr>
          <w:rFonts w:ascii="Georgia" w:cs="Georgia" w:eastAsia="Georgia" w:hAnsi="Georgia"/>
          <w:sz w:val="24"/>
          <w:szCs w:val="24"/>
        </w:rPr>
        <w:t xml:space="preserve">Zwei Transitionssysteme S₁ und S₂ existieren. Können sie vollständig isoliert voneinander sein?</w:t>
      </w:r>
    </w:p>
    <w:p>
      <w:pPr>
        <w:spacing w:before="0" w:after="200"/>
        <w:jc w:val="both"/>
      </w:pPr>
      <w:r>
        <w:rPr>
          <w:rFonts w:ascii="Georgia" w:cs="Georgia" w:eastAsia="Georgia" w:hAnsi="Georgia"/>
          <w:sz w:val="24"/>
          <w:szCs w:val="24"/>
        </w:rPr>
        <w:t xml:space="preserve">Es folgt zwingend: Nein. Beide Systeme existieren im gleichen Sedimentraum – dem globalen Sediment der ersten Transitionen, das Raum und Zeit als Hintergrundstruktur erzeugt hat. Dieses globale Sediment ist ihre gemeinsame Phasenbasis. Gemeinsame Phasenbasis bedeutet: Ihre Zustände sind in den gleichen komplexen Vektorraum eingebettet. Vollständige Isolation wäre strukturell die Behauptung, dass zwei Systeme die gleiche Phasenbasis teilen, aber keinerlei Relation zueinander haben. Das ist inkohärent.</w:t>
      </w:r>
    </w:p>
    <w:p>
      <w:pPr>
        <w:spacing w:before="0" w:after="200"/>
        <w:jc w:val="both"/>
      </w:pPr>
      <w:r>
        <w:rPr>
          <w:rFonts w:ascii="Georgia" w:cs="Georgia" w:eastAsia="Georgia" w:hAnsi="Georgia"/>
          <w:i/>
          <w:iCs/>
          <w:color w:val="555555"/>
          <w:sz w:val="22"/>
          <w:szCs w:val="22"/>
        </w:rPr>
        <w:t xml:space="preserve">Anmerkung: Diese Aussage hängt von der Herleitung des globalen Sediments als gemeinsame Phasenbasis ab – einer These die in Kapitel 8 über Gravitation vollständig formalisiert wird. Hier nehmen wir sie als strukturell plausibel voraus und markieren die Abhängigkeit.</w:t>
      </w:r>
    </w:p>
    <w:p>
      <w:pPr>
        <w:pStyle w:val="Heading2"/>
      </w:pPr>
      <w:r>
        <w:t xml:space="preserve">6.2 – Das Tensorprodukt als minimale Kopplungsstruktur</w:t>
      </w:r>
    </w:p>
    <w:p>
      <w:pPr>
        <w:spacing w:before="180" w:after="200"/>
        <w:jc w:val="both"/>
      </w:pPr>
      <w:r>
        <w:rPr>
          <w:rFonts w:ascii="Georgia" w:cs="Georgia" w:eastAsia="Georgia" w:hAnsi="Georgia"/>
          <w:sz w:val="24"/>
          <w:szCs w:val="24"/>
        </w:rPr>
        <w:t xml:space="preserve">Wie beschreibt man das kombinierte System zweier gekoppelter Transitionssysteme mathematisch? Drei Kandidaten:</w:t>
      </w:r>
    </w:p>
    <w:p>
      <w:pPr>
        <w:spacing w:before="120" w:after="120"/>
        <w:ind w:left="720"/>
        <w:jc w:val="both"/>
      </w:pPr>
      <w:r>
        <w:rPr>
          <w:rFonts w:ascii="Georgia" w:cs="Georgia" w:eastAsia="Georgia" w:hAnsi="Georgia"/>
          <w:sz w:val="24"/>
          <w:szCs w:val="24"/>
        </w:rPr>
        <w:t xml:space="preserve">Direkte Summe V₁ ⊕ V₂: Zustände der Form (v₁, v₂) – Paare. Keine nicht-separierbaren Zustände möglich. Das entspricht vollständiger Isolation. Ausgeschlossen.</w:t>
      </w:r>
    </w:p>
    <w:p>
      <w:pPr>
        <w:spacing w:before="120" w:after="120"/>
        <w:ind w:left="720"/>
        <w:jc w:val="both"/>
      </w:pPr>
      <w:r>
        <w:rPr>
          <w:rFonts w:ascii="Georgia" w:cs="Georgia" w:eastAsia="Georgia" w:hAnsi="Georgia"/>
          <w:sz w:val="24"/>
          <w:szCs w:val="24"/>
        </w:rPr>
        <w:t xml:space="preserve">Tensorprodukt V₁ ⊗ V₂: Enthält sowohl separierbare Zustände v₁ ⊗ v₂ als auch nicht-separierbare Zustände Σ a_ij · v₁i ⊗ v₂j. Minimale Struktur die Kopplung ermöglicht ohne sie zu erzwingen.</w:t>
      </w:r>
    </w:p>
    <w:p>
      <w:pPr>
        <w:spacing w:before="120" w:after="240"/>
        <w:ind w:left="720"/>
        <w:jc w:val="both"/>
      </w:pPr>
      <w:r>
        <w:rPr>
          <w:rFonts w:ascii="Georgia" w:cs="Georgia" w:eastAsia="Georgia" w:hAnsi="Georgia"/>
          <w:sz w:val="24"/>
          <w:szCs w:val="24"/>
        </w:rPr>
        <w:t xml:space="preserve">Größere Strukturen: Möglich aber nicht minimal.</w:t>
      </w:r>
    </w:p>
    <w:p>
      <w:pPr>
        <w:spacing w:before="0" w:after="200"/>
        <w:jc w:val="both"/>
      </w:pPr>
      <w:r>
        <w:rPr>
          <w:rFonts w:ascii="Georgia" w:cs="Georgia" w:eastAsia="Georgia" w:hAnsi="Georgia"/>
          <w:sz w:val="24"/>
          <w:szCs w:val="24"/>
        </w:rPr>
        <w:t xml:space="preserve">Es folgt zwingend: Das Tensorprodukt ist die minimale mathematische Struktur die nicht-separierbare Zustände enthält – also die minimale Struktur für Kopplung. Da vollständige Isolation ausgeschlossen ist und wir das Minimum suchen, ist V₁ ⊗ V₂ die richtige Beschreibung des kombinierten Systems.</w:t>
      </w:r>
    </w:p>
    <w:p>
      <w:pPr>
        <w:spacing w:before="0" w:after="200"/>
        <w:jc w:val="both"/>
      </w:pPr>
      <w:r>
        <w:rPr>
          <w:rFonts w:ascii="Georgia" w:cs="Georgia" w:eastAsia="Georgia" w:hAnsi="Georgia"/>
          <w:sz w:val="24"/>
          <w:szCs w:val="24"/>
        </w:rPr>
        <w:t xml:space="preserve">Der Grad der Kopplung ist nicht fixiert. Im Tensorraum gibt es ein Kontinuum von separierbaren bis maximal verschränkten Zuständen. Das Maß der Nicht-Separierbarkeit ist die Verschränkungsentropie – ein mathematisch wohldefiniertes, stetiges Maß. Partielle Kopplung ist ein Zustand innerhalb des Tensorraumes, kein dritter Typ.</w:t>
      </w:r>
    </w:p>
    <w:p>
      <w:pPr>
        <w:pStyle w:val="Heading2"/>
      </w:pPr>
      <w:r>
        <w:t xml:space="preserve">6.3 – Verschränkung als strukturelle Notwendigkeit</w:t>
      </w:r>
    </w:p>
    <w:p>
      <w:pPr>
        <w:spacing w:before="180" w:after="200"/>
        <w:jc w:val="both"/>
      </w:pPr>
      <w:r>
        <w:rPr>
          <w:rFonts w:ascii="Georgia" w:cs="Georgia" w:eastAsia="Georgia" w:hAnsi="Georgia"/>
          <w:sz w:val="24"/>
          <w:szCs w:val="24"/>
        </w:rPr>
        <w:t xml:space="preserve">Im Tensorraum V₁ ⊗ V₂ gibt es Zustände, die nicht als Produkt v₁ ⊗ v₂ geschrieben werden können. Das sind verschränkte Zustände. In der Quantenmechanik ist Verschränkung empirisch gut belegt – Bell-Experimente haben gezeigt, dass keine klassische lokalrealistische Theorie Verschränkung erklären kann.</w:t>
      </w:r>
    </w:p>
    <w:p>
      <w:pPr>
        <w:spacing w:before="0" w:after="200"/>
        <w:jc w:val="both"/>
      </w:pPr>
      <w:r>
        <w:rPr>
          <w:rFonts w:ascii="Georgia" w:cs="Georgia" w:eastAsia="Georgia" w:hAnsi="Georgia"/>
          <w:sz w:val="24"/>
          <w:szCs w:val="24"/>
        </w:rPr>
        <w:t xml:space="preserve">Die Struktur legt nahe: Verschränkung ist kein merkwürdiges Quantenphänomen das erklärt werden muss. Es ist die strukturell notwendige Konsequenz des Tensorprodukts zweier komplexer Transitionssysteme, die eine gemeinsame Phasenbasis teilen. Verschränkte Teilchen teilen kein Signal über Distanz – sie teilen dasselbe frühe Sediment. Sie sind Knoten im gleichen ursprünglichen Transitionsmuster.</w:t>
      </w:r>
    </w:p>
    <w:p>
      <w:pPr>
        <w:spacing w:before="0" w:after="200"/>
        <w:jc w:val="both"/>
      </w:pPr>
      <w:r>
        <w:rPr>
          <w:rFonts w:ascii="Georgia" w:cs="Georgia" w:eastAsia="Georgia" w:hAnsi="Georgia"/>
          <w:sz w:val="24"/>
          <w:szCs w:val="24"/>
        </w:rPr>
        <w:t xml:space="preserve">Das ist eine These, kein Beweis. Sie wäre falsifizierbar wenn man zeigen könnte, dass Verschränkung auch zwischen Systemen auftritt, die keine gemeinsame Phasenbasis teilen könnten – also Systeme, die niemals in kausalem Kontakt standen und keine gemeinsame Entstehungsgeschichte haben.</w:t>
      </w:r>
    </w:p>
    <w:p>
      <w:pPr>
        <w:pStyle w:val="Heading2"/>
      </w:pPr>
      <w:r>
        <w:t xml:space="preserve">6.4 – Dimensionale Selektivität</w:t>
      </w:r>
    </w:p>
    <w:p>
      <w:pPr>
        <w:spacing w:before="180" w:after="200"/>
        <w:jc w:val="both"/>
      </w:pPr>
      <w:r>
        <w:rPr>
          <w:rFonts w:ascii="Georgia" w:cs="Georgia" w:eastAsia="Georgia" w:hAnsi="Georgia"/>
          <w:sz w:val="24"/>
          <w:szCs w:val="24"/>
        </w:rPr>
        <w:t xml:space="preserve">Nicht alle Kopplung ist gleich. Die drei Wechselwirkungen der Physik – Elektromagnetismus, schwache Kraft, starke Kraft – koppeln an verschiedene Aspekte der Transitionsstruktur. Das ist dimensionale Selektivität.</w:t>
      </w:r>
    </w:p>
    <w:p>
      <w:pPr>
        <w:spacing w:before="0" w:after="200"/>
        <w:jc w:val="both"/>
      </w:pPr>
      <w:r>
        <w:rPr>
          <w:rFonts w:ascii="Georgia" w:cs="Georgia" w:eastAsia="Georgia" w:hAnsi="Georgia"/>
          <w:sz w:val="24"/>
          <w:szCs w:val="24"/>
        </w:rPr>
        <w:t xml:space="preserve">Es folgt zwingend aus der Darstellungstheorie: Eine Symmetriegruppe G koppelt an ein System S durch eine Darstellung ρ: G → GL(V). Diese Darstellung bestimmt welche Aspekte von V unter G transformieren und welche invariant bleiben. Das ist mathematisch exakt und nicht verhandelbar.</w:t>
      </w:r>
    </w:p>
    <w:p>
      <w:pPr>
        <w:spacing w:before="0" w:after="200"/>
        <w:jc w:val="both"/>
      </w:pPr>
      <w:r>
        <w:rPr>
          <w:rFonts w:ascii="Georgia" w:cs="Georgia" w:eastAsia="Georgia" w:hAnsi="Georgia"/>
          <w:sz w:val="24"/>
          <w:szCs w:val="24"/>
        </w:rPr>
        <w:t xml:space="preserve">Die Struktur legt nahe, wie die drei Gruppen aus Kapitel 4 selektiv koppeln:</w:t>
      </w:r>
    </w:p>
    <w:p>
      <w:pPr>
        <w:spacing w:before="120" w:after="120"/>
        <w:ind w:left="720"/>
        <w:jc w:val="both"/>
      </w:pPr>
      <w:r>
        <w:rPr>
          <w:rFonts w:ascii="Georgia" w:cs="Georgia" w:eastAsia="Georgia" w:hAnsi="Georgia"/>
          <w:sz w:val="24"/>
          <w:szCs w:val="24"/>
        </w:rPr>
        <w:t xml:space="preserve">U(1) koppelt an die globale Phase. Eine U(1)-Darstellung wirkt als e^(iθ) → e^(inθ) · ψ – sie multipliziert den Zustand mit einer globalen Phase. Das ändert nur die Orientierung, nicht die interne Struktur. Physikalisch: Elektromagnetismus koppelt an elektrische Ladung – eine skalare Größe ohne interne Richtung.</w:t>
      </w:r>
    </w:p>
    <w:p>
      <w:pPr>
        <w:spacing w:before="120" w:after="120"/>
        <w:ind w:left="720"/>
        <w:jc w:val="both"/>
      </w:pPr>
      <w:r>
        <w:rPr>
          <w:rFonts w:ascii="Georgia" w:cs="Georgia" w:eastAsia="Georgia" w:hAnsi="Georgia"/>
          <w:sz w:val="24"/>
          <w:szCs w:val="24"/>
        </w:rPr>
        <w:t xml:space="preserve">SU(2) koppelt an interne Differenz zwischen zwei Zuständen. Eine SU(2)-Darstellung mischt zwei Komponenten ineinander: (ψ₁, ψ₂) → (aψ₁ + bψ₂, −b*ψ₁ + a*ψ₂). Das ist genau die interne Differenzstruktur aus Kapitel 4. Physikalisch: Die schwache Kraft transformiert interne Zustände ineinander – Elektron wird Neutrino, Up-Quark wird Down-Quark.</w:t>
      </w:r>
    </w:p>
    <w:p>
      <w:pPr>
        <w:spacing w:before="120" w:after="240"/>
        <w:ind w:left="720"/>
        <w:jc w:val="both"/>
      </w:pPr>
      <w:r>
        <w:rPr>
          <w:rFonts w:ascii="Georgia" w:cs="Georgia" w:eastAsia="Georgia" w:hAnsi="Georgia"/>
          <w:sz w:val="24"/>
          <w:szCs w:val="24"/>
        </w:rPr>
        <w:t xml:space="preserve">SU(3) koppelt an die vollständige dreidimensionale Kohärenzstruktur. Eine SU(3)-Darstellung transformiert drei Komponenten gleichzeitig unter Erhaltung ihrer gegenseitigen Relationen. Physikalisch: Die starke Kraft koppelt an Farbladung – eine dreidimensionale interne Struktur der Quarks.</w:t>
      </w:r>
    </w:p>
    <w:p>
      <w:pPr>
        <w:pStyle w:val="Heading2"/>
      </w:pPr>
      <w:r>
        <w:t xml:space="preserve">6.5 – Die Hierarchie U(1) ⊂ SU(2) ⊂ SU(3)</w:t>
      </w:r>
    </w:p>
    <w:p>
      <w:pPr>
        <w:spacing w:before="180" w:after="200"/>
        <w:jc w:val="both"/>
      </w:pPr>
      <w:r>
        <w:rPr>
          <w:rFonts w:ascii="Georgia" w:cs="Georgia" w:eastAsia="Georgia" w:hAnsi="Georgia"/>
          <w:sz w:val="24"/>
          <w:szCs w:val="24"/>
        </w:rPr>
        <w:t xml:space="preserve">Es folgt zwingend aus der linearen Algebra: Es gibt eine natürliche Einbettung U(1) → SU(2) → SU(3). U(1) ist eine Untergruppe von SU(2). SU(2) ist eine Untergruppe von SU(3). Jede SU(3)-Transformation enthält SU(2)-Transformationen als Spezialfälle, und diese wiederum U(1)-Transformationen.</w:t>
      </w:r>
    </w:p>
    <w:p>
      <w:pPr>
        <w:spacing w:before="0" w:after="200"/>
        <w:jc w:val="both"/>
      </w:pPr>
      <w:r>
        <w:rPr>
          <w:rFonts w:ascii="Georgia" w:cs="Georgia" w:eastAsia="Georgia" w:hAnsi="Georgia"/>
          <w:sz w:val="24"/>
          <w:szCs w:val="24"/>
        </w:rPr>
        <w:t xml:space="preserve">Das folgt aus der Dimensionalität: Eine dreidimensionale Transitionsstruktur hat als Unterstrukturen zweidimensionale Teilräume und eindimensionale Teilräume. Das Standardmodell U(1) × SU(2) × SU(3) ist damit die vollständige minimale Algebra geschlossener stabiler Transitionsstrukturen in drei Dimensionen.</w:t>
      </w:r>
    </w:p>
    <w:p>
      <w:pPr>
        <w:spacing w:before="0" w:after="200"/>
        <w:jc w:val="both"/>
      </w:pPr>
      <w:r>
        <w:rPr>
          <w:rFonts w:ascii="Georgia" w:cs="Georgia" w:eastAsia="Georgia" w:hAnsi="Georgia"/>
          <w:sz w:val="24"/>
          <w:szCs w:val="24"/>
        </w:rPr>
        <w:t xml:space="preserve">Die Struktur legt nahe: Das Standardmodell der Teilchenphysik ist nicht eine empirisch gefundene Symmetriestruktur die zufällig gut beschreibt was wir beobachten. Es ist die notwendige algebraische Konsequenz der prä-physikalischen Transitionsstruktur in drei Dimensionen. Das ist eine starke These. Sie ist falsifizierbar: Wenn eine vierte fundamentale Wechselwirkung entdeckt würde die nicht in U(1) × SU(2) × SU(3) eingebettet ist, wäre die These widerlegt.</w:t>
      </w:r>
    </w:p>
    <w:p>
      <w:pPr>
        <w:pStyle w:val="Heading2"/>
      </w:pPr>
      <w:r>
        <w:t xml:space="preserve">6.6 – Kopplungsstärken und Sedimentdichte</w:t>
      </w:r>
    </w:p>
    <w:p>
      <w:pPr>
        <w:spacing w:before="180" w:after="200"/>
        <w:jc w:val="both"/>
      </w:pPr>
      <w:r>
        <w:rPr>
          <w:rFonts w:ascii="Georgia" w:cs="Georgia" w:eastAsia="Georgia" w:hAnsi="Georgia"/>
          <w:sz w:val="24"/>
          <w:szCs w:val="24"/>
        </w:rPr>
        <w:t xml:space="preserve">Die drei Wechselwirkungen haben verschiedene Kopplungsstärken: Die starke Kraft ist viel stärker als der Elektromagnetismus, der wiederum viel stärker ist als die schwache Kraft. Warum?</w:t>
      </w:r>
    </w:p>
    <w:p>
      <w:pPr>
        <w:spacing w:before="0" w:after="200"/>
        <w:jc w:val="both"/>
      </w:pPr>
      <w:r>
        <w:rPr>
          <w:rFonts w:ascii="Georgia" w:cs="Georgia" w:eastAsia="Georgia" w:hAnsi="Georgia"/>
          <w:sz w:val="24"/>
          <w:szCs w:val="24"/>
        </w:rPr>
        <w:t xml:space="preserve">Die Struktur legt nahe: Kopplungsstärke ist proportional zur Sedimentdichte im jeweiligen Unterraum der Transitionsstruktur. Formell:</w:t>
      </w:r>
    </w:p>
    <w:p>
      <w:pPr>
        <w:spacing w:before="180" w:after="180"/>
        <w:jc w:val="center"/>
      </w:pPr>
      <w:r>
        <w:rPr>
          <w:rFonts w:ascii="Georgia" w:cs="Georgia" w:eastAsia="Georgia" w:hAnsi="Georgia"/>
          <w:b/>
          <w:bCs/>
          <w:color w:val="0f3460"/>
          <w:sz w:val="26"/>
          <w:szCs w:val="26"/>
        </w:rPr>
        <w:t xml:space="preserve">g ∝ r_eff(ρ_Unterraum)</w:t>
      </w:r>
    </w:p>
    <w:p>
      <w:pPr>
        <w:spacing w:before="200" w:after="200"/>
        <w:jc w:val="both"/>
      </w:pPr>
      <w:r>
        <w:rPr>
          <w:rFonts w:ascii="Georgia" w:cs="Georgia" w:eastAsia="Georgia" w:hAnsi="Georgia"/>
          <w:sz w:val="24"/>
          <w:szCs w:val="24"/>
        </w:rPr>
        <w:t xml:space="preserve">SU(3) koppelt an den vollständigen dreidimensionalen Unterraum – die höchste Sedimentdichte. Also größte Kopplungsstärke. SU(2) koppelt an den zweidimensionalen Unterraum – mittlere Sedimentdichte. U(1) koppelt an den eindimensionalen Unterraum – geringste Sedimentdichte. Das ist konsistent mit der beobachteten Hierarchie der Kopplungsstärken.</w:t>
      </w:r>
    </w:p>
    <w:p>
      <w:pPr>
        <w:spacing w:before="0" w:after="200"/>
        <w:jc w:val="both"/>
      </w:pPr>
      <w:r>
        <w:rPr>
          <w:rFonts w:ascii="Georgia" w:cs="Georgia" w:eastAsia="Georgia" w:hAnsi="Georgia"/>
          <w:sz w:val="24"/>
          <w:szCs w:val="24"/>
        </w:rPr>
        <w:t xml:space="preserve">Das ist eine These, kein Beweis. Die spezifischen numerischen Werte der Kopplungskonstanten – die Feinstrukturkonstante α ≈ 1/137, die schwache Kopplungskonstante g ≈ 0.65, die starke Kopplungskonstante g_s ≈ 1.2 – folgen noch nicht aus der Struktur. Sie hängen vom einzigen freien Parameter ρ₀ ab. Der Weg zu diesen Werten ist offen und markiert.</w:t>
      </w:r>
    </w:p>
    <w:p>
      <w:pPr>
        <w:pStyle w:val="Heading2"/>
      </w:pPr>
      <w:r>
        <w:t xml:space="preserve">6.7 – Renormierung als natürliche Konsequenz</w:t>
      </w:r>
    </w:p>
    <w:p>
      <w:pPr>
        <w:spacing w:before="180" w:after="200"/>
        <w:jc w:val="both"/>
      </w:pPr>
      <w:r>
        <w:rPr>
          <w:rFonts w:ascii="Georgia" w:cs="Georgia" w:eastAsia="Georgia" w:hAnsi="Georgia"/>
          <w:sz w:val="24"/>
          <w:szCs w:val="24"/>
        </w:rPr>
        <w:t xml:space="preserve">In der Quantenfeldtheorie sind Kopplungskonstanten nicht wirklich konstant – sie variieren mit der Energieskala. Das nennt sich laufende Kopplung oder Renormierungsgruppe. Das klingt technisch und mysteriös: Warum sollte eine Naturkonstante von der Energieskala abhängen?</w:t>
      </w:r>
    </w:p>
    <w:p>
      <w:pPr>
        <w:spacing w:before="0" w:after="200"/>
        <w:jc w:val="both"/>
      </w:pPr>
      <w:r>
        <w:rPr>
          <w:rFonts w:ascii="Georgia" w:cs="Georgia" w:eastAsia="Georgia" w:hAnsi="Georgia"/>
          <w:sz w:val="24"/>
          <w:szCs w:val="24"/>
        </w:rPr>
        <w:t xml:space="preserve">Die Struktur legt nahe: Bei verschiedenen Energieskalen – also verschiedenen Transitionsdichten – sind verschiedene Sedimentdichten ρ relevant. Also variieren die Kopplungsstärken r_eff(ρ) mit der Transitionsdichte. Die Renormierungsgruppe ist kein mathematischer Trick zur Beseitigung von Unendlichkeiten. Sie ist die natürliche Konsequenz der Skalierung von Kopplungsstärke mit Sedimentdichte.</w:t>
      </w:r>
    </w:p>
    <w:p>
      <w:pPr>
        <w:spacing w:before="0" w:after="200"/>
        <w:jc w:val="both"/>
      </w:pPr>
      <w:r>
        <w:rPr>
          <w:rFonts w:ascii="Georgia" w:cs="Georgia" w:eastAsia="Georgia" w:hAnsi="Georgia"/>
          <w:sz w:val="24"/>
          <w:szCs w:val="24"/>
        </w:rPr>
        <w:t xml:space="preserve">Wir vermuten: Bei sehr hohen Energien – also sehr hohen Transitionsdichten nahe ρ₀ – nähern sich alle drei Kopplungsstärken einander an. Das wäre die Vereinigung der drei Kräfte – Grand Unified Theory. Empirisch gibt es Hinweise darauf. Strukturell folgt es aus der Konvergenz von r_eff(ρ) gegen 1 für alle Unterräume bei ρ → ρ₀.</w:t>
      </w:r>
    </w:p>
    <w:p>
      <w:pPr>
        <w:pStyle w:val="Heading2"/>
      </w:pPr>
      <w:r>
        <w:t xml:space="preserve">6.8 – Wechselwirkung ohne Teleologie</w:t>
      </w:r>
    </w:p>
    <w:p>
      <w:pPr>
        <w:spacing w:before="180" w:after="200"/>
        <w:jc w:val="both"/>
      </w:pPr>
      <w:r>
        <w:rPr>
          <w:rFonts w:ascii="Georgia" w:cs="Georgia" w:eastAsia="Georgia" w:hAnsi="Georgia"/>
          <w:sz w:val="24"/>
          <w:szCs w:val="24"/>
        </w:rPr>
        <w:t xml:space="preserve">Ein wichtiger Punkt verdient explizite Betonung: Der gesamte Wechselwirkungsmechanismus ist frei von Teleologie. Es gibt kein Ziel, keine Kraft die etwas anzieht, keine Absicht.</w:t>
      </w:r>
    </w:p>
    <w:p>
      <w:pPr>
        <w:spacing w:before="0" w:after="200"/>
        <w:jc w:val="both"/>
      </w:pPr>
      <w:r>
        <w:rPr>
          <w:rFonts w:ascii="Georgia" w:cs="Georgia" w:eastAsia="Georgia" w:hAnsi="Georgia"/>
          <w:sz w:val="24"/>
          <w:szCs w:val="24"/>
        </w:rPr>
        <w:t xml:space="preserve">Was es gibt: Systeme die eine gemeinsame Phasenbasis teilen, können sich nicht vollständig isolieren. Das Tensorprodukt beschreibt den gemeinsamen Raum. Transitionen in diesem Raum verändern die Dissonanzlandschaft beider Systeme. Andere Transitionen werden dadurch begünstigt oder gehemmt. Kein Zug von vorne. Nur Geometrie der Phasendistanzen.</w:t>
      </w:r>
    </w:p>
    <w:p>
      <w:pPr>
        <w:spacing w:before="0" w:after="200"/>
        <w:jc w:val="both"/>
      </w:pPr>
      <w:r>
        <w:rPr>
          <w:rFonts w:ascii="Georgia" w:cs="Georgia" w:eastAsia="Georgia" w:hAnsi="Georgia"/>
          <w:sz w:val="24"/>
          <w:szCs w:val="24"/>
        </w:rPr>
        <w:t xml:space="preserve">Das löst ein altes philosophisches Problem: Wie können physikalische Objekte aufeinander wirken ohne dass eine mysteriöse „Fernwirkung“ postuliert wird? Newtons Gravitationsgesetz war immer unbefriedigend – es beschrieb die Wirkung präzise aber erklärte nicht wie sie übertragen wird. In diesem Rahmen gibt es keine Übertragung. Es gibt nur gemeinsame Struktur und ihre Geometrie.</w:t>
      </w:r>
    </w:p>
    <w:p>
      <w:pPr>
        <w:pStyle w:val="Heading2"/>
      </w:pPr>
      <w:r>
        <w:t xml:space="preserve">6.9 – Zusammenfassung und Ausblick</w:t>
      </w:r>
    </w:p>
    <w:p>
      <w:pPr>
        <w:spacing w:before="180" w:after="200"/>
        <w:jc w:val="both"/>
      </w:pPr>
      <w:r>
        <w:rPr>
          <w:rFonts w:ascii="Georgia" w:cs="Georgia" w:eastAsia="Georgia" w:hAnsi="Georgia"/>
          <w:sz w:val="24"/>
          <w:szCs w:val="24"/>
        </w:rPr>
        <w:t xml:space="preserve">Kapitel 6 hat etabliert:</w:t>
      </w:r>
    </w:p>
    <w:p>
      <w:pPr>
        <w:spacing w:before="120" w:after="120"/>
        <w:ind w:left="720"/>
        <w:jc w:val="both"/>
      </w:pPr>
      <w:r>
        <w:rPr>
          <w:rFonts w:ascii="Georgia" w:cs="Georgia" w:eastAsia="Georgia" w:hAnsi="Georgia"/>
          <w:sz w:val="24"/>
          <w:szCs w:val="24"/>
        </w:rPr>
        <w:t xml:space="preserve">Vollständige Isolation ist strukturell ausgeschlossen – folgt zwingend aus gemeinsamer Phasenbasis (mit markierter Abhängigkeit von Kapitel 8).</w:t>
      </w:r>
    </w:p>
    <w:p>
      <w:pPr>
        <w:spacing w:before="120" w:after="120"/>
        <w:ind w:left="720"/>
        <w:jc w:val="both"/>
      </w:pPr>
      <w:r>
        <w:rPr>
          <w:rFonts w:ascii="Georgia" w:cs="Georgia" w:eastAsia="Georgia" w:hAnsi="Georgia"/>
          <w:sz w:val="24"/>
          <w:szCs w:val="24"/>
        </w:rPr>
        <w:t xml:space="preserve">Tensorprodukt als minimale Kopplungsstruktur – folgt zwingend aus Minimalität.</w:t>
      </w:r>
    </w:p>
    <w:p>
      <w:pPr>
        <w:spacing w:before="120" w:after="120"/>
        <w:ind w:left="720"/>
        <w:jc w:val="both"/>
      </w:pPr>
      <w:r>
        <w:rPr>
          <w:rFonts w:ascii="Georgia" w:cs="Georgia" w:eastAsia="Georgia" w:hAnsi="Georgia"/>
          <w:sz w:val="24"/>
          <w:szCs w:val="24"/>
        </w:rPr>
        <w:t xml:space="preserve">Dimensionale Selektivität – folgt zwingend aus Darstellungstheorie.</w:t>
      </w:r>
    </w:p>
    <w:p>
      <w:pPr>
        <w:spacing w:before="120" w:after="120"/>
        <w:ind w:left="720"/>
        <w:jc w:val="both"/>
      </w:pPr>
      <w:r>
        <w:rPr>
          <w:rFonts w:ascii="Georgia" w:cs="Georgia" w:eastAsia="Georgia" w:hAnsi="Georgia"/>
          <w:sz w:val="24"/>
          <w:szCs w:val="24"/>
        </w:rPr>
        <w:t xml:space="preserve">U(1) × SU(2) × SU(3) als vollständige minimale Algebra – die Struktur legt nahe, noch nicht bewiesen.</w:t>
      </w:r>
    </w:p>
    <w:p>
      <w:pPr>
        <w:spacing w:before="120" w:after="120"/>
        <w:ind w:left="720"/>
        <w:jc w:val="both"/>
      </w:pPr>
      <w:r>
        <w:rPr>
          <w:rFonts w:ascii="Georgia" w:cs="Georgia" w:eastAsia="Georgia" w:hAnsi="Georgia"/>
          <w:sz w:val="24"/>
          <w:szCs w:val="24"/>
        </w:rPr>
        <w:t xml:space="preserve">Kopplungsstärken proportional zu Sedimentdichte – These, falsifizierbar.</w:t>
      </w:r>
    </w:p>
    <w:p>
      <w:pPr>
        <w:spacing w:before="120" w:after="240"/>
        <w:ind w:left="720"/>
        <w:jc w:val="both"/>
      </w:pPr>
      <w:r>
        <w:rPr>
          <w:rFonts w:ascii="Georgia" w:cs="Georgia" w:eastAsia="Georgia" w:hAnsi="Georgia"/>
          <w:sz w:val="24"/>
          <w:szCs w:val="24"/>
        </w:rPr>
        <w:t xml:space="preserve">Renormierung als natürliche Konsequenz der Skalierung – die Struktur legt nahe.</w:t>
      </w:r>
    </w:p>
    <w:p>
      <w:pPr>
        <w:pBdr>
          <w:top w:val="single" w:color="cccccc" w:sz="4" w:space="8"/>
        </w:pBdr>
        <w:spacing w:before="240" w:after="0"/>
        <w:jc w:val="both"/>
      </w:pPr>
      <w:r>
        <w:rPr>
          <w:rFonts w:ascii="Georgia" w:cs="Georgia" w:eastAsia="Georgia" w:hAnsi="Georgia"/>
          <w:i/>
          <w:iCs/>
          <w:color w:val="666666"/>
          <w:sz w:val="22"/>
          <w:szCs w:val="22"/>
        </w:rPr>
        <w:t xml:space="preserve">Offene Stellen: (1) Abhängigkeit von Kapitel 8 für die gemeinsame Phasenbasis. (2) Numerische Werte der Kopplungskonstanten – hängen von ρ₀ ab. (3) Formaler Beweis dass U(1) × SU(2) × SU(3) vollständig ist – also keine weitere Symmetriegruppe existiert die strukturell notwendig wäre.</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2026-03-23T07:36:15.173Z</dcterms:created>
  <dcterms:modified xsi:type="dcterms:W3CDTF">2026-03-23T07:36:15.174Z</dcterms:modified>
</cp:coreProperties>
</file>

<file path=docProps/custom.xml><?xml version="1.0" encoding="utf-8"?>
<Properties xmlns="http://schemas.openxmlformats.org/officeDocument/2006/custom-properties" xmlns:vt="http://schemas.openxmlformats.org/officeDocument/2006/docPropsVTypes"/>
</file>