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9" w:name="content"/>
    <w:bookmarkStart w:id="118" w:name="Xf222f8d97f91f8d0673787cbea25b733131adcf"/>
    <w:p>
      <w:pPr>
        <w:pStyle w:val="Heading1"/>
      </w:pPr>
      <w:r>
        <w:t xml:space="preserve">Digital Twin Agriculture for a Small-Scale Greenhouse and Water-Culture Farm</w:t>
      </w:r>
    </w:p>
    <w:bookmarkStart w:id="25" w:name="executive-summary"/>
    <w:p>
      <w:pPr>
        <w:pStyle w:val="Heading2"/>
      </w:pPr>
      <w:r>
        <w:t xml:space="preserve">Executive summary</w:t>
      </w:r>
    </w:p>
    <w:p>
      <w:pPr>
        <w:pStyle w:val="FirstParagraph"/>
      </w:pPr>
      <w:r>
        <w:t xml:space="preserve">A digital twin for a small greenhouse / water-culture farm is feasible as an FYP-scale system</w:t>
      </w:r>
      <w:r>
        <w:t xml:space="preserve"> </w:t>
      </w:r>
      <w:r>
        <w:rPr>
          <w:b/>
          <w:bCs/>
        </w:rPr>
        <w:t xml:space="preserve">if you scope the “twin” as a continuously updated virtual model of (a) farm layout and assets, (b) sensor-derived state variables, and (c) predictive “what-if” simulations and alerts</w:t>
      </w:r>
      <w:r>
        <w:t xml:space="preserve">, rather than attempting full autonomy on day one. Recent reviews show agricultural digital twins are advancing quickly but remain uneven in maturity: monitoring/decision-support is common, while robust closed-loop control is less mature and often domain-specific (e.g., high-tech commercial greenhouses).</w:t>
      </w:r>
      <w:r>
        <w:t xml:space="preserve"> </w:t>
      </w:r>
      <w:hyperlink r:id="rId21">
        <w:r>
          <w:rPr>
            <w:rStyle w:val="Hyperlink"/>
          </w:rPr>
          <w:t xml:space="preserve">[1]</w:t>
        </w:r>
      </w:hyperlink>
    </w:p>
    <w:p>
      <w:pPr>
        <w:pStyle w:val="BodyText"/>
      </w:pPr>
      <w:r>
        <w:t xml:space="preserve">For a small greenhouse, the highest-impact MVP architecture is typically:</w:t>
      </w:r>
      <w:r>
        <w:t xml:space="preserve"> </w:t>
      </w:r>
      <w:r>
        <w:rPr>
          <w:b/>
          <w:bCs/>
        </w:rPr>
        <w:t xml:space="preserve">ESP32-class sensor nodes → MQTT broker → time-series database → dashboards + a lightweight 3D/2D “virtual farm” UI</w:t>
      </w:r>
      <w:r>
        <w:t xml:space="preserve">; then add ML forecasting and anomaly detection as a separate service; finally trial limited closed-loop automation with strong safety constraints. MQTT is specifically designed as a lightweight publish/subscribe protocol for IoT contexts, and is widely implemented with mature tooling.</w:t>
      </w:r>
      <w:r>
        <w:t xml:space="preserve"> </w:t>
      </w:r>
      <w:hyperlink r:id="rId22">
        <w:r>
          <w:rPr>
            <w:rStyle w:val="Hyperlink"/>
          </w:rPr>
          <w:t xml:space="preserve">[2]</w:t>
        </w:r>
      </w:hyperlink>
    </w:p>
    <w:p>
      <w:pPr>
        <w:pStyle w:val="BodyText"/>
      </w:pPr>
      <w:r>
        <w:t xml:space="preserve">On hardware, the strongest cost–reliability tradeoff for small CEA projects usually comes from:</w:t>
      </w:r>
      <w:r>
        <w:t xml:space="preserve"> </w:t>
      </w:r>
      <w:r>
        <w:rPr>
          <w:b/>
          <w:bCs/>
        </w:rPr>
        <w:t xml:space="preserve">(1) robust air T/RH + CO₂ sensing; (2) root-zone/substrate moisture OR hydroponic solution quality (EC/pH) sensing; (3) water temperature and level/flow sensing</w:t>
      </w:r>
      <w:r>
        <w:t xml:space="preserve">. Example “good enough” yet credible sensor stack: Sensirion-class T/RH, photoacoustic CO₂ (SCD4x), and either METER TEROS sensors (substrate) or calibrated EC/pH probes (hydroponics), with careful enclosure and maintenance planning.</w:t>
      </w:r>
      <w:r>
        <w:t xml:space="preserve"> </w:t>
      </w:r>
      <w:hyperlink r:id="rId23">
        <w:r>
          <w:rPr>
            <w:rStyle w:val="Hyperlink"/>
          </w:rPr>
          <w:t xml:space="preserve">[3]</w:t>
        </w:r>
      </w:hyperlink>
    </w:p>
    <w:p>
      <w:pPr>
        <w:pStyle w:val="BodyText"/>
      </w:pPr>
      <w:r>
        <w:t xml:space="preserve">For AI, tree-boosting (XGBoost/LightGBM) and sequence models (LSTM/temporal CNN) dominate practical greenhouse forecasting and control research, while reinforcement learning shows promise for irrigation decisions but often faces simulation-to-reality and data scarcity gaps.</w:t>
      </w:r>
      <w:r>
        <w:t xml:space="preserve"> </w:t>
      </w:r>
      <w:hyperlink r:id="rId24">
        <w:r>
          <w:rPr>
            <w:rStyle w:val="Hyperlink"/>
          </w:rPr>
          <w:t xml:space="preserve">[4]</w:t>
        </w:r>
      </w:hyperlink>
    </w:p>
    <w:bookmarkEnd w:id="25"/>
    <w:bookmarkStart w:id="37" w:name="Xa016aaaecbf88444ceb5b3b0dd37c39f5b0f832"/>
    <w:p>
      <w:pPr>
        <w:pStyle w:val="Heading2"/>
      </w:pPr>
      <w:r>
        <w:t xml:space="preserve">Recent state of the art and maturity in digital twin agriculture</w:t>
      </w:r>
    </w:p>
    <w:bookmarkStart w:id="27" w:name="what-digital-twin-means-in-agriculture"/>
    <w:p>
      <w:pPr>
        <w:pStyle w:val="Heading3"/>
      </w:pPr>
      <w:r>
        <w:t xml:space="preserve">What “digital twin” means in agriculture</w:t>
      </w:r>
    </w:p>
    <w:p>
      <w:pPr>
        <w:pStyle w:val="FirstParagraph"/>
      </w:pPr>
      <w:r>
        <w:t xml:space="preserve">Across agriculture-focused surveys, a digital twin is consistently described as a</w:t>
      </w:r>
      <w:r>
        <w:t xml:space="preserve"> </w:t>
      </w:r>
      <w:r>
        <w:rPr>
          <w:b/>
          <w:bCs/>
        </w:rPr>
        <w:t xml:space="preserve">digital counterpart of a physical farm entity (crop, greenhouse, equipment, process) that is continuously synchronized with data</w:t>
      </w:r>
      <w:r>
        <w:t xml:space="preserve">, enabling monitoring, diagnostics, prediction, and sometimes prescriptive optimization and control.</w:t>
      </w:r>
      <w:r>
        <w:t xml:space="preserve"> </w:t>
      </w:r>
      <w:hyperlink r:id="rId26">
        <w:r>
          <w:rPr>
            <w:rStyle w:val="Hyperlink"/>
          </w:rPr>
          <w:t xml:space="preserve">[5]</w:t>
        </w:r>
      </w:hyperlink>
    </w:p>
    <w:p>
      <w:pPr>
        <w:pStyle w:val="BodyText"/>
      </w:pPr>
      <w:r>
        <w:t xml:space="preserve">A recurring theme in agriculture reviews is that</w:t>
      </w:r>
      <w:r>
        <w:t xml:space="preserve"> </w:t>
      </w:r>
      <w:r>
        <w:rPr>
          <w:b/>
          <w:bCs/>
        </w:rPr>
        <w:t xml:space="preserve">data integration, interoperability, and model lifecycle governance</w:t>
      </w:r>
      <w:r>
        <w:t xml:space="preserve"> </w:t>
      </w:r>
      <w:r>
        <w:t xml:space="preserve">are at least as important as the “simulation model,” especially because farms involve heterogeneous devices, biological variability, and changing operating conditions.</w:t>
      </w:r>
      <w:r>
        <w:t xml:space="preserve"> </w:t>
      </w:r>
      <w:hyperlink r:id="rId21">
        <w:r>
          <w:rPr>
            <w:rStyle w:val="Hyperlink"/>
          </w:rPr>
          <w:t xml:space="preserve">[6]</w:t>
        </w:r>
      </w:hyperlink>
    </w:p>
    <w:bookmarkEnd w:id="27"/>
    <w:bookmarkStart w:id="31" w:name="X52871cc75a9da7e680a9083c6c6d67c8913393f"/>
    <w:p>
      <w:pPr>
        <w:pStyle w:val="Heading3"/>
      </w:pPr>
      <w:r>
        <w:t xml:space="preserve">Greenhouse- and CEA-relevant research directions from the last five years</w:t>
      </w:r>
    </w:p>
    <w:p>
      <w:pPr>
        <w:pStyle w:val="FirstParagraph"/>
      </w:pPr>
      <w:r>
        <w:t xml:space="preserve">The last ~5 years (roughly 2021–2026) show four high-signal research thrusts for greenhouse / controlled-environment agriculture (CEA):</w:t>
      </w:r>
    </w:p>
    <w:p>
      <w:pPr>
        <w:pStyle w:val="BodyText"/>
      </w:pPr>
      <w:r>
        <w:t xml:space="preserve">1)</w:t>
      </w:r>
      <w:r>
        <w:t xml:space="preserve"> </w:t>
      </w:r>
      <w:r>
        <w:rPr>
          <w:b/>
          <w:bCs/>
        </w:rPr>
        <w:t xml:space="preserve">Greenhouse “system-of-systems” digital twins for operations + energy</w:t>
      </w:r>
      <w:r>
        <w:br/>
      </w:r>
      <w:r>
        <w:t xml:space="preserve">A notable example is the Danish “Greenhouse Industry 4.0” work, which frames an ecosystem of connected digital twins to co-optimize production planning, energy consumption, and other operational constraints using IoT + analytics.</w:t>
      </w:r>
      <w:r>
        <w:t xml:space="preserve"> </w:t>
      </w:r>
      <w:hyperlink r:id="rId28">
        <w:r>
          <w:rPr>
            <w:rStyle w:val="Hyperlink"/>
          </w:rPr>
          <w:t xml:space="preserve">[7]</w:t>
        </w:r>
      </w:hyperlink>
    </w:p>
    <w:p>
      <w:pPr>
        <w:pStyle w:val="BodyText"/>
      </w:pPr>
      <w:r>
        <w:t xml:space="preserve">2)</w:t>
      </w:r>
      <w:r>
        <w:t xml:space="preserve"> </w:t>
      </w:r>
      <w:r>
        <w:rPr>
          <w:b/>
          <w:bCs/>
        </w:rPr>
        <w:t xml:space="preserve">Digital twins for greenhouse horticulture maturity assessment and frameworks</w:t>
      </w:r>
      <w:r>
        <w:br/>
      </w:r>
      <w:r>
        <w:t xml:space="preserve">A systematic review focused on greenhouse horticulture highlights that many greenhouse DTs are still “seminal” or early-stage, with uneven maturity in calibration, validation, and runtime integration—yet clear momentum in linking sensor streams to models for decision support.</w:t>
      </w:r>
    </w:p>
    <w:p>
      <w:pPr>
        <w:pStyle w:val="BodyText"/>
      </w:pPr>
      <w:r>
        <w:t xml:space="preserve">3)</w:t>
      </w:r>
      <w:r>
        <w:t xml:space="preserve"> </w:t>
      </w:r>
      <w:r>
        <w:rPr>
          <w:b/>
          <w:bCs/>
        </w:rPr>
        <w:t xml:space="preserve">CEA digital twins for climate / optimization and “autonomous greenhouse” challenges</w:t>
      </w:r>
      <w:r>
        <w:br/>
      </w:r>
      <w:r>
        <w:t xml:space="preserve">Work in autonomous greenhouse control (including competitions) demonstrates that AI can control lighting, heating, CO₂ dosing, irrigation, and fertilization in controlled testbeds, which informs what a small DT can aspire to—but also sets expectations that closed-loop autonomy requires strong instrumentation and careful validation.</w:t>
      </w:r>
      <w:r>
        <w:t xml:space="preserve"> </w:t>
      </w:r>
      <w:hyperlink r:id="rId29">
        <w:r>
          <w:rPr>
            <w:rStyle w:val="Hyperlink"/>
          </w:rPr>
          <w:t xml:space="preserve">[8]</w:t>
        </w:r>
      </w:hyperlink>
    </w:p>
    <w:p>
      <w:pPr>
        <w:pStyle w:val="BodyText"/>
      </w:pPr>
      <w:r>
        <w:t xml:space="preserve">4)</w:t>
      </w:r>
      <w:r>
        <w:t xml:space="preserve"> </w:t>
      </w:r>
      <w:r>
        <w:rPr>
          <w:b/>
          <w:bCs/>
        </w:rPr>
        <w:t xml:space="preserve">Hydroponics: sensor reliability, nutrient dosing, and fault detection</w:t>
      </w:r>
      <w:r>
        <w:br/>
      </w:r>
      <w:r>
        <w:t xml:space="preserve">Hydroponic automation is increasingly framed around (a) nutrient dosing frameworks (pH/EC-centric and/or ion-specific), and (b) making sensing reliable enough for closed-loop operation. In hydroponics-specific fault detection, recent work reports high classification accuracy for EC/pH sensor fault detection/diagnosis with classical ML models, emphasizing that sensor failures are a first-class risk in closed-loop systems.</w:t>
      </w:r>
      <w:r>
        <w:t xml:space="preserve"> </w:t>
      </w:r>
      <w:hyperlink r:id="rId30">
        <w:r>
          <w:rPr>
            <w:rStyle w:val="Hyperlink"/>
          </w:rPr>
          <w:t xml:space="preserve">[9]</w:t>
        </w:r>
      </w:hyperlink>
    </w:p>
    <w:bookmarkEnd w:id="31"/>
    <w:bookmarkStart w:id="36" w:name="X7bed9e6db607ce6108caf93e9d392f0f4d06346"/>
    <w:p>
      <w:pPr>
        <w:pStyle w:val="Heading3"/>
      </w:pPr>
      <w:r>
        <w:t xml:space="preserve">Practical maturity levels for an FYP-scale greenhouse digital twin</w:t>
      </w:r>
    </w:p>
    <w:p>
      <w:pPr>
        <w:pStyle w:val="FirstParagraph"/>
      </w:pPr>
      <w:r>
        <w:t xml:space="preserve">Below is a pragmatic maturity ladder aligned to what recent reviews imply is realistically achievable with small teams; TRL definitions are commonly used to discuss maturity, with TRL 1–9 widely referenced by NASA and other ecosystems.</w:t>
      </w:r>
      <w:r>
        <w:t xml:space="preserve"> </w:t>
      </w:r>
      <w:hyperlink r:id="rId32">
        <w:r>
          <w:rPr>
            <w:rStyle w:val="Hyperlink"/>
          </w:rPr>
          <w:t xml:space="preserve">[10]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Digital twin capability level</w:t>
            </w:r>
          </w:p>
        </w:tc>
        <w:tc>
          <w:tcPr/>
          <w:p>
            <w:pPr>
              <w:pStyle w:val="Compact"/>
            </w:pPr>
            <w:r>
              <w:t xml:space="preserve">What it means in a small greenhouse</w:t>
            </w:r>
          </w:p>
        </w:tc>
        <w:tc>
          <w:tcPr/>
          <w:p>
            <w:pPr>
              <w:pStyle w:val="Compact"/>
            </w:pPr>
            <w:r>
              <w:t xml:space="preserve">Typical deliverables</w:t>
            </w:r>
          </w:p>
        </w:tc>
        <w:tc>
          <w:tcPr/>
          <w:p>
            <w:pPr>
              <w:pStyle w:val="Compact"/>
            </w:pPr>
            <w:r>
              <w:t xml:space="preserve">Practical maturity signal</w:t>
            </w:r>
          </w:p>
        </w:tc>
      </w:tr>
      <w:tr>
        <w:tc>
          <w:tcPr/>
          <w:p>
            <w:pPr>
              <w:pStyle w:val="Compact"/>
            </w:pPr>
            <w:r>
              <w:t xml:space="preserve">Mirror</w:t>
            </w:r>
          </w:p>
        </w:tc>
        <w:tc>
          <w:tcPr/>
          <w:p>
            <w:pPr>
              <w:pStyle w:val="Compact"/>
            </w:pPr>
            <w:r>
              <w:t xml:space="preserve">Real-time visualization + history</w:t>
            </w:r>
          </w:p>
        </w:tc>
        <w:tc>
          <w:tcPr/>
          <w:p>
            <w:pPr>
              <w:pStyle w:val="Compact"/>
            </w:pPr>
            <w:r>
              <w:t xml:space="preserve">dashboards, alerts, virtual farm UI</w:t>
            </w:r>
          </w:p>
        </w:tc>
        <w:tc>
          <w:tcPr/>
          <w:p>
            <w:pPr>
              <w:pStyle w:val="Compact"/>
            </w:pPr>
            <w:r>
              <w:t xml:space="preserve">common and well-supported in IoT stacks</w:t>
            </w:r>
            <w:r>
              <w:t xml:space="preserve"> </w:t>
            </w:r>
            <w:hyperlink r:id="rId21">
              <w:r>
                <w:rPr>
                  <w:rStyle w:val="Hyperlink"/>
                </w:rPr>
                <w:t xml:space="preserve">[11]</w:t>
              </w:r>
            </w:hyperlink>
          </w:p>
        </w:tc>
      </w:tr>
      <w:tr>
        <w:tc>
          <w:tcPr/>
          <w:p>
            <w:pPr>
              <w:pStyle w:val="Compact"/>
            </w:pPr>
            <w:r>
              <w:t xml:space="preserve">Predict</w:t>
            </w:r>
          </w:p>
        </w:tc>
        <w:tc>
          <w:tcPr/>
          <w:p>
            <w:pPr>
              <w:pStyle w:val="Compact"/>
            </w:pPr>
            <w:r>
              <w:t xml:space="preserve">Short-horizon forecasts + scenario testing</w:t>
            </w:r>
          </w:p>
        </w:tc>
        <w:tc>
          <w:tcPr/>
          <w:p>
            <w:pPr>
              <w:pStyle w:val="Compact"/>
            </w:pPr>
            <w:r>
              <w:t xml:space="preserve">“what if fan=on?” simulations, forecast bands</w:t>
            </w:r>
          </w:p>
        </w:tc>
        <w:tc>
          <w:tcPr/>
          <w:p>
            <w:pPr>
              <w:pStyle w:val="Compact"/>
            </w:pPr>
            <w:r>
              <w:t xml:space="preserve">increasingly common in greenhouse literature</w:t>
            </w:r>
            <w:r>
              <w:t xml:space="preserve"> </w:t>
            </w:r>
            <w:hyperlink r:id="rId33">
              <w:r>
                <w:rPr>
                  <w:rStyle w:val="Hyperlink"/>
                </w:rPr>
                <w:t xml:space="preserve">[12]</w:t>
              </w:r>
            </w:hyperlink>
          </w:p>
        </w:tc>
      </w:tr>
      <w:tr>
        <w:tc>
          <w:tcPr/>
          <w:p>
            <w:pPr>
              <w:pStyle w:val="Compact"/>
            </w:pPr>
            <w:r>
              <w:t xml:space="preserve">Prescribe</w:t>
            </w:r>
          </w:p>
        </w:tc>
        <w:tc>
          <w:tcPr/>
          <w:p>
            <w:pPr>
              <w:pStyle w:val="Compact"/>
            </w:pPr>
            <w:r>
              <w:t xml:space="preserve">Optimization recommendations</w:t>
            </w:r>
          </w:p>
        </w:tc>
        <w:tc>
          <w:tcPr/>
          <w:p>
            <w:pPr>
              <w:pStyle w:val="Compact"/>
            </w:pPr>
            <w:r>
              <w:t xml:space="preserve">suggested irrigation windows, climate setpoints</w:t>
            </w:r>
          </w:p>
        </w:tc>
        <w:tc>
          <w:tcPr/>
          <w:p>
            <w:pPr>
              <w:pStyle w:val="Compact"/>
            </w:pPr>
            <w:r>
              <w:t xml:space="preserve">appears in research; tuning is non-trivial</w:t>
            </w:r>
            <w:r>
              <w:t xml:space="preserve"> </w:t>
            </w:r>
            <w:hyperlink r:id="rId34">
              <w:r>
                <w:rPr>
                  <w:rStyle w:val="Hyperlink"/>
                </w:rPr>
                <w:t xml:space="preserve">[13]</w:t>
              </w:r>
            </w:hyperlink>
          </w:p>
        </w:tc>
      </w:tr>
      <w:tr>
        <w:tc>
          <w:tcPr/>
          <w:p>
            <w:pPr>
              <w:pStyle w:val="Compact"/>
            </w:pPr>
            <w:r>
              <w:t xml:space="preserve">Control</w:t>
            </w:r>
          </w:p>
        </w:tc>
        <w:tc>
          <w:tcPr/>
          <w:p>
            <w:pPr>
              <w:pStyle w:val="Compact"/>
            </w:pPr>
            <w:r>
              <w:t xml:space="preserve">Closed-loop actuation with safety</w:t>
            </w:r>
          </w:p>
        </w:tc>
        <w:tc>
          <w:tcPr/>
          <w:p>
            <w:pPr>
              <w:pStyle w:val="Compact"/>
            </w:pPr>
            <w:r>
              <w:t xml:space="preserve">bounded control of pump/fan/valves</w:t>
            </w:r>
          </w:p>
        </w:tc>
        <w:tc>
          <w:tcPr/>
          <w:p>
            <w:pPr>
              <w:pStyle w:val="Compact"/>
            </w:pPr>
            <w:r>
              <w:t xml:space="preserve">less mature; needs strong fallback &amp; validation</w:t>
            </w:r>
            <w:r>
              <w:t xml:space="preserve"> </w:t>
            </w:r>
            <w:hyperlink r:id="rId35">
              <w:r>
                <w:rPr>
                  <w:rStyle w:val="Hyperlink"/>
                </w:rPr>
                <w:t xml:space="preserve">[14]</w:t>
              </w:r>
            </w:hyperlink>
          </w:p>
        </w:tc>
      </w:tr>
    </w:tbl>
    <w:bookmarkEnd w:id="36"/>
    <w:bookmarkEnd w:id="37"/>
    <w:bookmarkStart w:id="63" w:name="X1174ec5cd5fce61349dd61cbddd85917bb9f459"/>
    <w:p>
      <w:pPr>
        <w:pStyle w:val="Heading2"/>
      </w:pPr>
      <w:r>
        <w:t xml:space="preserve">IoT hardware recommendations for a small greenhouse and water-culture setup</w:t>
      </w:r>
    </w:p>
    <w:bookmarkStart w:id="39" w:name="Xcae2c8ac0bd357175960e7ce1ca30976e701812"/>
    <w:p>
      <w:pPr>
        <w:pStyle w:val="Heading3"/>
      </w:pPr>
      <w:r>
        <w:t xml:space="preserve">Design assumptions and options to clarify</w:t>
      </w:r>
    </w:p>
    <w:p>
      <w:pPr>
        <w:pStyle w:val="FirstParagraph"/>
      </w:pPr>
      <w:r>
        <w:t xml:space="preserve">You did not specify greenhouse size, crop type, or whether the “water-culture” is NFT / DWC / drip-to-waste coco, etc. Those choices materially change sensors. The recommendations below therefore provide</w:t>
      </w:r>
      <w:r>
        <w:t xml:space="preserve"> </w:t>
      </w:r>
      <w:r>
        <w:rPr>
          <w:b/>
          <w:bCs/>
        </w:rPr>
        <w:t xml:space="preserve">two sensor tracks</w:t>
      </w:r>
      <w:r>
        <w:t xml:space="preserve">:</w:t>
      </w:r>
    </w:p>
    <w:p>
      <w:pPr>
        <w:pStyle w:val="Compact"/>
        <w:numPr>
          <w:ilvl w:val="0"/>
          <w:numId w:val="1001"/>
        </w:numPr>
      </w:pPr>
      <w:r>
        <w:rPr>
          <w:b/>
          <w:bCs/>
        </w:rPr>
        <w:t xml:space="preserve">Greenhouse + substrate</w:t>
      </w:r>
      <w:r>
        <w:t xml:space="preserve"> </w:t>
      </w:r>
      <w:r>
        <w:t xml:space="preserve">(pots/coco/rockwool): prioritize VWC + temperature and (optionally) substrate EC.</w:t>
      </w:r>
      <w:r>
        <w:t xml:space="preserve"> </w:t>
      </w:r>
      <w:hyperlink r:id="rId38">
        <w:r>
          <w:rPr>
            <w:rStyle w:val="Hyperlink"/>
          </w:rPr>
          <w:t xml:space="preserve">[15]</w:t>
        </w:r>
      </w:hyperlink>
    </w:p>
    <w:p>
      <w:pPr>
        <w:pStyle w:val="Compact"/>
        <w:numPr>
          <w:ilvl w:val="0"/>
          <w:numId w:val="1001"/>
        </w:numPr>
      </w:pPr>
      <w:r>
        <w:rPr>
          <w:b/>
          <w:bCs/>
        </w:rPr>
        <w:t xml:space="preserve">Greenhouse + hydroponics</w:t>
      </w:r>
      <w:r>
        <w:t xml:space="preserve"> </w:t>
      </w:r>
      <w:r>
        <w:t xml:space="preserve">(NFT/DWC): prioritize solution</w:t>
      </w:r>
      <w:r>
        <w:t xml:space="preserve"> </w:t>
      </w:r>
      <w:r>
        <w:rPr>
          <w:b/>
          <w:bCs/>
        </w:rPr>
        <w:t xml:space="preserve">EC + pH + water temperature + flow/level</w:t>
      </w:r>
      <w:r>
        <w:t xml:space="preserve">, plus air climate. Hydroponic closed-loop reliability is highly sensitive to sensor faults and calibration.</w:t>
      </w:r>
      <w:r>
        <w:t xml:space="preserve"> </w:t>
      </w:r>
      <w:hyperlink r:id="rId30">
        <w:r>
          <w:rPr>
            <w:rStyle w:val="Hyperlink"/>
          </w:rPr>
          <w:t xml:space="preserve">[16]</w:t>
        </w:r>
      </w:hyperlink>
    </w:p>
    <w:bookmarkEnd w:id="39"/>
    <w:bookmarkStart w:id="49" w:name="X156aef11ccec3bc14090328dd455a6537793d19"/>
    <w:p>
      <w:pPr>
        <w:pStyle w:val="Heading3"/>
      </w:pPr>
      <w:r>
        <w:t xml:space="preserve">Sensors: recommended “tiers” with cost/robustness tradeoffs</w:t>
      </w:r>
    </w:p>
    <w:bookmarkStart w:id="42" w:name="air-climate-almost-always-required"/>
    <w:p>
      <w:pPr>
        <w:pStyle w:val="Heading4"/>
      </w:pPr>
      <w:r>
        <w:t xml:space="preserve">Air climate (almost always required)</w:t>
      </w:r>
    </w:p>
    <w:p>
      <w:pPr>
        <w:numPr>
          <w:ilvl w:val="0"/>
          <w:numId w:val="1002"/>
        </w:numPr>
      </w:pPr>
      <w:r>
        <w:rPr>
          <w:b/>
          <w:bCs/>
        </w:rPr>
        <w:t xml:space="preserve">Temperature / relative humidity (T/RH)</w:t>
      </w:r>
      <w:r>
        <w:br/>
      </w:r>
      <w:r>
        <w:t xml:space="preserve">Sensirion SHT3x-class devices list typical RH accuracy around ±2%RH and temperature accuracy around ±0.2 °C (model dependent), which is typically adequate for greenhouse VPD control logic in small systems.</w:t>
      </w:r>
      <w:r>
        <w:t xml:space="preserve"> </w:t>
      </w:r>
      <w:hyperlink r:id="rId23">
        <w:r>
          <w:rPr>
            <w:rStyle w:val="Hyperlink"/>
          </w:rPr>
          <w:t xml:space="preserve">[17]</w:t>
        </w:r>
      </w:hyperlink>
      <w:r>
        <w:br/>
      </w:r>
      <w:r>
        <w:t xml:space="preserve">Bosch BME280-class modules often list humidity tolerance around ±3%RH and are popular for low-cost builds.</w:t>
      </w:r>
      <w:r>
        <w:t xml:space="preserve"> </w:t>
      </w:r>
      <w:hyperlink r:id="rId40">
        <w:r>
          <w:rPr>
            <w:rStyle w:val="Hyperlink"/>
          </w:rPr>
          <w:t xml:space="preserve">[18]</w:t>
        </w:r>
      </w:hyperlink>
    </w:p>
    <w:p>
      <w:pPr>
        <w:numPr>
          <w:ilvl w:val="0"/>
          <w:numId w:val="1002"/>
        </w:numPr>
      </w:pPr>
      <w:r>
        <w:rPr>
          <w:b/>
          <w:bCs/>
        </w:rPr>
        <w:t xml:space="preserve">CO₂ (strongly recommended if you care about yield optimization or ventilation control)</w:t>
      </w:r>
      <w:r>
        <w:br/>
      </w:r>
      <w:r>
        <w:t xml:space="preserve">Sensirion SCD40/41 datasheets specify CO₂ accuracy in the 400–5000 ppm range on the order of ±(40 ppm + 5% of reading) for SCD41.</w:t>
      </w:r>
      <w:r>
        <w:t xml:space="preserve"> </w:t>
      </w:r>
      <w:hyperlink r:id="rId41">
        <w:r>
          <w:rPr>
            <w:rStyle w:val="Hyperlink"/>
          </w:rPr>
          <w:t xml:space="preserve">[19]</w:t>
        </w:r>
      </w:hyperlink>
    </w:p>
    <w:bookmarkEnd w:id="42"/>
    <w:bookmarkStart w:id="46" w:name="X468c7e3ea8f03f909678f1bbad58280d08e144c"/>
    <w:p>
      <w:pPr>
        <w:pStyle w:val="Heading4"/>
      </w:pPr>
      <w:r>
        <w:t xml:space="preserve">Root-zone / solution (choose based on substrate vs hydroponics)</w:t>
      </w:r>
    </w:p>
    <w:p>
      <w:pPr>
        <w:numPr>
          <w:ilvl w:val="0"/>
          <w:numId w:val="1003"/>
        </w:numPr>
      </w:pPr>
      <w:r>
        <w:rPr>
          <w:b/>
          <w:bCs/>
        </w:rPr>
        <w:t xml:space="preserve">Substrate moisture (VWC)</w:t>
      </w:r>
      <w:r>
        <w:br/>
      </w:r>
      <w:r>
        <w:t xml:space="preserve">For higher reliability, sensors like TEROS 10 specify typical VWC accuracy around ±0.03 m³/m³ in mineral soils under stated conditions (and also provide substrate calibration ranges).</w:t>
      </w:r>
      <w:r>
        <w:t xml:space="preserve"> </w:t>
      </w:r>
      <w:hyperlink r:id="rId43">
        <w:r>
          <w:rPr>
            <w:rStyle w:val="Hyperlink"/>
          </w:rPr>
          <w:t xml:space="preserve">[20]</w:t>
        </w:r>
      </w:hyperlink>
      <w:r>
        <w:br/>
      </w:r>
      <w:r>
        <w:t xml:space="preserve">TEROS 12 adds temperature + EC and positions itself as a price-to-performance sensor with a listed base price and a “verified accuracy” messaging; published comparison materials list medium-specific calibration accuracy bands for the TEROS line.</w:t>
      </w:r>
      <w:r>
        <w:t xml:space="preserve"> </w:t>
      </w:r>
      <w:hyperlink r:id="rId44">
        <w:r>
          <w:rPr>
            <w:rStyle w:val="Hyperlink"/>
          </w:rPr>
          <w:t xml:space="preserve">[21]</w:t>
        </w:r>
      </w:hyperlink>
    </w:p>
    <w:p>
      <w:pPr>
        <w:numPr>
          <w:ilvl w:val="0"/>
          <w:numId w:val="1003"/>
        </w:numPr>
      </w:pPr>
      <w:r>
        <w:rPr>
          <w:b/>
          <w:bCs/>
        </w:rPr>
        <w:t xml:space="preserve">Hydroponic EC/pH</w:t>
      </w:r>
      <w:r>
        <w:br/>
      </w:r>
      <w:r>
        <w:t xml:space="preserve">In hydroponic systems, EC and pH are the primary online variables in many dosing frameworks, but sensor faults (bias/drift/spikes/stuck) can break closed-loop dosing. A recent hydroponic sensor-fault study reports high fault detection and diagnosis accuracies across several ML models (e.g., RF and SVM, depending on fault type), supporting the idea that “sensor health” should be modeled and monitored.</w:t>
      </w:r>
      <w:r>
        <w:t xml:space="preserve"> </w:t>
      </w:r>
      <w:hyperlink r:id="rId45">
        <w:r>
          <w:rPr>
            <w:rStyle w:val="Hyperlink"/>
          </w:rPr>
          <w:t xml:space="preserve">[22]</w:t>
        </w:r>
      </w:hyperlink>
    </w:p>
    <w:bookmarkEnd w:id="46"/>
    <w:bookmarkStart w:id="48" w:name="X1db50aee3f975b63424db090764c9a3572771f7"/>
    <w:p>
      <w:pPr>
        <w:pStyle w:val="Heading4"/>
      </w:pPr>
      <w:r>
        <w:t xml:space="preserve">Water temperature, level, and flow (for hydroponics reliability and safety)</w:t>
      </w:r>
    </w:p>
    <w:p>
      <w:pPr>
        <w:pStyle w:val="FirstParagraph"/>
      </w:pPr>
      <w:r>
        <w:t xml:space="preserve">Even “simple” hydroponic systems often fail operationally due to pump issues, clogged lines, or low reservoir volume. Pump anomaly detection using vibration signals is an active topic (including low-cost approaches), suggesting it’s realistic to add a cheap accelerometer/microphone node to detect pump degradation for demos.</w:t>
      </w:r>
      <w:r>
        <w:t xml:space="preserve"> </w:t>
      </w:r>
      <w:hyperlink r:id="rId47">
        <w:r>
          <w:rPr>
            <w:rStyle w:val="Hyperlink"/>
          </w:rPr>
          <w:t xml:space="preserve">[23]</w:t>
        </w:r>
      </w:hyperlink>
    </w:p>
    <w:bookmarkEnd w:id="48"/>
    <w:bookmarkEnd w:id="49"/>
    <w:bookmarkStart w:id="54" w:name="Xba7fc065328d6884b04b701d70abb9fbdab748e"/>
    <w:p>
      <w:pPr>
        <w:pStyle w:val="Heading3"/>
      </w:pPr>
      <w:r>
        <w:t xml:space="preserve">Microcontrollers, connectivity modules, power, and enclosures</w:t>
      </w:r>
    </w:p>
    <w:bookmarkStart w:id="51" w:name="microcontroller-baseline"/>
    <w:p>
      <w:pPr>
        <w:pStyle w:val="Heading4"/>
      </w:pPr>
      <w:r>
        <w:t xml:space="preserve">Microcontroller baseline</w:t>
      </w:r>
    </w:p>
    <w:p>
      <w:pPr>
        <w:pStyle w:val="FirstParagraph"/>
      </w:pPr>
      <w:r>
        <w:t xml:space="preserve">A common small-farm pattern is</w:t>
      </w:r>
      <w:r>
        <w:t xml:space="preserve"> </w:t>
      </w:r>
      <w:r>
        <w:rPr>
          <w:b/>
          <w:bCs/>
        </w:rPr>
        <w:t xml:space="preserve">ESP32 for sensor nodes</w:t>
      </w:r>
      <w:r>
        <w:t xml:space="preserve"> </w:t>
      </w:r>
      <w:r>
        <w:t xml:space="preserve">(Wi‑Fi + enough compute for filtering, buffering, and TLS). A representative ESP32 DevKitC board is widely stocked; localized distributor pricing (example listing) shows it in the typical low-cost dev-board range.</w:t>
      </w:r>
      <w:r>
        <w:t xml:space="preserve"> </w:t>
      </w:r>
      <w:hyperlink r:id="rId50">
        <w:r>
          <w:rPr>
            <w:rStyle w:val="Hyperlink"/>
          </w:rPr>
          <w:t xml:space="preserve">[24]</w:t>
        </w:r>
      </w:hyperlink>
    </w:p>
    <w:bookmarkEnd w:id="51"/>
    <w:bookmarkStart w:id="53" w:name="enclosures-and-physical-integration"/>
    <w:p>
      <w:pPr>
        <w:pStyle w:val="Heading4"/>
      </w:pPr>
      <w:r>
        <w:t xml:space="preserve">Enclosures and physical integration</w:t>
      </w:r>
    </w:p>
    <w:p>
      <w:pPr>
        <w:pStyle w:val="FirstParagraph"/>
      </w:pPr>
      <w:r>
        <w:t xml:space="preserve">Greenhouse deployments are harsh: high humidity, condensation, fertilizer aerosols, and frequent wash-down. For your MVP, the most critical practical details are:</w:t>
      </w:r>
    </w:p>
    <w:p>
      <w:pPr>
        <w:pStyle w:val="Compact"/>
        <w:numPr>
          <w:ilvl w:val="0"/>
          <w:numId w:val="1004"/>
        </w:numPr>
      </w:pPr>
      <w:r>
        <w:t xml:space="preserve">Use</w:t>
      </w:r>
      <w:r>
        <w:t xml:space="preserve"> </w:t>
      </w:r>
      <w:r>
        <w:rPr>
          <w:b/>
          <w:bCs/>
        </w:rPr>
        <w:t xml:space="preserve">cable glands + drip loops</w:t>
      </w:r>
      <w:r>
        <w:t xml:space="preserve">, and put the electronics in a splash-resistant enclosure.</w:t>
      </w:r>
    </w:p>
    <w:p>
      <w:pPr>
        <w:pStyle w:val="Compact"/>
        <w:numPr>
          <w:ilvl w:val="0"/>
          <w:numId w:val="1004"/>
        </w:numPr>
      </w:pPr>
      <w:r>
        <w:t xml:space="preserve">Separate sensor probes (wet zone) from compute/power (dry zone) wherever possible.</w:t>
      </w:r>
    </w:p>
    <w:p>
      <w:pPr>
        <w:pStyle w:val="Compact"/>
        <w:numPr>
          <w:ilvl w:val="0"/>
          <w:numId w:val="1004"/>
        </w:numPr>
      </w:pPr>
      <w:r>
        <w:t xml:space="preserve">Plan for</w:t>
      </w:r>
      <w:r>
        <w:t xml:space="preserve"> </w:t>
      </w:r>
      <w:r>
        <w:rPr>
          <w:b/>
          <w:bCs/>
        </w:rPr>
        <w:t xml:space="preserve">calibration access</w:t>
      </w:r>
      <w:r>
        <w:t xml:space="preserve"> </w:t>
      </w:r>
      <w:r>
        <w:t xml:space="preserve">(especially pH/EC); calibration is part of the system, not a one-time setup.</w:t>
      </w:r>
      <w:r>
        <w:t xml:space="preserve"> </w:t>
      </w:r>
      <w:hyperlink r:id="rId52">
        <w:r>
          <w:rPr>
            <w:rStyle w:val="Hyperlink"/>
          </w:rPr>
          <w:t xml:space="preserve">[25]</w:t>
        </w:r>
      </w:hyperlink>
    </w:p>
    <w:bookmarkEnd w:id="53"/>
    <w:bookmarkEnd w:id="54"/>
    <w:bookmarkStart w:id="59" w:name="X207a038a99b376599f28d520fec8b296bbba79c"/>
    <w:p>
      <w:pPr>
        <w:pStyle w:val="Heading3"/>
      </w:pPr>
      <w:r>
        <w:t xml:space="preserve">Hardware comparison table with procurement sources</w:t>
      </w:r>
    </w:p>
    <w:p>
      <w:pPr>
        <w:pStyle w:val="FirstParagraph"/>
      </w:pPr>
      <w:r>
        <w:t xml:space="preserve">This table focuses on a minimal but scalable bill of materials. Prices are shown as “example single-unit” with citations; expect variance by region, taxes, and volume.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 category</w:t>
            </w:r>
          </w:p>
        </w:tc>
        <w:tc>
          <w:tcPr/>
          <w:p>
            <w:pPr>
              <w:pStyle w:val="Compact"/>
            </w:pPr>
            <w:r>
              <w:t xml:space="preserve">Example part / family</w:t>
            </w:r>
          </w:p>
        </w:tc>
        <w:tc>
          <w:tcPr/>
          <w:p>
            <w:pPr>
              <w:pStyle w:val="Compact"/>
            </w:pPr>
            <w:r>
              <w:t xml:space="preserve">Why it’s used</w:t>
            </w:r>
          </w:p>
        </w:tc>
        <w:tc>
          <w:tcPr/>
          <w:p>
            <w:pPr>
              <w:pStyle w:val="Compact"/>
            </w:pPr>
            <w:r>
              <w:t xml:space="preserve">Example price signal</w:t>
            </w:r>
          </w:p>
        </w:tc>
        <w:tc>
          <w:tcPr/>
          <w:p>
            <w:pPr>
              <w:pStyle w:val="Compact"/>
            </w:pPr>
            <w:r>
              <w:t xml:space="preserve">Procurement source examples</w:t>
            </w:r>
          </w:p>
        </w:tc>
      </w:tr>
      <w:tr>
        <w:tc>
          <w:tcPr/>
          <w:p>
            <w:pPr>
              <w:pStyle w:val="Compact"/>
            </w:pPr>
            <w:r>
              <w:t xml:space="preserve">Low-cost capacitive moisture (entry tier)</w:t>
            </w:r>
          </w:p>
        </w:tc>
        <w:tc>
          <w:tcPr/>
          <w:p>
            <w:pPr>
              <w:pStyle w:val="Compact"/>
            </w:pPr>
            <w:r>
              <w:t xml:space="preserve">DFRobot SEN0193</w:t>
            </w:r>
          </w:p>
        </w:tc>
        <w:tc>
          <w:tcPr/>
          <w:p>
            <w:pPr>
              <w:pStyle w:val="Compact"/>
            </w:pPr>
            <w:r>
              <w:t xml:space="preserve">Cheap moisture proxy; requires calibration; best for learning &amp; MVP</w:t>
            </w:r>
          </w:p>
        </w:tc>
        <w:tc>
          <w:tcPr/>
          <w:p>
            <w:pPr>
              <w:pStyle w:val="Compact"/>
            </w:pPr>
            <w:r>
              <w:t xml:space="preserve">DFRobot lists the SEN0193 at ~$5.90.</w:t>
            </w:r>
            <w:r>
              <w:t xml:space="preserve"> </w:t>
            </w:r>
            <w:hyperlink r:id="rId55">
              <w:r>
                <w:rPr>
                  <w:rStyle w:val="Hyperlink"/>
                </w:rPr>
                <w:t xml:space="preserve">[26]</w:t>
              </w:r>
            </w:hyperlink>
          </w:p>
        </w:tc>
        <w:tc>
          <w:tcPr/>
          <w:p>
            <w:pPr>
              <w:pStyle w:val="Compact"/>
            </w:pPr>
            <w:r>
              <w:t xml:space="preserve">DFRobot store; major distributors list regional pricing.</w:t>
            </w:r>
            <w:r>
              <w:t xml:space="preserve"> </w:t>
            </w:r>
            <w:hyperlink r:id="rId56">
              <w:r>
                <w:rPr>
                  <w:rStyle w:val="Hyperlink"/>
                </w:rPr>
                <w:t xml:space="preserve">[27]</w:t>
              </w:r>
            </w:hyperlink>
          </w:p>
        </w:tc>
      </w:tr>
      <w:tr>
        <w:tc>
          <w:tcPr/>
          <w:p>
            <w:pPr>
              <w:pStyle w:val="Compact"/>
            </w:pPr>
            <w:r>
              <w:t xml:space="preserve">Higher-reliability moisture (mid tier)</w:t>
            </w:r>
          </w:p>
        </w:tc>
        <w:tc>
          <w:tcPr/>
          <w:p>
            <w:pPr>
              <w:pStyle w:val="Compact"/>
            </w:pPr>
            <w:r>
              <w:t xml:space="preserve">Vegetronix VH400</w:t>
            </w:r>
          </w:p>
        </w:tc>
        <w:tc>
          <w:tcPr/>
          <w:p>
            <w:pPr>
              <w:pStyle w:val="Compact"/>
            </w:pPr>
            <w:r>
              <w:t xml:space="preserve">More robust than many “bare PCB” probes; convenient for irrigation logic</w:t>
            </w:r>
          </w:p>
        </w:tc>
        <w:tc>
          <w:tcPr/>
          <w:p>
            <w:pPr>
              <w:pStyle w:val="Compact"/>
            </w:pPr>
            <w:r>
              <w:t xml:space="preserve">Vegetronix lists VH400 SKUs (e.g., 2 m cable) at $44.95.</w:t>
            </w:r>
            <w:r>
              <w:t xml:space="preserve"> </w:t>
            </w:r>
            <w:hyperlink r:id="rId57">
              <w:r>
                <w:rPr>
                  <w:rStyle w:val="Hyperlink"/>
                </w:rPr>
                <w:t xml:space="preserve">[28]</w:t>
              </w:r>
            </w:hyperlink>
          </w:p>
        </w:tc>
        <w:tc>
          <w:tcPr/>
          <w:p>
            <w:pPr>
              <w:pStyle w:val="Compact"/>
            </w:pPr>
            <w:r>
              <w:t xml:space="preserve">Manufacturer direct</w:t>
            </w:r>
            <w:r>
              <w:t xml:space="preserve"> </w:t>
            </w:r>
            <w:hyperlink r:id="rId57">
              <w:r>
                <w:rPr>
                  <w:rStyle w:val="Hyperlink"/>
                </w:rPr>
                <w:t xml:space="preserve">[28]</w:t>
              </w:r>
            </w:hyperlink>
          </w:p>
        </w:tc>
      </w:tr>
      <w:tr>
        <w:tc>
          <w:tcPr/>
          <w:p>
            <w:pPr>
              <w:pStyle w:val="Compact"/>
            </w:pPr>
            <w:r>
              <w:t xml:space="preserve">Research/production-grade VWC</w:t>
            </w:r>
          </w:p>
        </w:tc>
        <w:tc>
          <w:tcPr/>
          <w:p>
            <w:pPr>
              <w:pStyle w:val="Compact"/>
            </w:pPr>
            <w:r>
              <w:t xml:space="preserve">TEROS 10</w:t>
            </w:r>
          </w:p>
        </w:tc>
        <w:tc>
          <w:tcPr/>
          <w:p>
            <w:pPr>
              <w:pStyle w:val="Compact"/>
            </w:pPr>
            <w:r>
              <w:t xml:space="preserve">Stated accuracy + robust body; common in substrates/greenhouses</w:t>
            </w:r>
          </w:p>
        </w:tc>
        <w:tc>
          <w:tcPr/>
          <w:p>
            <w:pPr>
              <w:pStyle w:val="Compact"/>
            </w:pPr>
            <w:r>
              <w:t xml:space="preserve">METER lists TEROS 10 base price $145.</w:t>
            </w:r>
            <w:r>
              <w:t xml:space="preserve"> </w:t>
            </w:r>
            <w:hyperlink r:id="rId38">
              <w:r>
                <w:rPr>
                  <w:rStyle w:val="Hyperlink"/>
                </w:rPr>
                <w:t xml:space="preserve">[29]</w:t>
              </w:r>
            </w:hyperlink>
          </w:p>
        </w:tc>
        <w:tc>
          <w:tcPr/>
          <w:p>
            <w:pPr>
              <w:pStyle w:val="Compact"/>
            </w:pPr>
            <w:r>
              <w:t xml:space="preserve">Manufacturer direct / distributors</w:t>
            </w:r>
            <w:r>
              <w:t xml:space="preserve"> </w:t>
            </w:r>
            <w:hyperlink r:id="rId38">
              <w:r>
                <w:rPr>
                  <w:rStyle w:val="Hyperlink"/>
                </w:rPr>
                <w:t xml:space="preserve">[29]</w:t>
              </w:r>
            </w:hyperlink>
          </w:p>
        </w:tc>
      </w:tr>
      <w:tr>
        <w:tc>
          <w:tcPr/>
          <w:p>
            <w:pPr>
              <w:pStyle w:val="Compact"/>
            </w:pPr>
            <w:r>
              <w:t xml:space="preserve">VWC + temp + EC</w:t>
            </w:r>
          </w:p>
        </w:tc>
        <w:tc>
          <w:tcPr/>
          <w:p>
            <w:pPr>
              <w:pStyle w:val="Compact"/>
            </w:pPr>
            <w:r>
              <w:t xml:space="preserve">TEROS 12</w:t>
            </w:r>
          </w:p>
        </w:tc>
        <w:tc>
          <w:tcPr/>
          <w:p>
            <w:pPr>
              <w:pStyle w:val="Compact"/>
            </w:pPr>
            <w:r>
              <w:t xml:space="preserve">Adds EC + temp; targets high repeatability + durability</w:t>
            </w:r>
          </w:p>
        </w:tc>
        <w:tc>
          <w:tcPr/>
          <w:p>
            <w:pPr>
              <w:pStyle w:val="Compact"/>
            </w:pPr>
            <w:r>
              <w:t xml:space="preserve">METER lists TEROS 12 base price $271.</w:t>
            </w:r>
            <w:r>
              <w:t xml:space="preserve"> </w:t>
            </w:r>
            <w:hyperlink r:id="rId44">
              <w:r>
                <w:rPr>
                  <w:rStyle w:val="Hyperlink"/>
                </w:rPr>
                <w:t xml:space="preserve">[30]</w:t>
              </w:r>
            </w:hyperlink>
          </w:p>
        </w:tc>
        <w:tc>
          <w:tcPr/>
          <w:p>
            <w:pPr>
              <w:pStyle w:val="Compact"/>
            </w:pPr>
            <w:r>
              <w:t xml:space="preserve">Manufacturer direct / distributors</w:t>
            </w:r>
            <w:r>
              <w:t xml:space="preserve"> </w:t>
            </w:r>
            <w:hyperlink r:id="rId44">
              <w:r>
                <w:rPr>
                  <w:rStyle w:val="Hyperlink"/>
                </w:rPr>
                <w:t xml:space="preserve">[30]</w:t>
              </w:r>
            </w:hyperlink>
          </w:p>
        </w:tc>
      </w:tr>
      <w:tr>
        <w:tc>
          <w:tcPr/>
          <w:p>
            <w:pPr>
              <w:pStyle w:val="Compact"/>
            </w:pPr>
            <w:r>
              <w:t xml:space="preserve">CO₂</w:t>
            </w:r>
          </w:p>
        </w:tc>
        <w:tc>
          <w:tcPr/>
          <w:p>
            <w:pPr>
              <w:pStyle w:val="Compact"/>
            </w:pPr>
            <w:r>
              <w:t xml:space="preserve">Sensirion SCD41</w:t>
            </w:r>
          </w:p>
        </w:tc>
        <w:tc>
          <w:tcPr/>
          <w:p>
            <w:pPr>
              <w:pStyle w:val="Compact"/>
            </w:pPr>
            <w:r>
              <w:t xml:space="preserve">True CO₂ via photoacoustic sensing; supports ventilation logic</w:t>
            </w:r>
          </w:p>
        </w:tc>
        <w:tc>
          <w:tcPr/>
          <w:p>
            <w:pPr>
              <w:pStyle w:val="Compact"/>
            </w:pPr>
            <w:r>
              <w:t xml:space="preserve">Datasheet accuracy in 400–5000 ppm range is specified.</w:t>
            </w:r>
            <w:r>
              <w:t xml:space="preserve"> </w:t>
            </w:r>
            <w:hyperlink r:id="rId41">
              <w:r>
                <w:rPr>
                  <w:rStyle w:val="Hyperlink"/>
                </w:rPr>
                <w:t xml:space="preserve">[31]</w:t>
              </w:r>
            </w:hyperlink>
          </w:p>
        </w:tc>
        <w:tc>
          <w:tcPr/>
          <w:p>
            <w:pPr>
              <w:pStyle w:val="Compact"/>
            </w:pPr>
            <w:r>
              <w:t xml:space="preserve">Module vendors + distributors (varies)</w:t>
            </w:r>
            <w:r>
              <w:t xml:space="preserve"> </w:t>
            </w:r>
            <w:hyperlink r:id="rId41">
              <w:r>
                <w:rPr>
                  <w:rStyle w:val="Hyperlink"/>
                </w:rPr>
                <w:t xml:space="preserve">[31]</w:t>
              </w:r>
            </w:hyperlink>
          </w:p>
        </w:tc>
      </w:tr>
      <w:tr>
        <w:tc>
          <w:tcPr/>
          <w:p>
            <w:pPr>
              <w:pStyle w:val="Compact"/>
            </w:pPr>
            <w:r>
              <w:t xml:space="preserve">T/RH</w:t>
            </w:r>
          </w:p>
        </w:tc>
        <w:tc>
          <w:tcPr/>
          <w:p>
            <w:pPr>
              <w:pStyle w:val="Compact"/>
            </w:pPr>
            <w:r>
              <w:t xml:space="preserve">Sensirion SHT3x series</w:t>
            </w:r>
          </w:p>
        </w:tc>
        <w:tc>
          <w:tcPr/>
          <w:p>
            <w:pPr>
              <w:pStyle w:val="Compact"/>
            </w:pPr>
            <w:r>
              <w:t xml:space="preserve">Stable T/RH with stated accuracy</w:t>
            </w:r>
          </w:p>
        </w:tc>
        <w:tc>
          <w:tcPr/>
          <w:p>
            <w:pPr>
              <w:pStyle w:val="Compact"/>
            </w:pPr>
            <w:r>
              <w:t xml:space="preserve">Typical ±2%RH, ±0.2 °C (model dependent listing).</w:t>
            </w:r>
            <w:r>
              <w:t xml:space="preserve"> </w:t>
            </w:r>
            <w:hyperlink r:id="rId23">
              <w:r>
                <w:rPr>
                  <w:rStyle w:val="Hyperlink"/>
                </w:rPr>
                <w:t xml:space="preserve">[17]</w:t>
              </w:r>
            </w:hyperlink>
          </w:p>
        </w:tc>
        <w:tc>
          <w:tcPr/>
          <w:p>
            <w:pPr>
              <w:pStyle w:val="Compact"/>
            </w:pPr>
            <w:r>
              <w:t xml:space="preserve">Distributors widely stock SHT parts</w:t>
            </w:r>
            <w:r>
              <w:t xml:space="preserve"> </w:t>
            </w:r>
            <w:hyperlink r:id="rId58">
              <w:r>
                <w:rPr>
                  <w:rStyle w:val="Hyperlink"/>
                </w:rPr>
                <w:t xml:space="preserve">[32]</w:t>
              </w:r>
            </w:hyperlink>
          </w:p>
        </w:tc>
      </w:tr>
      <w:tr>
        <w:tc>
          <w:tcPr/>
          <w:p>
            <w:pPr>
              <w:pStyle w:val="Compact"/>
            </w:pPr>
            <w:r>
              <w:t xml:space="preserve">IoT node MCU</w:t>
            </w:r>
          </w:p>
        </w:tc>
        <w:tc>
          <w:tcPr/>
          <w:p>
            <w:pPr>
              <w:pStyle w:val="Compact"/>
            </w:pPr>
            <w:r>
              <w:t xml:space="preserve">ESP32 DevKitC-class</w:t>
            </w:r>
          </w:p>
        </w:tc>
        <w:tc>
          <w:tcPr/>
          <w:p>
            <w:pPr>
              <w:pStyle w:val="Compact"/>
            </w:pPr>
            <w:r>
              <w:t xml:space="preserve">Strong ecosystem; supports MQTT/TLS; cheap</w:t>
            </w:r>
          </w:p>
        </w:tc>
        <w:tc>
          <w:tcPr/>
          <w:p>
            <w:pPr>
              <w:pStyle w:val="Compact"/>
            </w:pPr>
            <w:r>
              <w:t xml:space="preserve">Example regional price shown on a distributor listing.</w:t>
            </w:r>
            <w:r>
              <w:t xml:space="preserve"> </w:t>
            </w:r>
            <w:hyperlink r:id="rId50">
              <w:r>
                <w:rPr>
                  <w:rStyle w:val="Hyperlink"/>
                </w:rPr>
                <w:t xml:space="preserve">[24]</w:t>
              </w:r>
            </w:hyperlink>
          </w:p>
        </w:tc>
        <w:tc>
          <w:tcPr/>
          <w:p>
            <w:pPr>
              <w:pStyle w:val="Compact"/>
            </w:pPr>
            <w:r>
              <w:t xml:space="preserve">Major distributors</w:t>
            </w:r>
            <w:r>
              <w:t xml:space="preserve"> </w:t>
            </w:r>
            <w:hyperlink r:id="rId50">
              <w:r>
                <w:rPr>
                  <w:rStyle w:val="Hyperlink"/>
                </w:rPr>
                <w:t xml:space="preserve">[24]</w:t>
              </w:r>
            </w:hyperlink>
          </w:p>
        </w:tc>
      </w:tr>
    </w:tbl>
    <w:p>
      <w:pPr>
        <w:pStyle w:val="BodyText"/>
      </w:pPr>
      <w:r>
        <w:rPr>
          <w:b/>
          <w:bCs/>
        </w:rPr>
        <w:t xml:space="preserve">Procurement sources (practical shortlist):</w:t>
      </w:r>
      <w:r>
        <w:t xml:space="preserve"> </w:t>
      </w:r>
      <w:r>
        <w:t xml:space="preserve">Digi-Key</w:t>
      </w:r>
      <w:hyperlink r:id="rId45">
        <w:r>
          <w:rPr>
            <w:rStyle w:val="Hyperlink"/>
          </w:rPr>
          <w:t xml:space="preserve">[33]</w:t>
        </w:r>
      </w:hyperlink>
      <w:r>
        <w:t xml:space="preserve">, Mouser Electronics</w:t>
      </w:r>
      <w:hyperlink r:id="rId23">
        <w:r>
          <w:rPr>
            <w:rStyle w:val="Hyperlink"/>
          </w:rPr>
          <w:t xml:space="preserve">[34]</w:t>
        </w:r>
      </w:hyperlink>
      <w:r>
        <w:t xml:space="preserve">, element14</w:t>
      </w:r>
      <w:hyperlink r:id="rId41">
        <w:r>
          <w:rPr>
            <w:rStyle w:val="Hyperlink"/>
          </w:rPr>
          <w:t xml:space="preserve">[35]</w:t>
        </w:r>
      </w:hyperlink>
      <w:r>
        <w:t xml:space="preserve">, RS Components</w:t>
      </w:r>
      <w:hyperlink r:id="rId23">
        <w:r>
          <w:rPr>
            <w:rStyle w:val="Hyperlink"/>
          </w:rPr>
          <w:t xml:space="preserve">[36]</w:t>
        </w:r>
      </w:hyperlink>
      <w:r>
        <w:t xml:space="preserve">, Adafruit Industries</w:t>
      </w:r>
      <w:hyperlink r:id="rId34">
        <w:r>
          <w:rPr>
            <w:rStyle w:val="Hyperlink"/>
          </w:rPr>
          <w:t xml:space="preserve">[37]</w:t>
        </w:r>
      </w:hyperlink>
      <w:r>
        <w:t xml:space="preserve">, SparkFun Electronics</w:t>
      </w:r>
      <w:hyperlink r:id="rId38">
        <w:r>
          <w:rPr>
            <w:rStyle w:val="Hyperlink"/>
          </w:rPr>
          <w:t xml:space="preserve">[38]</w:t>
        </w:r>
      </w:hyperlink>
      <w:r>
        <w:t xml:space="preserve">. (Use at least two sources per part during procurement to mitigate stockouts and lead time issues.)</w:t>
      </w:r>
      <w:r>
        <w:t xml:space="preserve"> </w:t>
      </w:r>
      <w:hyperlink r:id="rId50">
        <w:r>
          <w:rPr>
            <w:rStyle w:val="Hyperlink"/>
          </w:rPr>
          <w:t xml:space="preserve">[39]</w:t>
        </w:r>
      </w:hyperlink>
    </w:p>
    <w:bookmarkEnd w:id="59"/>
    <w:bookmarkStart w:id="62" w:name="Xd38c0a233e50fa928630013660aee2debcb6ac5"/>
    <w:p>
      <w:pPr>
        <w:pStyle w:val="Heading3"/>
      </w:pPr>
      <w:r>
        <w:t xml:space="preserve">Cost vs accuracy snapshot for moisture sensing</w:t>
      </w:r>
    </w:p>
    <w:p>
      <w:pPr>
        <w:pStyle w:val="FirstParagraph"/>
      </w:pPr>
      <w:r>
        <w:t xml:space="preserve">Because “accuracy” is often measured differently across sensor families (datasheet tolerance vs calibration RMSE in a study), treat this as a</w:t>
      </w:r>
      <w:r>
        <w:t xml:space="preserve"> </w:t>
      </w:r>
      <w:r>
        <w:rPr>
          <w:b/>
          <w:bCs/>
        </w:rPr>
        <w:t xml:space="preserve">directional</w:t>
      </w:r>
      <w:r>
        <w:t xml:space="preserve"> </w:t>
      </w:r>
      <w:r>
        <w:t xml:space="preserve">comparison:</w:t>
      </w:r>
    </w:p>
    <w:p>
      <w:pPr>
        <w:pStyle w:val="Compact"/>
        <w:numPr>
          <w:ilvl w:val="0"/>
          <w:numId w:val="1005"/>
        </w:numPr>
      </w:pPr>
      <w:r>
        <w:t xml:space="preserve">Low-cost capacitive probes can achieve</w:t>
      </w:r>
      <w:r>
        <w:t xml:space="preserve"> </w:t>
      </w:r>
      <w:r>
        <w:rPr>
          <w:b/>
          <w:bCs/>
        </w:rPr>
        <w:t xml:space="preserve">RMSE on the order of ~4.5–4.9%</w:t>
      </w:r>
      <w:r>
        <w:t xml:space="preserve"> </w:t>
      </w:r>
      <w:r>
        <w:t xml:space="preserve">after calibration in reported evaluations (study context and soil type matter).</w:t>
      </w:r>
      <w:r>
        <w:t xml:space="preserve"> </w:t>
      </w:r>
      <w:hyperlink r:id="rId60">
        <w:r>
          <w:rPr>
            <w:rStyle w:val="Hyperlink"/>
          </w:rPr>
          <w:t xml:space="preserve">[40]</w:t>
        </w:r>
      </w:hyperlink>
    </w:p>
    <w:p>
      <w:pPr>
        <w:pStyle w:val="Compact"/>
        <w:numPr>
          <w:ilvl w:val="0"/>
          <w:numId w:val="1005"/>
        </w:numPr>
      </w:pPr>
      <w:r>
        <w:t xml:space="preserve">TEROS-class sensors specify</w:t>
      </w:r>
      <w:r>
        <w:t xml:space="preserve"> </w:t>
      </w:r>
      <w:r>
        <w:rPr>
          <w:b/>
          <w:bCs/>
        </w:rPr>
        <w:t xml:space="preserve">~±0.03 m³/m³</w:t>
      </w:r>
      <w:r>
        <w:t xml:space="preserve"> </w:t>
      </w:r>
      <w:r>
        <w:t xml:space="preserve">accuracy under stated conditions (≈3% VWC) and support calibration workflows.</w:t>
      </w:r>
      <w:r>
        <w:t xml:space="preserve"> </w:t>
      </w:r>
      <w:hyperlink r:id="rId43">
        <w:r>
          <w:rPr>
            <w:rStyle w:val="Hyperlink"/>
          </w:rPr>
          <w:t xml:space="preserve">[41]</w:t>
        </w:r>
      </w:hyperlink>
    </w:p>
    <w:p>
      <w:pPr>
        <w:pStyle w:val="FirstParagraph"/>
      </w:pPr>
      <w:r>
        <w:t xml:space="preserve">A quick “price-to-specified-performance” indicator using the cited base prices: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Moisture sensor tier</w:t>
            </w:r>
          </w:p>
        </w:tc>
        <w:tc>
          <w:tcPr/>
          <w:p>
            <w:pPr>
              <w:pStyle w:val="Compact"/>
              <w:jc w:val="right"/>
            </w:pPr>
            <w:r>
              <w:t xml:space="preserve">Example price</w:t>
            </w:r>
          </w:p>
        </w:tc>
        <w:tc>
          <w:tcPr/>
          <w:p>
            <w:pPr>
              <w:pStyle w:val="Compact"/>
            </w:pPr>
            <w:r>
              <w:t xml:space="preserve">Example stated / reported error signal</w:t>
            </w:r>
          </w:p>
        </w:tc>
      </w:tr>
      <w:tr>
        <w:tc>
          <w:tcPr/>
          <w:p>
            <w:pPr>
              <w:pStyle w:val="Compact"/>
            </w:pPr>
            <w:r>
              <w:t xml:space="preserve">Entry low-cost capacitive</w:t>
            </w:r>
          </w:p>
        </w:tc>
        <w:tc>
          <w:tcPr/>
          <w:p>
            <w:pPr>
              <w:pStyle w:val="Compact"/>
              <w:jc w:val="right"/>
            </w:pPr>
            <w:r>
              <w:t xml:space="preserve">~$5.90</w:t>
            </w:r>
            <w:r>
              <w:t xml:space="preserve"> </w:t>
            </w:r>
            <w:hyperlink r:id="rId55">
              <w:r>
                <w:rPr>
                  <w:rStyle w:val="Hyperlink"/>
                </w:rPr>
                <w:t xml:space="preserve">[26]</w:t>
              </w:r>
            </w:hyperlink>
          </w:p>
        </w:tc>
        <w:tc>
          <w:tcPr/>
          <w:p>
            <w:pPr>
              <w:pStyle w:val="Compact"/>
            </w:pPr>
            <w:r>
              <w:t xml:space="preserve">RMSE ~4.5–4.9% (with calibration, in one study context)</w:t>
            </w:r>
            <w:r>
              <w:t xml:space="preserve"> </w:t>
            </w:r>
            <w:hyperlink r:id="rId60">
              <w:r>
                <w:rPr>
                  <w:rStyle w:val="Hyperlink"/>
                </w:rPr>
                <w:t xml:space="preserve">[40]</w:t>
              </w:r>
            </w:hyperlink>
          </w:p>
        </w:tc>
      </w:tr>
      <w:tr>
        <w:tc>
          <w:tcPr/>
          <w:p>
            <w:pPr>
              <w:pStyle w:val="Compact"/>
            </w:pPr>
            <w:r>
              <w:t xml:space="preserve">Research/production-grade VWC</w:t>
            </w:r>
          </w:p>
        </w:tc>
        <w:tc>
          <w:tcPr/>
          <w:p>
            <w:pPr>
              <w:pStyle w:val="Compact"/>
              <w:jc w:val="right"/>
            </w:pPr>
            <w:r>
              <w:t xml:space="preserve">$145</w:t>
            </w:r>
            <w:r>
              <w:t xml:space="preserve"> </w:t>
            </w:r>
            <w:hyperlink r:id="rId38">
              <w:r>
                <w:rPr>
                  <w:rStyle w:val="Hyperlink"/>
                </w:rPr>
                <w:t xml:space="preserve">[29]</w:t>
              </w:r>
            </w:hyperlink>
          </w:p>
        </w:tc>
        <w:tc>
          <w:tcPr/>
          <w:p>
            <w:pPr>
              <w:pStyle w:val="Compact"/>
            </w:pPr>
            <w:r>
              <w:t xml:space="preserve">±0.03 m³/m³ typical (under specified conditions)</w:t>
            </w:r>
            <w:r>
              <w:t xml:space="preserve"> </w:t>
            </w:r>
            <w:hyperlink r:id="rId43">
              <w:r>
                <w:rPr>
                  <w:rStyle w:val="Hyperlink"/>
                </w:rPr>
                <w:t xml:space="preserve">[41]</w:t>
              </w:r>
            </w:hyperlink>
          </w:p>
        </w:tc>
      </w:tr>
      <w:tr>
        <w:tc>
          <w:tcPr/>
          <w:p>
            <w:pPr>
              <w:pStyle w:val="Compact"/>
            </w:pPr>
            <w:r>
              <w:t xml:space="preserve">VWC + temp + EC</w:t>
            </w:r>
          </w:p>
        </w:tc>
        <w:tc>
          <w:tcPr/>
          <w:p>
            <w:pPr>
              <w:pStyle w:val="Compact"/>
              <w:jc w:val="right"/>
            </w:pPr>
            <w:r>
              <w:t xml:space="preserve">$271</w:t>
            </w:r>
            <w:r>
              <w:t xml:space="preserve"> </w:t>
            </w:r>
            <w:hyperlink r:id="rId44">
              <w:r>
                <w:rPr>
                  <w:rStyle w:val="Hyperlink"/>
                </w:rPr>
                <w:t xml:space="preserve">[30]</w:t>
              </w:r>
            </w:hyperlink>
          </w:p>
        </w:tc>
        <w:tc>
          <w:tcPr/>
          <w:p>
            <w:pPr>
              <w:pStyle w:val="Compact"/>
            </w:pPr>
            <w:r>
              <w:t xml:space="preserve">medium-specific calibration bands published for TEROS line</w:t>
            </w:r>
            <w:r>
              <w:t xml:space="preserve"> </w:t>
            </w:r>
            <w:hyperlink r:id="rId61">
              <w:r>
                <w:rPr>
                  <w:rStyle w:val="Hyperlink"/>
                </w:rPr>
                <w:t xml:space="preserve">[42]</w:t>
              </w:r>
            </w:hyperlink>
          </w:p>
        </w:tc>
      </w:tr>
    </w:tbl>
    <w:bookmarkEnd w:id="62"/>
    <w:bookmarkEnd w:id="63"/>
    <w:bookmarkStart w:id="72" w:name="X13de0fa4a3f409319edd026e6c21acd3ec6a34e"/>
    <w:p>
      <w:pPr>
        <w:pStyle w:val="Heading2"/>
      </w:pPr>
      <w:r>
        <w:t xml:space="preserve">Communication architecture and protocol choices for small greenhouses</w:t>
      </w:r>
    </w:p>
    <w:bookmarkStart w:id="64" w:name="recommended-pattern-for-an-fyp-system"/>
    <w:p>
      <w:pPr>
        <w:pStyle w:val="Heading3"/>
      </w:pPr>
      <w:r>
        <w:t xml:space="preserve">Recommended pattern for an FYP system</w:t>
      </w:r>
    </w:p>
    <w:p>
      <w:pPr>
        <w:pStyle w:val="FirstParagraph"/>
      </w:pPr>
      <w:r>
        <w:t xml:space="preserve">For a small greenhouse, a pragmatic architecture is:</w:t>
      </w:r>
    </w:p>
    <w:p>
      <w:pPr>
        <w:pStyle w:val="Compact"/>
        <w:numPr>
          <w:ilvl w:val="0"/>
          <w:numId w:val="1006"/>
        </w:numPr>
      </w:pPr>
      <w:r>
        <w:rPr>
          <w:b/>
          <w:bCs/>
        </w:rPr>
        <w:t xml:space="preserve">Sensor nodes (ESP32)</w:t>
      </w:r>
      <w:r>
        <w:t xml:space="preserve"> </w:t>
      </w:r>
      <w:r>
        <w:t xml:space="preserve">publish telemetry to a local broker.</w:t>
      </w:r>
    </w:p>
    <w:p>
      <w:pPr>
        <w:pStyle w:val="Compact"/>
        <w:numPr>
          <w:ilvl w:val="0"/>
          <w:numId w:val="1006"/>
        </w:numPr>
      </w:pPr>
      <w:r>
        <w:t xml:space="preserve">An</w:t>
      </w:r>
      <w:r>
        <w:t xml:space="preserve"> </w:t>
      </w:r>
      <w:r>
        <w:rPr>
          <w:b/>
          <w:bCs/>
        </w:rPr>
        <w:t xml:space="preserve">edge gateway</w:t>
      </w:r>
      <w:r>
        <w:t xml:space="preserve"> </w:t>
      </w:r>
      <w:r>
        <w:t xml:space="preserve">(small PC / mini-server) runs broker + buffering + database + dashboard, and optionally syncs to a cloud instance for remote access.</w:t>
      </w:r>
    </w:p>
    <w:p>
      <w:pPr>
        <w:pStyle w:val="Compact"/>
        <w:numPr>
          <w:ilvl w:val="0"/>
          <w:numId w:val="1006"/>
        </w:numPr>
      </w:pPr>
      <w:r>
        <w:t xml:space="preserve">The “digital twin UI” subscribes to near-real-time state via an API/websocket.</w:t>
      </w:r>
    </w:p>
    <w:p>
      <w:pPr>
        <w:pStyle w:val="FirstParagraph"/>
      </w:pPr>
      <w:r>
        <w:t xml:space="preserve">This pattern matches the “system-of-systems” integration theme seen in greenhouse DT work, but scaled to a single greenhouse.</w:t>
      </w:r>
      <w:r>
        <w:t xml:space="preserve"> </w:t>
      </w:r>
      <w:hyperlink r:id="rId28">
        <w:r>
          <w:rPr>
            <w:rStyle w:val="Hyperlink"/>
          </w:rPr>
          <w:t xml:space="preserve">[43]</w:t>
        </w:r>
      </w:hyperlink>
    </w:p>
    <w:bookmarkEnd w:id="64"/>
    <w:bookmarkStart w:id="69" w:name="X283c6e381ba6bcc8ebb107e53278da008cfa9bd"/>
    <w:p>
      <w:pPr>
        <w:pStyle w:val="Heading3"/>
      </w:pPr>
      <w:r>
        <w:t xml:space="preserve">Protocol tradeoffs: MQTT, Wi‑Fi, LoRaWAN, NB‑IoT</w:t>
      </w:r>
    </w:p>
    <w:p>
      <w:pPr>
        <w:pStyle w:val="FirstParagraph"/>
      </w:pPr>
      <w:r>
        <w:t xml:space="preserve">MQTT is a client/server publish–subscribe transport designed to be lightweight and easy to implement in constrained environments, and the formal spec is maintained by OASIS.</w:t>
      </w:r>
      <w:r>
        <w:t xml:space="preserve"> </w:t>
      </w:r>
      <w:hyperlink r:id="rId22">
        <w:r>
          <w:rPr>
            <w:rStyle w:val="Hyperlink"/>
          </w:rPr>
          <w:t xml:space="preserve">[2]</w:t>
        </w:r>
      </w:hyperlink>
    </w:p>
    <w:p>
      <w:pPr>
        <w:pStyle w:val="BodyText"/>
      </w:pPr>
      <w:r>
        <w:t xml:space="preserve">LoRaWAN is standardized by the LoRa Alliance, targeting battery-powered devices in a star-of-stars topology.</w:t>
      </w:r>
      <w:r>
        <w:t xml:space="preserve"> </w:t>
      </w:r>
      <w:hyperlink r:id="rId65">
        <w:r>
          <w:rPr>
            <w:rStyle w:val="Hyperlink"/>
          </w:rPr>
          <w:t xml:space="preserve">[44]</w:t>
        </w:r>
      </w:hyperlink>
      <w:r>
        <w:br/>
      </w:r>
      <w:r>
        <w:t xml:space="preserve">NB‑IoT is an LPWA cellular technology positioned for wide-area device connectivity.</w:t>
      </w:r>
      <w:r>
        <w:t xml:space="preserve"> </w:t>
      </w:r>
      <w:hyperlink r:id="rId66">
        <w:r>
          <w:rPr>
            <w:rStyle w:val="Hyperlink"/>
          </w:rPr>
          <w:t xml:space="preserve">[45]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Best use in your scenario</w:t>
            </w:r>
          </w:p>
        </w:tc>
        <w:tc>
          <w:tcPr/>
          <w:p>
            <w:pPr>
              <w:pStyle w:val="Compact"/>
            </w:pPr>
            <w:r>
              <w:t xml:space="preserve">Pros</w:t>
            </w:r>
          </w:p>
        </w:tc>
        <w:tc>
          <w:tcPr/>
          <w:p>
            <w:pPr>
              <w:pStyle w:val="Compact"/>
            </w:pPr>
            <w:r>
              <w:t xml:space="preserve">Cons / risks</w:t>
            </w:r>
          </w:p>
        </w:tc>
      </w:tr>
      <w:tr>
        <w:tc>
          <w:tcPr/>
          <w:p>
            <w:pPr>
              <w:pStyle w:val="Compact"/>
            </w:pPr>
            <w:r>
              <w:t xml:space="preserve">Wi‑Fi + MQTT</w:t>
            </w:r>
          </w:p>
        </w:tc>
        <w:tc>
          <w:tcPr/>
          <w:p>
            <w:pPr>
              <w:pStyle w:val="Compact"/>
            </w:pPr>
            <w:r>
              <w:t xml:space="preserve">Most small greenhouses with nearby router</w:t>
            </w:r>
          </w:p>
        </w:tc>
        <w:tc>
          <w:tcPr/>
          <w:p>
            <w:pPr>
              <w:pStyle w:val="Compact"/>
            </w:pPr>
            <w:r>
              <w:t xml:space="preserve">High throughput; simple; cheap modules; easy to add cameras</w:t>
            </w:r>
          </w:p>
        </w:tc>
        <w:tc>
          <w:tcPr/>
          <w:p>
            <w:pPr>
              <w:pStyle w:val="Compact"/>
            </w:pPr>
            <w:r>
              <w:t xml:space="preserve">Power draw; coverage can be degraded by greenhouse structure; interference risk in 2.4 GHz</w:t>
            </w:r>
          </w:p>
        </w:tc>
      </w:tr>
      <w:tr>
        <w:tc>
          <w:tcPr/>
          <w:p>
            <w:pPr>
              <w:pStyle w:val="Compact"/>
            </w:pPr>
            <w:r>
              <w:t xml:space="preserve">LoRaWAN</w:t>
            </w:r>
          </w:p>
        </w:tc>
        <w:tc>
          <w:tcPr/>
          <w:p>
            <w:pPr>
              <w:pStyle w:val="Compact"/>
            </w:pPr>
            <w:r>
              <w:t xml:space="preserve">Battery nodes spread across larger farms</w:t>
            </w:r>
          </w:p>
        </w:tc>
        <w:tc>
          <w:tcPr/>
          <w:p>
            <w:pPr>
              <w:pStyle w:val="Compact"/>
            </w:pPr>
            <w:r>
              <w:t xml:space="preserve">Long battery life; good range; network-server model</w:t>
            </w:r>
          </w:p>
        </w:tc>
        <w:tc>
          <w:tcPr/>
          <w:p>
            <w:pPr>
              <w:pStyle w:val="Compact"/>
            </w:pPr>
            <w:r>
              <w:t xml:space="preserve">Lower data rate; gateway required; payload constraints; best for periodic telemetry, not video</w:t>
            </w:r>
            <w:r>
              <w:t xml:space="preserve"> </w:t>
            </w:r>
            <w:hyperlink r:id="rId65">
              <w:r>
                <w:rPr>
                  <w:rStyle w:val="Hyperlink"/>
                </w:rPr>
                <w:t xml:space="preserve">[44]</w:t>
              </w:r>
            </w:hyperlink>
          </w:p>
        </w:tc>
      </w:tr>
      <w:tr>
        <w:tc>
          <w:tcPr/>
          <w:p>
            <w:pPr>
              <w:pStyle w:val="Compact"/>
            </w:pPr>
            <w:r>
              <w:t xml:space="preserve">NB‑IoT</w:t>
            </w:r>
          </w:p>
        </w:tc>
        <w:tc>
          <w:tcPr/>
          <w:p>
            <w:pPr>
              <w:pStyle w:val="Compact"/>
            </w:pPr>
            <w:r>
              <w:t xml:space="preserve">Remote sites without local network</w:t>
            </w:r>
          </w:p>
        </w:tc>
        <w:tc>
          <w:tcPr/>
          <w:p>
            <w:pPr>
              <w:pStyle w:val="Compact"/>
            </w:pPr>
            <w:r>
              <w:t xml:space="preserve">Wide-area connectivity; operator-managed infrastructure</w:t>
            </w:r>
          </w:p>
        </w:tc>
        <w:tc>
          <w:tcPr/>
          <w:p>
            <w:pPr>
              <w:pStyle w:val="Compact"/>
            </w:pPr>
            <w:r>
              <w:t xml:space="preserve">Ongoing SIM/data cost; device/module complexity; depends on local coverage</w:t>
            </w:r>
            <w:r>
              <w:t xml:space="preserve"> </w:t>
            </w:r>
            <w:hyperlink r:id="rId66">
              <w:r>
                <w:rPr>
                  <w:rStyle w:val="Hyperlink"/>
                </w:rPr>
                <w:t xml:space="preserve">[45]</w:t>
              </w:r>
            </w:hyperlink>
          </w:p>
        </w:tc>
      </w:tr>
      <w:tr>
        <w:tc>
          <w:tcPr/>
          <w:p>
            <w:pPr>
              <w:pStyle w:val="Compact"/>
            </w:pPr>
            <w:r>
              <w:t xml:space="preserve">MQTT over TCP/TLS</w:t>
            </w:r>
          </w:p>
        </w:tc>
        <w:tc>
          <w:tcPr/>
          <w:p>
            <w:pPr>
              <w:pStyle w:val="Compact"/>
            </w:pPr>
            <w:r>
              <w:t xml:space="preserve">Recommended security baseline</w:t>
            </w:r>
          </w:p>
        </w:tc>
        <w:tc>
          <w:tcPr/>
          <w:p>
            <w:pPr>
              <w:pStyle w:val="Compact"/>
            </w:pPr>
            <w:r>
              <w:t xml:space="preserve">Mature ecosystem; straightforward integration with TSDB and dashboards</w:t>
            </w:r>
          </w:p>
        </w:tc>
        <w:tc>
          <w:tcPr/>
          <w:p>
            <w:pPr>
              <w:pStyle w:val="Compact"/>
            </w:pPr>
            <w:r>
              <w:t xml:space="preserve">TLS overhead on tiny MCUs; needs certificate/provisioning discipline</w:t>
            </w:r>
            <w:r>
              <w:t xml:space="preserve"> </w:t>
            </w:r>
            <w:hyperlink r:id="rId67">
              <w:r>
                <w:rPr>
                  <w:rStyle w:val="Hyperlink"/>
                </w:rPr>
                <w:t xml:space="preserve">[46]</w:t>
              </w:r>
            </w:hyperlink>
          </w:p>
        </w:tc>
      </w:tr>
    </w:tbl>
    <w:p>
      <w:pPr>
        <w:pStyle w:val="BodyText"/>
      </w:pPr>
      <w:r>
        <w:rPr>
          <w:b/>
          <w:bCs/>
        </w:rPr>
        <w:t xml:space="preserve">Security note:</w:t>
      </w:r>
      <w:r>
        <w:t xml:space="preserve"> </w:t>
      </w:r>
      <w:r>
        <w:t xml:space="preserve">LoRaWAN security relies on symmetric cryptography and session keys derived from root keys, with a Join Server in the backend for key derivation workflows.</w:t>
      </w:r>
      <w:r>
        <w:t xml:space="preserve"> </w:t>
      </w:r>
      <w:hyperlink r:id="rId68">
        <w:r>
          <w:rPr>
            <w:rStyle w:val="Hyperlink"/>
          </w:rPr>
          <w:t xml:space="preserve">[47]</w:t>
        </w:r>
      </w:hyperlink>
    </w:p>
    <w:bookmarkEnd w:id="69"/>
    <w:bookmarkStart w:id="71" w:name="X09619ef6472331e68ce8e2d5fa393c0bb3a0e3f"/>
    <w:p>
      <w:pPr>
        <w:pStyle w:val="Heading3"/>
      </w:pPr>
      <w:r>
        <w:t xml:space="preserve">Why not CoAP first, and when it makes sense</w:t>
      </w:r>
    </w:p>
    <w:p>
      <w:pPr>
        <w:pStyle w:val="FirstParagraph"/>
      </w:pPr>
      <w:r>
        <w:t xml:space="preserve">CoAP is a constrained web transfer protocol designed for constrained nodes and lossy networks, standardized in IETF RFC 7252.</w:t>
      </w:r>
      <w:r>
        <w:t xml:space="preserve"> </w:t>
      </w:r>
      <w:hyperlink r:id="rId70">
        <w:r>
          <w:rPr>
            <w:rStyle w:val="Hyperlink"/>
          </w:rPr>
          <w:t xml:space="preserve">[48]</w:t>
        </w:r>
      </w:hyperlink>
      <w:r>
        <w:br/>
      </w:r>
      <w:r>
        <w:t xml:space="preserve">For an FYP greenhouse, CoAP can be great academically, but MQTT tends to win on tooling simplicity and integration with common data pipelines.</w:t>
      </w:r>
    </w:p>
    <w:bookmarkEnd w:id="71"/>
    <w:bookmarkEnd w:id="72"/>
    <w:bookmarkStart w:id="80" w:name="Xbcedbb2d4bb846ed343b6e16f934ff77d077a82"/>
    <w:p>
      <w:pPr>
        <w:pStyle w:val="Heading2"/>
      </w:pPr>
      <w:r>
        <w:t xml:space="preserve">Data storage, schema design, and retention/backup strategy</w:t>
      </w:r>
    </w:p>
    <w:bookmarkStart w:id="77" w:name="X939b7d508f63cb54991de6591dc31a018320c4c"/>
    <w:p>
      <w:pPr>
        <w:pStyle w:val="Heading3"/>
      </w:pPr>
      <w:r>
        <w:t xml:space="preserve">Time-series database options for greenhouse telemetry</w:t>
      </w:r>
    </w:p>
    <w:p>
      <w:pPr>
        <w:pStyle w:val="FirstParagraph"/>
      </w:pPr>
      <w:r>
        <w:t xml:space="preserve">For greenhouse/hydroponics telemetry (high write rate, timestamped metrics), time-series DBs are a natural fit. Below is a practical comparison emphasizing retention tooling and integration.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DB option</w:t>
            </w:r>
          </w:p>
        </w:tc>
        <w:tc>
          <w:tcPr/>
          <w:p>
            <w:pPr>
              <w:pStyle w:val="Compact"/>
            </w:pPr>
            <w:r>
              <w:t xml:space="preserve">Why teams pick it</w:t>
            </w:r>
          </w:p>
        </w:tc>
        <w:tc>
          <w:tcPr/>
          <w:p>
            <w:pPr>
              <w:pStyle w:val="Compact"/>
            </w:pPr>
            <w:r>
              <w:t xml:space="preserve">Retention &amp; lifecycle features</w:t>
            </w:r>
          </w:p>
        </w:tc>
        <w:tc>
          <w:tcPr/>
          <w:p>
            <w:pPr>
              <w:pStyle w:val="Compact"/>
            </w:pPr>
            <w:r>
              <w:t xml:space="preserve">Typical fit</w:t>
            </w:r>
          </w:p>
        </w:tc>
      </w:tr>
      <w:tr>
        <w:tc>
          <w:tcPr/>
          <w:p>
            <w:pPr>
              <w:pStyle w:val="Compact"/>
            </w:pPr>
            <w:r>
              <w:t xml:space="preserve">InfluxDB</w:t>
            </w:r>
          </w:p>
        </w:tc>
        <w:tc>
          <w:tcPr/>
          <w:p>
            <w:pPr>
              <w:pStyle w:val="Compact"/>
            </w:pPr>
            <w:r>
              <w:t xml:space="preserve">Purpose-built TSDB; strong ecosystem for sensors</w:t>
            </w:r>
          </w:p>
        </w:tc>
        <w:tc>
          <w:tcPr/>
          <w:p>
            <w:pPr>
              <w:pStyle w:val="Compact"/>
            </w:pPr>
            <w:r>
              <w:t xml:space="preserve">Bucket retention can be configured (as short as an hour or infinite); expired points become eligible for deletion based on retention.</w:t>
            </w:r>
            <w:r>
              <w:t xml:space="preserve"> </w:t>
            </w:r>
            <w:hyperlink r:id="rId73">
              <w:r>
                <w:rPr>
                  <w:rStyle w:val="Hyperlink"/>
                </w:rPr>
                <w:t xml:space="preserve">[49]</w:t>
              </w:r>
            </w:hyperlink>
          </w:p>
        </w:tc>
        <w:tc>
          <w:tcPr/>
          <w:p>
            <w:pPr>
              <w:pStyle w:val="Compact"/>
            </w:pPr>
            <w:r>
              <w:t xml:space="preserve">MVP–production for telemetry + dashboards</w:t>
            </w:r>
          </w:p>
        </w:tc>
      </w:tr>
      <w:tr>
        <w:tc>
          <w:tcPr/>
          <w:p>
            <w:pPr>
              <w:pStyle w:val="Compact"/>
            </w:pPr>
            <w:r>
              <w:t xml:space="preserve">TimescaleDB</w:t>
            </w:r>
          </w:p>
        </w:tc>
        <w:tc>
          <w:tcPr/>
          <w:p>
            <w:pPr>
              <w:pStyle w:val="Compact"/>
            </w:pPr>
            <w:r>
              <w:t xml:space="preserve">PostgreSQL-based; SQL + relational joins for assets</w:t>
            </w:r>
          </w:p>
        </w:tc>
        <w:tc>
          <w:tcPr/>
          <w:p>
            <w:pPr>
              <w:pStyle w:val="Compact"/>
            </w:pPr>
            <w:r>
              <w:t xml:space="preserve">Retention policies can automatically drop old chunks via background jobs.</w:t>
            </w:r>
            <w:r>
              <w:t xml:space="preserve"> </w:t>
            </w:r>
            <w:hyperlink r:id="rId74">
              <w:r>
                <w:rPr>
                  <w:rStyle w:val="Hyperlink"/>
                </w:rPr>
                <w:t xml:space="preserve">[50]</w:t>
              </w:r>
            </w:hyperlink>
          </w:p>
        </w:tc>
        <w:tc>
          <w:tcPr/>
          <w:p>
            <w:pPr>
              <w:pStyle w:val="Compact"/>
            </w:pPr>
            <w:r>
              <w:t xml:space="preserve">When you want TS + relational modeling in one DB</w:t>
            </w:r>
          </w:p>
        </w:tc>
      </w:tr>
      <w:tr>
        <w:tc>
          <w:tcPr/>
          <w:p>
            <w:pPr>
              <w:pStyle w:val="Compact"/>
            </w:pPr>
            <w:r>
              <w:t xml:space="preserve">Amazon Timestream</w:t>
            </w:r>
          </w:p>
        </w:tc>
        <w:tc>
          <w:tcPr/>
          <w:p>
            <w:pPr>
              <w:pStyle w:val="Compact"/>
            </w:pPr>
            <w:r>
              <w:t xml:space="preserve">Managed TSDB with tiered stores</w:t>
            </w:r>
          </w:p>
        </w:tc>
        <w:tc>
          <w:tcPr/>
          <w:p>
            <w:pPr>
              <w:pStyle w:val="Compact"/>
            </w:pPr>
            <w:r>
              <w:t xml:space="preserve">Memory + magnetic store retentions define total storage time; data moves to magnetic store by age then is deleted based on retention settings.</w:t>
            </w:r>
            <w:r>
              <w:t xml:space="preserve"> </w:t>
            </w:r>
            <w:hyperlink r:id="rId75">
              <w:r>
                <w:rPr>
                  <w:rStyle w:val="Hyperlink"/>
                </w:rPr>
                <w:t xml:space="preserve">[51]</w:t>
              </w:r>
            </w:hyperlink>
          </w:p>
        </w:tc>
        <w:tc>
          <w:tcPr/>
          <w:p>
            <w:pPr>
              <w:pStyle w:val="Compact"/>
            </w:pPr>
            <w:r>
              <w:t xml:space="preserve">If you’re already on AWS and want managed ops</w:t>
            </w:r>
          </w:p>
        </w:tc>
      </w:tr>
      <w:tr>
        <w:tc>
          <w:tcPr/>
          <w:p>
            <w:pPr>
              <w:pStyle w:val="Compact"/>
            </w:pPr>
            <w:r>
              <w:t xml:space="preserve">QuestDB</w:t>
            </w:r>
          </w:p>
        </w:tc>
        <w:tc>
          <w:tcPr/>
          <w:p>
            <w:pPr>
              <w:pStyle w:val="Compact"/>
            </w:pPr>
            <w:r>
              <w:t xml:space="preserve">High-ingest SQL TSDB focus</w:t>
            </w:r>
          </w:p>
        </w:tc>
        <w:tc>
          <w:tcPr/>
          <w:p>
            <w:pPr>
              <w:pStyle w:val="Compact"/>
            </w:pPr>
            <w:r>
              <w:t xml:space="preserve">Documented ingestion throughput characteristics; enterprise adds backups/HA features.</w:t>
            </w:r>
            <w:r>
              <w:t xml:space="preserve"> </w:t>
            </w:r>
            <w:hyperlink r:id="rId76">
              <w:r>
                <w:rPr>
                  <w:rStyle w:val="Hyperlink"/>
                </w:rPr>
                <w:t xml:space="preserve">[52]</w:t>
              </w:r>
            </w:hyperlink>
          </w:p>
        </w:tc>
        <w:tc>
          <w:tcPr/>
          <w:p>
            <w:pPr>
              <w:pStyle w:val="Compact"/>
            </w:pPr>
            <w:r>
              <w:t xml:space="preserve">If you want very high ingest + SQL</w:t>
            </w:r>
          </w:p>
        </w:tc>
      </w:tr>
    </w:tbl>
    <w:bookmarkEnd w:id="77"/>
    <w:bookmarkStart w:id="78" w:name="X1ca1324f71a8ad8062f3b6123eb5e613d3700a0"/>
    <w:p>
      <w:pPr>
        <w:pStyle w:val="Heading3"/>
      </w:pPr>
      <w:r>
        <w:t xml:space="preserve">Schema patterns that scale from MVP to “real” twin</w:t>
      </w:r>
    </w:p>
    <w:p>
      <w:pPr>
        <w:pStyle w:val="FirstParagraph"/>
      </w:pPr>
      <w:r>
        <w:t xml:space="preserve">A digital twin needs at least two logical data layers:</w:t>
      </w:r>
    </w:p>
    <w:p>
      <w:pPr>
        <w:pStyle w:val="BodyText"/>
      </w:pPr>
      <w:r>
        <w:t xml:space="preserve">1)</w:t>
      </w:r>
      <w:r>
        <w:t xml:space="preserve"> </w:t>
      </w:r>
      <w:r>
        <w:rPr>
          <w:b/>
          <w:bCs/>
        </w:rPr>
        <w:t xml:space="preserve">Telemetry facts (time-series)</w:t>
      </w:r>
      <w:r>
        <w:br/>
      </w:r>
      <w:r>
        <w:t xml:space="preserve">- measurement:</w:t>
      </w:r>
      <w:r>
        <w:t xml:space="preserve"> </w:t>
      </w:r>
      <w:r>
        <w:rPr>
          <w:rStyle w:val="VerbatimChar"/>
        </w:rPr>
        <w:t xml:space="preserve">air_temp</w:t>
      </w:r>
      <w:r>
        <w:t xml:space="preserve">,</w:t>
      </w:r>
      <w:r>
        <w:t xml:space="preserve"> </w:t>
      </w:r>
      <w:r>
        <w:rPr>
          <w:rStyle w:val="VerbatimChar"/>
        </w:rPr>
        <w:t xml:space="preserve">rh</w:t>
      </w:r>
      <w:r>
        <w:t xml:space="preserve">,</w:t>
      </w:r>
      <w:r>
        <w:t xml:space="preserve"> </w:t>
      </w:r>
      <w:r>
        <w:rPr>
          <w:rStyle w:val="VerbatimChar"/>
        </w:rPr>
        <w:t xml:space="preserve">co2</w:t>
      </w:r>
      <w:r>
        <w:t xml:space="preserve">,</w:t>
      </w:r>
      <w:r>
        <w:t xml:space="preserve"> </w:t>
      </w:r>
      <w:r>
        <w:rPr>
          <w:rStyle w:val="VerbatimChar"/>
        </w:rPr>
        <w:t xml:space="preserve">vwc</w:t>
      </w:r>
      <w:r>
        <w:t xml:space="preserve">,</w:t>
      </w:r>
      <w:r>
        <w:t xml:space="preserve"> </w:t>
      </w:r>
      <w:r>
        <w:rPr>
          <w:rStyle w:val="VerbatimChar"/>
        </w:rPr>
        <w:t xml:space="preserve">ec</w:t>
      </w:r>
      <w:r>
        <w:t xml:space="preserve">,</w:t>
      </w:r>
      <w:r>
        <w:t xml:space="preserve"> </w:t>
      </w:r>
      <w:r>
        <w:rPr>
          <w:rStyle w:val="VerbatimChar"/>
        </w:rPr>
        <w:t xml:space="preserve">ph</w:t>
      </w:r>
      <w:r>
        <w:t xml:space="preserve">,</w:t>
      </w:r>
      <w:r>
        <w:t xml:space="preserve"> </w:t>
      </w:r>
      <w:r>
        <w:rPr>
          <w:rStyle w:val="VerbatimChar"/>
        </w:rPr>
        <w:t xml:space="preserve">pump_current</w:t>
      </w:r>
      <w:r>
        <w:t xml:space="preserve">, etc.</w:t>
      </w:r>
      <w:r>
        <w:br/>
      </w:r>
      <w:r>
        <w:t xml:space="preserve">- tags/dimensions:</w:t>
      </w:r>
      <w:r>
        <w:t xml:space="preserve"> </w:t>
      </w:r>
      <w:r>
        <w:rPr>
          <w:rStyle w:val="VerbatimChar"/>
        </w:rPr>
        <w:t xml:space="preserve">site_id</w:t>
      </w:r>
      <w:r>
        <w:t xml:space="preserve">,</w:t>
      </w:r>
      <w:r>
        <w:t xml:space="preserve"> </w:t>
      </w:r>
      <w:r>
        <w:rPr>
          <w:rStyle w:val="VerbatimChar"/>
        </w:rPr>
        <w:t xml:space="preserve">zone_id</w:t>
      </w:r>
      <w:r>
        <w:t xml:space="preserve">,</w:t>
      </w:r>
      <w:r>
        <w:t xml:space="preserve"> </w:t>
      </w:r>
      <w:r>
        <w:rPr>
          <w:rStyle w:val="VerbatimChar"/>
        </w:rPr>
        <w:t xml:space="preserve">node_id</w:t>
      </w:r>
      <w:r>
        <w:t xml:space="preserve">,</w:t>
      </w:r>
      <w:r>
        <w:t xml:space="preserve"> </w:t>
      </w:r>
      <w:r>
        <w:rPr>
          <w:rStyle w:val="VerbatimChar"/>
        </w:rPr>
        <w:t xml:space="preserve">sensor_id</w:t>
      </w:r>
      <w:r>
        <w:t xml:space="preserve">,</w:t>
      </w:r>
      <w:r>
        <w:t xml:space="preserve"> </w:t>
      </w:r>
      <w:r>
        <w:rPr>
          <w:rStyle w:val="VerbatimChar"/>
        </w:rPr>
        <w:t xml:space="preserve">crop_batch_id</w:t>
      </w:r>
      <w:r>
        <w:br/>
      </w:r>
      <w:r>
        <w:t xml:space="preserve">- fields: numeric readings, quality flags, firmware version, calibration ID (important for traceability)</w:t>
      </w:r>
      <w:r>
        <w:t xml:space="preserve"> </w:t>
      </w:r>
      <w:hyperlink r:id="rId21">
        <w:r>
          <w:rPr>
            <w:rStyle w:val="Hyperlink"/>
          </w:rPr>
          <w:t xml:space="preserve">[53]</w:t>
        </w:r>
      </w:hyperlink>
    </w:p>
    <w:p>
      <w:pPr>
        <w:pStyle w:val="BodyText"/>
      </w:pPr>
      <w:r>
        <w:t xml:space="preserve">2)</w:t>
      </w:r>
      <w:r>
        <w:t xml:space="preserve"> </w:t>
      </w:r>
      <w:r>
        <w:rPr>
          <w:b/>
          <w:bCs/>
        </w:rPr>
        <w:t xml:space="preserve">Twin metadata (relational or document)</w:t>
      </w:r>
      <w:r>
        <w:br/>
      </w:r>
      <w:r>
        <w:t xml:space="preserve">- assets: pumps, valves, beds, reservoirs, cameras</w:t>
      </w:r>
      <w:r>
        <w:br/>
      </w:r>
      <w:r>
        <w:t xml:space="preserve">- relationships: which sensor belongs to which asset/zone</w:t>
      </w:r>
      <w:r>
        <w:br/>
      </w:r>
      <w:r>
        <w:t xml:space="preserve">- maintenance: calibration logs, probe replacements, failure events</w:t>
      </w:r>
    </w:p>
    <w:p>
      <w:pPr>
        <w:pStyle w:val="BodyText"/>
      </w:pPr>
      <w:r>
        <w:t xml:space="preserve">Even if you choose InfluxDB for telemetry, keep a small relational store (e.g., PostgreSQL) or a structured config repo for the twin’s asset graph; agriculture DT papers repeatedly emphasize orchestration and integrating multiple models/data sources.</w:t>
      </w:r>
      <w:r>
        <w:t xml:space="preserve"> </w:t>
      </w:r>
      <w:hyperlink r:id="rId21">
        <w:r>
          <w:rPr>
            <w:rStyle w:val="Hyperlink"/>
          </w:rPr>
          <w:t xml:space="preserve">[54]</w:t>
        </w:r>
      </w:hyperlink>
    </w:p>
    <w:bookmarkEnd w:id="78"/>
    <w:bookmarkStart w:id="79" w:name="X1c85d01a256eb038ed1f7922eebf935a5442f5e"/>
    <w:p>
      <w:pPr>
        <w:pStyle w:val="Heading3"/>
      </w:pPr>
      <w:r>
        <w:t xml:space="preserve">Retention and backup strategy for a demo-capable system</w:t>
      </w:r>
    </w:p>
    <w:p>
      <w:pPr>
        <w:pStyle w:val="FirstParagraph"/>
      </w:pPr>
      <w:r>
        <w:t xml:space="preserve">A robust demo often needs</w:t>
      </w:r>
      <w:r>
        <w:t xml:space="preserve"> </w:t>
      </w:r>
      <w:r>
        <w:rPr>
          <w:b/>
          <w:bCs/>
        </w:rPr>
        <w:t xml:space="preserve">two retention horizons</w:t>
      </w:r>
      <w:r>
        <w:t xml:space="preserve">:</w:t>
      </w:r>
    </w:p>
    <w:p>
      <w:pPr>
        <w:pStyle w:val="Compact"/>
        <w:numPr>
          <w:ilvl w:val="0"/>
          <w:numId w:val="1007"/>
        </w:numPr>
      </w:pPr>
      <w:r>
        <w:rPr>
          <w:b/>
          <w:bCs/>
        </w:rPr>
        <w:t xml:space="preserve">Hot data (high resolution)</w:t>
      </w:r>
      <w:r>
        <w:t xml:space="preserve">: keep 7–30 days at full sampling (e.g., 1–60 s).</w:t>
      </w:r>
    </w:p>
    <w:p>
      <w:pPr>
        <w:pStyle w:val="Compact"/>
        <w:numPr>
          <w:ilvl w:val="0"/>
          <w:numId w:val="1007"/>
        </w:numPr>
      </w:pPr>
      <w:r>
        <w:rPr>
          <w:b/>
          <w:bCs/>
        </w:rPr>
        <w:t xml:space="preserve">Warm data (downsampled)</w:t>
      </w:r>
      <w:r>
        <w:t xml:space="preserve">: keep 6–24 months at 5–15 min resolution for trendlines and model training.</w:t>
      </w:r>
    </w:p>
    <w:p>
      <w:pPr>
        <w:pStyle w:val="FirstParagraph"/>
      </w:pPr>
      <w:r>
        <w:t xml:space="preserve">InfluxDB retention is directly configurable at the bucket level.</w:t>
      </w:r>
      <w:r>
        <w:t xml:space="preserve"> </w:t>
      </w:r>
      <w:hyperlink r:id="rId73">
        <w:r>
          <w:rPr>
            <w:rStyle w:val="Hyperlink"/>
          </w:rPr>
          <w:t xml:space="preserve">[55]</w:t>
        </w:r>
      </w:hyperlink>
      <w:r>
        <w:br/>
      </w:r>
      <w:r>
        <w:t xml:space="preserve">TimescaleDB retention policies drop historical chunks automatically, and you can keep aggregates longer than raw data.</w:t>
      </w:r>
      <w:r>
        <w:t xml:space="preserve"> </w:t>
      </w:r>
      <w:hyperlink r:id="rId74">
        <w:r>
          <w:rPr>
            <w:rStyle w:val="Hyperlink"/>
          </w:rPr>
          <w:t xml:space="preserve">[56]</w:t>
        </w:r>
      </w:hyperlink>
      <w:r>
        <w:br/>
      </w:r>
      <w:r>
        <w:t xml:space="preserve">For cloud-managed TSDB, Amazon Timestream uses two-tier retention (memory + magnetic).</w:t>
      </w:r>
      <w:r>
        <w:t xml:space="preserve"> </w:t>
      </w:r>
      <w:hyperlink r:id="rId75">
        <w:r>
          <w:rPr>
            <w:rStyle w:val="Hyperlink"/>
          </w:rPr>
          <w:t xml:space="preserve">[51]</w:t>
        </w:r>
      </w:hyperlink>
    </w:p>
    <w:p>
      <w:pPr>
        <w:pStyle w:val="BodyText"/>
      </w:pPr>
      <w:r>
        <w:t xml:space="preserve">For backups, the minimal demo-safe baseline is:</w:t>
      </w:r>
    </w:p>
    <w:p>
      <w:pPr>
        <w:pStyle w:val="Compact"/>
        <w:numPr>
          <w:ilvl w:val="0"/>
          <w:numId w:val="1008"/>
        </w:numPr>
      </w:pPr>
      <w:r>
        <w:t xml:space="preserve">Nightly export of downsampled telemetry (CSV/Parquet) + metadata snapshot</w:t>
      </w:r>
    </w:p>
    <w:p>
      <w:pPr>
        <w:pStyle w:val="Compact"/>
        <w:numPr>
          <w:ilvl w:val="0"/>
          <w:numId w:val="1008"/>
        </w:numPr>
      </w:pPr>
      <w:r>
        <w:t xml:space="preserve">Version-controlled configs (device registry, calibration constants, dashboard JSON)</w:t>
      </w:r>
    </w:p>
    <w:p>
      <w:pPr>
        <w:pStyle w:val="Compact"/>
        <w:numPr>
          <w:ilvl w:val="0"/>
          <w:numId w:val="1008"/>
        </w:numPr>
      </w:pPr>
      <w:r>
        <w:t xml:space="preserve">A “replay mode” that re-injects saved telemetry into MQTT for offline demos (also useful for ML training reproducibility).</w:t>
      </w:r>
      <w:r>
        <w:t xml:space="preserve"> </w:t>
      </w:r>
      <w:hyperlink r:id="rId28">
        <w:r>
          <w:rPr>
            <w:rStyle w:val="Hyperlink"/>
          </w:rPr>
          <w:t xml:space="preserve">[57]</w:t>
        </w:r>
      </w:hyperlink>
    </w:p>
    <w:bookmarkEnd w:id="79"/>
    <w:bookmarkEnd w:id="80"/>
    <w:bookmarkStart w:id="93" w:name="X85306cf142259982c051a710fb74d945e004cae"/>
    <w:p>
      <w:pPr>
        <w:pStyle w:val="Heading2"/>
      </w:pPr>
      <w:r>
        <w:t xml:space="preserve">AI models for forecasting, scheduling, anomaly detection, and device failure prediction</w:t>
      </w:r>
    </w:p>
    <w:bookmarkStart w:id="82" w:name="X05f01974d0f3993c32eb162a8b05ae22fefcdf2"/>
    <w:p>
      <w:pPr>
        <w:pStyle w:val="Heading3"/>
      </w:pPr>
      <w:r>
        <w:t xml:space="preserve">Model family selection, matched to greenhouse/hydroponics tasks</w:t>
      </w:r>
    </w:p>
    <w:p>
      <w:pPr>
        <w:pStyle w:val="FirstParagraph"/>
      </w:pPr>
      <w:r>
        <w:t xml:space="preserve">Your target tasks map well to four model families:</w:t>
      </w:r>
    </w:p>
    <w:p>
      <w:pPr>
        <w:pStyle w:val="Compact"/>
        <w:numPr>
          <w:ilvl w:val="0"/>
          <w:numId w:val="1009"/>
        </w:numPr>
      </w:pPr>
      <w:r>
        <w:t xml:space="preserve">Tree boosting:</w:t>
      </w:r>
      <w:r>
        <w:t xml:space="preserve"> </w:t>
      </w:r>
      <w:r>
        <w:rPr>
          <w:b/>
          <w:bCs/>
        </w:rPr>
        <w:t xml:space="preserve">XGBoost / LightGBM</w:t>
      </w:r>
      <w:r>
        <w:t xml:space="preserve"> </w:t>
      </w:r>
      <w:r>
        <w:t xml:space="preserve">(strong for tabular features, fast iteration)</w:t>
      </w:r>
      <w:r>
        <w:t xml:space="preserve"> </w:t>
      </w:r>
      <w:hyperlink r:id="rId24">
        <w:r>
          <w:rPr>
            <w:rStyle w:val="Hyperlink"/>
          </w:rPr>
          <w:t xml:space="preserve">[58]</w:t>
        </w:r>
      </w:hyperlink>
    </w:p>
    <w:p>
      <w:pPr>
        <w:pStyle w:val="Compact"/>
        <w:numPr>
          <w:ilvl w:val="0"/>
          <w:numId w:val="1009"/>
        </w:numPr>
      </w:pPr>
      <w:r>
        <w:t xml:space="preserve">Sequence forecasting:</w:t>
      </w:r>
      <w:r>
        <w:t xml:space="preserve"> </w:t>
      </w:r>
      <w:r>
        <w:rPr>
          <w:b/>
          <w:bCs/>
        </w:rPr>
        <w:t xml:space="preserve">LSTM / temporal CNN / hybrid</w:t>
      </w:r>
      <w:r>
        <w:t xml:space="preserve"> </w:t>
      </w:r>
      <w:r>
        <w:t xml:space="preserve">for multi-step forecasts with lags</w:t>
      </w:r>
      <w:r>
        <w:t xml:space="preserve"> </w:t>
      </w:r>
      <w:hyperlink r:id="rId33">
        <w:r>
          <w:rPr>
            <w:rStyle w:val="Hyperlink"/>
          </w:rPr>
          <w:t xml:space="preserve">[59]</w:t>
        </w:r>
      </w:hyperlink>
    </w:p>
    <w:p>
      <w:pPr>
        <w:pStyle w:val="Compact"/>
        <w:numPr>
          <w:ilvl w:val="0"/>
          <w:numId w:val="1009"/>
        </w:numPr>
      </w:pPr>
      <w:r>
        <w:t xml:space="preserve">Control/decision:</w:t>
      </w:r>
      <w:r>
        <w:t xml:space="preserve"> </w:t>
      </w:r>
      <w:r>
        <w:rPr>
          <w:b/>
          <w:bCs/>
        </w:rPr>
        <w:t xml:space="preserve">MPC and RL</w:t>
      </w:r>
      <w:r>
        <w:t xml:space="preserve"> </w:t>
      </w:r>
      <w:r>
        <w:t xml:space="preserve">for irrigation strategy; RL shown as promising but with deployment challenges</w:t>
      </w:r>
      <w:r>
        <w:t xml:space="preserve"> </w:t>
      </w:r>
      <w:hyperlink r:id="rId35">
        <w:r>
          <w:rPr>
            <w:rStyle w:val="Hyperlink"/>
          </w:rPr>
          <w:t xml:space="preserve">[14]</w:t>
        </w:r>
      </w:hyperlink>
    </w:p>
    <w:p>
      <w:pPr>
        <w:pStyle w:val="Compact"/>
        <w:numPr>
          <w:ilvl w:val="0"/>
          <w:numId w:val="1009"/>
        </w:numPr>
      </w:pPr>
      <w:r>
        <w:t xml:space="preserve">Vision:</w:t>
      </w:r>
      <w:r>
        <w:t xml:space="preserve"> </w:t>
      </w:r>
      <w:r>
        <w:rPr>
          <w:b/>
          <w:bCs/>
        </w:rPr>
        <w:t xml:space="preserve">CNN-based</w:t>
      </w:r>
      <w:r>
        <w:t xml:space="preserve"> </w:t>
      </w:r>
      <w:r>
        <w:t xml:space="preserve">plant status detection; YOLO-style models are widely used, and Ultralytics notes YOLOv8 is maintained as fast-evolving documentation rather than a static paper.</w:t>
      </w:r>
      <w:r>
        <w:t xml:space="preserve"> </w:t>
      </w:r>
      <w:hyperlink r:id="rId81">
        <w:r>
          <w:rPr>
            <w:rStyle w:val="Hyperlink"/>
          </w:rPr>
          <w:t xml:space="preserve">[60]</w:t>
        </w:r>
      </w:hyperlink>
    </w:p>
    <w:bookmarkEnd w:id="82"/>
    <w:bookmarkStart w:id="89" w:name="concrete-modeling-guidance-per-task"/>
    <w:p>
      <w:pPr>
        <w:pStyle w:val="Heading3"/>
      </w:pPr>
      <w:r>
        <w:t xml:space="preserve">Concrete modeling guidance per task</w:t>
      </w:r>
    </w:p>
    <w:bookmarkStart w:id="83" w:name="soilsubstrate-moisture-prediction"/>
    <w:p>
      <w:pPr>
        <w:pStyle w:val="Heading4"/>
      </w:pPr>
      <w:r>
        <w:t xml:space="preserve">Soil/substrate moisture prediction</w:t>
      </w:r>
    </w:p>
    <w:p>
      <w:pPr>
        <w:pStyle w:val="FirstParagraph"/>
      </w:pPr>
      <w:r>
        <w:rPr>
          <w:b/>
          <w:bCs/>
        </w:rPr>
        <w:t xml:space="preserve">Goal:</w:t>
      </w:r>
      <w:r>
        <w:t xml:space="preserve"> </w:t>
      </w:r>
      <w:r>
        <w:t xml:space="preserve">Predict VWC (or a moisture proxy) 15–120 minutes ahead to anticipate irrigation.</w:t>
      </w:r>
    </w:p>
    <w:p>
      <w:pPr>
        <w:pStyle w:val="Compact"/>
        <w:numPr>
          <w:ilvl w:val="0"/>
          <w:numId w:val="1010"/>
        </w:numPr>
      </w:pPr>
      <w:r>
        <w:t xml:space="preserve">Recommended models: XGBoost / LightGBM for baseline; LSTM for multi-step horizon.</w:t>
      </w:r>
      <w:r>
        <w:t xml:space="preserve"> </w:t>
      </w:r>
      <w:hyperlink r:id="rId24">
        <w:r>
          <w:rPr>
            <w:rStyle w:val="Hyperlink"/>
          </w:rPr>
          <w:t xml:space="preserve">[58]</w:t>
        </w:r>
      </w:hyperlink>
    </w:p>
    <w:p>
      <w:pPr>
        <w:pStyle w:val="Compact"/>
        <w:numPr>
          <w:ilvl w:val="0"/>
          <w:numId w:val="1010"/>
        </w:numPr>
      </w:pPr>
      <w:r>
        <w:t xml:space="preserve">Inputs (feature set):</w:t>
      </w:r>
    </w:p>
    <w:p>
      <w:pPr>
        <w:pStyle w:val="Compact"/>
        <w:numPr>
          <w:ilvl w:val="0"/>
          <w:numId w:val="1010"/>
        </w:numPr>
      </w:pPr>
      <w:r>
        <w:t xml:space="preserve">Lagged VWC (t−1…t−n), rolling mean/variance, irrigation events, valve/pump state</w:t>
      </w:r>
    </w:p>
    <w:p>
      <w:pPr>
        <w:pStyle w:val="Compact"/>
        <w:numPr>
          <w:ilvl w:val="0"/>
          <w:numId w:val="1010"/>
        </w:numPr>
      </w:pPr>
      <w:r>
        <w:t xml:space="preserve">Air temperature/RH (for evapotranspiration proxy), light intensity / photoperiod, CO₂ (optional), outside weather features if available</w:t>
      </w:r>
    </w:p>
    <w:p>
      <w:pPr>
        <w:pStyle w:val="Compact"/>
        <w:numPr>
          <w:ilvl w:val="0"/>
          <w:numId w:val="1010"/>
        </w:numPr>
      </w:pPr>
      <w:r>
        <w:t xml:space="preserve">Data volume heuristic:</w:t>
      </w:r>
    </w:p>
    <w:p>
      <w:pPr>
        <w:pStyle w:val="Compact"/>
        <w:numPr>
          <w:ilvl w:val="0"/>
          <w:numId w:val="1010"/>
        </w:numPr>
      </w:pPr>
      <w:r>
        <w:t xml:space="preserve">Tree boosting: often useful with</w:t>
      </w:r>
      <w:r>
        <w:t xml:space="preserve"> </w:t>
      </w:r>
      <w:r>
        <w:rPr>
          <w:b/>
          <w:bCs/>
        </w:rPr>
        <w:t xml:space="preserve">thousands to tens of thousands</w:t>
      </w:r>
      <w:r>
        <w:t xml:space="preserve"> </w:t>
      </w:r>
      <w:r>
        <w:t xml:space="preserve">of timestamped samples (minutes-level sampling yields this quickly).</w:t>
      </w:r>
    </w:p>
    <w:p>
      <w:pPr>
        <w:pStyle w:val="Compact"/>
        <w:numPr>
          <w:ilvl w:val="0"/>
          <w:numId w:val="1010"/>
        </w:numPr>
      </w:pPr>
      <w:r>
        <w:t xml:space="preserve">LSTM: benefits from more sequences; plan weeks to months depending on sampling.</w:t>
      </w:r>
    </w:p>
    <w:p>
      <w:pPr>
        <w:pStyle w:val="Compact"/>
        <w:numPr>
          <w:ilvl w:val="0"/>
          <w:numId w:val="1010"/>
        </w:numPr>
      </w:pPr>
      <w:r>
        <w:t xml:space="preserve">Validation: time-series split (walk-forward), evaluate RMSE/MAE and “event metrics” (e.g., error at irrigation trigger points).</w:t>
      </w:r>
    </w:p>
    <w:p>
      <w:pPr>
        <w:pStyle w:val="Compact"/>
        <w:numPr>
          <w:ilvl w:val="0"/>
          <w:numId w:val="1010"/>
        </w:numPr>
      </w:pPr>
      <w:r>
        <w:t xml:space="preserve">Expected metrics: in practice, report MAE/RMSE and also “irrigation decision error” (how often would the model cause over/under watering).</w:t>
      </w:r>
    </w:p>
    <w:bookmarkEnd w:id="83"/>
    <w:bookmarkStart w:id="84" w:name="X3638083b82c1bc1c693db49c27ed81d912cb98c"/>
    <w:p>
      <w:pPr>
        <w:pStyle w:val="Heading4"/>
      </w:pPr>
      <w:r>
        <w:t xml:space="preserve">Irrigation scheduling (open-loop → closed-loop)</w:t>
      </w:r>
    </w:p>
    <w:p>
      <w:pPr>
        <w:pStyle w:val="FirstParagraph"/>
      </w:pPr>
      <w:r>
        <w:t xml:space="preserve">Recent greenhouse irrigation work evaluates reinforcement learning (e.g., actor–critic) against time-based and on–off controllers, reporting improved balance of water savings and maintaining soil moisture within safe limits.</w:t>
      </w:r>
      <w:r>
        <w:t xml:space="preserve"> </w:t>
      </w:r>
      <w:hyperlink r:id="rId34">
        <w:r>
          <w:rPr>
            <w:rStyle w:val="Hyperlink"/>
          </w:rPr>
          <w:t xml:space="preserve">[61]</w:t>
        </w:r>
      </w:hyperlink>
      <w:r>
        <w:br/>
      </w:r>
      <w:r>
        <w:t xml:space="preserve">A broader irrigation review highlights typical constraints: data scarcity, interpretability, and simulation-to-reality gaps.</w:t>
      </w:r>
      <w:r>
        <w:t xml:space="preserve"> </w:t>
      </w:r>
      <w:hyperlink r:id="rId35">
        <w:r>
          <w:rPr>
            <w:rStyle w:val="Hyperlink"/>
          </w:rPr>
          <w:t xml:space="preserve">[62]</w:t>
        </w:r>
      </w:hyperlink>
    </w:p>
    <w:p>
      <w:pPr>
        <w:pStyle w:val="BodyText"/>
      </w:pPr>
      <w:r>
        <w:rPr>
          <w:b/>
          <w:bCs/>
        </w:rPr>
        <w:t xml:space="preserve">Practical recommendation for an FYP:</w:t>
      </w:r>
      <w:r>
        <w:br/>
      </w:r>
      <w:r>
        <w:t xml:space="preserve">- MVP: rule-based + PID/on–off control with safe bounds</w:t>
      </w:r>
      <w:r>
        <w:br/>
      </w:r>
      <w:r>
        <w:t xml:space="preserve">- AI phase: supervised soil moisture forecasting + heuristic scheduling (threshold + forecast)</w:t>
      </w:r>
      <w:r>
        <w:br/>
      </w:r>
      <w:r>
        <w:t xml:space="preserve">- Closed-loop phase: limited RL or MPC in simulation first, then deploy with a “safety shield” (hard constraints and manual override).</w:t>
      </w:r>
    </w:p>
    <w:bookmarkEnd w:id="84"/>
    <w:bookmarkStart w:id="86" w:name="X1e81bfd21e12bf2f115a7d40daf96dfdc4b16fa"/>
    <w:p>
      <w:pPr>
        <w:pStyle w:val="Heading4"/>
      </w:pPr>
      <w:r>
        <w:t xml:space="preserve">Temperature/humidity forecasting (greenhouse microclimate)</w:t>
      </w:r>
    </w:p>
    <w:p>
      <w:pPr>
        <w:pStyle w:val="FirstParagraph"/>
      </w:pPr>
      <w:r>
        <w:t xml:space="preserve">Greenhouse climate forecasting papers frequently use ML models (including XGBoost) and report high short-horizon fit (example: reported R² up to ~0.99 for 30-minute-ahead predictions in one study context).</w:t>
      </w:r>
      <w:r>
        <w:t xml:space="preserve"> </w:t>
      </w:r>
      <w:hyperlink r:id="rId85">
        <w:r>
          <w:rPr>
            <w:rStyle w:val="Hyperlink"/>
          </w:rPr>
          <w:t xml:space="preserve">[63]</w:t>
        </w:r>
      </w:hyperlink>
      <w:r>
        <w:br/>
      </w:r>
      <w:r>
        <w:t xml:space="preserve">Forecast-driven climate control is actively explored to support autonomous greenhouse strategies.</w:t>
      </w:r>
      <w:r>
        <w:t xml:space="preserve"> </w:t>
      </w:r>
      <w:hyperlink r:id="rId33">
        <w:r>
          <w:rPr>
            <w:rStyle w:val="Hyperlink"/>
          </w:rPr>
          <w:t xml:space="preserve">[64]</w:t>
        </w:r>
      </w:hyperlink>
    </w:p>
    <w:p>
      <w:pPr>
        <w:pStyle w:val="BodyText"/>
      </w:pPr>
      <w:r>
        <w:rPr>
          <w:b/>
          <w:bCs/>
        </w:rPr>
        <w:t xml:space="preserve">Recommended modeling approach:</w:t>
      </w:r>
      <w:r>
        <w:br/>
      </w:r>
      <w:r>
        <w:t xml:space="preserve">- Baseline: XGBoost/LightGBM with lag features</w:t>
      </w:r>
      <w:r>
        <w:br/>
      </w:r>
      <w:r>
        <w:t xml:space="preserve">- Advanced: seq2seq LSTM for multi-step (next 6–24 timesteps) forecasts</w:t>
      </w:r>
      <w:r>
        <w:br/>
      </w:r>
      <w:r>
        <w:t xml:space="preserve">- Metrics: RMSE/MAE, and “comfort band violation rate” (percentage of forecast horizon predicted outside acceptable VPD/temperature ranges)</w:t>
      </w:r>
    </w:p>
    <w:bookmarkEnd w:id="86"/>
    <w:bookmarkStart w:id="87" w:name="X97677b03c3b144767b8b4c2ac862ae5219f3145"/>
    <w:p>
      <w:pPr>
        <w:pStyle w:val="Heading4"/>
      </w:pPr>
      <w:r>
        <w:t xml:space="preserve">Anomaly detection (sensors + environment + crop)</w:t>
      </w:r>
    </w:p>
    <w:p>
      <w:pPr>
        <w:pStyle w:val="FirstParagraph"/>
      </w:pPr>
      <w:r>
        <w:t xml:space="preserve">Hydroponics sensor fault detection work explicitly classifies multiple fault types (bias, drift, spike, stuck), showing that classical ML can be effective and underscoring the value of synthetic fault injection + class balancing during training.</w:t>
      </w:r>
      <w:r>
        <w:t xml:space="preserve"> </w:t>
      </w:r>
      <w:hyperlink r:id="rId45">
        <w:r>
          <w:rPr>
            <w:rStyle w:val="Hyperlink"/>
          </w:rPr>
          <w:t xml:space="preserve">[65]</w:t>
        </w:r>
      </w:hyperlink>
    </w:p>
    <w:p>
      <w:pPr>
        <w:pStyle w:val="BodyText"/>
      </w:pPr>
      <w:r>
        <w:rPr>
          <w:b/>
          <w:bCs/>
        </w:rPr>
        <w:t xml:space="preserve">Suggested models and features:</w:t>
      </w:r>
      <w:r>
        <w:br/>
      </w:r>
      <w:r>
        <w:t xml:space="preserve">- Fast unsupervised: Isolation Forest / robust z-score on residuals</w:t>
      </w:r>
      <w:r>
        <w:br/>
      </w:r>
      <w:r>
        <w:t xml:space="preserve">- Supervised (if labeled faults): Random Forest / XGBoost</w:t>
      </w:r>
      <w:r>
        <w:br/>
      </w:r>
      <w:r>
        <w:t xml:space="preserve">- Features: residuals vs baseline forecast, rate-of-change constraints, cross-sensor consistency (e.g., RH vs temperature), calibration age.</w:t>
      </w:r>
    </w:p>
    <w:bookmarkEnd w:id="87"/>
    <w:bookmarkStart w:id="88" w:name="X4610bdfaf784ac837af48bd01b3898a6e4d1871"/>
    <w:p>
      <w:pPr>
        <w:pStyle w:val="Heading4"/>
      </w:pPr>
      <w:r>
        <w:t xml:space="preserve">Device failure prediction (pump/fan failure)</w:t>
      </w:r>
    </w:p>
    <w:p>
      <w:pPr>
        <w:pStyle w:val="FirstParagraph"/>
      </w:pPr>
      <w:r>
        <w:t xml:space="preserve">Low-cost predictive maintenance systems using vibration/acoustic sensing with ESP32-class hardware are actively studied, including pump anomaly detection with vibration signals.</w:t>
      </w:r>
      <w:r>
        <w:t xml:space="preserve"> </w:t>
      </w:r>
      <w:hyperlink r:id="rId47">
        <w:r>
          <w:rPr>
            <w:rStyle w:val="Hyperlink"/>
          </w:rPr>
          <w:t xml:space="preserve">[23]</w:t>
        </w:r>
      </w:hyperlink>
    </w:p>
    <w:p>
      <w:pPr>
        <w:pStyle w:val="BodyText"/>
      </w:pPr>
      <w:r>
        <w:rPr>
          <w:b/>
          <w:bCs/>
        </w:rPr>
        <w:t xml:space="preserve">Recommended MVP:</w:t>
      </w:r>
      <w:r>
        <w:br/>
      </w:r>
      <w:r>
        <w:t xml:space="preserve">- Instrument pump power/current state + one vibration sensor node</w:t>
      </w:r>
      <w:r>
        <w:br/>
      </w:r>
      <w:r>
        <w:t xml:space="preserve">- Use anomaly detection on spectral features (FFT bands) + operating state</w:t>
      </w:r>
      <w:r>
        <w:br/>
      </w:r>
      <w:r>
        <w:t xml:space="preserve">- Metrics: precision/recall for anomaly events; time-to-detect; false alarm rate per day.</w:t>
      </w:r>
    </w:p>
    <w:bookmarkEnd w:id="88"/>
    <w:bookmarkEnd w:id="89"/>
    <w:bookmarkStart w:id="92" w:name="X483ad8cfb14932e79ad4fbc6d14800beace5cdf"/>
    <w:p>
      <w:pPr>
        <w:pStyle w:val="Heading3"/>
      </w:pPr>
      <w:r>
        <w:t xml:space="preserve">Model comparison table for your report/presentation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Strong baseline</w:t>
            </w:r>
          </w:p>
        </w:tc>
        <w:tc>
          <w:tcPr/>
          <w:p>
            <w:pPr>
              <w:pStyle w:val="Compact"/>
            </w:pPr>
            <w:r>
              <w:t xml:space="preserve">Strong “next step”</w:t>
            </w:r>
          </w:p>
        </w:tc>
        <w:tc>
          <w:tcPr/>
          <w:p>
            <w:pPr>
              <w:pStyle w:val="Compact"/>
            </w:pPr>
            <w:r>
              <w:t xml:space="preserve">Typical inputs</w:t>
            </w:r>
          </w:p>
        </w:tc>
        <w:tc>
          <w:tcPr/>
          <w:p>
            <w:pPr>
              <w:pStyle w:val="Compact"/>
            </w:pPr>
            <w:r>
              <w:t xml:space="preserve">Metrics to report</w:t>
            </w:r>
          </w:p>
        </w:tc>
      </w:tr>
      <w:tr>
        <w:tc>
          <w:tcPr/>
          <w:p>
            <w:pPr>
              <w:pStyle w:val="Compact"/>
            </w:pPr>
            <w:r>
              <w:t xml:space="preserve">Moisture forecasting</w:t>
            </w:r>
          </w:p>
        </w:tc>
        <w:tc>
          <w:tcPr/>
          <w:p>
            <w:pPr>
              <w:pStyle w:val="Compact"/>
            </w:pPr>
            <w:r>
              <w:t xml:space="preserve">XGBoost</w:t>
            </w:r>
            <w:r>
              <w:t xml:space="preserve"> </w:t>
            </w:r>
            <w:hyperlink r:id="rId24">
              <w:r>
                <w:rPr>
                  <w:rStyle w:val="Hyperlink"/>
                </w:rPr>
                <w:t xml:space="preserve">[66]</w:t>
              </w:r>
            </w:hyperlink>
          </w:p>
        </w:tc>
        <w:tc>
          <w:tcPr/>
          <w:p>
            <w:pPr>
              <w:pStyle w:val="Compact"/>
            </w:pPr>
            <w:r>
              <w:t xml:space="preserve">LSTM</w:t>
            </w:r>
          </w:p>
        </w:tc>
        <w:tc>
          <w:tcPr/>
          <w:p>
            <w:pPr>
              <w:pStyle w:val="Compact"/>
            </w:pPr>
            <w:r>
              <w:t xml:space="preserve">lagged VWC, irrigation events, climate, light</w:t>
            </w:r>
          </w:p>
        </w:tc>
        <w:tc>
          <w:tcPr/>
          <w:p>
            <w:pPr>
              <w:pStyle w:val="Compact"/>
            </w:pPr>
            <w:r>
              <w:t xml:space="preserve">MAE/RMSE; decision error</w:t>
            </w:r>
          </w:p>
        </w:tc>
      </w:tr>
      <w:tr>
        <w:tc>
          <w:tcPr/>
          <w:p>
            <w:pPr>
              <w:pStyle w:val="Compact"/>
            </w:pPr>
            <w:r>
              <w:t xml:space="preserve">Climate forecasting</w:t>
            </w:r>
          </w:p>
        </w:tc>
        <w:tc>
          <w:tcPr/>
          <w:p>
            <w:pPr>
              <w:pStyle w:val="Compact"/>
            </w:pPr>
            <w:r>
              <w:t xml:space="preserve">LightGBM</w:t>
            </w:r>
            <w:r>
              <w:t xml:space="preserve"> </w:t>
            </w:r>
            <w:hyperlink r:id="rId90">
              <w:r>
                <w:rPr>
                  <w:rStyle w:val="Hyperlink"/>
                </w:rPr>
                <w:t xml:space="preserve">[67]</w:t>
              </w:r>
            </w:hyperlink>
          </w:p>
        </w:tc>
        <w:tc>
          <w:tcPr/>
          <w:p>
            <w:pPr>
              <w:pStyle w:val="Compact"/>
            </w:pPr>
            <w:r>
              <w:t xml:space="preserve">seq2seq LSTM</w:t>
            </w:r>
          </w:p>
        </w:tc>
        <w:tc>
          <w:tcPr/>
          <w:p>
            <w:pPr>
              <w:pStyle w:val="Compact"/>
            </w:pPr>
            <w:r>
              <w:t xml:space="preserve">T/RH/CO₂/light + outside weather</w:t>
            </w:r>
          </w:p>
        </w:tc>
        <w:tc>
          <w:tcPr/>
          <w:p>
            <w:pPr>
              <w:pStyle w:val="Compact"/>
            </w:pPr>
            <w:r>
              <w:t xml:space="preserve">RMSE; band violation rate</w:t>
            </w:r>
          </w:p>
        </w:tc>
      </w:tr>
      <w:tr>
        <w:tc>
          <w:tcPr/>
          <w:p>
            <w:pPr>
              <w:pStyle w:val="Compact"/>
            </w:pPr>
            <w:r>
              <w:t xml:space="preserve">Irrigation scheduling</w:t>
            </w:r>
          </w:p>
        </w:tc>
        <w:tc>
          <w:tcPr/>
          <w:p>
            <w:pPr>
              <w:pStyle w:val="Compact"/>
            </w:pPr>
            <w:r>
              <w:t xml:space="preserve">threshold + on–off/PID</w:t>
            </w:r>
            <w:r>
              <w:t xml:space="preserve"> </w:t>
            </w:r>
            <w:hyperlink r:id="rId34">
              <w:r>
                <w:rPr>
                  <w:rStyle w:val="Hyperlink"/>
                </w:rPr>
                <w:t xml:space="preserve">[61]</w:t>
              </w:r>
            </w:hyperlink>
          </w:p>
        </w:tc>
        <w:tc>
          <w:tcPr/>
          <w:p>
            <w:pPr>
              <w:pStyle w:val="Compact"/>
            </w:pPr>
            <w:r>
              <w:t xml:space="preserve">RL (actor–critic)</w:t>
            </w:r>
          </w:p>
        </w:tc>
        <w:tc>
          <w:tcPr/>
          <w:p>
            <w:pPr>
              <w:pStyle w:val="Compact"/>
            </w:pPr>
            <w:r>
              <w:t xml:space="preserve">state vector + reward</w:t>
            </w:r>
          </w:p>
        </w:tc>
        <w:tc>
          <w:tcPr/>
          <w:p>
            <w:pPr>
              <w:pStyle w:val="Compact"/>
            </w:pPr>
            <w:r>
              <w:t xml:space="preserve">water savings; stability; constraint violations</w:t>
            </w:r>
            <w:r>
              <w:t xml:space="preserve"> </w:t>
            </w:r>
            <w:hyperlink r:id="rId35">
              <w:r>
                <w:rPr>
                  <w:rStyle w:val="Hyperlink"/>
                </w:rPr>
                <w:t xml:space="preserve">[62]</w:t>
              </w:r>
            </w:hyperlink>
          </w:p>
        </w:tc>
      </w:tr>
      <w:tr>
        <w:tc>
          <w:tcPr/>
          <w:p>
            <w:pPr>
              <w:pStyle w:val="Compact"/>
            </w:pPr>
            <w:r>
              <w:t xml:space="preserve">Sensor anomaly</w:t>
            </w:r>
          </w:p>
        </w:tc>
        <w:tc>
          <w:tcPr/>
          <w:p>
            <w:pPr>
              <w:pStyle w:val="Compact"/>
            </w:pPr>
            <w:r>
              <w:t xml:space="preserve">residual rules</w:t>
            </w:r>
          </w:p>
        </w:tc>
        <w:tc>
          <w:tcPr/>
          <w:p>
            <w:pPr>
              <w:pStyle w:val="Compact"/>
            </w:pPr>
            <w:r>
              <w:t xml:space="preserve">RF / SVM per fault type</w:t>
            </w:r>
          </w:p>
        </w:tc>
        <w:tc>
          <w:tcPr/>
          <w:p>
            <w:pPr>
              <w:pStyle w:val="Compact"/>
            </w:pPr>
            <w:r>
              <w:t xml:space="preserve">residuals + cross-sensor checks</w:t>
            </w:r>
          </w:p>
        </w:tc>
        <w:tc>
          <w:tcPr/>
          <w:p>
            <w:pPr>
              <w:pStyle w:val="Compact"/>
            </w:pPr>
            <w:r>
              <w:t xml:space="preserve">F1/AUROC; fault-type accuracy</w:t>
            </w:r>
            <w:r>
              <w:t xml:space="preserve"> </w:t>
            </w:r>
            <w:hyperlink r:id="rId45">
              <w:r>
                <w:rPr>
                  <w:rStyle w:val="Hyperlink"/>
                </w:rPr>
                <w:t xml:space="preserve">[65]</w:t>
              </w:r>
            </w:hyperlink>
          </w:p>
        </w:tc>
      </w:tr>
      <w:tr>
        <w:tc>
          <w:tcPr/>
          <w:p>
            <w:pPr>
              <w:pStyle w:val="Compact"/>
            </w:pPr>
            <w:r>
              <w:t xml:space="preserve">Pump failure</w:t>
            </w:r>
          </w:p>
        </w:tc>
        <w:tc>
          <w:tcPr/>
          <w:p>
            <w:pPr>
              <w:pStyle w:val="Compact"/>
            </w:pPr>
            <w:r>
              <w:t xml:space="preserve">spectral anomaly</w:t>
            </w:r>
          </w:p>
        </w:tc>
        <w:tc>
          <w:tcPr/>
          <w:p>
            <w:pPr>
              <w:pStyle w:val="Compact"/>
            </w:pPr>
            <w:r>
              <w:t xml:space="preserve">supervised classifier</w:t>
            </w:r>
          </w:p>
        </w:tc>
        <w:tc>
          <w:tcPr/>
          <w:p>
            <w:pPr>
              <w:pStyle w:val="Compact"/>
            </w:pPr>
            <w:r>
              <w:t xml:space="preserve">vibration + current + duty cycle</w:t>
            </w:r>
          </w:p>
        </w:tc>
        <w:tc>
          <w:tcPr/>
          <w:p>
            <w:pPr>
              <w:pStyle w:val="Compact"/>
            </w:pPr>
            <w:r>
              <w:t xml:space="preserve">F1, MTTA (mean time to alert)</w:t>
            </w:r>
            <w:r>
              <w:t xml:space="preserve"> </w:t>
            </w:r>
            <w:hyperlink r:id="rId91">
              <w:r>
                <w:rPr>
                  <w:rStyle w:val="Hyperlink"/>
                </w:rPr>
                <w:t xml:space="preserve">[68]</w:t>
              </w:r>
            </w:hyperlink>
          </w:p>
        </w:tc>
      </w:tr>
      <w:tr>
        <w:tc>
          <w:tcPr/>
          <w:p>
            <w:pPr>
              <w:pStyle w:val="Compact"/>
            </w:pPr>
            <w:r>
              <w:t xml:space="preserve">Vision crop status</w:t>
            </w:r>
          </w:p>
        </w:tc>
        <w:tc>
          <w:tcPr/>
          <w:p>
            <w:pPr>
              <w:pStyle w:val="Compact"/>
            </w:pPr>
            <w:r>
              <w:t xml:space="preserve">simple CNN classifier</w:t>
            </w:r>
          </w:p>
        </w:tc>
        <w:tc>
          <w:tcPr/>
          <w:p>
            <w:pPr>
              <w:pStyle w:val="Compact"/>
            </w:pPr>
            <w:r>
              <w:t xml:space="preserve">YOLO-style detection</w:t>
            </w:r>
          </w:p>
        </w:tc>
        <w:tc>
          <w:tcPr/>
          <w:p>
            <w:pPr>
              <w:pStyle w:val="Compact"/>
            </w:pPr>
            <w:r>
              <w:t xml:space="preserve">images + environment metadata</w:t>
            </w:r>
          </w:p>
        </w:tc>
        <w:tc>
          <w:tcPr/>
          <w:p>
            <w:pPr>
              <w:pStyle w:val="Compact"/>
            </w:pPr>
            <w:r>
              <w:t xml:space="preserve">mAP/F1; false alarms</w:t>
            </w:r>
            <w:r>
              <w:t xml:space="preserve"> </w:t>
            </w:r>
            <w:hyperlink r:id="rId81">
              <w:r>
                <w:rPr>
                  <w:rStyle w:val="Hyperlink"/>
                </w:rPr>
                <w:t xml:space="preserve">[69]</w:t>
              </w:r>
            </w:hyperlink>
          </w:p>
        </w:tc>
      </w:tr>
    </w:tbl>
    <w:bookmarkEnd w:id="92"/>
    <w:bookmarkEnd w:id="93"/>
    <w:bookmarkStart w:id="103" w:name="X087a00d9020fe412145af5b73f6ef6e429d9e0e"/>
    <w:p>
      <w:pPr>
        <w:pStyle w:val="Heading2"/>
      </w:pPr>
      <w:r>
        <w:t xml:space="preserve">Public datasets and weather APIs you can use immediately</w:t>
      </w:r>
    </w:p>
    <w:bookmarkStart w:id="97" w:name="X571e33b44d0ee5b7373a4b3d9c600aa8886dc37"/>
    <w:p>
      <w:pPr>
        <w:pStyle w:val="Heading3"/>
      </w:pPr>
      <w:r>
        <w:t xml:space="preserve">Datasets: greenhouse, hydroponics, and related telemetry</w:t>
      </w:r>
    </w:p>
    <w:p>
      <w:pPr>
        <w:pStyle w:val="Compact"/>
        <w:numPr>
          <w:ilvl w:val="0"/>
          <w:numId w:val="1011"/>
        </w:numPr>
      </w:pPr>
      <w:r>
        <w:rPr>
          <w:b/>
          <w:bCs/>
        </w:rPr>
        <w:t xml:space="preserve">Autonomous Greenhouse Challenge datasets</w:t>
      </w:r>
      <w:r>
        <w:t xml:space="preserve"> </w:t>
      </w:r>
      <w:r>
        <w:t xml:space="preserve">(greenhouse climate, irrigation, setpoints, and crop data) are publicly hosted in repositories such as Figshare and WUR dataset pages, and newer editions also include lettuce image/time-series datasets.</w:t>
      </w:r>
      <w:r>
        <w:t xml:space="preserve"> </w:t>
      </w:r>
      <w:hyperlink r:id="rId94">
        <w:r>
          <w:rPr>
            <w:rStyle w:val="Hyperlink"/>
          </w:rPr>
          <w:t xml:space="preserve">[70]</w:t>
        </w:r>
      </w:hyperlink>
    </w:p>
    <w:p>
      <w:pPr>
        <w:pStyle w:val="Compact"/>
        <w:numPr>
          <w:ilvl w:val="0"/>
          <w:numId w:val="1011"/>
        </w:numPr>
      </w:pPr>
      <w:r>
        <w:rPr>
          <w:b/>
          <w:bCs/>
        </w:rPr>
        <w:t xml:space="preserve">Hydroponic cultivation datasets</w:t>
      </w:r>
      <w:r>
        <w:t xml:space="preserve"> </w:t>
      </w:r>
      <w:r>
        <w:t xml:space="preserve">exist in public repositories including a USDA hydroponic lettuce validation dataset (time-series across lifecycle) and large image+metadata datasets (Mendeley).</w:t>
      </w:r>
      <w:r>
        <w:t xml:space="preserve"> </w:t>
      </w:r>
      <w:hyperlink r:id="rId95">
        <w:r>
          <w:rPr>
            <w:rStyle w:val="Hyperlink"/>
          </w:rPr>
          <w:t xml:space="preserve">[71]</w:t>
        </w:r>
      </w:hyperlink>
    </w:p>
    <w:p>
      <w:pPr>
        <w:pStyle w:val="Compact"/>
        <w:numPr>
          <w:ilvl w:val="0"/>
          <w:numId w:val="1011"/>
        </w:numPr>
      </w:pPr>
      <w:r>
        <w:rPr>
          <w:b/>
          <w:bCs/>
        </w:rPr>
        <w:t xml:space="preserve">Kaggle hydroponics telemetry</w:t>
      </w:r>
      <w:r>
        <w:t xml:space="preserve"> </w:t>
      </w:r>
      <w:r>
        <w:t xml:space="preserve">datasets can be useful for prototyping pipelines and model code, but treat them as “toy-to-mid” realism compared to your own sensor stream.</w:t>
      </w:r>
      <w:r>
        <w:t xml:space="preserve"> </w:t>
      </w:r>
      <w:hyperlink r:id="rId96">
        <w:r>
          <w:rPr>
            <w:rStyle w:val="Hyperlink"/>
          </w:rPr>
          <w:t xml:space="preserve">[72]</w:t>
        </w:r>
      </w:hyperlink>
    </w:p>
    <w:bookmarkEnd w:id="97"/>
    <w:bookmarkStart w:id="102" w:name="X00398a1669b7ebb2a7a395daaaad2ee835fdbff"/>
    <w:p>
      <w:pPr>
        <w:pStyle w:val="Heading3"/>
      </w:pPr>
      <w:r>
        <w:t xml:space="preserve">Weather APIs for external drivers (forecasting and “what-if”)</w:t>
      </w:r>
    </w:p>
    <w:p>
      <w:pPr>
        <w:pStyle w:val="Compact"/>
        <w:numPr>
          <w:ilvl w:val="0"/>
          <w:numId w:val="1012"/>
        </w:numPr>
      </w:pPr>
      <w:r>
        <w:t xml:space="preserve">Open-Meteo</w:t>
      </w:r>
      <w:hyperlink r:id="rId70">
        <w:r>
          <w:rPr>
            <w:rStyle w:val="Hyperlink"/>
          </w:rPr>
          <w:t xml:space="preserve">[73]</w:t>
        </w:r>
      </w:hyperlink>
      <w:r>
        <w:t xml:space="preserve"> </w:t>
      </w:r>
      <w:r>
        <w:t xml:space="preserve">provides a free, open-source weather API for non-commercial use and states no API key is required; documentation notes it combines multiple weather models.</w:t>
      </w:r>
      <w:r>
        <w:t xml:space="preserve"> </w:t>
      </w:r>
      <w:hyperlink r:id="rId98">
        <w:r>
          <w:rPr>
            <w:rStyle w:val="Hyperlink"/>
          </w:rPr>
          <w:t xml:space="preserve">[74]</w:t>
        </w:r>
      </w:hyperlink>
    </w:p>
    <w:p>
      <w:pPr>
        <w:pStyle w:val="Compact"/>
        <w:numPr>
          <w:ilvl w:val="0"/>
          <w:numId w:val="1012"/>
        </w:numPr>
      </w:pPr>
      <w:r>
        <w:t xml:space="preserve">National Weather Service</w:t>
      </w:r>
      <w:hyperlink r:id="rId28">
        <w:r>
          <w:rPr>
            <w:rStyle w:val="Hyperlink"/>
          </w:rPr>
          <w:t xml:space="preserve">[75]</w:t>
        </w:r>
      </w:hyperlink>
      <w:r>
        <w:t xml:space="preserve"> </w:t>
      </w:r>
      <w:r>
        <w:t xml:space="preserve">API provides forecasts/alerts/observations with cache-friendly design; useful if your deployment is US-based.</w:t>
      </w:r>
      <w:r>
        <w:t xml:space="preserve"> </w:t>
      </w:r>
      <w:hyperlink r:id="rId99">
        <w:r>
          <w:rPr>
            <w:rStyle w:val="Hyperlink"/>
          </w:rPr>
          <w:t xml:space="preserve">[76]</w:t>
        </w:r>
      </w:hyperlink>
    </w:p>
    <w:p>
      <w:pPr>
        <w:pStyle w:val="Compact"/>
        <w:numPr>
          <w:ilvl w:val="0"/>
          <w:numId w:val="1012"/>
        </w:numPr>
      </w:pPr>
      <w:r>
        <w:t xml:space="preserve">Meteostat</w:t>
      </w:r>
      <w:hyperlink r:id="rId44">
        <w:r>
          <w:rPr>
            <w:rStyle w:val="Hyperlink"/>
          </w:rPr>
          <w:t xml:space="preserve">[77]</w:t>
        </w:r>
      </w:hyperlink>
      <w:r>
        <w:t xml:space="preserve"> </w:t>
      </w:r>
      <w:r>
        <w:t xml:space="preserve">offers historical weather/climate data access via a JSON API (via RapidAPI) and bulk data; good for backtesting.</w:t>
      </w:r>
      <w:r>
        <w:t xml:space="preserve"> </w:t>
      </w:r>
      <w:hyperlink r:id="rId100">
        <w:r>
          <w:rPr>
            <w:rStyle w:val="Hyperlink"/>
          </w:rPr>
          <w:t xml:space="preserve">[78]</w:t>
        </w:r>
      </w:hyperlink>
    </w:p>
    <w:p>
      <w:pPr>
        <w:pStyle w:val="Compact"/>
        <w:numPr>
          <w:ilvl w:val="0"/>
          <w:numId w:val="1012"/>
        </w:numPr>
      </w:pPr>
      <w:r>
        <w:t xml:space="preserve">OpenWeather</w:t>
      </w:r>
      <w:hyperlink r:id="rId24">
        <w:r>
          <w:rPr>
            <w:rStyle w:val="Hyperlink"/>
          </w:rPr>
          <w:t xml:space="preserve">[79]</w:t>
        </w:r>
      </w:hyperlink>
      <w:r>
        <w:t xml:space="preserve"> </w:t>
      </w:r>
      <w:r>
        <w:t xml:space="preserve">One Call API 3.0 provides current + forecast endpoints and requires an API key; documentation notes One Call 2.5 access was closed in June 2024.</w:t>
      </w:r>
      <w:r>
        <w:t xml:space="preserve"> </w:t>
      </w:r>
      <w:hyperlink r:id="rId101">
        <w:r>
          <w:rPr>
            <w:rStyle w:val="Hyperlink"/>
          </w:rPr>
          <w:t xml:space="preserve">[80]</w:t>
        </w:r>
      </w:hyperlink>
    </w:p>
    <w:bookmarkEnd w:id="102"/>
    <w:bookmarkEnd w:id="103"/>
    <w:bookmarkStart w:id="106" w:name="Xf75da64741ff70207ddc1a8a12e72d2413a3222"/>
    <w:p>
      <w:pPr>
        <w:pStyle w:val="Heading2"/>
      </w:pPr>
      <w:r>
        <w:t xml:space="preserve">End-to-end MVP architecture and recommended tech stack</w:t>
      </w:r>
    </w:p>
    <w:bookmarkStart w:id="104" w:name="reference-mvp-component-design"/>
    <w:p>
      <w:pPr>
        <w:pStyle w:val="Heading3"/>
      </w:pPr>
      <w:r>
        <w:t xml:space="preserve">Reference MVP component design</w:t>
      </w:r>
    </w:p>
    <w:p>
      <w:pPr>
        <w:pStyle w:val="FirstParagraph"/>
      </w:pPr>
      <w:r>
        <w:t xml:space="preserve">A small greenhouse digital twin MVP should explicitly include:</w:t>
      </w:r>
    </w:p>
    <w:p>
      <w:pPr>
        <w:pStyle w:val="Compact"/>
        <w:numPr>
          <w:ilvl w:val="0"/>
          <w:numId w:val="1013"/>
        </w:numPr>
      </w:pPr>
      <w:r>
        <w:t xml:space="preserve">Sensor nodes (air + water/substrate)</w:t>
      </w:r>
    </w:p>
    <w:p>
      <w:pPr>
        <w:pStyle w:val="Compact"/>
        <w:numPr>
          <w:ilvl w:val="0"/>
          <w:numId w:val="1013"/>
        </w:numPr>
      </w:pPr>
      <w:r>
        <w:t xml:space="preserve">Message bus (MQTT)</w:t>
      </w:r>
    </w:p>
    <w:p>
      <w:pPr>
        <w:pStyle w:val="Compact"/>
        <w:numPr>
          <w:ilvl w:val="0"/>
          <w:numId w:val="1013"/>
        </w:numPr>
      </w:pPr>
      <w:r>
        <w:t xml:space="preserve">Storage (TSDB + metadata store)</w:t>
      </w:r>
    </w:p>
    <w:p>
      <w:pPr>
        <w:pStyle w:val="Compact"/>
        <w:numPr>
          <w:ilvl w:val="0"/>
          <w:numId w:val="1013"/>
        </w:numPr>
      </w:pPr>
      <w:r>
        <w:t xml:space="preserve">Twin services (state estimator + rules + alerts)</w:t>
      </w:r>
    </w:p>
    <w:p>
      <w:pPr>
        <w:pStyle w:val="Compact"/>
        <w:numPr>
          <w:ilvl w:val="0"/>
          <w:numId w:val="1013"/>
        </w:numPr>
      </w:pPr>
      <w:r>
        <w:t xml:space="preserve">UI (dashboard + virtual farm visualization)</w:t>
      </w:r>
    </w:p>
    <w:p>
      <w:pPr>
        <w:pStyle w:val="FirstParagraph"/>
      </w:pPr>
      <w:r>
        <w:t xml:space="preserve">Mermaid architecture (component + data flow):</w:t>
      </w:r>
    </w:p>
    <w:p>
      <w:pPr>
        <w:pStyle w:val="SourceCode"/>
      </w:pPr>
      <w:r>
        <w:rPr>
          <w:rStyle w:val="VerbatimChar"/>
        </w:rPr>
        <w:t xml:space="preserve">flowchart TB</w:t>
      </w:r>
      <w:r>
        <w:br/>
      </w:r>
      <w:r>
        <w:rPr>
          <w:rStyle w:val="VerbatimChar"/>
        </w:rPr>
        <w:t xml:space="preserve">  subgraph Greenhouse</w:t>
      </w:r>
      <w:r>
        <w:br/>
      </w:r>
      <w:r>
        <w:rPr>
          <w:rStyle w:val="VerbatimChar"/>
        </w:rPr>
        <w:t xml:space="preserve">    SN1[Sensor Node A: T/RH/CO2] --&gt;|MQTT| GW</w:t>
      </w:r>
      <w:r>
        <w:br/>
      </w:r>
      <w:r>
        <w:rPr>
          <w:rStyle w:val="VerbatimChar"/>
        </w:rPr>
        <w:t xml:space="preserve">    SN2[Sensor Node B: VWC/EC/pH/WaterTemp] --&gt;|MQTT| GW</w:t>
      </w:r>
      <w:r>
        <w:br/>
      </w:r>
      <w:r>
        <w:rPr>
          <w:rStyle w:val="VerbatimChar"/>
        </w:rPr>
        <w:t xml:space="preserve">    ACT[Actuators: pump/fan/valves/lights] &lt;--&gt;|GPIO/Relay| GW</w:t>
      </w:r>
      <w:r>
        <w:br/>
      </w:r>
      <w:r>
        <w:rPr>
          <w:rStyle w:val="VerbatimChar"/>
        </w:rPr>
        <w:t xml:space="preserve">    CAM[Camera Node (optional)] --&gt;|RTSP/HTTP| GW</w:t>
      </w:r>
      <w:r>
        <w:br/>
      </w:r>
      <w:r>
        <w:rPr>
          <w:rStyle w:val="VerbatimChar"/>
        </w:rPr>
        <w:t xml:space="preserve">  end</w:t>
      </w:r>
      <w:r>
        <w:br/>
      </w:r>
      <w:r>
        <w:br/>
      </w:r>
      <w:r>
        <w:rPr>
          <w:rStyle w:val="VerbatimChar"/>
        </w:rPr>
        <w:t xml:space="preserve">  subgraph Edge Gateway</w:t>
      </w:r>
      <w:r>
        <w:br/>
      </w:r>
      <w:r>
        <w:rPr>
          <w:rStyle w:val="VerbatimChar"/>
        </w:rPr>
        <w:t xml:space="preserve">    GW[Edge Gateway]</w:t>
      </w:r>
      <w:r>
        <w:br/>
      </w:r>
      <w:r>
        <w:rPr>
          <w:rStyle w:val="VerbatimChar"/>
        </w:rPr>
        <w:t xml:space="preserve">    MQ[MQTT Broker]</w:t>
      </w:r>
      <w:r>
        <w:br/>
      </w:r>
      <w:r>
        <w:rPr>
          <w:rStyle w:val="VerbatimChar"/>
        </w:rPr>
        <w:t xml:space="preserve">    BUF[Local Buffer/Queue]</w:t>
      </w:r>
      <w:r>
        <w:br/>
      </w:r>
      <w:r>
        <w:rPr>
          <w:rStyle w:val="VerbatimChar"/>
        </w:rPr>
        <w:t xml:space="preserve">    TSDB[Time-Series DB]</w:t>
      </w:r>
      <w:r>
        <w:br/>
      </w:r>
      <w:r>
        <w:rPr>
          <w:rStyle w:val="VerbatimChar"/>
        </w:rPr>
        <w:t xml:space="preserve">    META[Metadata Store]</w:t>
      </w:r>
      <w:r>
        <w:br/>
      </w:r>
      <w:r>
        <w:rPr>
          <w:rStyle w:val="VerbatimChar"/>
        </w:rPr>
        <w:t xml:space="preserve">    API[API Service]</w:t>
      </w:r>
      <w:r>
        <w:br/>
      </w:r>
      <w:r>
        <w:rPr>
          <w:rStyle w:val="VerbatimChar"/>
        </w:rPr>
        <w:t xml:space="preserve">    RULES[Rules + Alert Engine]</w:t>
      </w:r>
      <w:r>
        <w:br/>
      </w:r>
      <w:r>
        <w:rPr>
          <w:rStyle w:val="VerbatimChar"/>
        </w:rPr>
        <w:t xml:space="preserve">    ML[ML Service: Forecast/Anomaly]</w:t>
      </w:r>
      <w:r>
        <w:br/>
      </w:r>
      <w:r>
        <w:rPr>
          <w:rStyle w:val="VerbatimChar"/>
        </w:rPr>
        <w:t xml:space="preserve">  end</w:t>
      </w:r>
      <w:r>
        <w:br/>
      </w:r>
      <w:r>
        <w:br/>
      </w:r>
      <w:r>
        <w:rPr>
          <w:rStyle w:val="VerbatimChar"/>
        </w:rPr>
        <w:t xml:space="preserve">  GW --&gt; MQ</w:t>
      </w:r>
      <w:r>
        <w:br/>
      </w:r>
      <w:r>
        <w:rPr>
          <w:rStyle w:val="VerbatimChar"/>
        </w:rPr>
        <w:t xml:space="preserve">  MQ --&gt; BUF</w:t>
      </w:r>
      <w:r>
        <w:br/>
      </w:r>
      <w:r>
        <w:rPr>
          <w:rStyle w:val="VerbatimChar"/>
        </w:rPr>
        <w:t xml:space="preserve">  BUF --&gt; TSDB</w:t>
      </w:r>
      <w:r>
        <w:br/>
      </w:r>
      <w:r>
        <w:rPr>
          <w:rStyle w:val="VerbatimChar"/>
        </w:rPr>
        <w:t xml:space="preserve">  META &lt;--&gt; API</w:t>
      </w:r>
      <w:r>
        <w:br/>
      </w:r>
      <w:r>
        <w:rPr>
          <w:rStyle w:val="VerbatimChar"/>
        </w:rPr>
        <w:t xml:space="preserve">  TSDB &lt;--&gt; API</w:t>
      </w:r>
      <w:r>
        <w:br/>
      </w:r>
      <w:r>
        <w:rPr>
          <w:rStyle w:val="VerbatimChar"/>
        </w:rPr>
        <w:t xml:space="preserve">  TSDB --&gt; ML</w:t>
      </w:r>
      <w:r>
        <w:br/>
      </w:r>
      <w:r>
        <w:rPr>
          <w:rStyle w:val="VerbatimChar"/>
        </w:rPr>
        <w:t xml:space="preserve">  ML --&gt; API</w:t>
      </w:r>
      <w:r>
        <w:br/>
      </w:r>
      <w:r>
        <w:rPr>
          <w:rStyle w:val="VerbatimChar"/>
        </w:rPr>
        <w:t xml:space="preserve">  API --&gt; UI[Dashboards + Virtual Farm UI]</w:t>
      </w:r>
      <w:r>
        <w:br/>
      </w:r>
      <w:r>
        <w:rPr>
          <w:rStyle w:val="VerbatimChar"/>
        </w:rPr>
        <w:t xml:space="preserve">  RULES --&gt; API</w:t>
      </w:r>
      <w:r>
        <w:br/>
      </w:r>
      <w:r>
        <w:rPr>
          <w:rStyle w:val="VerbatimChar"/>
        </w:rPr>
        <w:t xml:space="preserve">  API --&gt; NOTIF[Telegram/Email Alerts]</w:t>
      </w:r>
    </w:p>
    <w:p>
      <w:pPr>
        <w:pStyle w:val="FirstParagraph"/>
      </w:pPr>
      <w:r>
        <w:rPr>
          <w:b/>
          <w:bCs/>
        </w:rPr>
        <w:t xml:space="preserve">Why this matches state-of-the-art patterns:</w:t>
      </w:r>
      <w:r>
        <w:t xml:space="preserve"> </w:t>
      </w:r>
      <w:r>
        <w:t xml:space="preserve">greenhouse DT work emphasizes integrating IoT sensor streams, analytics, and operational context; orchestration papers stress multi-source integration and model services rather than a single monolithic model.</w:t>
      </w:r>
      <w:r>
        <w:t xml:space="preserve"> </w:t>
      </w:r>
      <w:hyperlink r:id="rId28">
        <w:r>
          <w:rPr>
            <w:rStyle w:val="Hyperlink"/>
          </w:rPr>
          <w:t xml:space="preserve">[43]</w:t>
        </w:r>
      </w:hyperlink>
    </w:p>
    <w:bookmarkEnd w:id="104"/>
    <w:bookmarkStart w:id="105" w:name="X5cbab410b069fbf61a6d734963481236fdc2506"/>
    <w:p>
      <w:pPr>
        <w:pStyle w:val="Heading3"/>
      </w:pPr>
      <w:r>
        <w:t xml:space="preserve">Recommended tech stack (FYP-friendly, scalable)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Recommended choice</w:t>
            </w:r>
          </w:p>
        </w:tc>
        <w:tc>
          <w:tcPr/>
          <w:p>
            <w:pPr>
              <w:pStyle w:val="Compact"/>
            </w:pPr>
            <w:r>
              <w:t xml:space="preserve">Rationale</w:t>
            </w:r>
          </w:p>
        </w:tc>
      </w:tr>
      <w:tr>
        <w:tc>
          <w:tcPr/>
          <w:p>
            <w:pPr>
              <w:pStyle w:val="Compact"/>
            </w:pPr>
            <w:r>
              <w:t xml:space="preserve">Device firmware</w:t>
            </w:r>
          </w:p>
        </w:tc>
        <w:tc>
          <w:tcPr/>
          <w:p>
            <w:pPr>
              <w:pStyle w:val="Compact"/>
            </w:pPr>
            <w:r>
              <w:t xml:space="preserve">ESP32 + C/C++ (or MicroPython)</w:t>
            </w:r>
          </w:p>
        </w:tc>
        <w:tc>
          <w:tcPr/>
          <w:p>
            <w:pPr>
              <w:pStyle w:val="Compact"/>
            </w:pPr>
            <w:r>
              <w:t xml:space="preserve">Large ecosystem; supports MQTT/TLS; cheap hardware</w:t>
            </w:r>
            <w:r>
              <w:t xml:space="preserve"> </w:t>
            </w:r>
            <w:hyperlink r:id="rId50">
              <w:r>
                <w:rPr>
                  <w:rStyle w:val="Hyperlink"/>
                </w:rPr>
                <w:t xml:space="preserve">[81]</w:t>
              </w:r>
            </w:hyperlink>
          </w:p>
        </w:tc>
      </w:tr>
      <w:tr>
        <w:tc>
          <w:tcPr/>
          <w:p>
            <w:pPr>
              <w:pStyle w:val="Compact"/>
            </w:pPr>
            <w:r>
              <w:t xml:space="preserve">Messaging</w:t>
            </w:r>
          </w:p>
        </w:tc>
        <w:tc>
          <w:tcPr/>
          <w:p>
            <w:pPr>
              <w:pStyle w:val="Compact"/>
            </w:pPr>
            <w:r>
              <w:t xml:space="preserve">Mosquitto-class broker + MQTT</w:t>
            </w:r>
          </w:p>
        </w:tc>
        <w:tc>
          <w:tcPr/>
          <w:p>
            <w:pPr>
              <w:pStyle w:val="Compact"/>
            </w:pPr>
            <w:r>
              <w:t xml:space="preserve">MQTT is a standardized lightweight pub/sub protocol</w:t>
            </w:r>
            <w:r>
              <w:t xml:space="preserve"> </w:t>
            </w:r>
            <w:hyperlink r:id="rId22">
              <w:r>
                <w:rPr>
                  <w:rStyle w:val="Hyperlink"/>
                </w:rPr>
                <w:t xml:space="preserve">[2]</w:t>
              </w:r>
            </w:hyperlink>
          </w:p>
        </w:tc>
      </w:tr>
      <w:tr>
        <w:tc>
          <w:tcPr/>
          <w:p>
            <w:pPr>
              <w:pStyle w:val="Compact"/>
            </w:pPr>
            <w:r>
              <w:t xml:space="preserve">TSDB</w:t>
            </w:r>
          </w:p>
        </w:tc>
        <w:tc>
          <w:tcPr/>
          <w:p>
            <w:pPr>
              <w:pStyle w:val="Compact"/>
            </w:pPr>
            <w:r>
              <w:t xml:space="preserve">InfluxDB or TimescaleDB</w:t>
            </w:r>
          </w:p>
        </w:tc>
        <w:tc>
          <w:tcPr/>
          <w:p>
            <w:pPr>
              <w:pStyle w:val="Compact"/>
            </w:pPr>
            <w:r>
              <w:t xml:space="preserve">Straightforward retention tooling and dashboards integration</w:t>
            </w:r>
            <w:r>
              <w:t xml:space="preserve"> </w:t>
            </w:r>
            <w:hyperlink r:id="rId73">
              <w:r>
                <w:rPr>
                  <w:rStyle w:val="Hyperlink"/>
                </w:rPr>
                <w:t xml:space="preserve">[82]</w:t>
              </w:r>
            </w:hyperlink>
          </w:p>
        </w:tc>
      </w:tr>
      <w:tr>
        <w:tc>
          <w:tcPr/>
          <w:p>
            <w:pPr>
              <w:pStyle w:val="Compact"/>
            </w:pPr>
            <w:r>
              <w:t xml:space="preserve">Dashboards</w:t>
            </w:r>
          </w:p>
        </w:tc>
        <w:tc>
          <w:tcPr/>
          <w:p>
            <w:pPr>
              <w:pStyle w:val="Compact"/>
            </w:pPr>
            <w:r>
              <w:t xml:space="preserve">Grafana</w:t>
            </w:r>
          </w:p>
        </w:tc>
        <w:tc>
          <w:tcPr/>
          <w:p>
            <w:pPr>
              <w:pStyle w:val="Compact"/>
            </w:pPr>
            <w:r>
              <w:t xml:space="preserve">Widely used for time-series visualizations (pairs well with Influx/Timescale)</w:t>
            </w:r>
          </w:p>
        </w:tc>
      </w:tr>
      <w:tr>
        <w:tc>
          <w:tcPr/>
          <w:p>
            <w:pPr>
              <w:pStyle w:val="Compact"/>
            </w:pPr>
            <w:r>
              <w:t xml:space="preserve">Backend API</w:t>
            </w:r>
          </w:p>
        </w:tc>
        <w:tc>
          <w:tcPr/>
          <w:p>
            <w:pPr>
              <w:pStyle w:val="Compact"/>
            </w:pPr>
            <w:r>
              <w:t xml:space="preserve">Python FastAPI (or Node.js)</w:t>
            </w:r>
          </w:p>
        </w:tc>
        <w:tc>
          <w:tcPr/>
          <w:p>
            <w:pPr>
              <w:pStyle w:val="Compact"/>
            </w:pPr>
            <w:r>
              <w:t xml:space="preserve">Clean REST/WebSocket APIs; easy ML integration</w:t>
            </w:r>
          </w:p>
        </w:tc>
      </w:tr>
      <w:tr>
        <w:tc>
          <w:tcPr/>
          <w:p>
            <w:pPr>
              <w:pStyle w:val="Compact"/>
            </w:pPr>
            <w:r>
              <w:t xml:space="preserve">ML</w:t>
            </w:r>
          </w:p>
        </w:tc>
        <w:tc>
          <w:tcPr/>
          <w:p>
            <w:pPr>
              <w:pStyle w:val="Compact"/>
            </w:pPr>
            <w:r>
              <w:t xml:space="preserve">Python (scikit-learn + XGBoost/LightGBM; PyTorch/TensorFlow for LSTM/CNN)</w:t>
            </w:r>
          </w:p>
        </w:tc>
        <w:tc>
          <w:tcPr/>
          <w:p>
            <w:pPr>
              <w:pStyle w:val="Compact"/>
            </w:pPr>
            <w:r>
              <w:t xml:space="preserve">Supports tree boosting and deep models; cited core boosting libs have foundational papers</w:t>
            </w:r>
            <w:r>
              <w:t xml:space="preserve"> </w:t>
            </w:r>
            <w:hyperlink r:id="rId24">
              <w:r>
                <w:rPr>
                  <w:rStyle w:val="Hyperlink"/>
                </w:rPr>
                <w:t xml:space="preserve">[58]</w:t>
              </w:r>
            </w:hyperlink>
          </w:p>
        </w:tc>
      </w:tr>
      <w:tr>
        <w:tc>
          <w:tcPr/>
          <w:p>
            <w:pPr>
              <w:pStyle w:val="Compact"/>
            </w:pPr>
            <w:r>
              <w:t xml:space="preserve">“Virtual farm” UI</w:t>
            </w:r>
          </w:p>
        </w:tc>
        <w:tc>
          <w:tcPr/>
          <w:p>
            <w:pPr>
              <w:pStyle w:val="Compact"/>
            </w:pPr>
            <w:r>
              <w:t xml:space="preserve">Web (Three.js / Unity WebGL optional)</w:t>
            </w:r>
          </w:p>
        </w:tc>
        <w:tc>
          <w:tcPr/>
          <w:p>
            <w:pPr>
              <w:pStyle w:val="Compact"/>
            </w:pPr>
            <w:r>
              <w:t xml:space="preserve">Separate “digital presentation” from core data plane</w:t>
            </w:r>
          </w:p>
        </w:tc>
      </w:tr>
    </w:tbl>
    <w:bookmarkEnd w:id="105"/>
    <w:bookmarkEnd w:id="106"/>
    <w:bookmarkStart w:id="117" w:name="X4d6e297f36c0f27be21fb33175c1d152d64e7cd"/>
    <w:p>
      <w:pPr>
        <w:pStyle w:val="Heading2"/>
      </w:pPr>
      <w:r>
        <w:t xml:space="preserve">Security, reliability, demo fallback, case studies, and implementation roadmap</w:t>
      </w:r>
    </w:p>
    <w:bookmarkStart w:id="108" w:name="X6db50b45dbbfd65c1263f2ed579d46d005288ea"/>
    <w:p>
      <w:pPr>
        <w:pStyle w:val="Heading3"/>
      </w:pPr>
      <w:r>
        <w:t xml:space="preserve">Security and reliability baseline (demo-safe)</w:t>
      </w:r>
    </w:p>
    <w:p>
      <w:pPr>
        <w:pStyle w:val="FirstParagraph"/>
      </w:pPr>
      <w:r>
        <w:t xml:space="preserve">Use a baseline aligned to IoT security guidance: device identity, secure update, data protection, and “least privilege” controls are emphasized in NIST’s IoT device cybersecurity baseline publications.</w:t>
      </w:r>
      <w:r>
        <w:t xml:space="preserve"> </w:t>
      </w:r>
      <w:hyperlink r:id="rId107">
        <w:r>
          <w:rPr>
            <w:rStyle w:val="Hyperlink"/>
          </w:rPr>
          <w:t xml:space="preserve">[83]</w:t>
        </w:r>
      </w:hyperlink>
    </w:p>
    <w:p>
      <w:pPr>
        <w:pStyle w:val="BodyText"/>
      </w:pPr>
      <w:r>
        <w:t xml:space="preserve">Practical controls that map well to your architecture:</w:t>
      </w:r>
    </w:p>
    <w:p>
      <w:pPr>
        <w:pStyle w:val="Compact"/>
        <w:numPr>
          <w:ilvl w:val="0"/>
          <w:numId w:val="1014"/>
        </w:numPr>
      </w:pPr>
      <w:r>
        <w:rPr>
          <w:b/>
          <w:bCs/>
        </w:rPr>
        <w:t xml:space="preserve">Network security:</w:t>
      </w:r>
      <w:r>
        <w:t xml:space="preserve"> </w:t>
      </w:r>
      <w:r>
        <w:t xml:space="preserve">MQTT over TLS is supported/encouraged by major platforms; Microsoft documentation for MQTT broker flows highlights secure connections (e.g., MQTTS on 8883 or MQTT over websockets on 443) as the secure baseline.</w:t>
      </w:r>
      <w:r>
        <w:t xml:space="preserve"> </w:t>
      </w:r>
      <w:hyperlink r:id="rId67">
        <w:r>
          <w:rPr>
            <w:rStyle w:val="Hyperlink"/>
          </w:rPr>
          <w:t xml:space="preserve">[46]</w:t>
        </w:r>
      </w:hyperlink>
    </w:p>
    <w:p>
      <w:pPr>
        <w:pStyle w:val="Compact"/>
        <w:numPr>
          <w:ilvl w:val="0"/>
          <w:numId w:val="1014"/>
        </w:numPr>
      </w:pPr>
      <w:r>
        <w:rPr>
          <w:b/>
          <w:bCs/>
        </w:rPr>
        <w:t xml:space="preserve">Topic-level authorization:</w:t>
      </w:r>
      <w:r>
        <w:t xml:space="preserve"> </w:t>
      </w:r>
      <w:r>
        <w:t xml:space="preserve">restrict which nodes can publish to which topics (prevents one compromised node from spoofing the whole greenhouse).</w:t>
      </w:r>
    </w:p>
    <w:p>
      <w:pPr>
        <w:pStyle w:val="Compact"/>
        <w:numPr>
          <w:ilvl w:val="0"/>
          <w:numId w:val="1014"/>
        </w:numPr>
      </w:pPr>
      <w:r>
        <w:rPr>
          <w:b/>
          <w:bCs/>
        </w:rPr>
        <w:t xml:space="preserve">Physical safety interlocks:</w:t>
      </w:r>
      <w:r>
        <w:t xml:space="preserve"> </w:t>
      </w:r>
      <w:r>
        <w:t xml:space="preserve">for pumps/heaters, hard-limit runtime and enable manual override.</w:t>
      </w:r>
    </w:p>
    <w:p>
      <w:pPr>
        <w:pStyle w:val="Compact"/>
        <w:numPr>
          <w:ilvl w:val="0"/>
          <w:numId w:val="1014"/>
        </w:numPr>
      </w:pPr>
      <w:r>
        <w:rPr>
          <w:b/>
          <w:bCs/>
        </w:rPr>
        <w:t xml:space="preserve">Fail-safe modes:</w:t>
      </w:r>
      <w:r>
        <w:t xml:space="preserve"> </w:t>
      </w:r>
      <w:r>
        <w:t xml:space="preserve">if cloud/ML fails, keep local control rules running and buffer sensor data until the network returns.</w:t>
      </w:r>
    </w:p>
    <w:bookmarkEnd w:id="108"/>
    <w:bookmarkStart w:id="114" w:name="Xacb6a33af116c4fb988b3753fb2fab45c652203"/>
    <w:p>
      <w:pPr>
        <w:pStyle w:val="Heading3"/>
      </w:pPr>
      <w:r>
        <w:t xml:space="preserve">Real-world case studies and commercial / applied platforms</w:t>
      </w:r>
    </w:p>
    <w:p>
      <w:pPr>
        <w:pStyle w:val="FirstParagraph"/>
      </w:pPr>
      <w:r>
        <w:t xml:space="preserve">The entries below are selected because the primary sources explicitly describe digital twin concepts, autonomous greenhouse control, or DT-like greenhouse platforms.</w:t>
      </w:r>
    </w:p>
    <w:p>
      <w:pPr>
        <w:pStyle w:val="BodyText"/>
      </w:pPr>
      <w:r>
        <w:t xml:space="preserve">1)</w:t>
      </w:r>
      <w:r>
        <w:t xml:space="preserve"> </w:t>
      </w:r>
      <w:r>
        <w:rPr>
          <w:b/>
          <w:bCs/>
        </w:rPr>
        <w:t xml:space="preserve">Greenhouse Industry 4.0 (Danish horticulture)</w:t>
      </w:r>
      <w:r>
        <w:t xml:space="preserve"> </w:t>
      </w:r>
      <w:r>
        <w:t xml:space="preserve">— digital twin platform for vertically integrating IoT, AI, big data, and cloud to optimize greenhouse production and energy-aware operations.</w:t>
      </w:r>
      <w:r>
        <w:t xml:space="preserve"> </w:t>
      </w:r>
      <w:hyperlink r:id="rId28">
        <w:r>
          <w:rPr>
            <w:rStyle w:val="Hyperlink"/>
          </w:rPr>
          <w:t xml:space="preserve">[7]</w:t>
        </w:r>
      </w:hyperlink>
      <w:r>
        <w:br/>
      </w:r>
      <w:r>
        <w:t xml:space="preserve">2)</w:t>
      </w:r>
      <w:r>
        <w:t xml:space="preserve"> </w:t>
      </w:r>
      <w:r>
        <w:rPr>
          <w:b/>
          <w:bCs/>
        </w:rPr>
        <w:t xml:space="preserve">Digital Twin Greenhouse initiative</w:t>
      </w:r>
      <w:r>
        <w:t xml:space="preserve"> </w:t>
      </w:r>
      <w:r>
        <w:t xml:space="preserve">(Danish institute) — public materials describe a digital twin greenhouse platform concept and pilots.</w:t>
      </w:r>
      <w:r>
        <w:t xml:space="preserve"> </w:t>
      </w:r>
      <w:hyperlink r:id="rId109">
        <w:r>
          <w:rPr>
            <w:rStyle w:val="Hyperlink"/>
          </w:rPr>
          <w:t xml:space="preserve">[84]</w:t>
        </w:r>
      </w:hyperlink>
      <w:r>
        <w:br/>
      </w:r>
      <w:r>
        <w:t xml:space="preserve">3)</w:t>
      </w:r>
      <w:r>
        <w:t xml:space="preserve"> </w:t>
      </w:r>
      <w:r>
        <w:rPr>
          <w:b/>
          <w:bCs/>
        </w:rPr>
        <w:t xml:space="preserve">Autonomous Greenhouse Challenge</w:t>
      </w:r>
      <w:r>
        <w:t xml:space="preserve"> </w:t>
      </w:r>
      <w:r>
        <w:t xml:space="preserve">(WUR) — competition-based applied research where teams control greenhouse variables (lighting/heating/CO₂ dosing/irrigation/fertilization) using AI and data, indicating what “closed-loop” can look like in practice.</w:t>
      </w:r>
      <w:r>
        <w:t xml:space="preserve"> </w:t>
      </w:r>
      <w:hyperlink r:id="rId29">
        <w:r>
          <w:rPr>
            <w:rStyle w:val="Hyperlink"/>
          </w:rPr>
          <w:t xml:space="preserve">[8]</w:t>
        </w:r>
      </w:hyperlink>
      <w:r>
        <w:br/>
      </w:r>
      <w:r>
        <w:t xml:space="preserve">4)</w:t>
      </w:r>
      <w:r>
        <w:t xml:space="preserve"> </w:t>
      </w:r>
      <w:r>
        <w:rPr>
          <w:b/>
          <w:bCs/>
        </w:rPr>
        <w:t xml:space="preserve">Autonomous Greenhouse Challenge public datasets</w:t>
      </w:r>
      <w:r>
        <w:t xml:space="preserve"> </w:t>
      </w:r>
      <w:r>
        <w:t xml:space="preserve">— greenhouse climate/irrigation/setpoints/harvest datasets released to support research and development.</w:t>
      </w:r>
      <w:r>
        <w:t xml:space="preserve"> </w:t>
      </w:r>
      <w:hyperlink r:id="rId94">
        <w:r>
          <w:rPr>
            <w:rStyle w:val="Hyperlink"/>
          </w:rPr>
          <w:t xml:space="preserve">[70]</w:t>
        </w:r>
      </w:hyperlink>
      <w:r>
        <w:br/>
      </w:r>
      <w:r>
        <w:t xml:space="preserve">5)</w:t>
      </w:r>
      <w:r>
        <w:t xml:space="preserve"> </w:t>
      </w:r>
      <w:r>
        <w:rPr>
          <w:b/>
          <w:bCs/>
        </w:rPr>
        <w:t xml:space="preserve">Priva digital twin positioning</w:t>
      </w:r>
      <w:r>
        <w:t xml:space="preserve"> </w:t>
      </w:r>
      <w:r>
        <w:t xml:space="preserve">— public references describe digital twin ideas applied to greenhouse climate/energy management products (noting the need to validate what is productized vs conceptual in your own requirements).</w:t>
      </w:r>
      <w:r>
        <w:t xml:space="preserve"> </w:t>
      </w:r>
      <w:hyperlink r:id="rId110">
        <w:r>
          <w:rPr>
            <w:rStyle w:val="Hyperlink"/>
          </w:rPr>
          <w:t xml:space="preserve">[85]</w:t>
        </w:r>
      </w:hyperlink>
      <w:r>
        <w:br/>
      </w:r>
      <w:r>
        <w:t xml:space="preserve">6)</w:t>
      </w:r>
      <w:r>
        <w:t xml:space="preserve"> </w:t>
      </w:r>
      <w:r>
        <w:rPr>
          <w:b/>
          <w:bCs/>
        </w:rPr>
        <w:t xml:space="preserve">Wageningen “digital twin greenhouse crop” research direction</w:t>
      </w:r>
      <w:r>
        <w:t xml:space="preserve"> </w:t>
      </w:r>
      <w:r>
        <w:t xml:space="preserve">— public overview materials discuss developing digital twins for crop growth in greenhouse contexts.</w:t>
      </w:r>
      <w:r>
        <w:t xml:space="preserve"> </w:t>
      </w:r>
      <w:hyperlink r:id="rId111">
        <w:r>
          <w:rPr>
            <w:rStyle w:val="Hyperlink"/>
          </w:rPr>
          <w:t xml:space="preserve">[86]</w:t>
        </w:r>
      </w:hyperlink>
      <w:r>
        <w:br/>
      </w:r>
      <w:r>
        <w:t xml:space="preserve">7)</w:t>
      </w:r>
      <w:r>
        <w:t xml:space="preserve"> </w:t>
      </w:r>
      <w:r>
        <w:rPr>
          <w:b/>
          <w:bCs/>
        </w:rPr>
        <w:t xml:space="preserve">Siemens + vertical farming / CEA narratives</w:t>
      </w:r>
      <w:r>
        <w:t xml:space="preserve"> </w:t>
      </w:r>
      <w:r>
        <w:t xml:space="preserve">— Siemens materials position digital twin and automation for CEA/vertical farm operations and scaling.</w:t>
      </w:r>
      <w:r>
        <w:t xml:space="preserve"> </w:t>
      </w:r>
      <w:hyperlink r:id="rId112">
        <w:r>
          <w:rPr>
            <w:rStyle w:val="Hyperlink"/>
          </w:rPr>
          <w:t xml:space="preserve">[87]</w:t>
        </w:r>
      </w:hyperlink>
      <w:r>
        <w:br/>
      </w:r>
      <w:r>
        <w:t xml:space="preserve">8)</w:t>
      </w:r>
      <w:r>
        <w:t xml:space="preserve"> </w:t>
      </w:r>
      <w:r>
        <w:rPr>
          <w:b/>
          <w:bCs/>
        </w:rPr>
        <w:t xml:space="preserve">Cambridge case: hydroponic farm modeling</w:t>
      </w:r>
      <w:r>
        <w:t xml:space="preserve"> </w:t>
      </w:r>
      <w:r>
        <w:t xml:space="preserve">— Cambridge-led “Apollo” digital twin for a hydroponic farm is described publicly as a DT effort.</w:t>
      </w:r>
      <w:r>
        <w:t xml:space="preserve"> </w:t>
      </w:r>
      <w:hyperlink r:id="rId113">
        <w:r>
          <w:rPr>
            <w:rStyle w:val="Hyperlink"/>
          </w:rPr>
          <w:t xml:space="preserve">[88]</w:t>
        </w:r>
      </w:hyperlink>
      <w:r>
        <w:br/>
      </w:r>
      <w:r>
        <w:t xml:space="preserve">9)</w:t>
      </w:r>
      <w:r>
        <w:t xml:space="preserve"> </w:t>
      </w:r>
      <w:r>
        <w:rPr>
          <w:b/>
          <w:bCs/>
        </w:rPr>
        <w:t xml:space="preserve">Hydroponics sensor-fault digital reliability</w:t>
      </w:r>
      <w:r>
        <w:t xml:space="preserve"> </w:t>
      </w:r>
      <w:r>
        <w:t xml:space="preserve">— applied hydroponics research on EC/pH sensor faults reports high ML accuracy for detecting/diagnosing faults, which is directly relevant for any hydroponic closed-loop twin.</w:t>
      </w:r>
      <w:r>
        <w:t xml:space="preserve"> </w:t>
      </w:r>
      <w:hyperlink r:id="rId45">
        <w:r>
          <w:rPr>
            <w:rStyle w:val="Hyperlink"/>
          </w:rPr>
          <w:t xml:space="preserve">[65]</w:t>
        </w:r>
      </w:hyperlink>
      <w:r>
        <w:br/>
      </w:r>
      <w:r>
        <w:t xml:space="preserve">10)</w:t>
      </w:r>
      <w:r>
        <w:t xml:space="preserve"> </w:t>
      </w:r>
      <w:r>
        <w:rPr>
          <w:b/>
          <w:bCs/>
        </w:rPr>
        <w:t xml:space="preserve">Hydroponic nutrient dosing frameworks</w:t>
      </w:r>
      <w:r>
        <w:t xml:space="preserve"> </w:t>
      </w:r>
      <w:r>
        <w:t xml:space="preserve">— scoping reviews frame the practical design space of pH/EC dosing and control architectures, informing what your twin should simulate/optimize.</w:t>
      </w:r>
      <w:r>
        <w:t xml:space="preserve"> </w:t>
      </w:r>
      <w:hyperlink r:id="rId30">
        <w:r>
          <w:rPr>
            <w:rStyle w:val="Hyperlink"/>
          </w:rPr>
          <w:t xml:space="preserve">[89]</w:t>
        </w:r>
      </w:hyperlink>
    </w:p>
    <w:bookmarkEnd w:id="114"/>
    <w:bookmarkStart w:id="115" w:name="Xf773b636fcbea67d0703528c7d945602185d390"/>
    <w:p>
      <w:pPr>
        <w:pStyle w:val="Heading3"/>
      </w:pPr>
      <w:r>
        <w:t xml:space="preserve">Three-phase implementation roadmap with person-week estimates</w:t>
      </w:r>
    </w:p>
    <w:p>
      <w:pPr>
        <w:pStyle w:val="FirstParagraph"/>
      </w:pPr>
      <w:r>
        <w:t xml:space="preserve">The roadmap below is designed to land a credible demo early, then layer analytics and controlled actuation. Effort is expressed as</w:t>
      </w:r>
      <w:r>
        <w:t xml:space="preserve"> </w:t>
      </w:r>
      <w:r>
        <w:rPr>
          <w:b/>
          <w:bCs/>
        </w:rPr>
        <w:t xml:space="preserve">person-weeks</w:t>
      </w:r>
      <w:r>
        <w:t xml:space="preserve"> </w:t>
      </w:r>
      <w:r>
        <w:t xml:space="preserve">for a typical 3–5 person FYP team.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Minimal viable feature set</w:t>
            </w:r>
          </w:p>
        </w:tc>
        <w:tc>
          <w:tcPr/>
          <w:p>
            <w:pPr>
              <w:pStyle w:val="Compact"/>
            </w:pPr>
            <w:r>
              <w:t xml:space="preserve">Milestones</w:t>
            </w:r>
          </w:p>
        </w:tc>
        <w:tc>
          <w:tcPr/>
          <w:p>
            <w:pPr>
              <w:pStyle w:val="Compact"/>
              <w:jc w:val="right"/>
            </w:pPr>
            <w:r>
              <w:t xml:space="preserve">Effort (person-weeks)</w:t>
            </w:r>
          </w:p>
        </w:tc>
      </w:tr>
      <w:tr>
        <w:tc>
          <w:tcPr/>
          <w:p>
            <w:pPr>
              <w:pStyle w:val="Compact"/>
            </w:pPr>
            <w:r>
              <w:t xml:space="preserve">MVP</w:t>
            </w:r>
          </w:p>
        </w:tc>
        <w:tc>
          <w:tcPr/>
          <w:p>
            <w:pPr>
              <w:pStyle w:val="Compact"/>
            </w:pPr>
            <w:r>
              <w:t xml:space="preserve">Sensors + ingestion + dashboards + virtual farm UI</w:t>
            </w:r>
          </w:p>
        </w:tc>
        <w:tc>
          <w:tcPr/>
          <w:p>
            <w:pPr>
              <w:pStyle w:val="Compact"/>
            </w:pPr>
            <w:r>
              <w:t xml:space="preserve">device telemetry stable; TSDB schema; Grafana dashboard; virtual farm shows live state; replay-mode demo</w:t>
            </w:r>
          </w:p>
        </w:tc>
        <w:tc>
          <w:tcPr/>
          <w:p>
            <w:pPr>
              <w:pStyle w:val="Compact"/>
              <w:jc w:val="right"/>
            </w:pPr>
            <w:r>
              <w:t xml:space="preserve">10–14</w:t>
            </w:r>
          </w:p>
        </w:tc>
      </w:tr>
      <w:tr>
        <w:tc>
          <w:tcPr/>
          <w:p>
            <w:pPr>
              <w:pStyle w:val="Compact"/>
            </w:pPr>
            <w:r>
              <w:t xml:space="preserve">AI and diagnostics</w:t>
            </w:r>
          </w:p>
        </w:tc>
        <w:tc>
          <w:tcPr/>
          <w:p>
            <w:pPr>
              <w:pStyle w:val="Compact"/>
            </w:pPr>
            <w:r>
              <w:t xml:space="preserve">Forecast + anomaly + sensor health</w:t>
            </w:r>
          </w:p>
        </w:tc>
        <w:tc>
          <w:tcPr/>
          <w:p>
            <w:pPr>
              <w:pStyle w:val="Compact"/>
            </w:pPr>
            <w:r>
              <w:t xml:space="preserve">first forecast models (T/RH, moisture); anomaly alerts; model evaluation report</w:t>
            </w:r>
          </w:p>
        </w:tc>
        <w:tc>
          <w:tcPr/>
          <w:p>
            <w:pPr>
              <w:pStyle w:val="Compact"/>
              <w:jc w:val="right"/>
            </w:pPr>
            <w:r>
              <w:t xml:space="preserve">10–16</w:t>
            </w:r>
          </w:p>
        </w:tc>
      </w:tr>
      <w:tr>
        <w:tc>
          <w:tcPr/>
          <w:p>
            <w:pPr>
              <w:pStyle w:val="Compact"/>
            </w:pPr>
            <w:r>
              <w:t xml:space="preserve">Closed-loop control</w:t>
            </w:r>
          </w:p>
        </w:tc>
        <w:tc>
          <w:tcPr/>
          <w:p>
            <w:pPr>
              <w:pStyle w:val="Compact"/>
            </w:pPr>
            <w:r>
              <w:t xml:space="preserve">Bounded actuation + safety + audit logs</w:t>
            </w:r>
          </w:p>
        </w:tc>
        <w:tc>
          <w:tcPr/>
          <w:p>
            <w:pPr>
              <w:pStyle w:val="Compact"/>
            </w:pPr>
            <w:r>
              <w:t xml:space="preserve">rule-based control; dry-run simulation; limited live control with hard constraints + manual override</w:t>
            </w:r>
          </w:p>
        </w:tc>
        <w:tc>
          <w:tcPr/>
          <w:p>
            <w:pPr>
              <w:pStyle w:val="Compact"/>
              <w:jc w:val="right"/>
            </w:pPr>
            <w:r>
              <w:t xml:space="preserve">12–18</w:t>
            </w:r>
          </w:p>
        </w:tc>
      </w:tr>
    </w:tbl>
    <w:p>
      <w:pPr>
        <w:pStyle w:val="BodyText"/>
      </w:pPr>
      <w:r>
        <w:t xml:space="preserve">Mermaid timeline (high-level):</w:t>
      </w:r>
    </w:p>
    <w:p>
      <w:pPr>
        <w:pStyle w:val="SourceCode"/>
      </w:pPr>
      <w:r>
        <w:rPr>
          <w:rStyle w:val="VerbatimChar"/>
        </w:rPr>
        <w:t xml:space="preserve">gantt</w:t>
      </w:r>
      <w:r>
        <w:br/>
      </w:r>
      <w:r>
        <w:rPr>
          <w:rStyle w:val="VerbatimChar"/>
        </w:rPr>
        <w:t xml:space="preserve">  title Digital Twin Greenhouse Roadmap</w:t>
      </w:r>
      <w:r>
        <w:br/>
      </w:r>
      <w:r>
        <w:rPr>
          <w:rStyle w:val="VerbatimChar"/>
        </w:rPr>
        <w:t xml:space="preserve">  dateFormat  YYYY-MM-DD</w:t>
      </w:r>
      <w:r>
        <w:br/>
      </w:r>
      <w:r>
        <w:rPr>
          <w:rStyle w:val="VerbatimChar"/>
        </w:rPr>
        <w:t xml:space="preserve">  axisFormat  %b %d</w:t>
      </w:r>
      <w:r>
        <w:br/>
      </w:r>
      <w:r>
        <w:br/>
      </w:r>
      <w:r>
        <w:rPr>
          <w:rStyle w:val="VerbatimChar"/>
        </w:rPr>
        <w:t xml:space="preserve">  section MVP</w:t>
      </w:r>
      <w:r>
        <w:br/>
      </w:r>
      <w:r>
        <w:rPr>
          <w:rStyle w:val="VerbatimChar"/>
        </w:rPr>
        <w:t xml:space="preserve">  Sensor bring-up &amp; calibration        :a1, 2026-04-08, 21d</w:t>
      </w:r>
      <w:r>
        <w:br/>
      </w:r>
      <w:r>
        <w:rPr>
          <w:rStyle w:val="VerbatimChar"/>
        </w:rPr>
        <w:t xml:space="preserve">  MQTT + TSDB + dashboards             :a2, 2026-04-15, 21d</w:t>
      </w:r>
      <w:r>
        <w:br/>
      </w:r>
      <w:r>
        <w:rPr>
          <w:rStyle w:val="VerbatimChar"/>
        </w:rPr>
        <w:t xml:space="preserve">  Virtual farm UI + replay mode        :a3, 2026-04-22, 21d</w:t>
      </w:r>
      <w:r>
        <w:br/>
      </w:r>
      <w:r>
        <w:br/>
      </w:r>
      <w:r>
        <w:rPr>
          <w:rStyle w:val="VerbatimChar"/>
        </w:rPr>
        <w:t xml:space="preserve">  section AI &amp; Diagnostics</w:t>
      </w:r>
      <w:r>
        <w:br/>
      </w:r>
      <w:r>
        <w:rPr>
          <w:rStyle w:val="VerbatimChar"/>
        </w:rPr>
        <w:t xml:space="preserve">  Feature engineering + baselines      :b1, 2026-05-06, 21d</w:t>
      </w:r>
      <w:r>
        <w:br/>
      </w:r>
      <w:r>
        <w:rPr>
          <w:rStyle w:val="VerbatimChar"/>
        </w:rPr>
        <w:t xml:space="preserve">  Forecast models + validation         :b2, 2026-05-13, 28d</w:t>
      </w:r>
      <w:r>
        <w:br/>
      </w:r>
      <w:r>
        <w:rPr>
          <w:rStyle w:val="VerbatimChar"/>
        </w:rPr>
        <w:t xml:space="preserve">  Anomaly + sensor-fault detection     :b3, 2026-05-20, 28d</w:t>
      </w:r>
      <w:r>
        <w:br/>
      </w:r>
      <w:r>
        <w:br/>
      </w:r>
      <w:r>
        <w:rPr>
          <w:rStyle w:val="VerbatimChar"/>
        </w:rPr>
        <w:t xml:space="preserve">  section Closed-loop Control</w:t>
      </w:r>
      <w:r>
        <w:br/>
      </w:r>
      <w:r>
        <w:rPr>
          <w:rStyle w:val="VerbatimChar"/>
        </w:rPr>
        <w:t xml:space="preserve">  Safe control design (rules/PID)      :c1, 2026-06-10, 21d</w:t>
      </w:r>
      <w:r>
        <w:br/>
      </w:r>
      <w:r>
        <w:rPr>
          <w:rStyle w:val="VerbatimChar"/>
        </w:rPr>
        <w:t xml:space="preserve">  Simulation + constrained rollout     :c2, 2026-06-17, 21d</w:t>
      </w:r>
      <w:r>
        <w:br/>
      </w:r>
      <w:r>
        <w:rPr>
          <w:rStyle w:val="VerbatimChar"/>
        </w:rPr>
        <w:t xml:space="preserve">  Demo hardening + failover drills     :c3, 2026-06-24, 14d</w:t>
      </w:r>
    </w:p>
    <w:bookmarkEnd w:id="115"/>
    <w:bookmarkStart w:id="116" w:name="X9b55e6c8a351bb85d885d11516d3dae10234681"/>
    <w:p>
      <w:pPr>
        <w:pStyle w:val="Heading3"/>
      </w:pPr>
      <w:r>
        <w:t xml:space="preserve">Demo fallback strategies that usually save FYP presentations</w:t>
      </w:r>
    </w:p>
    <w:p>
      <w:pPr>
        <w:pStyle w:val="Compact"/>
        <w:numPr>
          <w:ilvl w:val="0"/>
          <w:numId w:val="1015"/>
        </w:numPr>
      </w:pPr>
      <w:r>
        <w:rPr>
          <w:b/>
          <w:bCs/>
        </w:rPr>
        <w:t xml:space="preserve">Replay mode</w:t>
      </w:r>
      <w:r>
        <w:t xml:space="preserve">: stream recorded telemetry into MQTT so the entire twin behaves “live” without the greenhouse present.</w:t>
      </w:r>
    </w:p>
    <w:p>
      <w:pPr>
        <w:pStyle w:val="Compact"/>
        <w:numPr>
          <w:ilvl w:val="0"/>
          <w:numId w:val="1015"/>
        </w:numPr>
      </w:pPr>
      <w:r>
        <w:rPr>
          <w:b/>
          <w:bCs/>
        </w:rPr>
        <w:t xml:space="preserve">Synthetic faults</w:t>
      </w:r>
      <w:r>
        <w:t xml:space="preserve">: inject drift/spike/stuck faults (as done in hydroponics fault work) to demonstrate detection and resilience.</w:t>
      </w:r>
      <w:r>
        <w:t xml:space="preserve"> </w:t>
      </w:r>
      <w:hyperlink r:id="rId45">
        <w:r>
          <w:rPr>
            <w:rStyle w:val="Hyperlink"/>
          </w:rPr>
          <w:t xml:space="preserve">[65]</w:t>
        </w:r>
      </w:hyperlink>
    </w:p>
    <w:p>
      <w:pPr>
        <w:pStyle w:val="Compact"/>
        <w:numPr>
          <w:ilvl w:val="0"/>
          <w:numId w:val="1015"/>
        </w:numPr>
      </w:pPr>
      <w:r>
        <w:rPr>
          <w:b/>
          <w:bCs/>
        </w:rPr>
        <w:t xml:space="preserve">Graceful degradation</w:t>
      </w:r>
      <w:r>
        <w:t xml:space="preserve">: if a sensor fails, switch the UI to “estimated state” from forecasts and clearly flag confidence; this aligns with the broader push in DT literature toward robust orchestration and multi-model integration.</w:t>
      </w:r>
      <w:r>
        <w:t xml:space="preserve"> </w:t>
      </w:r>
      <w:hyperlink r:id="rId21">
        <w:r>
          <w:rPr>
            <w:rStyle w:val="Hyperlink"/>
          </w:rPr>
          <w:t xml:space="preserve">[54]</w:t>
        </w:r>
      </w:hyperlink>
    </w:p>
    <w:bookmarkEnd w:id="116"/>
    <w:bookmarkEnd w:id="117"/>
    <w:bookmarkEnd w:id="118"/>
    <w:bookmarkEnd w:id="119"/>
    <w:p>
      <w:r>
        <w:pict>
          <v:rect style="width:0;height:1.5pt" o:hralign="center" o:hrstd="t" o:hr="t"/>
        </w:pict>
      </w:r>
    </w:p>
    <w:bookmarkStart w:id="120"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[11]</w:t>
        </w:r>
      </w:hyperlink>
      <w:r>
        <w:t xml:space="preserve"> </w:t>
      </w:r>
      <w:hyperlink r:id="rId21">
        <w:r>
          <w:rPr>
            <w:rStyle w:val="Hyperlink"/>
          </w:rPr>
          <w:t xml:space="preserve">[53]</w:t>
        </w:r>
      </w:hyperlink>
      <w:r>
        <w:t xml:space="preserve"> </w:t>
      </w:r>
      <w:hyperlink r:id="rId21">
        <w:r>
          <w:rPr>
            <w:rStyle w:val="Hyperlink"/>
          </w:rPr>
          <w:t xml:space="preserve">[54]</w:t>
        </w:r>
      </w:hyperlink>
      <w:r>
        <w:t xml:space="preserve"> </w:t>
      </w:r>
      <w:r>
        <w:t xml:space="preserve">https://pmc.ncbi.nlm.nih.gov/articles/PMC11100011/</w:t>
      </w:r>
    </w:p>
    <w:p>
      <w:pPr>
        <w:pStyle w:val="BodyText"/>
      </w:pPr>
      <w:hyperlink r:id="rId21">
        <w:r>
          <w:rPr>
            <w:rStyle w:val="Hyperlink"/>
          </w:rPr>
          <w:t xml:space="preserve">https://pmc.ncbi.nlm.nih.gov/articles/PMC11100011/</w:t>
        </w:r>
      </w:hyperlink>
    </w:p>
    <w:p>
      <w:pPr>
        <w:pStyle w:val="BodyText"/>
      </w:pPr>
      <w:hyperlink r:id="rId22">
        <w:r>
          <w:rPr>
            <w:rStyle w:val="Hyperlink"/>
          </w:rPr>
          <w:t xml:space="preserve">[2]</w:t>
        </w:r>
      </w:hyperlink>
      <w:r>
        <w:t xml:space="preserve"> </w:t>
      </w:r>
      <w:r>
        <w:t xml:space="preserve">https://docs.oasis-open.org/mqtt/mqtt/v5.0/mqtt-v5.0.html</w:t>
      </w:r>
    </w:p>
    <w:p>
      <w:pPr>
        <w:pStyle w:val="BodyText"/>
      </w:pPr>
      <w:hyperlink r:id="rId22">
        <w:r>
          <w:rPr>
            <w:rStyle w:val="Hyperlink"/>
          </w:rPr>
          <w:t xml:space="preserve">https://docs.oasis-open.org/mqtt/mqtt/v5.0/mqtt-v5.0.html</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hyperlink r:id="rId23">
        <w:r>
          <w:rPr>
            <w:rStyle w:val="Hyperlink"/>
          </w:rPr>
          <w:t xml:space="preserve">[34]</w:t>
        </w:r>
      </w:hyperlink>
      <w:r>
        <w:t xml:space="preserve"> </w:t>
      </w:r>
      <w:hyperlink r:id="rId23">
        <w:r>
          <w:rPr>
            <w:rStyle w:val="Hyperlink"/>
          </w:rPr>
          <w:t xml:space="preserve">[36]</w:t>
        </w:r>
      </w:hyperlink>
      <w:r>
        <w:t xml:space="preserve"> </w:t>
      </w:r>
      <w:r>
        <w:t xml:space="preserve">https://sensirion.com/products/catalog/SHT31-DIS-B</w:t>
      </w:r>
    </w:p>
    <w:p>
      <w:pPr>
        <w:pStyle w:val="BodyText"/>
      </w:pPr>
      <w:hyperlink r:id="rId23">
        <w:r>
          <w:rPr>
            <w:rStyle w:val="Hyperlink"/>
          </w:rPr>
          <w:t xml:space="preserve">https://sensirion.com/products/catalog/SHT31-DIS-B</w:t>
        </w:r>
      </w:hyperlink>
    </w:p>
    <w:p>
      <w:pPr>
        <w:pStyle w:val="BodyText"/>
      </w:pPr>
      <w:hyperlink r:id="rId24">
        <w:r>
          <w:rPr>
            <w:rStyle w:val="Hyperlink"/>
          </w:rPr>
          <w:t xml:space="preserve">[4]</w:t>
        </w:r>
      </w:hyperlink>
      <w:r>
        <w:t xml:space="preserve"> </w:t>
      </w:r>
      <w:hyperlink r:id="rId24">
        <w:r>
          <w:rPr>
            <w:rStyle w:val="Hyperlink"/>
          </w:rPr>
          <w:t xml:space="preserve">[58]</w:t>
        </w:r>
      </w:hyperlink>
      <w:r>
        <w:t xml:space="preserve"> </w:t>
      </w:r>
      <w:hyperlink r:id="rId24">
        <w:r>
          <w:rPr>
            <w:rStyle w:val="Hyperlink"/>
          </w:rPr>
          <w:t xml:space="preserve">[66]</w:t>
        </w:r>
      </w:hyperlink>
      <w:r>
        <w:t xml:space="preserve"> </w:t>
      </w:r>
      <w:hyperlink r:id="rId24">
        <w:r>
          <w:rPr>
            <w:rStyle w:val="Hyperlink"/>
          </w:rPr>
          <w:t xml:space="preserve">[79]</w:t>
        </w:r>
      </w:hyperlink>
      <w:r>
        <w:t xml:space="preserve"> </w:t>
      </w:r>
      <w:r>
        <w:t xml:space="preserve">https://arxiv.org/abs/1603.02754</w:t>
      </w:r>
    </w:p>
    <w:p>
      <w:pPr>
        <w:pStyle w:val="BodyText"/>
      </w:pPr>
      <w:hyperlink r:id="rId24">
        <w:r>
          <w:rPr>
            <w:rStyle w:val="Hyperlink"/>
          </w:rPr>
          <w:t xml:space="preserve">https://arxiv.org/abs/1603.02754</w:t>
        </w:r>
      </w:hyperlink>
    </w:p>
    <w:p>
      <w:pPr>
        <w:pStyle w:val="BodyText"/>
      </w:pPr>
      <w:hyperlink r:id="rId26">
        <w:r>
          <w:rPr>
            <w:rStyle w:val="Hyperlink"/>
          </w:rPr>
          <w:t xml:space="preserve">[5]</w:t>
        </w:r>
      </w:hyperlink>
      <w:r>
        <w:t xml:space="preserve"> </w:t>
      </w:r>
      <w:r>
        <w:t xml:space="preserve">https://ideas.repec.org/a/eee/agisys/v189y2021ics0308521x20309070.html</w:t>
      </w:r>
    </w:p>
    <w:p>
      <w:pPr>
        <w:pStyle w:val="BodyText"/>
      </w:pPr>
      <w:hyperlink r:id="rId26">
        <w:r>
          <w:rPr>
            <w:rStyle w:val="Hyperlink"/>
          </w:rPr>
          <w:t xml:space="preserve">https://ideas.repec.org/a/eee/agisys/v189y2021ics0308521x20309070.html</w:t>
        </w:r>
      </w:hyperlink>
    </w:p>
    <w:p>
      <w:pPr>
        <w:pStyle w:val="BodyText"/>
      </w:pPr>
      <w:hyperlink r:id="rId28">
        <w:r>
          <w:rPr>
            <w:rStyle w:val="Hyperlink"/>
          </w:rPr>
          <w:t xml:space="preserve">[7]</w:t>
        </w:r>
      </w:hyperlink>
      <w:r>
        <w:t xml:space="preserve"> </w:t>
      </w:r>
      <w:hyperlink r:id="rId28">
        <w:r>
          <w:rPr>
            <w:rStyle w:val="Hyperlink"/>
          </w:rPr>
          <w:t xml:space="preserve">[43]</w:t>
        </w:r>
      </w:hyperlink>
      <w:r>
        <w:t xml:space="preserve"> </w:t>
      </w:r>
      <w:hyperlink r:id="rId28">
        <w:r>
          <w:rPr>
            <w:rStyle w:val="Hyperlink"/>
          </w:rPr>
          <w:t xml:space="preserve">[57]</w:t>
        </w:r>
      </w:hyperlink>
      <w:r>
        <w:t xml:space="preserve"> </w:t>
      </w:r>
      <w:hyperlink r:id="rId28">
        <w:r>
          <w:rPr>
            <w:rStyle w:val="Hyperlink"/>
          </w:rPr>
          <w:t xml:space="preserve">[75]</w:t>
        </w:r>
      </w:hyperlink>
      <w:r>
        <w:t xml:space="preserve"> </w:t>
      </w:r>
      <w:r>
        <w:t xml:space="preserve">https://link.springer.com/article/10.1186/s42162-021-00161-9</w:t>
      </w:r>
    </w:p>
    <w:p>
      <w:pPr>
        <w:pStyle w:val="BodyText"/>
      </w:pPr>
      <w:hyperlink r:id="rId28">
        <w:r>
          <w:rPr>
            <w:rStyle w:val="Hyperlink"/>
          </w:rPr>
          <w:t xml:space="preserve">https://link.springer.com/article/10.1186/s42162-021-00161-9</w:t>
        </w:r>
      </w:hyperlink>
    </w:p>
    <w:p>
      <w:pPr>
        <w:pStyle w:val="BodyText"/>
      </w:pPr>
      <w:hyperlink r:id="rId29">
        <w:r>
          <w:rPr>
            <w:rStyle w:val="Hyperlink"/>
          </w:rPr>
          <w:t xml:space="preserve">[8]</w:t>
        </w:r>
      </w:hyperlink>
      <w:r>
        <w:t xml:space="preserve"> </w:t>
      </w:r>
      <w:r>
        <w:t xml:space="preserve">https://www.wur.nl/en/research/plant/autonomous-greenhouse-challenge</w:t>
      </w:r>
    </w:p>
    <w:p>
      <w:pPr>
        <w:pStyle w:val="BodyText"/>
      </w:pPr>
      <w:hyperlink r:id="rId29">
        <w:r>
          <w:rPr>
            <w:rStyle w:val="Hyperlink"/>
          </w:rPr>
          <w:t xml:space="preserve">https://www.wur.nl/en/research/plant/autonomous-greenhouse-challenge</w:t>
        </w:r>
      </w:hyperlink>
    </w:p>
    <w:p>
      <w:pPr>
        <w:pStyle w:val="BodyText"/>
      </w:pPr>
      <w:hyperlink r:id="rId30">
        <w:r>
          <w:rPr>
            <w:rStyle w:val="Hyperlink"/>
          </w:rPr>
          <w:t xml:space="preserve">[9]</w:t>
        </w:r>
      </w:hyperlink>
      <w:r>
        <w:t xml:space="preserve"> </w:t>
      </w:r>
      <w:hyperlink r:id="rId30">
        <w:r>
          <w:rPr>
            <w:rStyle w:val="Hyperlink"/>
          </w:rPr>
          <w:t xml:space="preserve">[16]</w:t>
        </w:r>
      </w:hyperlink>
      <w:r>
        <w:t xml:space="preserve"> </w:t>
      </w:r>
      <w:hyperlink r:id="rId30">
        <w:r>
          <w:rPr>
            <w:rStyle w:val="Hyperlink"/>
          </w:rPr>
          <w:t xml:space="preserve">[89]</w:t>
        </w:r>
      </w:hyperlink>
      <w:r>
        <w:t xml:space="preserve"> </w:t>
      </w:r>
      <w:r>
        <w:t xml:space="preserve">https://www.mdpi.com/2624-7402/7/2/43</w:t>
      </w:r>
    </w:p>
    <w:p>
      <w:pPr>
        <w:pStyle w:val="BodyText"/>
      </w:pPr>
      <w:hyperlink r:id="rId30">
        <w:r>
          <w:rPr>
            <w:rStyle w:val="Hyperlink"/>
          </w:rPr>
          <w:t xml:space="preserve">https://www.mdpi.com/2624-7402/7/2/43</w:t>
        </w:r>
      </w:hyperlink>
    </w:p>
    <w:p>
      <w:pPr>
        <w:pStyle w:val="BodyText"/>
      </w:pPr>
      <w:hyperlink r:id="rId32">
        <w:r>
          <w:rPr>
            <w:rStyle w:val="Hyperlink"/>
          </w:rPr>
          <w:t xml:space="preserve">[10]</w:t>
        </w:r>
      </w:hyperlink>
      <w:r>
        <w:t xml:space="preserve"> </w:t>
      </w:r>
      <w:r>
        <w:t xml:space="preserve">https://www.nasa.gov/directorates/somd/space-communications-navigation-program/technology-readiness-levels/</w:t>
      </w:r>
    </w:p>
    <w:p>
      <w:pPr>
        <w:pStyle w:val="BodyText"/>
      </w:pPr>
      <w:hyperlink r:id="rId32">
        <w:r>
          <w:rPr>
            <w:rStyle w:val="Hyperlink"/>
          </w:rPr>
          <w:t xml:space="preserve">https://www.nasa.gov/directorates/somd/space-communications-navigation-program/technology-readiness-levels/</w:t>
        </w:r>
      </w:hyperlink>
    </w:p>
    <w:p>
      <w:pPr>
        <w:pStyle w:val="BodyText"/>
      </w:pPr>
      <w:hyperlink r:id="rId33">
        <w:r>
          <w:rPr>
            <w:rStyle w:val="Hyperlink"/>
          </w:rPr>
          <w:t xml:space="preserve">[12]</w:t>
        </w:r>
      </w:hyperlink>
      <w:r>
        <w:t xml:space="preserve"> </w:t>
      </w:r>
      <w:hyperlink r:id="rId33">
        <w:r>
          <w:rPr>
            <w:rStyle w:val="Hyperlink"/>
          </w:rPr>
          <w:t xml:space="preserve">[59]</w:t>
        </w:r>
      </w:hyperlink>
      <w:r>
        <w:t xml:space="preserve"> </w:t>
      </w:r>
      <w:hyperlink r:id="rId33">
        <w:r>
          <w:rPr>
            <w:rStyle w:val="Hyperlink"/>
          </w:rPr>
          <w:t xml:space="preserve">[64]</w:t>
        </w:r>
      </w:hyperlink>
      <w:r>
        <w:t xml:space="preserve"> </w:t>
      </w:r>
      <w:r>
        <w:t xml:space="preserve">https://www.mdpi.com/1996-1073/18/21/5821</w:t>
      </w:r>
    </w:p>
    <w:p>
      <w:pPr>
        <w:pStyle w:val="BodyText"/>
      </w:pPr>
      <w:hyperlink r:id="rId33">
        <w:r>
          <w:rPr>
            <w:rStyle w:val="Hyperlink"/>
          </w:rPr>
          <w:t xml:space="preserve">https://www.mdpi.com/1996-1073/18/21/5821</w:t>
        </w:r>
      </w:hyperlink>
    </w:p>
    <w:p>
      <w:pPr>
        <w:pStyle w:val="BodyText"/>
      </w:pPr>
      <w:hyperlink r:id="rId34">
        <w:r>
          <w:rPr>
            <w:rStyle w:val="Hyperlink"/>
          </w:rPr>
          <w:t xml:space="preserve">[13]</w:t>
        </w:r>
      </w:hyperlink>
      <w:r>
        <w:t xml:space="preserve"> </w:t>
      </w:r>
      <w:hyperlink r:id="rId34">
        <w:r>
          <w:rPr>
            <w:rStyle w:val="Hyperlink"/>
          </w:rPr>
          <w:t xml:space="preserve">[37]</w:t>
        </w:r>
      </w:hyperlink>
      <w:r>
        <w:t xml:space="preserve"> </w:t>
      </w:r>
      <w:hyperlink r:id="rId34">
        <w:r>
          <w:rPr>
            <w:rStyle w:val="Hyperlink"/>
          </w:rPr>
          <w:t xml:space="preserve">[61]</w:t>
        </w:r>
      </w:hyperlink>
      <w:r>
        <w:t xml:space="preserve"> </w:t>
      </w:r>
      <w:r>
        <w:t xml:space="preserve">https://www.mdpi.com/2073-4395/15/12/2781</w:t>
      </w:r>
    </w:p>
    <w:p>
      <w:pPr>
        <w:pStyle w:val="BodyText"/>
      </w:pPr>
      <w:hyperlink r:id="rId34">
        <w:r>
          <w:rPr>
            <w:rStyle w:val="Hyperlink"/>
          </w:rPr>
          <w:t xml:space="preserve">https://www.mdpi.com/2073-4395/15/12/2781</w:t>
        </w:r>
      </w:hyperlink>
    </w:p>
    <w:p>
      <w:pPr>
        <w:pStyle w:val="BodyText"/>
      </w:pPr>
      <w:hyperlink r:id="rId35">
        <w:r>
          <w:rPr>
            <w:rStyle w:val="Hyperlink"/>
          </w:rPr>
          <w:t xml:space="preserve">[14]</w:t>
        </w:r>
      </w:hyperlink>
      <w:r>
        <w:t xml:space="preserve"> </w:t>
      </w:r>
      <w:hyperlink r:id="rId35">
        <w:r>
          <w:rPr>
            <w:rStyle w:val="Hyperlink"/>
          </w:rPr>
          <w:t xml:space="preserve">[62]</w:t>
        </w:r>
      </w:hyperlink>
      <w:r>
        <w:t xml:space="preserve"> </w:t>
      </w:r>
      <w:r>
        <w:t xml:space="preserve">https://www.sciencedirect.com/science/article/pii/S0378377425007449</w:t>
      </w:r>
    </w:p>
    <w:p>
      <w:pPr>
        <w:pStyle w:val="BodyText"/>
      </w:pPr>
      <w:hyperlink r:id="rId35">
        <w:r>
          <w:rPr>
            <w:rStyle w:val="Hyperlink"/>
          </w:rPr>
          <w:t xml:space="preserve">https://www.sciencedirect.com/science/article/pii/S0378377425007449</w:t>
        </w:r>
      </w:hyperlink>
    </w:p>
    <w:p>
      <w:pPr>
        <w:pStyle w:val="BodyText"/>
      </w:pPr>
      <w:hyperlink r:id="rId38">
        <w:r>
          <w:rPr>
            <w:rStyle w:val="Hyperlink"/>
          </w:rPr>
          <w:t xml:space="preserve">[15]</w:t>
        </w:r>
      </w:hyperlink>
      <w:r>
        <w:t xml:space="preserve"> </w:t>
      </w:r>
      <w:hyperlink r:id="rId38">
        <w:r>
          <w:rPr>
            <w:rStyle w:val="Hyperlink"/>
          </w:rPr>
          <w:t xml:space="preserve">[29]</w:t>
        </w:r>
      </w:hyperlink>
      <w:r>
        <w:t xml:space="preserve"> </w:t>
      </w:r>
      <w:hyperlink r:id="rId38">
        <w:r>
          <w:rPr>
            <w:rStyle w:val="Hyperlink"/>
          </w:rPr>
          <w:t xml:space="preserve">[38]</w:t>
        </w:r>
      </w:hyperlink>
      <w:r>
        <w:t xml:space="preserve"> </w:t>
      </w:r>
      <w:r>
        <w:t xml:space="preserve">https://metergroup.com/products/teros-10/?srsltid=AfmBOorehjKb19zg0ICJuldXLbvdNGUqYgk9DQuzA4gh_KZ8Hvan7Ob4</w:t>
      </w:r>
    </w:p>
    <w:p>
      <w:pPr>
        <w:pStyle w:val="BodyText"/>
      </w:pPr>
      <w:hyperlink r:id="rId38">
        <w:r>
          <w:rPr>
            <w:rStyle w:val="Hyperlink"/>
          </w:rPr>
          <w:t xml:space="preserve">https://metergroup.com/products/teros-10/?srsltid=AfmBOorehjKb19zg0ICJuldXLbvdNGUqYgk9DQuzA4gh_KZ8Hvan7Ob4</w:t>
        </w:r>
      </w:hyperlink>
    </w:p>
    <w:p>
      <w:pPr>
        <w:pStyle w:val="BodyText"/>
      </w:pPr>
      <w:hyperlink r:id="rId40">
        <w:r>
          <w:rPr>
            <w:rStyle w:val="Hyperlink"/>
          </w:rPr>
          <w:t xml:space="preserve">[18]</w:t>
        </w:r>
      </w:hyperlink>
      <w:r>
        <w:t xml:space="preserve"> </w:t>
      </w:r>
      <w:r>
        <w:t xml:space="preserve">https://www.bosch-sensortec.com/media/boschsensortec/downloads/product_flyer/bst-bme280-fl000.pdf</w:t>
      </w:r>
    </w:p>
    <w:p>
      <w:pPr>
        <w:pStyle w:val="BodyText"/>
      </w:pPr>
      <w:hyperlink r:id="rId40">
        <w:r>
          <w:rPr>
            <w:rStyle w:val="Hyperlink"/>
          </w:rPr>
          <w:t xml:space="preserve">https://www.bosch-sensortec.com/media/boschsensortec/downloads/product_flyer/bst-bme280-fl000.pdf</w:t>
        </w:r>
      </w:hyperlink>
    </w:p>
    <w:p>
      <w:pPr>
        <w:pStyle w:val="BodyText"/>
      </w:pPr>
      <w:hyperlink r:id="rId41">
        <w:r>
          <w:rPr>
            <w:rStyle w:val="Hyperlink"/>
          </w:rPr>
          <w:t xml:space="preserve">[19]</w:t>
        </w:r>
      </w:hyperlink>
      <w:r>
        <w:t xml:space="preserve"> </w:t>
      </w:r>
      <w:hyperlink r:id="rId41">
        <w:r>
          <w:rPr>
            <w:rStyle w:val="Hyperlink"/>
          </w:rPr>
          <w:t xml:space="preserve">[31]</w:t>
        </w:r>
      </w:hyperlink>
      <w:r>
        <w:t xml:space="preserve"> </w:t>
      </w:r>
      <w:hyperlink r:id="rId41">
        <w:r>
          <w:rPr>
            <w:rStyle w:val="Hyperlink"/>
          </w:rPr>
          <w:t xml:space="preserve">[35]</w:t>
        </w:r>
      </w:hyperlink>
      <w:r>
        <w:t xml:space="preserve"> </w:t>
      </w:r>
      <w:r>
        <w:t xml:space="preserve">https://sensirion.com/media/documents/E0F04247/631EF271/CD_DS_SCD40_SCD41_Datasheet_D1.pdf</w:t>
      </w:r>
    </w:p>
    <w:p>
      <w:pPr>
        <w:pStyle w:val="BodyText"/>
      </w:pPr>
      <w:hyperlink r:id="rId41">
        <w:r>
          <w:rPr>
            <w:rStyle w:val="Hyperlink"/>
          </w:rPr>
          <w:t xml:space="preserve">https://sensirion.com/media/documents/E0F04247/631EF271/CD_DS_SCD40_SCD41_Datasheet_D1.pdf</w:t>
        </w:r>
      </w:hyperlink>
    </w:p>
    <w:p>
      <w:pPr>
        <w:pStyle w:val="BodyText"/>
      </w:pPr>
      <w:hyperlink r:id="rId43">
        <w:r>
          <w:rPr>
            <w:rStyle w:val="Hyperlink"/>
          </w:rPr>
          <w:t xml:space="preserve">[20]</w:t>
        </w:r>
      </w:hyperlink>
      <w:r>
        <w:t xml:space="preserve"> </w:t>
      </w:r>
      <w:hyperlink r:id="rId43">
        <w:r>
          <w:rPr>
            <w:rStyle w:val="Hyperlink"/>
          </w:rPr>
          <w:t xml:space="preserve">[41]</w:t>
        </w:r>
      </w:hyperlink>
      <w:r>
        <w:t xml:space="preserve"> </w:t>
      </w:r>
      <w:r>
        <w:t xml:space="preserve">https://metergroup.com/products/teros-10/?srsltid=AfmBOooJDndwfhfVBv9G2LR3MWD16pRkN9iP-d4VGJuhjRRH0ZFbEeoY</w:t>
      </w:r>
    </w:p>
    <w:p>
      <w:pPr>
        <w:pStyle w:val="BodyText"/>
      </w:pPr>
      <w:hyperlink r:id="rId43">
        <w:r>
          <w:rPr>
            <w:rStyle w:val="Hyperlink"/>
          </w:rPr>
          <w:t xml:space="preserve">https://metergroup.com/products/teros-10/?srsltid=AfmBOooJDndwfhfVBv9G2LR3MWD16pRkN9iP-d4VGJuhjRRH0ZFbEeoY</w:t>
        </w:r>
      </w:hyperlink>
    </w:p>
    <w:p>
      <w:pPr>
        <w:pStyle w:val="BodyText"/>
      </w:pPr>
      <w:hyperlink r:id="rId44">
        <w:r>
          <w:rPr>
            <w:rStyle w:val="Hyperlink"/>
          </w:rPr>
          <w:t xml:space="preserve">[21]</w:t>
        </w:r>
      </w:hyperlink>
      <w:r>
        <w:t xml:space="preserve"> </w:t>
      </w:r>
      <w:hyperlink r:id="rId44">
        <w:r>
          <w:rPr>
            <w:rStyle w:val="Hyperlink"/>
          </w:rPr>
          <w:t xml:space="preserve">[30]</w:t>
        </w:r>
      </w:hyperlink>
      <w:r>
        <w:t xml:space="preserve"> </w:t>
      </w:r>
      <w:hyperlink r:id="rId44">
        <w:r>
          <w:rPr>
            <w:rStyle w:val="Hyperlink"/>
          </w:rPr>
          <w:t xml:space="preserve">[77]</w:t>
        </w:r>
      </w:hyperlink>
      <w:r>
        <w:t xml:space="preserve"> </w:t>
      </w:r>
      <w:r>
        <w:t xml:space="preserve">https://metergroup.com/products/teros-12/?srsltid=AfmBOopFa38tDq0wvXc4qpiT_yBQztptMwF6nUxWn-iKnapP2TIaC-qM</w:t>
      </w:r>
    </w:p>
    <w:p>
      <w:pPr>
        <w:pStyle w:val="BodyText"/>
      </w:pPr>
      <w:hyperlink r:id="rId44">
        <w:r>
          <w:rPr>
            <w:rStyle w:val="Hyperlink"/>
          </w:rPr>
          <w:t xml:space="preserve">https://metergroup.com/products/teros-12/?srsltid=AfmBOopFa38tDq0wvXc4qpiT_yBQztptMwF6nUxWn-iKnapP2TIaC-qM</w:t>
        </w:r>
      </w:hyperlink>
    </w:p>
    <w:p>
      <w:pPr>
        <w:pStyle w:val="BodyText"/>
      </w:pPr>
      <w:hyperlink r:id="rId45">
        <w:r>
          <w:rPr>
            <w:rStyle w:val="Hyperlink"/>
          </w:rPr>
          <w:t xml:space="preserve">[22]</w:t>
        </w:r>
      </w:hyperlink>
      <w:r>
        <w:t xml:space="preserve"> </w:t>
      </w:r>
      <w:hyperlink r:id="rId45">
        <w:r>
          <w:rPr>
            <w:rStyle w:val="Hyperlink"/>
          </w:rPr>
          <w:t xml:space="preserve">[33]</w:t>
        </w:r>
      </w:hyperlink>
      <w:r>
        <w:t xml:space="preserve"> </w:t>
      </w:r>
      <w:hyperlink r:id="rId45">
        <w:r>
          <w:rPr>
            <w:rStyle w:val="Hyperlink"/>
          </w:rPr>
          <w:t xml:space="preserve">[65]</w:t>
        </w:r>
      </w:hyperlink>
      <w:r>
        <w:t xml:space="preserve"> </w:t>
      </w:r>
      <w:r>
        <w:t xml:space="preserve">https://www.researchgate.net/publication/392161544_Machine_learning-based_fault_detection_and_diagnosis_of_electrical_conductivity_and_pH_sensors_in_hydroponic_systems</w:t>
      </w:r>
    </w:p>
    <w:p>
      <w:pPr>
        <w:pStyle w:val="BodyText"/>
      </w:pPr>
      <w:hyperlink r:id="rId45">
        <w:r>
          <w:rPr>
            <w:rStyle w:val="Hyperlink"/>
          </w:rPr>
          <w:t xml:space="preserve">https://www.researchgate.net/publication/392161544_Machine_learning-based_fault_detection_and_diagnosis_of_electrical_conductivity_and_pH_sensors_in_hydroponic_systems</w:t>
        </w:r>
      </w:hyperlink>
    </w:p>
    <w:p>
      <w:pPr>
        <w:pStyle w:val="BodyText"/>
      </w:pPr>
      <w:hyperlink r:id="rId47">
        <w:r>
          <w:rPr>
            <w:rStyle w:val="Hyperlink"/>
          </w:rPr>
          <w:t xml:space="preserve">[23]</w:t>
        </w:r>
      </w:hyperlink>
      <w:r>
        <w:t xml:space="preserve"> </w:t>
      </w:r>
      <w:r>
        <w:t xml:space="preserve">https://www.mdpi.com/1424-8220/25/21/6610</w:t>
      </w:r>
    </w:p>
    <w:p>
      <w:pPr>
        <w:pStyle w:val="BodyText"/>
      </w:pPr>
      <w:hyperlink r:id="rId47">
        <w:r>
          <w:rPr>
            <w:rStyle w:val="Hyperlink"/>
          </w:rPr>
          <w:t xml:space="preserve">https://www.mdpi.com/1424-8220/25/21/6610</w:t>
        </w:r>
      </w:hyperlink>
    </w:p>
    <w:p>
      <w:pPr>
        <w:pStyle w:val="BodyText"/>
      </w:pPr>
      <w:hyperlink r:id="rId50">
        <w:r>
          <w:rPr>
            <w:rStyle w:val="Hyperlink"/>
          </w:rPr>
          <w:t xml:space="preserve">[24]</w:t>
        </w:r>
      </w:hyperlink>
      <w:r>
        <w:t xml:space="preserve"> </w:t>
      </w:r>
      <w:hyperlink r:id="rId50">
        <w:r>
          <w:rPr>
            <w:rStyle w:val="Hyperlink"/>
          </w:rPr>
          <w:t xml:space="preserve">[39]</w:t>
        </w:r>
      </w:hyperlink>
      <w:r>
        <w:t xml:space="preserve"> </w:t>
      </w:r>
      <w:hyperlink r:id="rId50">
        <w:r>
          <w:rPr>
            <w:rStyle w:val="Hyperlink"/>
          </w:rPr>
          <w:t xml:space="preserve">[81]</w:t>
        </w:r>
      </w:hyperlink>
      <w:r>
        <w:t xml:space="preserve"> </w:t>
      </w:r>
      <w:r>
        <w:t xml:space="preserve">https://www.digikey.my/en/products/detail/espressif-systems/ESP32-DEVKITC-32E/12091810?srsltid=AfmBOor8Ob0R5BmShPU8NjC_M_p_V-YPbi6AAI_e2CrBbzjcZi1QcJRw</w:t>
      </w:r>
    </w:p>
    <w:p>
      <w:pPr>
        <w:pStyle w:val="BodyText"/>
      </w:pPr>
      <w:hyperlink r:id="rId50">
        <w:r>
          <w:rPr>
            <w:rStyle w:val="Hyperlink"/>
          </w:rPr>
          <w:t xml:space="preserve">https://www.digikey.my/en/products/detail/espressif-systems/ESP32-DEVKITC-32E/12091810?srsltid=AfmBOor8Ob0R5BmShPU8NjC_M_p_V-YPbi6AAI_e2CrBbzjcZi1QcJRw</w:t>
        </w:r>
      </w:hyperlink>
    </w:p>
    <w:p>
      <w:pPr>
        <w:pStyle w:val="BodyText"/>
      </w:pPr>
      <w:hyperlink r:id="rId52">
        <w:r>
          <w:rPr>
            <w:rStyle w:val="Hyperlink"/>
          </w:rPr>
          <w:t xml:space="preserve">[25]</w:t>
        </w:r>
      </w:hyperlink>
      <w:r>
        <w:t xml:space="preserve"> </w:t>
      </w:r>
      <w:r>
        <w:t xml:space="preserve">https://asrjetsjournal.org/American_Scientific_Journal/article/download/7137/2458/21565</w:t>
      </w:r>
    </w:p>
    <w:p>
      <w:pPr>
        <w:pStyle w:val="BodyText"/>
      </w:pPr>
      <w:hyperlink r:id="rId52">
        <w:r>
          <w:rPr>
            <w:rStyle w:val="Hyperlink"/>
          </w:rPr>
          <w:t xml:space="preserve">https://asrjetsjournal.org/American_Scientific_Journal/article/download/7137/2458/21565</w:t>
        </w:r>
      </w:hyperlink>
    </w:p>
    <w:p>
      <w:pPr>
        <w:pStyle w:val="BodyText"/>
      </w:pPr>
      <w:hyperlink r:id="rId55">
        <w:r>
          <w:rPr>
            <w:rStyle w:val="Hyperlink"/>
          </w:rPr>
          <w:t xml:space="preserve">[26]</w:t>
        </w:r>
      </w:hyperlink>
      <w:r>
        <w:t xml:space="preserve"> </w:t>
      </w:r>
      <w:r>
        <w:t xml:space="preserve">Search - sen0193 - products, projects and tutorials</w:t>
      </w:r>
    </w:p>
    <w:p>
      <w:pPr>
        <w:pStyle w:val="BodyText"/>
      </w:pPr>
      <w:hyperlink r:id="rId55">
        <w:r>
          <w:rPr>
            <w:rStyle w:val="Hyperlink"/>
          </w:rPr>
          <w:t xml:space="preserve">https://www.dfrobot.com/search-sen0193.html?srsltid=AfmBOop3sSfNnkVS6LwFSAMvvn9cI0NRtrUBPrsx0cHdqkqPgZhtdcfm&amp;utm_source=chatgpt.com</w:t>
        </w:r>
      </w:hyperlink>
    </w:p>
    <w:p>
      <w:pPr>
        <w:pStyle w:val="BodyText"/>
      </w:pPr>
      <w:hyperlink r:id="rId56">
        <w:r>
          <w:rPr>
            <w:rStyle w:val="Hyperlink"/>
          </w:rPr>
          <w:t xml:space="preserve">[27]</w:t>
        </w:r>
      </w:hyperlink>
      <w:r>
        <w:t xml:space="preserve"> </w:t>
      </w:r>
      <w:r>
        <w:t xml:space="preserve">SEN0193 DFRobot | Development Boards, Kits, ...</w:t>
      </w:r>
    </w:p>
    <w:p>
      <w:pPr>
        <w:pStyle w:val="BodyText"/>
      </w:pPr>
      <w:hyperlink r:id="rId56">
        <w:r>
          <w:rPr>
            <w:rStyle w:val="Hyperlink"/>
          </w:rPr>
          <w:t xml:space="preserve">https://www.digikey.my/en/products/detail/dfrobot/SEN0193/6588605?srsltid=AfmBOopWDjM6pk3Nt0XumfITJkxL3Rx6TgAkOKyHHrE0zB06xG7TfdQB&amp;utm_source=chatgpt.com</w:t>
        </w:r>
      </w:hyperlink>
    </w:p>
    <w:p>
      <w:pPr>
        <w:pStyle w:val="BodyText"/>
      </w:pPr>
      <w:hyperlink r:id="rId57">
        <w:r>
          <w:rPr>
            <w:rStyle w:val="Hyperlink"/>
          </w:rPr>
          <w:t xml:space="preserve">[28]</w:t>
        </w:r>
      </w:hyperlink>
      <w:r>
        <w:t xml:space="preserve"> </w:t>
      </w:r>
      <w:r>
        <w:t xml:space="preserve">https://vegetronix.com/soil-moisture-sensor</w:t>
      </w:r>
    </w:p>
    <w:p>
      <w:pPr>
        <w:pStyle w:val="BodyText"/>
      </w:pPr>
      <w:hyperlink r:id="rId57">
        <w:r>
          <w:rPr>
            <w:rStyle w:val="Hyperlink"/>
          </w:rPr>
          <w:t xml:space="preserve">https://vegetronix.com/soil-moisture-sensor</w:t>
        </w:r>
      </w:hyperlink>
    </w:p>
    <w:p>
      <w:pPr>
        <w:pStyle w:val="BodyText"/>
      </w:pPr>
      <w:hyperlink r:id="rId58">
        <w:r>
          <w:rPr>
            <w:rStyle w:val="Hyperlink"/>
          </w:rPr>
          <w:t xml:space="preserve">[32]</w:t>
        </w:r>
      </w:hyperlink>
      <w:r>
        <w:t xml:space="preserve"> </w:t>
      </w:r>
      <w:r>
        <w:t xml:space="preserve">https://my.element14.com/sensirion/sht31-dis-f2-5ks/humidity-temp-sensor-digital-dfn/dp/2886655?srsltid=AfmBOor3ng3zTFwpE2xC0beoAYxiPk5m9KrSm7U869tUmnFUBorirOzF</w:t>
      </w:r>
    </w:p>
    <w:p>
      <w:pPr>
        <w:pStyle w:val="BodyText"/>
      </w:pPr>
      <w:hyperlink r:id="rId58">
        <w:r>
          <w:rPr>
            <w:rStyle w:val="Hyperlink"/>
          </w:rPr>
          <w:t xml:space="preserve">https://my.element14.com/sensirion/sht31-dis-f2-5ks/humidity-temp-sensor-digital-dfn/dp/2886655?srsltid=AfmBOor3ng3zTFwpE2xC0beoAYxiPk5m9KrSm7U869tUmnFUBorirOzF</w:t>
        </w:r>
      </w:hyperlink>
    </w:p>
    <w:p>
      <w:pPr>
        <w:pStyle w:val="BodyText"/>
      </w:pPr>
      <w:hyperlink r:id="rId60">
        <w:r>
          <w:rPr>
            <w:rStyle w:val="Hyperlink"/>
          </w:rPr>
          <w:t xml:space="preserve">[40]</w:t>
        </w:r>
      </w:hyperlink>
      <w:r>
        <w:t xml:space="preserve"> </w:t>
      </w:r>
      <w:r>
        <w:t xml:space="preserve">https://www.researchgate.net/publication/387852147_Calibration_of_Low-Cost_Capacitive_Soil_Moisture_Sensors_for_Irrigation_Management_Applications</w:t>
      </w:r>
    </w:p>
    <w:p>
      <w:pPr>
        <w:pStyle w:val="BodyText"/>
      </w:pPr>
      <w:hyperlink r:id="rId60">
        <w:r>
          <w:rPr>
            <w:rStyle w:val="Hyperlink"/>
          </w:rPr>
          <w:t xml:space="preserve">https://www.researchgate.net/publication/387852147_Calibration_of_Low-Cost_Capacitive_Soil_Moisture_Sensors_for_Irrigation_Management_Applications</w:t>
        </w:r>
      </w:hyperlink>
    </w:p>
    <w:p>
      <w:pPr>
        <w:pStyle w:val="BodyText"/>
      </w:pPr>
      <w:hyperlink r:id="rId61">
        <w:r>
          <w:rPr>
            <w:rStyle w:val="Hyperlink"/>
          </w:rPr>
          <w:t xml:space="preserve">[42]</w:t>
        </w:r>
      </w:hyperlink>
      <w:r>
        <w:t xml:space="preserve"> </w:t>
      </w:r>
      <w:r>
        <w:t xml:space="preserve">https://metergroup.com/water-content-sensor-comparison-chart-2/?srsltid=AfmBOoopymR_Xj6JWP5eED1uqzLk94FDZfc_vgf4Ho8xhdqIVpfi_QoM</w:t>
      </w:r>
    </w:p>
    <w:p>
      <w:pPr>
        <w:pStyle w:val="BodyText"/>
      </w:pPr>
      <w:hyperlink r:id="rId61">
        <w:r>
          <w:rPr>
            <w:rStyle w:val="Hyperlink"/>
          </w:rPr>
          <w:t xml:space="preserve">https://metergroup.com/water-content-sensor-comparison-chart-2/?srsltid=AfmBOoopymR_Xj6JWP5eED1uqzLk94FDZfc_vgf4Ho8xhdqIVpfi_QoM</w:t>
        </w:r>
      </w:hyperlink>
    </w:p>
    <w:p>
      <w:pPr>
        <w:pStyle w:val="BodyText"/>
      </w:pPr>
      <w:hyperlink r:id="rId65">
        <w:r>
          <w:rPr>
            <w:rStyle w:val="Hyperlink"/>
          </w:rPr>
          <w:t xml:space="preserve">[44]</w:t>
        </w:r>
      </w:hyperlink>
      <w:r>
        <w:t xml:space="preserve"> </w:t>
      </w:r>
      <w:r>
        <w:t xml:space="preserve">https://resources.lora-alliance.org/technical-specifications/lorawan-specification-v1-1</w:t>
      </w:r>
    </w:p>
    <w:p>
      <w:pPr>
        <w:pStyle w:val="BodyText"/>
      </w:pPr>
      <w:hyperlink r:id="rId65">
        <w:r>
          <w:rPr>
            <w:rStyle w:val="Hyperlink"/>
          </w:rPr>
          <w:t xml:space="preserve">https://resources.lora-alliance.org/technical-specifications/lorawan-specification-v1-1</w:t>
        </w:r>
      </w:hyperlink>
    </w:p>
    <w:p>
      <w:pPr>
        <w:pStyle w:val="BodyText"/>
      </w:pPr>
      <w:hyperlink r:id="rId66">
        <w:r>
          <w:rPr>
            <w:rStyle w:val="Hyperlink"/>
          </w:rPr>
          <w:t xml:space="preserve">[45]</w:t>
        </w:r>
      </w:hyperlink>
      <w:r>
        <w:t xml:space="preserve"> </w:t>
      </w:r>
      <w:r>
        <w:t xml:space="preserve">https://www.gsma.com/solutions-and-impact/technologies/internet-of-things/narrow-band-internet-of-things-nb-iot/</w:t>
      </w:r>
    </w:p>
    <w:p>
      <w:pPr>
        <w:pStyle w:val="BodyText"/>
      </w:pPr>
      <w:hyperlink r:id="rId66">
        <w:r>
          <w:rPr>
            <w:rStyle w:val="Hyperlink"/>
          </w:rPr>
          <w:t xml:space="preserve">https://www.gsma.com/solutions-and-impact/technologies/internet-of-things/narrow-band-internet-of-things-nb-iot/</w:t>
        </w:r>
      </w:hyperlink>
    </w:p>
    <w:p>
      <w:pPr>
        <w:pStyle w:val="BodyText"/>
      </w:pPr>
      <w:hyperlink r:id="rId67">
        <w:r>
          <w:rPr>
            <w:rStyle w:val="Hyperlink"/>
          </w:rPr>
          <w:t xml:space="preserve">[46]</w:t>
        </w:r>
      </w:hyperlink>
      <w:r>
        <w:t xml:space="preserve"> </w:t>
      </w:r>
      <w:r>
        <w:t xml:space="preserve">https://learn.microsoft.com/en-us/azure/event-grid/mqtt-transport-layer-security-flow</w:t>
      </w:r>
    </w:p>
    <w:p>
      <w:pPr>
        <w:pStyle w:val="BodyText"/>
      </w:pPr>
      <w:hyperlink r:id="rId67">
        <w:r>
          <w:rPr>
            <w:rStyle w:val="Hyperlink"/>
          </w:rPr>
          <w:t xml:space="preserve">https://learn.microsoft.com/en-us/azure/event-grid/mqtt-transport-layer-security-flow</w:t>
        </w:r>
      </w:hyperlink>
    </w:p>
    <w:p>
      <w:pPr>
        <w:pStyle w:val="BodyText"/>
      </w:pPr>
      <w:hyperlink r:id="rId68">
        <w:r>
          <w:rPr>
            <w:rStyle w:val="Hyperlink"/>
          </w:rPr>
          <w:t xml:space="preserve">[47]</w:t>
        </w:r>
      </w:hyperlink>
      <w:r>
        <w:t xml:space="preserve"> </w:t>
      </w:r>
      <w:r>
        <w:t xml:space="preserve">https://resources.lora-alliance.org/document/lorawan-specification-v1-1</w:t>
      </w:r>
    </w:p>
    <w:p>
      <w:pPr>
        <w:pStyle w:val="BodyText"/>
      </w:pPr>
      <w:hyperlink r:id="rId68">
        <w:r>
          <w:rPr>
            <w:rStyle w:val="Hyperlink"/>
          </w:rPr>
          <w:t xml:space="preserve">https://resources.lora-alliance.org/document/lorawan-specification-v1-1</w:t>
        </w:r>
      </w:hyperlink>
    </w:p>
    <w:p>
      <w:pPr>
        <w:pStyle w:val="BodyText"/>
      </w:pPr>
      <w:hyperlink r:id="rId70">
        <w:r>
          <w:rPr>
            <w:rStyle w:val="Hyperlink"/>
          </w:rPr>
          <w:t xml:space="preserve">[48]</w:t>
        </w:r>
      </w:hyperlink>
      <w:r>
        <w:t xml:space="preserve"> </w:t>
      </w:r>
      <w:hyperlink r:id="rId70">
        <w:r>
          <w:rPr>
            <w:rStyle w:val="Hyperlink"/>
          </w:rPr>
          <w:t xml:space="preserve">[73]</w:t>
        </w:r>
      </w:hyperlink>
      <w:r>
        <w:t xml:space="preserve"> </w:t>
      </w:r>
      <w:r>
        <w:t xml:space="preserve">https://datatracker.ietf.org/doc/html/rfc7252</w:t>
      </w:r>
    </w:p>
    <w:p>
      <w:pPr>
        <w:pStyle w:val="BodyText"/>
      </w:pPr>
      <w:hyperlink r:id="rId70">
        <w:r>
          <w:rPr>
            <w:rStyle w:val="Hyperlink"/>
          </w:rPr>
          <w:t xml:space="preserve">https://datatracker.ietf.org/doc/html/rfc7252</w:t>
        </w:r>
      </w:hyperlink>
    </w:p>
    <w:p>
      <w:pPr>
        <w:pStyle w:val="BodyText"/>
      </w:pPr>
      <w:hyperlink r:id="rId73">
        <w:r>
          <w:rPr>
            <w:rStyle w:val="Hyperlink"/>
          </w:rPr>
          <w:t xml:space="preserve">[49]</w:t>
        </w:r>
      </w:hyperlink>
      <w:r>
        <w:t xml:space="preserve"> </w:t>
      </w:r>
      <w:hyperlink r:id="rId73">
        <w:r>
          <w:rPr>
            <w:rStyle w:val="Hyperlink"/>
          </w:rPr>
          <w:t xml:space="preserve">[55]</w:t>
        </w:r>
      </w:hyperlink>
      <w:r>
        <w:t xml:space="preserve"> </w:t>
      </w:r>
      <w:hyperlink r:id="rId73">
        <w:r>
          <w:rPr>
            <w:rStyle w:val="Hyperlink"/>
          </w:rPr>
          <w:t xml:space="preserve">[82]</w:t>
        </w:r>
      </w:hyperlink>
      <w:r>
        <w:t xml:space="preserve"> </w:t>
      </w:r>
      <w:r>
        <w:t xml:space="preserve">https://docs.influxdata.com/influxdb/v2/reference/internals/data-retention/</w:t>
      </w:r>
    </w:p>
    <w:p>
      <w:pPr>
        <w:pStyle w:val="BodyText"/>
      </w:pPr>
      <w:hyperlink r:id="rId73">
        <w:r>
          <w:rPr>
            <w:rStyle w:val="Hyperlink"/>
          </w:rPr>
          <w:t xml:space="preserve">https://docs.influxdata.com/influxdb/v2/reference/internals/data-retention/</w:t>
        </w:r>
      </w:hyperlink>
    </w:p>
    <w:p>
      <w:pPr>
        <w:pStyle w:val="BodyText"/>
      </w:pPr>
      <w:hyperlink r:id="rId74">
        <w:r>
          <w:rPr>
            <w:rStyle w:val="Hyperlink"/>
          </w:rPr>
          <w:t xml:space="preserve">[50]</w:t>
        </w:r>
      </w:hyperlink>
      <w:r>
        <w:t xml:space="preserve"> </w:t>
      </w:r>
      <w:hyperlink r:id="rId74">
        <w:r>
          <w:rPr>
            <w:rStyle w:val="Hyperlink"/>
          </w:rPr>
          <w:t xml:space="preserve">[56]</w:t>
        </w:r>
      </w:hyperlink>
      <w:r>
        <w:t xml:space="preserve"> </w:t>
      </w:r>
      <w:r>
        <w:t xml:space="preserve">https://www.tigerdata.com/docs/use-timescale/latest/data-retention/create-a-retention-policy</w:t>
      </w:r>
    </w:p>
    <w:p>
      <w:pPr>
        <w:pStyle w:val="BodyText"/>
      </w:pPr>
      <w:hyperlink r:id="rId74">
        <w:r>
          <w:rPr>
            <w:rStyle w:val="Hyperlink"/>
          </w:rPr>
          <w:t xml:space="preserve">https://www.tigerdata.com/docs/use-timescale/latest/data-retention/create-a-retention-policy</w:t>
        </w:r>
      </w:hyperlink>
    </w:p>
    <w:p>
      <w:pPr>
        <w:pStyle w:val="BodyText"/>
      </w:pPr>
      <w:hyperlink r:id="rId75">
        <w:r>
          <w:rPr>
            <w:rStyle w:val="Hyperlink"/>
          </w:rPr>
          <w:t xml:space="preserve">[51]</w:t>
        </w:r>
      </w:hyperlink>
      <w:r>
        <w:t xml:space="preserve"> </w:t>
      </w:r>
      <w:r>
        <w:t xml:space="preserve">https://docs.aws.amazon.com/timestream/latest/developerguide/storage.html</w:t>
      </w:r>
    </w:p>
    <w:p>
      <w:pPr>
        <w:pStyle w:val="BodyText"/>
      </w:pPr>
      <w:hyperlink r:id="rId75">
        <w:r>
          <w:rPr>
            <w:rStyle w:val="Hyperlink"/>
          </w:rPr>
          <w:t xml:space="preserve">https://docs.aws.amazon.com/timestream/latest/developerguide/storage.html</w:t>
        </w:r>
      </w:hyperlink>
    </w:p>
    <w:p>
      <w:pPr>
        <w:pStyle w:val="BodyText"/>
      </w:pPr>
      <w:hyperlink r:id="rId76">
        <w:r>
          <w:rPr>
            <w:rStyle w:val="Hyperlink"/>
          </w:rPr>
          <w:t xml:space="preserve">[52]</w:t>
        </w:r>
      </w:hyperlink>
      <w:r>
        <w:t xml:space="preserve"> </w:t>
      </w:r>
      <w:r>
        <w:t xml:space="preserve">https://questdb.com/docs/ingestion/overview/</w:t>
      </w:r>
    </w:p>
    <w:p>
      <w:pPr>
        <w:pStyle w:val="BodyText"/>
      </w:pPr>
      <w:hyperlink r:id="rId76">
        <w:r>
          <w:rPr>
            <w:rStyle w:val="Hyperlink"/>
          </w:rPr>
          <w:t xml:space="preserve">https://questdb.com/docs/ingestion/overview/</w:t>
        </w:r>
      </w:hyperlink>
    </w:p>
    <w:p>
      <w:pPr>
        <w:pStyle w:val="BodyText"/>
      </w:pPr>
      <w:hyperlink r:id="rId81">
        <w:r>
          <w:rPr>
            <w:rStyle w:val="Hyperlink"/>
          </w:rPr>
          <w:t xml:space="preserve">[60]</w:t>
        </w:r>
      </w:hyperlink>
      <w:r>
        <w:t xml:space="preserve"> </w:t>
      </w:r>
      <w:hyperlink r:id="rId81">
        <w:r>
          <w:rPr>
            <w:rStyle w:val="Hyperlink"/>
          </w:rPr>
          <w:t xml:space="preserve">[69]</w:t>
        </w:r>
      </w:hyperlink>
      <w:r>
        <w:t xml:space="preserve"> </w:t>
      </w:r>
      <w:r>
        <w:t xml:space="preserve">https://docs.ultralytics.com/models/yolov8/</w:t>
      </w:r>
    </w:p>
    <w:p>
      <w:pPr>
        <w:pStyle w:val="BodyText"/>
      </w:pPr>
      <w:hyperlink r:id="rId81">
        <w:r>
          <w:rPr>
            <w:rStyle w:val="Hyperlink"/>
          </w:rPr>
          <w:t xml:space="preserve">https://docs.ultralytics.com/models/yolov8/</w:t>
        </w:r>
      </w:hyperlink>
    </w:p>
    <w:p>
      <w:pPr>
        <w:pStyle w:val="BodyText"/>
      </w:pPr>
      <w:hyperlink r:id="rId85">
        <w:r>
          <w:rPr>
            <w:rStyle w:val="Hyperlink"/>
          </w:rPr>
          <w:t xml:space="preserve">[63]</w:t>
        </w:r>
      </w:hyperlink>
      <w:r>
        <w:t xml:space="preserve"> </w:t>
      </w:r>
      <w:r>
        <w:t xml:space="preserve">https://www.researchgate.net/publication/380672676_Machine_Learning-Powered_Forecasting_of_Climate_Conditions_in_Smart_Greenhouse_Containing_Netted_Melons</w:t>
      </w:r>
    </w:p>
    <w:p>
      <w:pPr>
        <w:pStyle w:val="BodyText"/>
      </w:pPr>
      <w:hyperlink r:id="rId85">
        <w:r>
          <w:rPr>
            <w:rStyle w:val="Hyperlink"/>
          </w:rPr>
          <w:t xml:space="preserve">https://www.researchgate.net/publication/380672676_Machine_Learning-Powered_Forecasting_of_Climate_Conditions_in_Smart_Greenhouse_Containing_Netted_Melons</w:t>
        </w:r>
      </w:hyperlink>
    </w:p>
    <w:p>
      <w:pPr>
        <w:pStyle w:val="BodyText"/>
      </w:pPr>
      <w:hyperlink r:id="rId90">
        <w:r>
          <w:rPr>
            <w:rStyle w:val="Hyperlink"/>
          </w:rPr>
          <w:t xml:space="preserve">[67]</w:t>
        </w:r>
      </w:hyperlink>
      <w:r>
        <w:t xml:space="preserve"> </w:t>
      </w:r>
      <w:r>
        <w:t xml:space="preserve">https://proceedings.neurips.cc/paper/6907-lightgbm-a-highly-efficient-gradient-boosting-decision-tree.pdf</w:t>
      </w:r>
    </w:p>
    <w:p>
      <w:pPr>
        <w:pStyle w:val="BodyText"/>
      </w:pPr>
      <w:hyperlink r:id="rId90">
        <w:r>
          <w:rPr>
            <w:rStyle w:val="Hyperlink"/>
          </w:rPr>
          <w:t xml:space="preserve">https://proceedings.neurips.cc/paper/6907-lightgbm-a-highly-efficient-gradient-boosting-decision-tree.pdf</w:t>
        </w:r>
      </w:hyperlink>
    </w:p>
    <w:p>
      <w:pPr>
        <w:pStyle w:val="BodyText"/>
      </w:pPr>
      <w:hyperlink r:id="rId91">
        <w:r>
          <w:rPr>
            <w:rStyle w:val="Hyperlink"/>
          </w:rPr>
          <w:t xml:space="preserve">[68]</w:t>
        </w:r>
      </w:hyperlink>
      <w:r>
        <w:t xml:space="preserve"> </w:t>
      </w:r>
      <w:r>
        <w:t xml:space="preserve">https://www.pertanika.upm.edu.my/resources/files/Pertanika%20PAPERS/JST%20Vol.%2033%20%282%29%20Mar.%202025/09%20JST-5245-2024.pdf</w:t>
      </w:r>
    </w:p>
    <w:p>
      <w:pPr>
        <w:pStyle w:val="BodyText"/>
      </w:pPr>
      <w:hyperlink r:id="rId91">
        <w:r>
          <w:rPr>
            <w:rStyle w:val="Hyperlink"/>
          </w:rPr>
          <w:t xml:space="preserve">https://www.pertanika.upm.edu.my/resources/files/Pertanika%20PAPERS/JST%20Vol.%2033%20%282%29%20Mar.%202025/09%20JST-5245-2024.pdf</w:t>
        </w:r>
      </w:hyperlink>
    </w:p>
    <w:p>
      <w:pPr>
        <w:pStyle w:val="BodyText"/>
      </w:pPr>
      <w:hyperlink r:id="rId94">
        <w:r>
          <w:rPr>
            <w:rStyle w:val="Hyperlink"/>
          </w:rPr>
          <w:t xml:space="preserve">[70]</w:t>
        </w:r>
      </w:hyperlink>
      <w:r>
        <w:t xml:space="preserve"> </w:t>
      </w:r>
      <w:r>
        <w:t xml:space="preserve">https://figshare.com/articles/dataset/Autonomous_Greenhouse_Challenge_First_Edition_2018_/12717758</w:t>
      </w:r>
    </w:p>
    <w:p>
      <w:pPr>
        <w:pStyle w:val="BodyText"/>
      </w:pPr>
      <w:hyperlink r:id="rId94">
        <w:r>
          <w:rPr>
            <w:rStyle w:val="Hyperlink"/>
          </w:rPr>
          <w:t xml:space="preserve">https://figshare.com/articles/dataset/Autonomous_Greenhouse_Challenge_First_Edition_2018_/12717758</w:t>
        </w:r>
      </w:hyperlink>
    </w:p>
    <w:p>
      <w:pPr>
        <w:pStyle w:val="BodyText"/>
      </w:pPr>
      <w:hyperlink r:id="rId95">
        <w:r>
          <w:rPr>
            <w:rStyle w:val="Hyperlink"/>
          </w:rPr>
          <w:t xml:space="preserve">[71]</w:t>
        </w:r>
      </w:hyperlink>
      <w:r>
        <w:t xml:space="preserve"> </w:t>
      </w:r>
      <w:r>
        <w:t xml:space="preserve">https://agdatacommons.nal.usda.gov/articles/dataset/Validation_Dataset_for_Hydroponically_Cultivated_Bibb_Lettuce/29646779</w:t>
      </w:r>
    </w:p>
    <w:p>
      <w:pPr>
        <w:pStyle w:val="BodyText"/>
      </w:pPr>
      <w:hyperlink r:id="rId95">
        <w:r>
          <w:rPr>
            <w:rStyle w:val="Hyperlink"/>
          </w:rPr>
          <w:t xml:space="preserve">https://agdatacommons.nal.usda.gov/articles/dataset/Validation_Dataset_for_Hydroponically_Cultivated_Bibb_Lettuce/29646779</w:t>
        </w:r>
      </w:hyperlink>
    </w:p>
    <w:p>
      <w:pPr>
        <w:pStyle w:val="BodyText"/>
      </w:pPr>
      <w:hyperlink r:id="rId96">
        <w:r>
          <w:rPr>
            <w:rStyle w:val="Hyperlink"/>
          </w:rPr>
          <w:t xml:space="preserve">[72]</w:t>
        </w:r>
      </w:hyperlink>
      <w:r>
        <w:t xml:space="preserve"> </w:t>
      </w:r>
      <w:r>
        <w:t xml:space="preserve">https://www.kaggle.com/datasets/itsmonir31/hydroponics-datasets</w:t>
      </w:r>
    </w:p>
    <w:p>
      <w:pPr>
        <w:pStyle w:val="BodyText"/>
      </w:pPr>
      <w:hyperlink r:id="rId96">
        <w:r>
          <w:rPr>
            <w:rStyle w:val="Hyperlink"/>
          </w:rPr>
          <w:t xml:space="preserve">https://www.kaggle.com/datasets/itsmonir31/hydroponics-datasets</w:t>
        </w:r>
      </w:hyperlink>
    </w:p>
    <w:p>
      <w:pPr>
        <w:pStyle w:val="BodyText"/>
      </w:pPr>
      <w:hyperlink r:id="rId98">
        <w:r>
          <w:rPr>
            <w:rStyle w:val="Hyperlink"/>
          </w:rPr>
          <w:t xml:space="preserve">[74]</w:t>
        </w:r>
      </w:hyperlink>
      <w:r>
        <w:t xml:space="preserve"> </w:t>
      </w:r>
      <w:r>
        <w:t xml:space="preserve">https://open-meteo.com/</w:t>
      </w:r>
    </w:p>
    <w:p>
      <w:pPr>
        <w:pStyle w:val="BodyText"/>
      </w:pPr>
      <w:hyperlink r:id="rId98">
        <w:r>
          <w:rPr>
            <w:rStyle w:val="Hyperlink"/>
          </w:rPr>
          <w:t xml:space="preserve">https://open-meteo.com/</w:t>
        </w:r>
      </w:hyperlink>
    </w:p>
    <w:p>
      <w:pPr>
        <w:pStyle w:val="BodyText"/>
      </w:pPr>
      <w:hyperlink r:id="rId99">
        <w:r>
          <w:rPr>
            <w:rStyle w:val="Hyperlink"/>
          </w:rPr>
          <w:t xml:space="preserve">[76]</w:t>
        </w:r>
      </w:hyperlink>
      <w:r>
        <w:t xml:space="preserve"> </w:t>
      </w:r>
      <w:r>
        <w:t xml:space="preserve">https://www.weather.gov/documentation/services-web-api</w:t>
      </w:r>
    </w:p>
    <w:p>
      <w:pPr>
        <w:pStyle w:val="BodyText"/>
      </w:pPr>
      <w:hyperlink r:id="rId99">
        <w:r>
          <w:rPr>
            <w:rStyle w:val="Hyperlink"/>
          </w:rPr>
          <w:t xml:space="preserve">https://www.weather.gov/documentation/services-web-api</w:t>
        </w:r>
      </w:hyperlink>
    </w:p>
    <w:p>
      <w:pPr>
        <w:pStyle w:val="BodyText"/>
      </w:pPr>
      <w:hyperlink r:id="rId100">
        <w:r>
          <w:rPr>
            <w:rStyle w:val="Hyperlink"/>
          </w:rPr>
          <w:t xml:space="preserve">[78]</w:t>
        </w:r>
      </w:hyperlink>
      <w:r>
        <w:t xml:space="preserve"> </w:t>
      </w:r>
      <w:r>
        <w:t xml:space="preserve">https://dev.meteostat.net/api</w:t>
      </w:r>
    </w:p>
    <w:p>
      <w:pPr>
        <w:pStyle w:val="BodyText"/>
      </w:pPr>
      <w:hyperlink r:id="rId100">
        <w:r>
          <w:rPr>
            <w:rStyle w:val="Hyperlink"/>
          </w:rPr>
          <w:t xml:space="preserve">https://dev.meteostat.net/api</w:t>
        </w:r>
      </w:hyperlink>
    </w:p>
    <w:p>
      <w:pPr>
        <w:pStyle w:val="BodyText"/>
      </w:pPr>
      <w:hyperlink r:id="rId101">
        <w:r>
          <w:rPr>
            <w:rStyle w:val="Hyperlink"/>
          </w:rPr>
          <w:t xml:space="preserve">[80]</w:t>
        </w:r>
      </w:hyperlink>
      <w:r>
        <w:t xml:space="preserve"> </w:t>
      </w:r>
      <w:r>
        <w:t xml:space="preserve">https://openweathermap.org/api/one-call-3</w:t>
      </w:r>
    </w:p>
    <w:p>
      <w:pPr>
        <w:pStyle w:val="BodyText"/>
      </w:pPr>
      <w:hyperlink r:id="rId101">
        <w:r>
          <w:rPr>
            <w:rStyle w:val="Hyperlink"/>
          </w:rPr>
          <w:t xml:space="preserve">https://openweathermap.org/api/one-call-3</w:t>
        </w:r>
      </w:hyperlink>
    </w:p>
    <w:p>
      <w:pPr>
        <w:pStyle w:val="BodyText"/>
      </w:pPr>
      <w:hyperlink r:id="rId107">
        <w:r>
          <w:rPr>
            <w:rStyle w:val="Hyperlink"/>
          </w:rPr>
          <w:t xml:space="preserve">[83]</w:t>
        </w:r>
      </w:hyperlink>
      <w:r>
        <w:t xml:space="preserve"> </w:t>
      </w:r>
      <w:r>
        <w:t xml:space="preserve">https://nvlpubs.nist.gov/nistpubs/ir/2020/NIST.IR.8259a.pdf</w:t>
      </w:r>
    </w:p>
    <w:p>
      <w:pPr>
        <w:pStyle w:val="BodyText"/>
      </w:pPr>
      <w:hyperlink r:id="rId107">
        <w:r>
          <w:rPr>
            <w:rStyle w:val="Hyperlink"/>
          </w:rPr>
          <w:t xml:space="preserve">https://nvlpubs.nist.gov/nistpubs/ir/2020/NIST.IR.8259a.pdf</w:t>
        </w:r>
      </w:hyperlink>
    </w:p>
    <w:p>
      <w:pPr>
        <w:pStyle w:val="BodyText"/>
      </w:pPr>
      <w:hyperlink r:id="rId109">
        <w:r>
          <w:rPr>
            <w:rStyle w:val="Hyperlink"/>
          </w:rPr>
          <w:t xml:space="preserve">[84]</w:t>
        </w:r>
      </w:hyperlink>
      <w:r>
        <w:t xml:space="preserve"> </w:t>
      </w:r>
      <w:r>
        <w:t xml:space="preserve">Digital Twins in greenhouse horticulture: A review</w:t>
      </w:r>
    </w:p>
    <w:p>
      <w:pPr>
        <w:pStyle w:val="BodyText"/>
      </w:pPr>
      <w:hyperlink r:id="rId109">
        <w:r>
          <w:rPr>
            <w:rStyle w:val="Hyperlink"/>
          </w:rPr>
          <w:t xml:space="preserve">https://www.sciencedirect.com/science/article/pii/S0168169922005002?utm_source=chatgpt.com</w:t>
        </w:r>
      </w:hyperlink>
    </w:p>
    <w:p>
      <w:pPr>
        <w:pStyle w:val="BodyText"/>
      </w:pPr>
      <w:hyperlink r:id="rId110">
        <w:r>
          <w:rPr>
            <w:rStyle w:val="Hyperlink"/>
          </w:rPr>
          <w:t xml:space="preserve">[85]</w:t>
        </w:r>
      </w:hyperlink>
      <w:r>
        <w:t xml:space="preserve"> </w:t>
      </w:r>
      <w:r>
        <w:t xml:space="preserve">Why Climate Control Matters in Greenhouses</w:t>
      </w:r>
    </w:p>
    <w:p>
      <w:pPr>
        <w:pStyle w:val="BodyText"/>
      </w:pPr>
      <w:hyperlink r:id="rId110">
        <w:r>
          <w:rPr>
            <w:rStyle w:val="Hyperlink"/>
          </w:rPr>
          <w:t xml:space="preserve">https://www.linkedin.com/posts/hoogendoorn-americas_iivo-climatecontrol-sustainablehorticulture-activity-7300175418009997313-jpXg?utm_source=chatgpt.com</w:t>
        </w:r>
      </w:hyperlink>
    </w:p>
    <w:p>
      <w:pPr>
        <w:pStyle w:val="BodyText"/>
      </w:pPr>
      <w:hyperlink r:id="rId111">
        <w:r>
          <w:rPr>
            <w:rStyle w:val="Hyperlink"/>
          </w:rPr>
          <w:t xml:space="preserve">[86]</w:t>
        </w:r>
      </w:hyperlink>
      <w:r>
        <w:t xml:space="preserve"> </w:t>
      </w:r>
      <w:r>
        <w:t xml:space="preserve">Twin technology providing growers with greater data insights</w:t>
      </w:r>
    </w:p>
    <w:p>
      <w:pPr>
        <w:pStyle w:val="BodyText"/>
      </w:pPr>
      <w:hyperlink r:id="rId111">
        <w:r>
          <w:rPr>
            <w:rStyle w:val="Hyperlink"/>
          </w:rPr>
          <w:t xml:space="preserve">https://www.hortidaily.com/article/9686524/twin-technology-providing-growers-with-greater-data-insights/?utm_source=chatgpt.com</w:t>
        </w:r>
      </w:hyperlink>
    </w:p>
    <w:p>
      <w:pPr>
        <w:pStyle w:val="BodyText"/>
      </w:pPr>
      <w:hyperlink r:id="rId112">
        <w:r>
          <w:rPr>
            <w:rStyle w:val="Hyperlink"/>
          </w:rPr>
          <w:t xml:space="preserve">[87]</w:t>
        </w:r>
      </w:hyperlink>
      <w:r>
        <w:t xml:space="preserve"> </w:t>
      </w:r>
      <w:r>
        <w:t xml:space="preserve">Twin Transformation: Pairing Digital with Sustainability</w:t>
      </w:r>
    </w:p>
    <w:p>
      <w:pPr>
        <w:pStyle w:val="BodyText"/>
      </w:pPr>
      <w:hyperlink r:id="rId112">
        <w:r>
          <w:rPr>
            <w:rStyle w:val="Hyperlink"/>
          </w:rPr>
          <w:t xml:space="preserve">https://perspectives.se.com/blog-stream/twin-transformation-pairing-digital-sustainability?utm_source=chatgpt.com</w:t>
        </w:r>
      </w:hyperlink>
    </w:p>
    <w:p>
      <w:pPr>
        <w:pStyle w:val="BodyText"/>
      </w:pPr>
      <w:hyperlink r:id="rId113">
        <w:r>
          <w:rPr>
            <w:rStyle w:val="Hyperlink"/>
          </w:rPr>
          <w:t xml:space="preserve">[88]</w:t>
        </w:r>
      </w:hyperlink>
      <w:r>
        <w:t xml:space="preserve"> </w:t>
      </w:r>
      <w:r>
        <w:t xml:space="preserve">How digital twins drive more environmentally conscious ...</w:t>
      </w:r>
    </w:p>
    <w:p>
      <w:pPr>
        <w:pStyle w:val="BodyText"/>
      </w:pPr>
      <w:hyperlink r:id="rId113">
        <w:r>
          <w:rPr>
            <w:rStyle w:val="Hyperlink"/>
          </w:rPr>
          <w:t xml:space="preserve">https://blog.se.com/sustainability/2024/03/14/how-digital-twins-drive-more-environmentally-conscious-medium-and-low-voltage-equipment-design-2/?utm_source=chatgpt.com</w:t>
        </w:r>
      </w:hyperlink>
    </w:p>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agdatacommons.nal.usda.gov/articles/dataset/Validation_Dataset_for_Hydroponically_Cultivated_Bibb_Lettuce/29646779" TargetMode="External" /><Relationship Type="http://schemas.openxmlformats.org/officeDocument/2006/relationships/hyperlink" Id="rId24" Target="https://arxiv.org/abs/1603.02754" TargetMode="External" /><Relationship Type="http://schemas.openxmlformats.org/officeDocument/2006/relationships/hyperlink" Id="rId52" Target="https://asrjetsjournal.org/American_Scientific_Journal/article/download/7137/2458/21565" TargetMode="External" /><Relationship Type="http://schemas.openxmlformats.org/officeDocument/2006/relationships/hyperlink" Id="rId113" Target="https://blog.se.com/sustainability/2024/03/14/how-digital-twins-drive-more-environmentally-conscious-medium-and-low-voltage-equipment-design-2/?utm_source=chatgpt.com" TargetMode="External" /><Relationship Type="http://schemas.openxmlformats.org/officeDocument/2006/relationships/hyperlink" Id="rId70" Target="https://datatracker.ietf.org/doc/html/rfc7252" TargetMode="External" /><Relationship Type="http://schemas.openxmlformats.org/officeDocument/2006/relationships/hyperlink" Id="rId100" Target="https://dev.meteostat.net/api" TargetMode="External" /><Relationship Type="http://schemas.openxmlformats.org/officeDocument/2006/relationships/hyperlink" Id="rId75" Target="https://docs.aws.amazon.com/timestream/latest/developerguide/storage.html" TargetMode="External" /><Relationship Type="http://schemas.openxmlformats.org/officeDocument/2006/relationships/hyperlink" Id="rId73" Target="https://docs.influxdata.com/influxdb/v2/reference/internals/data-retention/" TargetMode="External" /><Relationship Type="http://schemas.openxmlformats.org/officeDocument/2006/relationships/hyperlink" Id="rId22" Target="https://docs.oasis-open.org/mqtt/mqtt/v5.0/mqtt-v5.0.html" TargetMode="External" /><Relationship Type="http://schemas.openxmlformats.org/officeDocument/2006/relationships/hyperlink" Id="rId81" Target="https://docs.ultralytics.com/models/yolov8/" TargetMode="External" /><Relationship Type="http://schemas.openxmlformats.org/officeDocument/2006/relationships/hyperlink" Id="rId94" Target="https://figshare.com/articles/dataset/Autonomous_Greenhouse_Challenge_First_Edition_2018_/12717758" TargetMode="External" /><Relationship Type="http://schemas.openxmlformats.org/officeDocument/2006/relationships/hyperlink" Id="rId26" Target="https://ideas.repec.org/a/eee/agisys/v189y2021ics0308521x20309070.html" TargetMode="External" /><Relationship Type="http://schemas.openxmlformats.org/officeDocument/2006/relationships/hyperlink" Id="rId67" Target="https://learn.microsoft.com/en-us/azure/event-grid/mqtt-transport-layer-security-flow" TargetMode="External" /><Relationship Type="http://schemas.openxmlformats.org/officeDocument/2006/relationships/hyperlink" Id="rId28" Target="https://link.springer.com/article/10.1186/s42162-021-00161-9" TargetMode="External" /><Relationship Type="http://schemas.openxmlformats.org/officeDocument/2006/relationships/hyperlink" Id="rId43" Target="https://metergroup.com/products/teros-10/?srsltid=AfmBOooJDndwfhfVBv9G2LR3MWD16pRkN9iP-d4VGJuhjRRH0ZFbEeoY" TargetMode="External" /><Relationship Type="http://schemas.openxmlformats.org/officeDocument/2006/relationships/hyperlink" Id="rId38" Target="https://metergroup.com/products/teros-10/?srsltid=AfmBOorehjKb19zg0ICJuldXLbvdNGUqYgk9DQuzA4gh_KZ8Hvan7Ob4" TargetMode="External" /><Relationship Type="http://schemas.openxmlformats.org/officeDocument/2006/relationships/hyperlink" Id="rId44" Target="https://metergroup.com/products/teros-12/?srsltid=AfmBOopFa38tDq0wvXc4qpiT_yBQztptMwF6nUxWn-iKnapP2TIaC-qM" TargetMode="External" /><Relationship Type="http://schemas.openxmlformats.org/officeDocument/2006/relationships/hyperlink" Id="rId61" Target="https://metergroup.com/water-content-sensor-comparison-chart-2/?srsltid=AfmBOoopymR_Xj6JWP5eED1uqzLk94FDZfc_vgf4Ho8xhdqIVpfi_QoM" TargetMode="External" /><Relationship Type="http://schemas.openxmlformats.org/officeDocument/2006/relationships/hyperlink" Id="rId58" Target="https://my.element14.com/sensirion/sht31-dis-f2-5ks/humidity-temp-sensor-digital-dfn/dp/2886655?srsltid=AfmBOor3ng3zTFwpE2xC0beoAYxiPk5m9KrSm7U869tUmnFUBorirOzF" TargetMode="External" /><Relationship Type="http://schemas.openxmlformats.org/officeDocument/2006/relationships/hyperlink" Id="rId107" Target="https://nvlpubs.nist.gov/nistpubs/ir/2020/NIST.IR.8259a.pdf" TargetMode="External" /><Relationship Type="http://schemas.openxmlformats.org/officeDocument/2006/relationships/hyperlink" Id="rId98" Target="https://open-meteo.com/" TargetMode="External" /><Relationship Type="http://schemas.openxmlformats.org/officeDocument/2006/relationships/hyperlink" Id="rId101" Target="https://openweathermap.org/api/one-call-3" TargetMode="External" /><Relationship Type="http://schemas.openxmlformats.org/officeDocument/2006/relationships/hyperlink" Id="rId112" Target="https://perspectives.se.com/blog-stream/twin-transformation-pairing-digital-sustainability?utm_source=chatgpt.com" TargetMode="External" /><Relationship Type="http://schemas.openxmlformats.org/officeDocument/2006/relationships/hyperlink" Id="rId21" Target="https://pmc.ncbi.nlm.nih.gov/articles/PMC11100011/" TargetMode="External" /><Relationship Type="http://schemas.openxmlformats.org/officeDocument/2006/relationships/hyperlink" Id="rId90" Target="https://proceedings.neurips.cc/paper/6907-lightgbm-a-highly-efficient-gradient-boosting-decision-tree.pdf" TargetMode="External" /><Relationship Type="http://schemas.openxmlformats.org/officeDocument/2006/relationships/hyperlink" Id="rId76" Target="https://questdb.com/docs/ingestion/overview/" TargetMode="External" /><Relationship Type="http://schemas.openxmlformats.org/officeDocument/2006/relationships/hyperlink" Id="rId68" Target="https://resources.lora-alliance.org/document/lorawan-specification-v1-1" TargetMode="External" /><Relationship Type="http://schemas.openxmlformats.org/officeDocument/2006/relationships/hyperlink" Id="rId65" Target="https://resources.lora-alliance.org/technical-specifications/lorawan-specification-v1-1" TargetMode="External" /><Relationship Type="http://schemas.openxmlformats.org/officeDocument/2006/relationships/hyperlink" Id="rId41" Target="https://sensirion.com/media/documents/E0F04247/631EF271/CD_DS_SCD40_SCD41_Datasheet_D1.pdf" TargetMode="External" /><Relationship Type="http://schemas.openxmlformats.org/officeDocument/2006/relationships/hyperlink" Id="rId23" Target="https://sensirion.com/products/catalog/SHT31-DIS-B" TargetMode="External" /><Relationship Type="http://schemas.openxmlformats.org/officeDocument/2006/relationships/hyperlink" Id="rId57" Target="https://vegetronix.com/soil-moisture-sensor" TargetMode="External" /><Relationship Type="http://schemas.openxmlformats.org/officeDocument/2006/relationships/hyperlink" Id="rId40" Target="https://www.bosch-sensortec.com/media/boschsensortec/downloads/product_flyer/bst-bme280-fl000.pdf" TargetMode="External" /><Relationship Type="http://schemas.openxmlformats.org/officeDocument/2006/relationships/hyperlink" Id="rId55" Target="https://www.dfrobot.com/search-sen0193.html?srsltid=AfmBOop3sSfNnkVS6LwFSAMvvn9cI0NRtrUBPrsx0cHdqkqPgZhtdcfm&amp;utm_source=chatgpt.com" TargetMode="External" /><Relationship Type="http://schemas.openxmlformats.org/officeDocument/2006/relationships/hyperlink" Id="rId56" Target="https://www.digikey.my/en/products/detail/dfrobot/SEN0193/6588605?srsltid=AfmBOopWDjM6pk3Nt0XumfITJkxL3Rx6TgAkOKyHHrE0zB06xG7TfdQB&amp;utm_source=chatgpt.com" TargetMode="External" /><Relationship Type="http://schemas.openxmlformats.org/officeDocument/2006/relationships/hyperlink" Id="rId50" Target="https://www.digikey.my/en/products/detail/espressif-systems/ESP32-DEVKITC-32E/12091810?srsltid=AfmBOor8Ob0R5BmShPU8NjC_M_p_V-YPbi6AAI_e2CrBbzjcZi1QcJRw" TargetMode="External" /><Relationship Type="http://schemas.openxmlformats.org/officeDocument/2006/relationships/hyperlink" Id="rId66" Target="https://www.gsma.com/solutions-and-impact/technologies/internet-of-things/narrow-band-internet-of-things-nb-iot/" TargetMode="External" /><Relationship Type="http://schemas.openxmlformats.org/officeDocument/2006/relationships/hyperlink" Id="rId111" Target="https://www.hortidaily.com/article/9686524/twin-technology-providing-growers-with-greater-data-insights/?utm_source=chatgpt.com" TargetMode="External" /><Relationship Type="http://schemas.openxmlformats.org/officeDocument/2006/relationships/hyperlink" Id="rId96" Target="https://www.kaggle.com/datasets/itsmonir31/hydroponics-datasets" TargetMode="External" /><Relationship Type="http://schemas.openxmlformats.org/officeDocument/2006/relationships/hyperlink" Id="rId110" Target="https://www.linkedin.com/posts/hoogendoorn-americas_iivo-climatecontrol-sustainablehorticulture-activity-7300175418009997313-jpXg?utm_source=chatgpt.com" TargetMode="External" /><Relationship Type="http://schemas.openxmlformats.org/officeDocument/2006/relationships/hyperlink" Id="rId47" Target="https://www.mdpi.com/1424-8220/25/21/6610" TargetMode="External" /><Relationship Type="http://schemas.openxmlformats.org/officeDocument/2006/relationships/hyperlink" Id="rId33" Target="https://www.mdpi.com/1996-1073/18/21/5821" TargetMode="External" /><Relationship Type="http://schemas.openxmlformats.org/officeDocument/2006/relationships/hyperlink" Id="rId34" Target="https://www.mdpi.com/2073-4395/15/12/2781" TargetMode="External" /><Relationship Type="http://schemas.openxmlformats.org/officeDocument/2006/relationships/hyperlink" Id="rId30" Target="https://www.mdpi.com/2624-7402/7/2/43" TargetMode="External" /><Relationship Type="http://schemas.openxmlformats.org/officeDocument/2006/relationships/hyperlink" Id="rId32" Target="https://www.nasa.gov/directorates/somd/space-communications-navigation-program/technology-readiness-levels/" TargetMode="External" /><Relationship Type="http://schemas.openxmlformats.org/officeDocument/2006/relationships/hyperlink" Id="rId91" Target="https://www.pertanika.upm.edu.my/resources/files/Pertanika%20PAPERS/JST%20Vol.%2033%20%282%29%20Mar.%202025/09%20JST-5245-2024.pdf" TargetMode="External" /><Relationship Type="http://schemas.openxmlformats.org/officeDocument/2006/relationships/hyperlink" Id="rId85" Target="https://www.researchgate.net/publication/380672676_Machine_Learning-Powered_Forecasting_of_Climate_Conditions_in_Smart_Greenhouse_Containing_Netted_Melons" TargetMode="External" /><Relationship Type="http://schemas.openxmlformats.org/officeDocument/2006/relationships/hyperlink" Id="rId60" Target="https://www.researchgate.net/publication/387852147_Calibration_of_Low-Cost_Capacitive_Soil_Moisture_Sensors_for_Irrigation_Management_Applications" TargetMode="External" /><Relationship Type="http://schemas.openxmlformats.org/officeDocument/2006/relationships/hyperlink" Id="rId45" Target="https://www.researchgate.net/publication/392161544_Machine_learning-based_fault_detection_and_diagnosis_of_electrical_conductivity_and_pH_sensors_in_hydroponic_systems" TargetMode="External" /><Relationship Type="http://schemas.openxmlformats.org/officeDocument/2006/relationships/hyperlink" Id="rId109" Target="https://www.sciencedirect.com/science/article/pii/S0168169922005002?utm_source=chatgpt.com" TargetMode="External" /><Relationship Type="http://schemas.openxmlformats.org/officeDocument/2006/relationships/hyperlink" Id="rId35" Target="https://www.sciencedirect.com/science/article/pii/S0378377425007449" TargetMode="External" /><Relationship Type="http://schemas.openxmlformats.org/officeDocument/2006/relationships/hyperlink" Id="rId74" Target="https://www.tigerdata.com/docs/use-timescale/latest/data-retention/create-a-retention-policy" TargetMode="External" /><Relationship Type="http://schemas.openxmlformats.org/officeDocument/2006/relationships/hyperlink" Id="rId99" Target="https://www.weather.gov/documentation/services-web-api" TargetMode="External" /><Relationship Type="http://schemas.openxmlformats.org/officeDocument/2006/relationships/hyperlink" Id="rId29" Target="https://www.wur.nl/en/research/plant/autonomous-greenhouse-challenge" TargetMode="External" /></Relationships>
</file>

<file path=word/_rels/footnotes.xml.rels><?xml version="1.0" encoding="UTF-8"?><Relationships xmlns="http://schemas.openxmlformats.org/package/2006/relationships"><Relationship Type="http://schemas.openxmlformats.org/officeDocument/2006/relationships/hyperlink" Id="rId95" Target="https://agdatacommons.nal.usda.gov/articles/dataset/Validation_Dataset_for_Hydroponically_Cultivated_Bibb_Lettuce/29646779" TargetMode="External" /><Relationship Type="http://schemas.openxmlformats.org/officeDocument/2006/relationships/hyperlink" Id="rId24" Target="https://arxiv.org/abs/1603.02754" TargetMode="External" /><Relationship Type="http://schemas.openxmlformats.org/officeDocument/2006/relationships/hyperlink" Id="rId52" Target="https://asrjetsjournal.org/American_Scientific_Journal/article/download/7137/2458/21565" TargetMode="External" /><Relationship Type="http://schemas.openxmlformats.org/officeDocument/2006/relationships/hyperlink" Id="rId113" Target="https://blog.se.com/sustainability/2024/03/14/how-digital-twins-drive-more-environmentally-conscious-medium-and-low-voltage-equipment-design-2/?utm_source=chatgpt.com" TargetMode="External" /><Relationship Type="http://schemas.openxmlformats.org/officeDocument/2006/relationships/hyperlink" Id="rId70" Target="https://datatracker.ietf.org/doc/html/rfc7252" TargetMode="External" /><Relationship Type="http://schemas.openxmlformats.org/officeDocument/2006/relationships/hyperlink" Id="rId100" Target="https://dev.meteostat.net/api" TargetMode="External" /><Relationship Type="http://schemas.openxmlformats.org/officeDocument/2006/relationships/hyperlink" Id="rId75" Target="https://docs.aws.amazon.com/timestream/latest/developerguide/storage.html" TargetMode="External" /><Relationship Type="http://schemas.openxmlformats.org/officeDocument/2006/relationships/hyperlink" Id="rId73" Target="https://docs.influxdata.com/influxdb/v2/reference/internals/data-retention/" TargetMode="External" /><Relationship Type="http://schemas.openxmlformats.org/officeDocument/2006/relationships/hyperlink" Id="rId22" Target="https://docs.oasis-open.org/mqtt/mqtt/v5.0/mqtt-v5.0.html" TargetMode="External" /><Relationship Type="http://schemas.openxmlformats.org/officeDocument/2006/relationships/hyperlink" Id="rId81" Target="https://docs.ultralytics.com/models/yolov8/" TargetMode="External" /><Relationship Type="http://schemas.openxmlformats.org/officeDocument/2006/relationships/hyperlink" Id="rId94" Target="https://figshare.com/articles/dataset/Autonomous_Greenhouse_Challenge_First_Edition_2018_/12717758" TargetMode="External" /><Relationship Type="http://schemas.openxmlformats.org/officeDocument/2006/relationships/hyperlink" Id="rId26" Target="https://ideas.repec.org/a/eee/agisys/v189y2021ics0308521x20309070.html" TargetMode="External" /><Relationship Type="http://schemas.openxmlformats.org/officeDocument/2006/relationships/hyperlink" Id="rId67" Target="https://learn.microsoft.com/en-us/azure/event-grid/mqtt-transport-layer-security-flow" TargetMode="External" /><Relationship Type="http://schemas.openxmlformats.org/officeDocument/2006/relationships/hyperlink" Id="rId28" Target="https://link.springer.com/article/10.1186/s42162-021-00161-9" TargetMode="External" /><Relationship Type="http://schemas.openxmlformats.org/officeDocument/2006/relationships/hyperlink" Id="rId43" Target="https://metergroup.com/products/teros-10/?srsltid=AfmBOooJDndwfhfVBv9G2LR3MWD16pRkN9iP-d4VGJuhjRRH0ZFbEeoY" TargetMode="External" /><Relationship Type="http://schemas.openxmlformats.org/officeDocument/2006/relationships/hyperlink" Id="rId38" Target="https://metergroup.com/products/teros-10/?srsltid=AfmBOorehjKb19zg0ICJuldXLbvdNGUqYgk9DQuzA4gh_KZ8Hvan7Ob4" TargetMode="External" /><Relationship Type="http://schemas.openxmlformats.org/officeDocument/2006/relationships/hyperlink" Id="rId44" Target="https://metergroup.com/products/teros-12/?srsltid=AfmBOopFa38tDq0wvXc4qpiT_yBQztptMwF6nUxWn-iKnapP2TIaC-qM" TargetMode="External" /><Relationship Type="http://schemas.openxmlformats.org/officeDocument/2006/relationships/hyperlink" Id="rId61" Target="https://metergroup.com/water-content-sensor-comparison-chart-2/?srsltid=AfmBOoopymR_Xj6JWP5eED1uqzLk94FDZfc_vgf4Ho8xhdqIVpfi_QoM" TargetMode="External" /><Relationship Type="http://schemas.openxmlformats.org/officeDocument/2006/relationships/hyperlink" Id="rId58" Target="https://my.element14.com/sensirion/sht31-dis-f2-5ks/humidity-temp-sensor-digital-dfn/dp/2886655?srsltid=AfmBOor3ng3zTFwpE2xC0beoAYxiPk5m9KrSm7U869tUmnFUBorirOzF" TargetMode="External" /><Relationship Type="http://schemas.openxmlformats.org/officeDocument/2006/relationships/hyperlink" Id="rId107" Target="https://nvlpubs.nist.gov/nistpubs/ir/2020/NIST.IR.8259a.pdf" TargetMode="External" /><Relationship Type="http://schemas.openxmlformats.org/officeDocument/2006/relationships/hyperlink" Id="rId98" Target="https://open-meteo.com/" TargetMode="External" /><Relationship Type="http://schemas.openxmlformats.org/officeDocument/2006/relationships/hyperlink" Id="rId101" Target="https://openweathermap.org/api/one-call-3" TargetMode="External" /><Relationship Type="http://schemas.openxmlformats.org/officeDocument/2006/relationships/hyperlink" Id="rId112" Target="https://perspectives.se.com/blog-stream/twin-transformation-pairing-digital-sustainability?utm_source=chatgpt.com" TargetMode="External" /><Relationship Type="http://schemas.openxmlformats.org/officeDocument/2006/relationships/hyperlink" Id="rId21" Target="https://pmc.ncbi.nlm.nih.gov/articles/PMC11100011/" TargetMode="External" /><Relationship Type="http://schemas.openxmlformats.org/officeDocument/2006/relationships/hyperlink" Id="rId90" Target="https://proceedings.neurips.cc/paper/6907-lightgbm-a-highly-efficient-gradient-boosting-decision-tree.pdf" TargetMode="External" /><Relationship Type="http://schemas.openxmlformats.org/officeDocument/2006/relationships/hyperlink" Id="rId76" Target="https://questdb.com/docs/ingestion/overview/" TargetMode="External" /><Relationship Type="http://schemas.openxmlformats.org/officeDocument/2006/relationships/hyperlink" Id="rId68" Target="https://resources.lora-alliance.org/document/lorawan-specification-v1-1" TargetMode="External" /><Relationship Type="http://schemas.openxmlformats.org/officeDocument/2006/relationships/hyperlink" Id="rId65" Target="https://resources.lora-alliance.org/technical-specifications/lorawan-specification-v1-1" TargetMode="External" /><Relationship Type="http://schemas.openxmlformats.org/officeDocument/2006/relationships/hyperlink" Id="rId41" Target="https://sensirion.com/media/documents/E0F04247/631EF271/CD_DS_SCD40_SCD41_Datasheet_D1.pdf" TargetMode="External" /><Relationship Type="http://schemas.openxmlformats.org/officeDocument/2006/relationships/hyperlink" Id="rId23" Target="https://sensirion.com/products/catalog/SHT31-DIS-B" TargetMode="External" /><Relationship Type="http://schemas.openxmlformats.org/officeDocument/2006/relationships/hyperlink" Id="rId57" Target="https://vegetronix.com/soil-moisture-sensor" TargetMode="External" /><Relationship Type="http://schemas.openxmlformats.org/officeDocument/2006/relationships/hyperlink" Id="rId40" Target="https://www.bosch-sensortec.com/media/boschsensortec/downloads/product_flyer/bst-bme280-fl000.pdf" TargetMode="External" /><Relationship Type="http://schemas.openxmlformats.org/officeDocument/2006/relationships/hyperlink" Id="rId55" Target="https://www.dfrobot.com/search-sen0193.html?srsltid=AfmBOop3sSfNnkVS6LwFSAMvvn9cI0NRtrUBPrsx0cHdqkqPgZhtdcfm&amp;utm_source=chatgpt.com" TargetMode="External" /><Relationship Type="http://schemas.openxmlformats.org/officeDocument/2006/relationships/hyperlink" Id="rId56" Target="https://www.digikey.my/en/products/detail/dfrobot/SEN0193/6588605?srsltid=AfmBOopWDjM6pk3Nt0XumfITJkxL3Rx6TgAkOKyHHrE0zB06xG7TfdQB&amp;utm_source=chatgpt.com" TargetMode="External" /><Relationship Type="http://schemas.openxmlformats.org/officeDocument/2006/relationships/hyperlink" Id="rId50" Target="https://www.digikey.my/en/products/detail/espressif-systems/ESP32-DEVKITC-32E/12091810?srsltid=AfmBOor8Ob0R5BmShPU8NjC_M_p_V-YPbi6AAI_e2CrBbzjcZi1QcJRw" TargetMode="External" /><Relationship Type="http://schemas.openxmlformats.org/officeDocument/2006/relationships/hyperlink" Id="rId66" Target="https://www.gsma.com/solutions-and-impact/technologies/internet-of-things/narrow-band-internet-of-things-nb-iot/" TargetMode="External" /><Relationship Type="http://schemas.openxmlformats.org/officeDocument/2006/relationships/hyperlink" Id="rId111" Target="https://www.hortidaily.com/article/9686524/twin-technology-providing-growers-with-greater-data-insights/?utm_source=chatgpt.com" TargetMode="External" /><Relationship Type="http://schemas.openxmlformats.org/officeDocument/2006/relationships/hyperlink" Id="rId96" Target="https://www.kaggle.com/datasets/itsmonir31/hydroponics-datasets" TargetMode="External" /><Relationship Type="http://schemas.openxmlformats.org/officeDocument/2006/relationships/hyperlink" Id="rId110" Target="https://www.linkedin.com/posts/hoogendoorn-americas_iivo-climatecontrol-sustainablehorticulture-activity-7300175418009997313-jpXg?utm_source=chatgpt.com" TargetMode="External" /><Relationship Type="http://schemas.openxmlformats.org/officeDocument/2006/relationships/hyperlink" Id="rId47" Target="https://www.mdpi.com/1424-8220/25/21/6610" TargetMode="External" /><Relationship Type="http://schemas.openxmlformats.org/officeDocument/2006/relationships/hyperlink" Id="rId33" Target="https://www.mdpi.com/1996-1073/18/21/5821" TargetMode="External" /><Relationship Type="http://schemas.openxmlformats.org/officeDocument/2006/relationships/hyperlink" Id="rId34" Target="https://www.mdpi.com/2073-4395/15/12/2781" TargetMode="External" /><Relationship Type="http://schemas.openxmlformats.org/officeDocument/2006/relationships/hyperlink" Id="rId30" Target="https://www.mdpi.com/2624-7402/7/2/43" TargetMode="External" /><Relationship Type="http://schemas.openxmlformats.org/officeDocument/2006/relationships/hyperlink" Id="rId32" Target="https://www.nasa.gov/directorates/somd/space-communications-navigation-program/technology-readiness-levels/" TargetMode="External" /><Relationship Type="http://schemas.openxmlformats.org/officeDocument/2006/relationships/hyperlink" Id="rId91" Target="https://www.pertanika.upm.edu.my/resources/files/Pertanika%20PAPERS/JST%20Vol.%2033%20%282%29%20Mar.%202025/09%20JST-5245-2024.pdf" TargetMode="External" /><Relationship Type="http://schemas.openxmlformats.org/officeDocument/2006/relationships/hyperlink" Id="rId85" Target="https://www.researchgate.net/publication/380672676_Machine_Learning-Powered_Forecasting_of_Climate_Conditions_in_Smart_Greenhouse_Containing_Netted_Melons" TargetMode="External" /><Relationship Type="http://schemas.openxmlformats.org/officeDocument/2006/relationships/hyperlink" Id="rId60" Target="https://www.researchgate.net/publication/387852147_Calibration_of_Low-Cost_Capacitive_Soil_Moisture_Sensors_for_Irrigation_Management_Applications" TargetMode="External" /><Relationship Type="http://schemas.openxmlformats.org/officeDocument/2006/relationships/hyperlink" Id="rId45" Target="https://www.researchgate.net/publication/392161544_Machine_learning-based_fault_detection_and_diagnosis_of_electrical_conductivity_and_pH_sensors_in_hydroponic_systems" TargetMode="External" /><Relationship Type="http://schemas.openxmlformats.org/officeDocument/2006/relationships/hyperlink" Id="rId109" Target="https://www.sciencedirect.com/science/article/pii/S0168169922005002?utm_source=chatgpt.com" TargetMode="External" /><Relationship Type="http://schemas.openxmlformats.org/officeDocument/2006/relationships/hyperlink" Id="rId35" Target="https://www.sciencedirect.com/science/article/pii/S0378377425007449" TargetMode="External" /><Relationship Type="http://schemas.openxmlformats.org/officeDocument/2006/relationships/hyperlink" Id="rId74" Target="https://www.tigerdata.com/docs/use-timescale/latest/data-retention/create-a-retention-policy" TargetMode="External" /><Relationship Type="http://schemas.openxmlformats.org/officeDocument/2006/relationships/hyperlink" Id="rId99" Target="https://www.weather.gov/documentation/services-web-api" TargetMode="External" /><Relationship Type="http://schemas.openxmlformats.org/officeDocument/2006/relationships/hyperlink" Id="rId29" Target="https://www.wur.nl/en/research/plant/autonomous-greenhouse-challen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2026-04-07T12:42:25Z</dcterms:created>
  <dcterms:modified xsi:type="dcterms:W3CDTF">2026-04-07T12:42:25Z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