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C9BBF" w14:textId="2A34B3E8" w:rsidR="000E041E" w:rsidRPr="00AE0E23" w:rsidRDefault="000E041E" w:rsidP="00AE0E23">
      <w:pPr>
        <w:pStyle w:val="a3"/>
        <w:rPr>
          <w:rFonts w:ascii="Arial" w:hAnsi="Arial" w:cs="Arial"/>
        </w:rPr>
      </w:pPr>
      <w:r w:rsidRPr="00AE0E23">
        <w:rPr>
          <w:rFonts w:ascii="Arial" w:hAnsi="Arial" w:cs="Arial"/>
        </w:rPr>
        <w:t>3.Data Acquisition</w:t>
      </w:r>
    </w:p>
    <w:p w14:paraId="46FFDA6F" w14:textId="77777777" w:rsidR="000E041E" w:rsidRPr="000E041E" w:rsidRDefault="000E041E" w:rsidP="000E041E">
      <w:pPr>
        <w:adjustRightInd w:val="0"/>
        <w:snapToGrid w:val="0"/>
        <w:spacing w:after="0" w:line="400" w:lineRule="exact"/>
        <w:rPr>
          <w:rFonts w:ascii="Arial" w:hAnsi="Arial" w:cs="Arial"/>
        </w:rPr>
      </w:pPr>
    </w:p>
    <w:p w14:paraId="1D9817D9" w14:textId="63357121" w:rsidR="000E041E" w:rsidRPr="00823CB8" w:rsidRDefault="000E041E" w:rsidP="000E041E">
      <w:pPr>
        <w:adjustRightInd w:val="0"/>
        <w:snapToGrid w:val="0"/>
        <w:spacing w:after="0" w:line="400" w:lineRule="exact"/>
        <w:rPr>
          <w:rFonts w:ascii="Arial" w:hAnsi="Arial" w:cs="Arial"/>
          <w:sz w:val="24"/>
        </w:rPr>
      </w:pPr>
      <w:r w:rsidRPr="00823CB8">
        <w:rPr>
          <w:rFonts w:ascii="Arial" w:hAnsi="Arial" w:cs="Arial"/>
          <w:sz w:val="24"/>
        </w:rPr>
        <w:t>To comprehensively investigate the driving factors behind the adoption of electric vehicles (EVs) in the UK and their spatiotemporal evolution trends, this study constructs a multi-source, heterogeneous database that integrates infrastructure, transportation statistics, socioeconomic indicators, and geographical boundaries. The required data primarily cover the following four dimensions:</w:t>
      </w:r>
    </w:p>
    <w:p w14:paraId="6ED79601" w14:textId="77777777" w:rsidR="000E041E" w:rsidRPr="00823CB8" w:rsidRDefault="000E041E" w:rsidP="000E041E">
      <w:pPr>
        <w:adjustRightInd w:val="0"/>
        <w:snapToGrid w:val="0"/>
        <w:spacing w:after="0" w:line="400" w:lineRule="exact"/>
        <w:rPr>
          <w:rFonts w:ascii="Arial" w:hAnsi="Arial" w:cs="Arial"/>
          <w:sz w:val="24"/>
        </w:rPr>
      </w:pPr>
      <w:r w:rsidRPr="00823CB8">
        <w:rPr>
          <w:rFonts w:ascii="Arial" w:hAnsi="Arial" w:cs="Arial"/>
          <w:sz w:val="24"/>
        </w:rPr>
        <w:t>Infrastructure Data: Used to measure the depth of coverage and temporal expansion of the charging network.</w:t>
      </w:r>
    </w:p>
    <w:p w14:paraId="5FA28AB7" w14:textId="77777777" w:rsidR="000E041E" w:rsidRPr="00823CB8" w:rsidRDefault="000E041E" w:rsidP="000E041E">
      <w:pPr>
        <w:adjustRightInd w:val="0"/>
        <w:snapToGrid w:val="0"/>
        <w:spacing w:after="0" w:line="400" w:lineRule="exact"/>
        <w:rPr>
          <w:rFonts w:ascii="Arial" w:hAnsi="Arial" w:cs="Arial"/>
          <w:sz w:val="24"/>
        </w:rPr>
      </w:pPr>
      <w:r w:rsidRPr="00823CB8">
        <w:rPr>
          <w:rFonts w:ascii="Arial" w:hAnsi="Arial" w:cs="Arial"/>
          <w:sz w:val="24"/>
        </w:rPr>
        <w:t>Vehicle Stock: Used to calculate the penetration rate of electric vehicles and the evolution of energy structure.</w:t>
      </w:r>
    </w:p>
    <w:p w14:paraId="79B06D1D" w14:textId="77777777" w:rsidR="000E041E" w:rsidRPr="00823CB8" w:rsidRDefault="000E041E" w:rsidP="000E041E">
      <w:pPr>
        <w:adjustRightInd w:val="0"/>
        <w:snapToGrid w:val="0"/>
        <w:spacing w:after="0" w:line="400" w:lineRule="exact"/>
        <w:rPr>
          <w:rFonts w:ascii="Arial" w:hAnsi="Arial" w:cs="Arial"/>
          <w:sz w:val="24"/>
        </w:rPr>
      </w:pPr>
      <w:r w:rsidRPr="00823CB8">
        <w:rPr>
          <w:rFonts w:ascii="Arial" w:hAnsi="Arial" w:cs="Arial"/>
          <w:sz w:val="24"/>
        </w:rPr>
        <w:t>Socioeconomic Indicators: Including population size and Gross Disposable Household Income (GDHI), which serve as key variables for assessing market potential.</w:t>
      </w:r>
    </w:p>
    <w:p w14:paraId="1F237869" w14:textId="5447D7FA" w:rsidR="000E041E" w:rsidRPr="00823CB8" w:rsidRDefault="000E041E" w:rsidP="000E041E">
      <w:pPr>
        <w:adjustRightInd w:val="0"/>
        <w:snapToGrid w:val="0"/>
        <w:spacing w:after="0" w:line="400" w:lineRule="exact"/>
        <w:rPr>
          <w:rFonts w:ascii="Arial" w:hAnsi="Arial" w:cs="Arial"/>
          <w:sz w:val="24"/>
        </w:rPr>
      </w:pPr>
      <w:r w:rsidRPr="00823CB8">
        <w:rPr>
          <w:rFonts w:ascii="Arial" w:hAnsi="Arial" w:cs="Arial"/>
          <w:sz w:val="24"/>
        </w:rPr>
        <w:t>Macroeconomic Indicators and Geographical Boundaries: Used for data interpolation (CPIH index) and spatial visualization (</w:t>
      </w:r>
      <w:proofErr w:type="spellStart"/>
      <w:r w:rsidRPr="00823CB8">
        <w:rPr>
          <w:rFonts w:ascii="Arial" w:hAnsi="Arial" w:cs="Arial"/>
          <w:sz w:val="24"/>
        </w:rPr>
        <w:t>GeoJSON</w:t>
      </w:r>
      <w:proofErr w:type="spellEnd"/>
      <w:r w:rsidRPr="00823CB8">
        <w:rPr>
          <w:rFonts w:ascii="Arial" w:hAnsi="Arial" w:cs="Arial"/>
          <w:sz w:val="24"/>
        </w:rPr>
        <w:t>).</w:t>
      </w:r>
    </w:p>
    <w:p w14:paraId="2ECF21EC" w14:textId="77777777" w:rsidR="000E041E" w:rsidRPr="00823CB8" w:rsidRDefault="000E041E" w:rsidP="000E041E">
      <w:pPr>
        <w:adjustRightInd w:val="0"/>
        <w:snapToGrid w:val="0"/>
        <w:spacing w:after="0" w:line="400" w:lineRule="exact"/>
        <w:rPr>
          <w:rFonts w:ascii="Arial" w:hAnsi="Arial" w:cs="Arial"/>
          <w:sz w:val="24"/>
        </w:rPr>
      </w:pPr>
      <w:r w:rsidRPr="00823CB8">
        <w:rPr>
          <w:rFonts w:ascii="Arial" w:hAnsi="Arial" w:cs="Arial"/>
          <w:sz w:val="24"/>
        </w:rPr>
        <w:t>The table below outlines the specific datasets, their source institutions, and the temporal dimensions involved in this study:</w:t>
      </w:r>
    </w:p>
    <w:p w14:paraId="5B55316D" w14:textId="77777777" w:rsidR="000E041E" w:rsidRPr="000E041E" w:rsidRDefault="000E041E" w:rsidP="000E041E">
      <w:pPr>
        <w:adjustRightInd w:val="0"/>
        <w:snapToGrid w:val="0"/>
        <w:spacing w:after="0" w:line="400" w:lineRule="exact"/>
        <w:rPr>
          <w:rFonts w:ascii="Arial" w:hAnsi="Arial" w:cs="Arial"/>
        </w:rPr>
      </w:pPr>
    </w:p>
    <w:p w14:paraId="59807B9C" w14:textId="6E560281" w:rsidR="00896319" w:rsidRDefault="000E041E" w:rsidP="000E041E">
      <w:pPr>
        <w:adjustRightInd w:val="0"/>
        <w:snapToGrid w:val="0"/>
        <w:spacing w:after="0" w:line="400" w:lineRule="exact"/>
        <w:jc w:val="center"/>
        <w:rPr>
          <w:rFonts w:ascii="Arial" w:hAnsi="Arial" w:cs="Arial"/>
          <w:b/>
          <w:bCs/>
          <w:sz w:val="24"/>
        </w:rPr>
      </w:pPr>
      <w:r w:rsidRPr="00823CB8">
        <w:rPr>
          <w:rFonts w:ascii="Arial" w:hAnsi="Arial" w:cs="Arial"/>
          <w:b/>
          <w:bCs/>
          <w:sz w:val="24"/>
        </w:rPr>
        <w:t>Table 1: Overview of Research Datasets</w:t>
      </w:r>
    </w:p>
    <w:p w14:paraId="50960827" w14:textId="77777777" w:rsidR="00823CB8" w:rsidRPr="00823CB8" w:rsidRDefault="00823CB8" w:rsidP="000E041E">
      <w:pPr>
        <w:adjustRightInd w:val="0"/>
        <w:snapToGrid w:val="0"/>
        <w:spacing w:after="0" w:line="400" w:lineRule="exact"/>
        <w:jc w:val="center"/>
        <w:rPr>
          <w:rFonts w:ascii="Arial" w:hAnsi="Arial" w:cs="Arial"/>
          <w:b/>
          <w:bCs/>
          <w:sz w:val="24"/>
        </w:rPr>
      </w:pPr>
    </w:p>
    <w:tbl>
      <w:tblPr>
        <w:tblStyle w:val="ae"/>
        <w:tblW w:w="0" w:type="auto"/>
        <w:jc w:val="center"/>
        <w:tblBorders>
          <w:top w:val="single" w:sz="6" w:space="0" w:color="auto"/>
          <w:left w:val="single" w:sz="6" w:space="0" w:color="auto"/>
          <w:bottom w:val="single" w:sz="6" w:space="0" w:color="auto"/>
          <w:right w:val="single" w:sz="6" w:space="0" w:color="auto"/>
          <w:insideH w:val="single" w:sz="6" w:space="0" w:color="auto"/>
        </w:tblBorders>
        <w:tblLook w:val="04A0" w:firstRow="1" w:lastRow="0" w:firstColumn="1" w:lastColumn="0" w:noHBand="0" w:noVBand="1"/>
      </w:tblPr>
      <w:tblGrid>
        <w:gridCol w:w="2907"/>
        <w:gridCol w:w="2287"/>
        <w:gridCol w:w="1015"/>
        <w:gridCol w:w="2081"/>
      </w:tblGrid>
      <w:tr w:rsidR="00AE0E23" w14:paraId="79BA82EC" w14:textId="77777777" w:rsidTr="00AE0E23">
        <w:trPr>
          <w:jc w:val="center"/>
        </w:trPr>
        <w:tc>
          <w:tcPr>
            <w:tcW w:w="2907" w:type="dxa"/>
            <w:vAlign w:val="center"/>
          </w:tcPr>
          <w:p w14:paraId="25186C6D" w14:textId="17A08540" w:rsidR="00AE0E23" w:rsidRPr="00823CB8" w:rsidRDefault="00AE0E23" w:rsidP="00823CB8">
            <w:pPr>
              <w:adjustRightInd w:val="0"/>
              <w:snapToGrid w:val="0"/>
              <w:spacing w:line="400" w:lineRule="exact"/>
              <w:jc w:val="center"/>
              <w:rPr>
                <w:rFonts w:ascii="Arial" w:hAnsi="Arial" w:cs="Arial"/>
                <w:b/>
                <w:bCs/>
                <w:sz w:val="24"/>
              </w:rPr>
            </w:pPr>
            <w:r w:rsidRPr="00AE0E23">
              <w:rPr>
                <w:rFonts w:ascii="Arial" w:eastAsia="宋体" w:hAnsi="Arial" w:cs="Arial"/>
                <w:b/>
                <w:bCs/>
                <w:color w:val="1F1F1F"/>
                <w:kern w:val="0"/>
                <w:sz w:val="24"/>
                <w:bdr w:val="none" w:sz="0" w:space="0" w:color="auto" w:frame="1"/>
                <w14:ligatures w14:val="none"/>
              </w:rPr>
              <w:t>Dataset Name</w:t>
            </w:r>
          </w:p>
        </w:tc>
        <w:tc>
          <w:tcPr>
            <w:tcW w:w="2287" w:type="dxa"/>
            <w:vAlign w:val="center"/>
          </w:tcPr>
          <w:p w14:paraId="35045EED" w14:textId="0D120DC1" w:rsidR="00AE0E23" w:rsidRPr="00823CB8" w:rsidRDefault="00AE0E23" w:rsidP="00823CB8">
            <w:pPr>
              <w:adjustRightInd w:val="0"/>
              <w:snapToGrid w:val="0"/>
              <w:spacing w:line="400" w:lineRule="exact"/>
              <w:jc w:val="center"/>
              <w:rPr>
                <w:rFonts w:ascii="Arial" w:hAnsi="Arial" w:cs="Arial"/>
                <w:b/>
                <w:bCs/>
                <w:sz w:val="24"/>
              </w:rPr>
            </w:pPr>
            <w:r w:rsidRPr="00AE0E23">
              <w:rPr>
                <w:rFonts w:ascii="Arial" w:eastAsia="宋体" w:hAnsi="Arial" w:cs="Arial"/>
                <w:b/>
                <w:bCs/>
                <w:color w:val="1F1F1F"/>
                <w:kern w:val="0"/>
                <w:sz w:val="24"/>
                <w:bdr w:val="none" w:sz="0" w:space="0" w:color="auto" w:frame="1"/>
                <w14:ligatures w14:val="none"/>
              </w:rPr>
              <w:t>Source Agency</w:t>
            </w:r>
          </w:p>
        </w:tc>
        <w:tc>
          <w:tcPr>
            <w:tcW w:w="1015" w:type="dxa"/>
            <w:vAlign w:val="center"/>
          </w:tcPr>
          <w:p w14:paraId="03BA6EF6" w14:textId="6E7C633A" w:rsidR="00AE0E23" w:rsidRPr="00823CB8" w:rsidRDefault="00AE0E23" w:rsidP="000E041E">
            <w:pPr>
              <w:adjustRightInd w:val="0"/>
              <w:snapToGrid w:val="0"/>
              <w:spacing w:line="400" w:lineRule="exact"/>
              <w:jc w:val="center"/>
              <w:rPr>
                <w:rFonts w:ascii="Arial" w:hAnsi="Arial" w:cs="Arial"/>
                <w:b/>
                <w:bCs/>
                <w:sz w:val="24"/>
              </w:rPr>
            </w:pPr>
            <w:r w:rsidRPr="00AE0E23">
              <w:rPr>
                <w:rFonts w:ascii="Arial" w:eastAsia="宋体" w:hAnsi="Arial" w:cs="Arial"/>
                <w:b/>
                <w:bCs/>
                <w:color w:val="1F1F1F"/>
                <w:kern w:val="0"/>
                <w:sz w:val="24"/>
                <w:bdr w:val="none" w:sz="0" w:space="0" w:color="auto" w:frame="1"/>
                <w14:ligatures w14:val="none"/>
              </w:rPr>
              <w:t>Time Span</w:t>
            </w:r>
          </w:p>
        </w:tc>
        <w:tc>
          <w:tcPr>
            <w:tcW w:w="2081" w:type="dxa"/>
            <w:vAlign w:val="center"/>
          </w:tcPr>
          <w:p w14:paraId="223F8413" w14:textId="192817F9" w:rsidR="00AE0E23" w:rsidRPr="00823CB8" w:rsidRDefault="00AE0E23" w:rsidP="000E041E">
            <w:pPr>
              <w:adjustRightInd w:val="0"/>
              <w:snapToGrid w:val="0"/>
              <w:spacing w:line="400" w:lineRule="exact"/>
              <w:jc w:val="center"/>
              <w:rPr>
                <w:rFonts w:ascii="Arial" w:hAnsi="Arial" w:cs="Arial"/>
                <w:b/>
                <w:bCs/>
                <w:sz w:val="24"/>
              </w:rPr>
            </w:pPr>
            <w:r w:rsidRPr="00AE0E23">
              <w:rPr>
                <w:rFonts w:ascii="Arial" w:eastAsia="宋体" w:hAnsi="Arial" w:cs="Arial"/>
                <w:b/>
                <w:bCs/>
                <w:color w:val="1F1F1F"/>
                <w:kern w:val="0"/>
                <w:sz w:val="24"/>
                <w:bdr w:val="none" w:sz="0" w:space="0" w:color="auto" w:frame="1"/>
                <w14:ligatures w14:val="none"/>
              </w:rPr>
              <w:t>Key Variables</w:t>
            </w:r>
          </w:p>
        </w:tc>
      </w:tr>
      <w:tr w:rsidR="00AE0E23" w14:paraId="094445CC" w14:textId="77777777" w:rsidTr="00AE0E23">
        <w:trPr>
          <w:jc w:val="center"/>
        </w:trPr>
        <w:tc>
          <w:tcPr>
            <w:tcW w:w="2907" w:type="dxa"/>
            <w:vAlign w:val="center"/>
          </w:tcPr>
          <w:p w14:paraId="033D9684" w14:textId="6E4DC572" w:rsidR="00AE0E23" w:rsidRPr="00AE0E23" w:rsidRDefault="00AE0E23" w:rsidP="00AE0E23">
            <w:pPr>
              <w:adjustRightInd w:val="0"/>
              <w:snapToGrid w:val="0"/>
              <w:spacing w:line="400" w:lineRule="exact"/>
              <w:jc w:val="center"/>
              <w:rPr>
                <w:rFonts w:ascii="Arial" w:hAnsi="Arial" w:cs="Arial"/>
                <w:szCs w:val="22"/>
              </w:rPr>
            </w:pPr>
            <w:r w:rsidRPr="00AE0E23">
              <w:rPr>
                <w:rFonts w:ascii="Arial" w:eastAsia="宋体" w:hAnsi="Arial" w:cs="Arial"/>
                <w:color w:val="1F1F1F"/>
                <w:kern w:val="0"/>
                <w:szCs w:val="22"/>
                <w:bdr w:val="none" w:sz="0" w:space="0" w:color="auto" w:frame="1"/>
                <w14:ligatures w14:val="none"/>
              </w:rPr>
              <w:t>Electric vehicle public charging infrastructure statistics: October 2025 [1]</w:t>
            </w:r>
          </w:p>
        </w:tc>
        <w:tc>
          <w:tcPr>
            <w:tcW w:w="2287" w:type="dxa"/>
            <w:vAlign w:val="center"/>
          </w:tcPr>
          <w:p w14:paraId="6CC40650" w14:textId="6BFBB537" w:rsidR="00AE0E23" w:rsidRPr="00AE0E23" w:rsidRDefault="00AE0E23" w:rsidP="00AE0E23">
            <w:pPr>
              <w:adjustRightInd w:val="0"/>
              <w:snapToGrid w:val="0"/>
              <w:spacing w:line="400" w:lineRule="exact"/>
              <w:jc w:val="center"/>
              <w:rPr>
                <w:rFonts w:ascii="Arial" w:hAnsi="Arial" w:cs="Arial"/>
                <w:szCs w:val="22"/>
              </w:rPr>
            </w:pPr>
            <w:r w:rsidRPr="00AE0E23">
              <w:rPr>
                <w:rFonts w:ascii="Arial" w:eastAsia="宋体" w:hAnsi="Arial" w:cs="Arial"/>
                <w:color w:val="1F1F1F"/>
                <w:kern w:val="0"/>
                <w:szCs w:val="22"/>
                <w:bdr w:val="none" w:sz="0" w:space="0" w:color="auto" w:frame="1"/>
                <w14:ligatures w14:val="none"/>
              </w:rPr>
              <w:t>Department for Transport (</w:t>
            </w:r>
            <w:proofErr w:type="spellStart"/>
            <w:r w:rsidRPr="00AE0E23">
              <w:rPr>
                <w:rFonts w:ascii="Arial" w:eastAsia="宋体" w:hAnsi="Arial" w:cs="Arial"/>
                <w:color w:val="1F1F1F"/>
                <w:kern w:val="0"/>
                <w:szCs w:val="22"/>
                <w:bdr w:val="none" w:sz="0" w:space="0" w:color="auto" w:frame="1"/>
                <w14:ligatures w14:val="none"/>
              </w:rPr>
              <w:t>DfT</w:t>
            </w:r>
            <w:proofErr w:type="spellEnd"/>
            <w:r w:rsidRPr="00AE0E23">
              <w:rPr>
                <w:rFonts w:ascii="Arial" w:eastAsia="宋体" w:hAnsi="Arial" w:cs="Arial"/>
                <w:color w:val="1F1F1F"/>
                <w:kern w:val="0"/>
                <w:szCs w:val="22"/>
                <w:bdr w:val="none" w:sz="0" w:space="0" w:color="auto" w:frame="1"/>
                <w14:ligatures w14:val="none"/>
              </w:rPr>
              <w:t>)</w:t>
            </w:r>
          </w:p>
        </w:tc>
        <w:tc>
          <w:tcPr>
            <w:tcW w:w="1015" w:type="dxa"/>
            <w:vAlign w:val="center"/>
          </w:tcPr>
          <w:p w14:paraId="37332C64" w14:textId="3FDA3010" w:rsidR="00AE0E23" w:rsidRPr="00AE0E23" w:rsidRDefault="00AE0E23" w:rsidP="00AE0E23">
            <w:pPr>
              <w:adjustRightInd w:val="0"/>
              <w:snapToGrid w:val="0"/>
              <w:spacing w:line="400" w:lineRule="exact"/>
              <w:jc w:val="center"/>
              <w:rPr>
                <w:rFonts w:ascii="Arial" w:hAnsi="Arial" w:cs="Arial"/>
                <w:szCs w:val="22"/>
              </w:rPr>
            </w:pPr>
            <w:r w:rsidRPr="00AE0E23">
              <w:rPr>
                <w:rFonts w:ascii="Arial" w:eastAsia="宋体" w:hAnsi="Arial" w:cs="Arial"/>
                <w:color w:val="1F1F1F"/>
                <w:kern w:val="0"/>
                <w:szCs w:val="22"/>
                <w:bdr w:val="none" w:sz="0" w:space="0" w:color="auto" w:frame="1"/>
                <w14:ligatures w14:val="none"/>
              </w:rPr>
              <w:t>2019 – 2025</w:t>
            </w:r>
          </w:p>
        </w:tc>
        <w:tc>
          <w:tcPr>
            <w:tcW w:w="2081" w:type="dxa"/>
            <w:vAlign w:val="center"/>
          </w:tcPr>
          <w:p w14:paraId="413AD683" w14:textId="398499F4" w:rsidR="00AE0E23" w:rsidRPr="00AE0E23" w:rsidRDefault="00AE0E23" w:rsidP="00AE0E23">
            <w:pPr>
              <w:adjustRightInd w:val="0"/>
              <w:snapToGrid w:val="0"/>
              <w:spacing w:line="400" w:lineRule="exact"/>
              <w:jc w:val="center"/>
              <w:rPr>
                <w:rFonts w:ascii="Arial" w:hAnsi="Arial" w:cs="Arial"/>
                <w:szCs w:val="22"/>
              </w:rPr>
            </w:pPr>
            <w:r w:rsidRPr="00AE0E23">
              <w:rPr>
                <w:rFonts w:ascii="Arial" w:eastAsia="宋体" w:hAnsi="Arial" w:cs="Arial"/>
                <w:color w:val="1F1F1F"/>
                <w:kern w:val="0"/>
                <w:szCs w:val="22"/>
                <w:bdr w:val="none" w:sz="0" w:space="0" w:color="auto" w:frame="1"/>
                <w14:ligatures w14:val="none"/>
              </w:rPr>
              <w:t>Public charging devices, rapid/ultra-rapid counts</w:t>
            </w:r>
          </w:p>
        </w:tc>
      </w:tr>
      <w:tr w:rsidR="00AE0E23" w14:paraId="2C5F0768" w14:textId="77777777" w:rsidTr="00AE0E23">
        <w:trPr>
          <w:jc w:val="center"/>
        </w:trPr>
        <w:tc>
          <w:tcPr>
            <w:tcW w:w="2907" w:type="dxa"/>
            <w:vAlign w:val="center"/>
          </w:tcPr>
          <w:p w14:paraId="1B364D4C" w14:textId="079ABAF4" w:rsidR="00AE0E23" w:rsidRPr="00AE0E23" w:rsidRDefault="00AE0E23" w:rsidP="00AE0E23">
            <w:pPr>
              <w:adjustRightInd w:val="0"/>
              <w:snapToGrid w:val="0"/>
              <w:spacing w:line="400" w:lineRule="exact"/>
              <w:jc w:val="center"/>
              <w:rPr>
                <w:rFonts w:ascii="Arial" w:hAnsi="Arial" w:cs="Arial"/>
                <w:szCs w:val="22"/>
              </w:rPr>
            </w:pPr>
            <w:r w:rsidRPr="00AE0E23">
              <w:rPr>
                <w:rFonts w:ascii="Arial" w:eastAsia="宋体" w:hAnsi="Arial" w:cs="Arial"/>
                <w:color w:val="1F1F1F"/>
                <w:kern w:val="0"/>
                <w:szCs w:val="22"/>
                <w:bdr w:val="none" w:sz="0" w:space="0" w:color="auto" w:frame="1"/>
                <w14:ligatures w14:val="none"/>
              </w:rPr>
              <w:t>Vehicle Licensing Statistics: Tables VEH0105 (Total Stock) &amp; VEH0132 (EV Stock) [2]</w:t>
            </w:r>
          </w:p>
        </w:tc>
        <w:tc>
          <w:tcPr>
            <w:tcW w:w="2287" w:type="dxa"/>
            <w:vAlign w:val="center"/>
          </w:tcPr>
          <w:p w14:paraId="0D401A34" w14:textId="45E5AE2F" w:rsidR="00AE0E23" w:rsidRPr="00AE0E23" w:rsidRDefault="00AE0E23" w:rsidP="00AE0E23">
            <w:pPr>
              <w:adjustRightInd w:val="0"/>
              <w:snapToGrid w:val="0"/>
              <w:spacing w:line="400" w:lineRule="exact"/>
              <w:jc w:val="center"/>
              <w:rPr>
                <w:rFonts w:ascii="Arial" w:hAnsi="Arial" w:cs="Arial"/>
                <w:szCs w:val="22"/>
              </w:rPr>
            </w:pPr>
            <w:r w:rsidRPr="00AE0E23">
              <w:rPr>
                <w:rFonts w:ascii="Arial" w:eastAsia="宋体" w:hAnsi="Arial" w:cs="Arial"/>
                <w:color w:val="1F1F1F"/>
                <w:kern w:val="0"/>
                <w:szCs w:val="22"/>
                <w:bdr w:val="none" w:sz="0" w:space="0" w:color="auto" w:frame="1"/>
                <w14:ligatures w14:val="none"/>
              </w:rPr>
              <w:t>Department for Transport (</w:t>
            </w:r>
            <w:proofErr w:type="spellStart"/>
            <w:r w:rsidRPr="00AE0E23">
              <w:rPr>
                <w:rFonts w:ascii="Arial" w:eastAsia="宋体" w:hAnsi="Arial" w:cs="Arial"/>
                <w:color w:val="1F1F1F"/>
                <w:kern w:val="0"/>
                <w:szCs w:val="22"/>
                <w:bdr w:val="none" w:sz="0" w:space="0" w:color="auto" w:frame="1"/>
                <w14:ligatures w14:val="none"/>
              </w:rPr>
              <w:t>DfT</w:t>
            </w:r>
            <w:proofErr w:type="spellEnd"/>
            <w:r w:rsidRPr="00AE0E23">
              <w:rPr>
                <w:rFonts w:ascii="Arial" w:eastAsia="宋体" w:hAnsi="Arial" w:cs="Arial"/>
                <w:color w:val="1F1F1F"/>
                <w:kern w:val="0"/>
                <w:szCs w:val="22"/>
                <w:bdr w:val="none" w:sz="0" w:space="0" w:color="auto" w:frame="1"/>
                <w14:ligatures w14:val="none"/>
              </w:rPr>
              <w:t>)</w:t>
            </w:r>
          </w:p>
        </w:tc>
        <w:tc>
          <w:tcPr>
            <w:tcW w:w="1015" w:type="dxa"/>
            <w:vAlign w:val="center"/>
          </w:tcPr>
          <w:p w14:paraId="6F39FC34" w14:textId="2821CACC" w:rsidR="00AE0E23" w:rsidRPr="00AE0E23" w:rsidRDefault="00AE0E23" w:rsidP="00AE0E23">
            <w:pPr>
              <w:adjustRightInd w:val="0"/>
              <w:snapToGrid w:val="0"/>
              <w:spacing w:line="400" w:lineRule="exact"/>
              <w:jc w:val="center"/>
              <w:rPr>
                <w:rFonts w:ascii="Arial" w:hAnsi="Arial" w:cs="Arial"/>
                <w:szCs w:val="22"/>
              </w:rPr>
            </w:pPr>
            <w:r w:rsidRPr="00AE0E23">
              <w:rPr>
                <w:rFonts w:ascii="Arial" w:eastAsia="宋体" w:hAnsi="Arial" w:cs="Arial"/>
                <w:color w:val="1F1F1F"/>
                <w:kern w:val="0"/>
                <w:szCs w:val="22"/>
                <w:bdr w:val="none" w:sz="0" w:space="0" w:color="auto" w:frame="1"/>
                <w14:ligatures w14:val="none"/>
              </w:rPr>
              <w:t>2011 – 2024</w:t>
            </w:r>
          </w:p>
        </w:tc>
        <w:tc>
          <w:tcPr>
            <w:tcW w:w="2081" w:type="dxa"/>
            <w:vAlign w:val="center"/>
          </w:tcPr>
          <w:p w14:paraId="1E8D4364" w14:textId="12D0FF80" w:rsidR="00AE0E23" w:rsidRPr="00AE0E23" w:rsidRDefault="00AE0E23" w:rsidP="00AE0E23">
            <w:pPr>
              <w:adjustRightInd w:val="0"/>
              <w:snapToGrid w:val="0"/>
              <w:spacing w:line="400" w:lineRule="exact"/>
              <w:jc w:val="center"/>
              <w:rPr>
                <w:rFonts w:ascii="Arial" w:hAnsi="Arial" w:cs="Arial"/>
                <w:szCs w:val="22"/>
              </w:rPr>
            </w:pPr>
            <w:r w:rsidRPr="00AE0E23">
              <w:rPr>
                <w:rFonts w:ascii="Arial" w:eastAsia="宋体" w:hAnsi="Arial" w:cs="Arial"/>
                <w:color w:val="1F1F1F"/>
                <w:kern w:val="0"/>
                <w:szCs w:val="22"/>
                <w:bdr w:val="none" w:sz="0" w:space="0" w:color="auto" w:frame="1"/>
                <w14:ligatures w14:val="none"/>
              </w:rPr>
              <w:t>Total licensed vehicles, ULEV/EV stock by region</w:t>
            </w:r>
          </w:p>
        </w:tc>
      </w:tr>
      <w:tr w:rsidR="00AE0E23" w14:paraId="6B8AA0F7" w14:textId="77777777" w:rsidTr="00AE0E23">
        <w:trPr>
          <w:jc w:val="center"/>
        </w:trPr>
        <w:tc>
          <w:tcPr>
            <w:tcW w:w="2907" w:type="dxa"/>
            <w:vAlign w:val="center"/>
          </w:tcPr>
          <w:p w14:paraId="54ABDD79" w14:textId="077AA33D"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 xml:space="preserve">Regional Gross Disposable </w:t>
            </w:r>
            <w:r w:rsidRPr="00AE0E23">
              <w:rPr>
                <w:rFonts w:ascii="Arial" w:eastAsia="宋体" w:hAnsi="Arial" w:cs="Arial"/>
                <w:color w:val="1F1F1F"/>
                <w:kern w:val="0"/>
                <w:szCs w:val="22"/>
                <w:bdr w:val="none" w:sz="0" w:space="0" w:color="auto" w:frame="1"/>
                <w14:ligatures w14:val="none"/>
              </w:rPr>
              <w:lastRenderedPageBreak/>
              <w:t>Household Income (GDHI) for Local Authorities [3]</w:t>
            </w:r>
          </w:p>
        </w:tc>
        <w:tc>
          <w:tcPr>
            <w:tcW w:w="2287" w:type="dxa"/>
            <w:vAlign w:val="center"/>
          </w:tcPr>
          <w:p w14:paraId="605C49BD" w14:textId="066E06A4"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lastRenderedPageBreak/>
              <w:t xml:space="preserve">Office for National </w:t>
            </w:r>
            <w:r w:rsidRPr="00AE0E23">
              <w:rPr>
                <w:rFonts w:ascii="Arial" w:eastAsia="宋体" w:hAnsi="Arial" w:cs="Arial"/>
                <w:color w:val="1F1F1F"/>
                <w:kern w:val="0"/>
                <w:szCs w:val="22"/>
                <w:bdr w:val="none" w:sz="0" w:space="0" w:color="auto" w:frame="1"/>
                <w14:ligatures w14:val="none"/>
              </w:rPr>
              <w:lastRenderedPageBreak/>
              <w:t>Statistics (ONS)</w:t>
            </w:r>
          </w:p>
        </w:tc>
        <w:tc>
          <w:tcPr>
            <w:tcW w:w="1015" w:type="dxa"/>
            <w:vAlign w:val="center"/>
          </w:tcPr>
          <w:p w14:paraId="4F85CF3F" w14:textId="46016EC3"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lastRenderedPageBreak/>
              <w:t xml:space="preserve">2011 – </w:t>
            </w:r>
            <w:r w:rsidRPr="00AE0E23">
              <w:rPr>
                <w:rFonts w:ascii="Arial" w:eastAsia="宋体" w:hAnsi="Arial" w:cs="Arial"/>
                <w:color w:val="1F1F1F"/>
                <w:kern w:val="0"/>
                <w:szCs w:val="22"/>
                <w:bdr w:val="none" w:sz="0" w:space="0" w:color="auto" w:frame="1"/>
                <w14:ligatures w14:val="none"/>
              </w:rPr>
              <w:lastRenderedPageBreak/>
              <w:t>2022</w:t>
            </w:r>
          </w:p>
        </w:tc>
        <w:tc>
          <w:tcPr>
            <w:tcW w:w="2081" w:type="dxa"/>
            <w:vAlign w:val="center"/>
          </w:tcPr>
          <w:p w14:paraId="5B6C79D4" w14:textId="4002F69F"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lastRenderedPageBreak/>
              <w:t xml:space="preserve">GDHI per head, </w:t>
            </w:r>
            <w:r w:rsidRPr="00AE0E23">
              <w:rPr>
                <w:rFonts w:ascii="Arial" w:eastAsia="宋体" w:hAnsi="Arial" w:cs="Arial"/>
                <w:color w:val="1F1F1F"/>
                <w:kern w:val="0"/>
                <w:szCs w:val="22"/>
                <w:bdr w:val="none" w:sz="0" w:space="0" w:color="auto" w:frame="1"/>
                <w14:ligatures w14:val="none"/>
              </w:rPr>
              <w:lastRenderedPageBreak/>
              <w:t>total household income</w:t>
            </w:r>
          </w:p>
        </w:tc>
      </w:tr>
      <w:tr w:rsidR="00AE0E23" w14:paraId="4C49B795" w14:textId="77777777" w:rsidTr="00AE0E23">
        <w:trPr>
          <w:jc w:val="center"/>
        </w:trPr>
        <w:tc>
          <w:tcPr>
            <w:tcW w:w="2907" w:type="dxa"/>
            <w:vAlign w:val="center"/>
          </w:tcPr>
          <w:p w14:paraId="404E1399" w14:textId="4CBC0C0D"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lastRenderedPageBreak/>
              <w:t>Mid-2011 to mid-2024 Detailed Time Series (England &amp; Wales) [4]</w:t>
            </w:r>
          </w:p>
        </w:tc>
        <w:tc>
          <w:tcPr>
            <w:tcW w:w="2287" w:type="dxa"/>
            <w:vAlign w:val="center"/>
          </w:tcPr>
          <w:p w14:paraId="0E52B5C4" w14:textId="652723D7"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Office for National Statistics (ONS)</w:t>
            </w:r>
          </w:p>
        </w:tc>
        <w:tc>
          <w:tcPr>
            <w:tcW w:w="1015" w:type="dxa"/>
            <w:vAlign w:val="center"/>
          </w:tcPr>
          <w:p w14:paraId="1613EA3C" w14:textId="2996D622" w:rsidR="00AE0E23" w:rsidRPr="00AE0E23" w:rsidRDefault="00AE0E23" w:rsidP="00AE0E23">
            <w:pPr>
              <w:adjustRightInd w:val="0"/>
              <w:snapToGrid w:val="0"/>
              <w:spacing w:line="400" w:lineRule="exact"/>
              <w:jc w:val="center"/>
              <w:rPr>
                <w:rFonts w:hint="eastAsia"/>
                <w:szCs w:val="22"/>
              </w:rPr>
            </w:pPr>
            <w:r w:rsidRPr="00AE0E23">
              <w:rPr>
                <w:rFonts w:ascii="Arial" w:eastAsia="宋体" w:hAnsi="Arial" w:cs="Arial"/>
                <w:color w:val="1F1F1F"/>
                <w:kern w:val="0"/>
                <w:szCs w:val="22"/>
                <w:bdr w:val="none" w:sz="0" w:space="0" w:color="auto" w:frame="1"/>
                <w14:ligatures w14:val="none"/>
              </w:rPr>
              <w:t>2011 – 2024</w:t>
            </w:r>
          </w:p>
        </w:tc>
        <w:tc>
          <w:tcPr>
            <w:tcW w:w="2081" w:type="dxa"/>
            <w:vAlign w:val="center"/>
          </w:tcPr>
          <w:p w14:paraId="150DC4F5" w14:textId="1AA1A6D4"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Annual population estimates by age and gender</w:t>
            </w:r>
          </w:p>
        </w:tc>
      </w:tr>
      <w:tr w:rsidR="00AE0E23" w14:paraId="3E518E89" w14:textId="77777777" w:rsidTr="00AE0E23">
        <w:trPr>
          <w:jc w:val="center"/>
        </w:trPr>
        <w:tc>
          <w:tcPr>
            <w:tcW w:w="2907" w:type="dxa"/>
            <w:vAlign w:val="center"/>
          </w:tcPr>
          <w:p w14:paraId="43149B08" w14:textId="4689C9A3"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Mid-year population estimates revised 2011-2022 (Scotland) [5]</w:t>
            </w:r>
          </w:p>
        </w:tc>
        <w:tc>
          <w:tcPr>
            <w:tcW w:w="2287" w:type="dxa"/>
            <w:vAlign w:val="center"/>
          </w:tcPr>
          <w:p w14:paraId="088C5BD3" w14:textId="2F095C04"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National Records of Scotland (NRS)</w:t>
            </w:r>
          </w:p>
        </w:tc>
        <w:tc>
          <w:tcPr>
            <w:tcW w:w="1015" w:type="dxa"/>
            <w:vAlign w:val="center"/>
          </w:tcPr>
          <w:p w14:paraId="0BAB5FEF" w14:textId="151BCB37"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2011 – 2022</w:t>
            </w:r>
          </w:p>
        </w:tc>
        <w:tc>
          <w:tcPr>
            <w:tcW w:w="2081" w:type="dxa"/>
            <w:vAlign w:val="center"/>
          </w:tcPr>
          <w:p w14:paraId="488C02BB" w14:textId="664FB493"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Annual population estimates by council area</w:t>
            </w:r>
          </w:p>
        </w:tc>
      </w:tr>
      <w:tr w:rsidR="00AE0E23" w14:paraId="7612C6C2" w14:textId="77777777" w:rsidTr="00AE0E23">
        <w:trPr>
          <w:jc w:val="center"/>
        </w:trPr>
        <w:tc>
          <w:tcPr>
            <w:tcW w:w="2907" w:type="dxa"/>
            <w:vAlign w:val="center"/>
          </w:tcPr>
          <w:p w14:paraId="641177F2" w14:textId="1ACF6311"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MYE24-COC_0 Mid-year population estimates (Northern Ireland) [6]</w:t>
            </w:r>
          </w:p>
        </w:tc>
        <w:tc>
          <w:tcPr>
            <w:tcW w:w="2287" w:type="dxa"/>
            <w:vAlign w:val="center"/>
          </w:tcPr>
          <w:p w14:paraId="0D33790D" w14:textId="211839BA"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Northern Ireland Statistics and Research Agency (NISRA)</w:t>
            </w:r>
          </w:p>
        </w:tc>
        <w:tc>
          <w:tcPr>
            <w:tcW w:w="1015" w:type="dxa"/>
            <w:vAlign w:val="center"/>
          </w:tcPr>
          <w:p w14:paraId="0AB79E0D" w14:textId="396B510A"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2011 – 2024</w:t>
            </w:r>
          </w:p>
        </w:tc>
        <w:tc>
          <w:tcPr>
            <w:tcW w:w="2081" w:type="dxa"/>
            <w:vAlign w:val="center"/>
          </w:tcPr>
          <w:p w14:paraId="41370049" w14:textId="6510B683"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Annual population estimates by LGD</w:t>
            </w:r>
          </w:p>
        </w:tc>
      </w:tr>
      <w:tr w:rsidR="00AE0E23" w14:paraId="5350F112" w14:textId="77777777" w:rsidTr="00AE0E23">
        <w:trPr>
          <w:jc w:val="center"/>
        </w:trPr>
        <w:tc>
          <w:tcPr>
            <w:tcW w:w="2907" w:type="dxa"/>
            <w:vAlign w:val="center"/>
          </w:tcPr>
          <w:p w14:paraId="4960034D" w14:textId="4D369D2D"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CPIH ANNUAL RATE 00: ALL ITEMS 2015=100 [7]</w:t>
            </w:r>
          </w:p>
        </w:tc>
        <w:tc>
          <w:tcPr>
            <w:tcW w:w="2287" w:type="dxa"/>
            <w:vAlign w:val="center"/>
          </w:tcPr>
          <w:p w14:paraId="036B8083" w14:textId="43389C2B"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Office for National Statistics (ONS)</w:t>
            </w:r>
          </w:p>
        </w:tc>
        <w:tc>
          <w:tcPr>
            <w:tcW w:w="1015" w:type="dxa"/>
            <w:vAlign w:val="center"/>
          </w:tcPr>
          <w:p w14:paraId="4E2DC568" w14:textId="6DCBE8C6"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2011 – 2025</w:t>
            </w:r>
          </w:p>
        </w:tc>
        <w:tc>
          <w:tcPr>
            <w:tcW w:w="2081" w:type="dxa"/>
            <w:vAlign w:val="center"/>
          </w:tcPr>
          <w:p w14:paraId="4CFAF9E0" w14:textId="42ADD4E3"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Inflation indices for economic data imputation</w:t>
            </w:r>
          </w:p>
        </w:tc>
      </w:tr>
      <w:tr w:rsidR="00AE0E23" w14:paraId="6226B9DF" w14:textId="77777777" w:rsidTr="00AE0E23">
        <w:trPr>
          <w:jc w:val="center"/>
        </w:trPr>
        <w:tc>
          <w:tcPr>
            <w:tcW w:w="2907" w:type="dxa"/>
            <w:vAlign w:val="center"/>
          </w:tcPr>
          <w:p w14:paraId="633D328D" w14:textId="21CCE41B"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UK-</w:t>
            </w:r>
            <w:proofErr w:type="spellStart"/>
            <w:r w:rsidRPr="00AE0E23">
              <w:rPr>
                <w:rFonts w:ascii="Arial" w:eastAsia="宋体" w:hAnsi="Arial" w:cs="Arial"/>
                <w:color w:val="1F1F1F"/>
                <w:kern w:val="0"/>
                <w:szCs w:val="22"/>
                <w:bdr w:val="none" w:sz="0" w:space="0" w:color="auto" w:frame="1"/>
                <w14:ligatures w14:val="none"/>
              </w:rPr>
              <w:t>GeoJSON</w:t>
            </w:r>
            <w:proofErr w:type="spellEnd"/>
            <w:r w:rsidRPr="00AE0E23">
              <w:rPr>
                <w:rFonts w:ascii="Arial" w:eastAsia="宋体" w:hAnsi="Arial" w:cs="Arial"/>
                <w:color w:val="1F1F1F"/>
                <w:kern w:val="0"/>
                <w:szCs w:val="22"/>
                <w:bdr w:val="none" w:sz="0" w:space="0" w:color="auto" w:frame="1"/>
                <w14:ligatures w14:val="none"/>
              </w:rPr>
              <w:t xml:space="preserve"> (2024 Edition) [8]</w:t>
            </w:r>
          </w:p>
        </w:tc>
        <w:tc>
          <w:tcPr>
            <w:tcW w:w="2287" w:type="dxa"/>
            <w:vAlign w:val="center"/>
          </w:tcPr>
          <w:p w14:paraId="3DC94475" w14:textId="4C5798E7" w:rsidR="00AE0E23" w:rsidRPr="00AE0E23" w:rsidRDefault="00AE0E23" w:rsidP="00AE0E23">
            <w:pPr>
              <w:adjustRightInd w:val="0"/>
              <w:snapToGrid w:val="0"/>
              <w:spacing w:line="400" w:lineRule="exact"/>
              <w:jc w:val="center"/>
              <w:rPr>
                <w:rFonts w:ascii="Arial" w:hAnsi="Arial" w:cs="Arial"/>
                <w:b/>
                <w:bCs/>
                <w:szCs w:val="22"/>
              </w:rPr>
            </w:pPr>
            <w:proofErr w:type="spellStart"/>
            <w:r w:rsidRPr="00AE0E23">
              <w:rPr>
                <w:rFonts w:ascii="Arial" w:eastAsia="宋体" w:hAnsi="Arial" w:cs="Arial"/>
                <w:color w:val="1F1F1F"/>
                <w:kern w:val="0"/>
                <w:szCs w:val="22"/>
                <w:bdr w:val="none" w:sz="0" w:space="0" w:color="auto" w:frame="1"/>
                <w14:ligatures w14:val="none"/>
              </w:rPr>
              <w:t>Martinjc</w:t>
            </w:r>
            <w:proofErr w:type="spellEnd"/>
            <w:r w:rsidRPr="00AE0E23">
              <w:rPr>
                <w:rFonts w:ascii="Arial" w:eastAsia="宋体" w:hAnsi="Arial" w:cs="Arial"/>
                <w:color w:val="1F1F1F"/>
                <w:kern w:val="0"/>
                <w:szCs w:val="22"/>
                <w:bdr w:val="none" w:sz="0" w:space="0" w:color="auto" w:frame="1"/>
                <w14:ligatures w14:val="none"/>
              </w:rPr>
              <w:t xml:space="preserve"> (GitHub / ONS)</w:t>
            </w:r>
          </w:p>
        </w:tc>
        <w:tc>
          <w:tcPr>
            <w:tcW w:w="1015" w:type="dxa"/>
            <w:vAlign w:val="center"/>
          </w:tcPr>
          <w:p w14:paraId="6D54124B" w14:textId="5791BF7E"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2024</w:t>
            </w:r>
          </w:p>
        </w:tc>
        <w:tc>
          <w:tcPr>
            <w:tcW w:w="2081" w:type="dxa"/>
            <w:vAlign w:val="center"/>
          </w:tcPr>
          <w:p w14:paraId="4D4EC6A0" w14:textId="0D6C1BFE" w:rsidR="00AE0E23" w:rsidRPr="00AE0E23" w:rsidRDefault="00AE0E23" w:rsidP="00AE0E23">
            <w:pPr>
              <w:adjustRightInd w:val="0"/>
              <w:snapToGrid w:val="0"/>
              <w:spacing w:line="400" w:lineRule="exact"/>
              <w:jc w:val="center"/>
              <w:rPr>
                <w:rFonts w:ascii="Arial" w:hAnsi="Arial" w:cs="Arial"/>
                <w:b/>
                <w:bCs/>
                <w:szCs w:val="22"/>
              </w:rPr>
            </w:pPr>
            <w:r w:rsidRPr="00AE0E23">
              <w:rPr>
                <w:rFonts w:ascii="Arial" w:eastAsia="宋体" w:hAnsi="Arial" w:cs="Arial"/>
                <w:color w:val="1F1F1F"/>
                <w:kern w:val="0"/>
                <w:szCs w:val="22"/>
                <w:bdr w:val="none" w:sz="0" w:space="0" w:color="auto" w:frame="1"/>
                <w14:ligatures w14:val="none"/>
              </w:rPr>
              <w:t>Digital vector boundaries (LAD, Region, Country)</w:t>
            </w:r>
          </w:p>
        </w:tc>
      </w:tr>
    </w:tbl>
    <w:p w14:paraId="4BB052B4" w14:textId="77777777" w:rsidR="00AE0E23" w:rsidRDefault="00AE0E23" w:rsidP="00AE0E23">
      <w:pPr>
        <w:pStyle w:val="a3"/>
        <w:rPr>
          <w:rFonts w:ascii="Arial" w:hAnsi="Arial" w:cs="Arial"/>
        </w:rPr>
      </w:pPr>
    </w:p>
    <w:p w14:paraId="17B152CF" w14:textId="74E3368A" w:rsidR="00AE0E23" w:rsidRPr="00AE0E23" w:rsidRDefault="00AE0E23" w:rsidP="00AE0E23">
      <w:pPr>
        <w:pStyle w:val="a3"/>
        <w:rPr>
          <w:rFonts w:ascii="Arial" w:hAnsi="Arial" w:cs="Arial"/>
        </w:rPr>
      </w:pPr>
      <w:r w:rsidRPr="00AE0E23">
        <w:rPr>
          <w:rFonts w:ascii="Arial" w:hAnsi="Arial" w:cs="Arial"/>
        </w:rPr>
        <w:t>4. Data Preparation</w:t>
      </w:r>
    </w:p>
    <w:p w14:paraId="08C28201" w14:textId="77777777" w:rsidR="00AE0E23" w:rsidRPr="00AE0E23" w:rsidRDefault="00AE0E23" w:rsidP="00AE0E23">
      <w:pPr>
        <w:adjustRightInd w:val="0"/>
        <w:snapToGrid w:val="0"/>
        <w:spacing w:after="0" w:line="400" w:lineRule="exact"/>
        <w:jc w:val="center"/>
        <w:rPr>
          <w:rFonts w:ascii="Arial" w:hAnsi="Arial" w:cs="Arial"/>
          <w:sz w:val="24"/>
        </w:rPr>
      </w:pPr>
    </w:p>
    <w:p w14:paraId="50A026B0" w14:textId="534F9082" w:rsidR="00AE0E23" w:rsidRDefault="00AE0E23" w:rsidP="00AE0E23">
      <w:pPr>
        <w:adjustRightInd w:val="0"/>
        <w:snapToGrid w:val="0"/>
        <w:spacing w:after="0" w:line="400" w:lineRule="exact"/>
        <w:rPr>
          <w:rFonts w:ascii="Arial" w:hAnsi="Arial" w:cs="Arial"/>
          <w:sz w:val="24"/>
        </w:rPr>
      </w:pPr>
      <w:r w:rsidRPr="00AE0E23">
        <w:rPr>
          <w:rFonts w:ascii="Arial" w:hAnsi="Arial" w:cs="Arial" w:hint="eastAsia"/>
          <w:sz w:val="24"/>
        </w:rPr>
        <w:t>To construct a robust spatiotemporal panel dataset, this study integrates multi-source, heterogeneous data from the aforementioned institutions. Given the significant differences in statistical standards, publication cycles, and spatial hierarchies among the raw data, we implemented a rigorous bottom-up data reconstruction and feature engineering process.</w:t>
      </w:r>
    </w:p>
    <w:p w14:paraId="5E2EF28E" w14:textId="77777777" w:rsidR="00892C7B" w:rsidRPr="00AE0E23" w:rsidRDefault="00892C7B" w:rsidP="00AE0E23">
      <w:pPr>
        <w:adjustRightInd w:val="0"/>
        <w:snapToGrid w:val="0"/>
        <w:spacing w:after="0" w:line="400" w:lineRule="exact"/>
        <w:rPr>
          <w:rFonts w:ascii="Arial" w:hAnsi="Arial" w:cs="Arial"/>
          <w:sz w:val="24"/>
        </w:rPr>
      </w:pPr>
    </w:p>
    <w:p w14:paraId="70B7B960" w14:textId="2E67B627" w:rsidR="00892C7B" w:rsidRPr="00892C7B" w:rsidRDefault="00AE0E23" w:rsidP="00892C7B">
      <w:pPr>
        <w:jc w:val="center"/>
        <w:rPr>
          <w:rFonts w:ascii="Arial" w:hAnsi="Arial" w:cs="Arial"/>
          <w:sz w:val="28"/>
          <w:szCs w:val="28"/>
        </w:rPr>
      </w:pPr>
      <w:r w:rsidRPr="00892C7B">
        <w:rPr>
          <w:rFonts w:ascii="Arial" w:hAnsi="Arial" w:cs="Arial"/>
          <w:sz w:val="28"/>
          <w:szCs w:val="28"/>
        </w:rPr>
        <w:t>4.1 Spatial Hierarchy Mapping and Structural Processing</w:t>
      </w:r>
    </w:p>
    <w:p w14:paraId="35B4CF4F" w14:textId="77777777" w:rsidR="00892C7B" w:rsidRDefault="00892C7B" w:rsidP="00AE0E23">
      <w:pPr>
        <w:adjustRightInd w:val="0"/>
        <w:snapToGrid w:val="0"/>
        <w:spacing w:after="0" w:line="400" w:lineRule="exact"/>
        <w:rPr>
          <w:rFonts w:ascii="Arial" w:hAnsi="Arial" w:cs="Arial"/>
          <w:sz w:val="24"/>
        </w:rPr>
      </w:pPr>
    </w:p>
    <w:p w14:paraId="7D2499BF" w14:textId="4A1C2B45" w:rsidR="00AE0E23" w:rsidRPr="00AE0E23" w:rsidRDefault="00AE0E23" w:rsidP="00AE0E23">
      <w:pPr>
        <w:adjustRightInd w:val="0"/>
        <w:snapToGrid w:val="0"/>
        <w:spacing w:after="0" w:line="400" w:lineRule="exact"/>
        <w:rPr>
          <w:rFonts w:ascii="Arial" w:hAnsi="Arial" w:cs="Arial"/>
          <w:sz w:val="24"/>
        </w:rPr>
      </w:pPr>
      <w:r w:rsidRPr="00AE0E23">
        <w:rPr>
          <w:rFonts w:ascii="Arial" w:hAnsi="Arial" w:cs="Arial" w:hint="eastAsia"/>
          <w:sz w:val="24"/>
        </w:rPr>
        <w:t xml:space="preserve">This study first converted all data sources into a longitudinal panel format, </w:t>
      </w:r>
      <w:r w:rsidRPr="00AE0E23">
        <w:rPr>
          <w:rFonts w:ascii="Arial" w:hAnsi="Arial" w:cs="Arial" w:hint="eastAsia"/>
          <w:sz w:val="24"/>
        </w:rPr>
        <w:lastRenderedPageBreak/>
        <w:t>standardizing them into a "region-year-indicator" structure. During the multi-source data merging process, we developed a dynamic spatial mapping algorithm to address the complexities of the UK's administrative division system:</w:t>
      </w:r>
    </w:p>
    <w:p w14:paraId="002B344B" w14:textId="77777777" w:rsidR="00AE0E23" w:rsidRPr="00AE0E23" w:rsidRDefault="00AE0E23" w:rsidP="00AE0E23">
      <w:pPr>
        <w:adjustRightInd w:val="0"/>
        <w:snapToGrid w:val="0"/>
        <w:spacing w:after="0" w:line="400" w:lineRule="exact"/>
        <w:rPr>
          <w:rFonts w:ascii="Arial" w:hAnsi="Arial" w:cs="Arial"/>
          <w:sz w:val="24"/>
        </w:rPr>
      </w:pPr>
      <w:r w:rsidRPr="00AE0E23">
        <w:rPr>
          <w:rFonts w:ascii="Arial" w:hAnsi="Arial" w:cs="Arial" w:hint="eastAsia"/>
          <w:sz w:val="24"/>
        </w:rPr>
        <w:t>Spatial Nesting Mapping: Using the ONS official geographic coding for infrastructure as a baseline, we constructed a complete nesting dictionary, mapping from Local Administrative Districts (LADs) to counties, regions, and finally, to the national level (Country).</w:t>
      </w:r>
    </w:p>
    <w:p w14:paraId="1481D71F" w14:textId="77777777" w:rsidR="00AE0E23" w:rsidRPr="00AE0E23" w:rsidRDefault="00AE0E23" w:rsidP="00AE0E23">
      <w:pPr>
        <w:adjustRightInd w:val="0"/>
        <w:snapToGrid w:val="0"/>
        <w:spacing w:after="0" w:line="400" w:lineRule="exact"/>
        <w:rPr>
          <w:rFonts w:ascii="Arial" w:hAnsi="Arial" w:cs="Arial"/>
          <w:sz w:val="24"/>
        </w:rPr>
      </w:pPr>
      <w:r w:rsidRPr="00AE0E23">
        <w:rPr>
          <w:rFonts w:ascii="Arial" w:hAnsi="Arial" w:cs="Arial" w:hint="eastAsia"/>
          <w:sz w:val="24"/>
        </w:rPr>
        <w:t>Symmetry Correction: For Scotland and Northern Ireland, which lack a regional (Region) level division, the algorithm automatically downscales their national level data to ensure symmetry in the spatial matrix for the entire UK.</w:t>
      </w:r>
    </w:p>
    <w:p w14:paraId="1A00A97F" w14:textId="15409F28" w:rsidR="00823CB8" w:rsidRDefault="00AE0E23" w:rsidP="00AE0E23">
      <w:pPr>
        <w:adjustRightInd w:val="0"/>
        <w:snapToGrid w:val="0"/>
        <w:spacing w:after="0" w:line="400" w:lineRule="exact"/>
        <w:rPr>
          <w:rFonts w:ascii="Arial" w:hAnsi="Arial" w:cs="Arial"/>
          <w:sz w:val="24"/>
        </w:rPr>
      </w:pPr>
      <w:r w:rsidRPr="00AE0E23">
        <w:rPr>
          <w:rFonts w:ascii="Arial" w:hAnsi="Arial" w:cs="Arial" w:hint="eastAsia"/>
          <w:sz w:val="24"/>
        </w:rPr>
        <w:t xml:space="preserve">Population-Weighted Aggregation: When aggregating absolute values (such as GDHI) to higher administrative levels, population-weighted methods were used to calculate the weighted per capita income for region </w:t>
      </w:r>
      <m:oMath>
        <m:r>
          <w:rPr>
            <w:rFonts w:ascii="Cambria Math" w:hAnsi="Cambria Math" w:cs="Arial"/>
            <w:sz w:val="24"/>
          </w:rPr>
          <m:t>R</m:t>
        </m:r>
      </m:oMath>
      <w:r w:rsidRPr="00AE0E23">
        <w:rPr>
          <w:rFonts w:ascii="Arial" w:hAnsi="Arial" w:cs="Arial" w:hint="eastAsia"/>
          <w:sz w:val="24"/>
        </w:rPr>
        <w:t xml:space="preserve"> in year </w:t>
      </w:r>
      <m:oMath>
        <m:r>
          <w:rPr>
            <w:rFonts w:ascii="Cambria Math" w:hAnsi="Cambria Math" w:cs="Arial"/>
            <w:sz w:val="24"/>
          </w:rPr>
          <m:t>t</m:t>
        </m:r>
      </m:oMath>
      <w:r w:rsidRPr="00AE0E23">
        <w:rPr>
          <w:rFonts w:ascii="Arial" w:hAnsi="Arial" w:cs="Arial" w:hint="eastAsia"/>
          <w:sz w:val="24"/>
        </w:rPr>
        <w:t>, in order to avoid statistical distortion.</w:t>
      </w:r>
    </w:p>
    <w:p w14:paraId="5F7E38C7" w14:textId="6F45FCB1" w:rsidR="00AE0E23" w:rsidRPr="00892C7B" w:rsidRDefault="00000000" w:rsidP="0002274B">
      <w:pPr>
        <w:adjustRightInd w:val="0"/>
        <w:snapToGrid w:val="0"/>
        <w:spacing w:after="0" w:line="240" w:lineRule="auto"/>
        <w:rPr>
          <w:rFonts w:ascii="Arial" w:hAnsi="Arial" w:cs="Arial"/>
          <w:sz w:val="24"/>
        </w:rPr>
      </w:pPr>
      <m:oMathPara>
        <m:oMath>
          <m:sSub>
            <m:sSubPr>
              <m:ctrlPr>
                <w:rPr>
                  <w:rFonts w:ascii="Cambria Math" w:hAnsi="Cambria Math" w:cs="Arial"/>
                  <w:i/>
                  <w:sz w:val="24"/>
                </w:rPr>
              </m:ctrlPr>
            </m:sSubPr>
            <m:e>
              <m:r>
                <w:rPr>
                  <w:rFonts w:ascii="Cambria Math" w:hAnsi="Cambria Math" w:cs="Arial"/>
                  <w:sz w:val="24"/>
                </w:rPr>
                <m:t>GDHI</m:t>
              </m:r>
            </m:e>
            <m:sub>
              <m:r>
                <w:rPr>
                  <w:rFonts w:ascii="Cambria Math" w:hAnsi="Cambria Math" w:cs="Arial"/>
                  <w:sz w:val="24"/>
                </w:rPr>
                <m:t>R,t</m:t>
              </m:r>
            </m:sub>
          </m:sSub>
          <m:r>
            <w:rPr>
              <w:rFonts w:ascii="Cambria Math" w:hAnsi="Cambria Math" w:cs="Arial"/>
              <w:sz w:val="24"/>
            </w:rPr>
            <m:t>=</m:t>
          </m:r>
          <m:f>
            <m:fPr>
              <m:ctrlPr>
                <w:rPr>
                  <w:rFonts w:ascii="Cambria Math" w:hAnsi="Cambria Math" w:cs="Arial"/>
                  <w:i/>
                  <w:sz w:val="24"/>
                </w:rPr>
              </m:ctrlPr>
            </m:fPr>
            <m:num>
              <m:nary>
                <m:naryPr>
                  <m:chr m:val="∑"/>
                  <m:limLoc m:val="subSup"/>
                  <m:supHide m:val="1"/>
                  <m:ctrlPr>
                    <w:rPr>
                      <w:rFonts w:ascii="Cambria Math" w:hAnsi="Cambria Math" w:cs="Arial"/>
                      <w:i/>
                      <w:sz w:val="24"/>
                    </w:rPr>
                  </m:ctrlPr>
                </m:naryPr>
                <m:sub>
                  <m:r>
                    <w:rPr>
                      <w:rFonts w:ascii="Cambria Math" w:hAnsi="Cambria Math" w:cs="Arial"/>
                      <w:sz w:val="24"/>
                    </w:rPr>
                    <m:t>i∈R</m:t>
                  </m:r>
                </m:sub>
                <m:sup/>
                <m:e>
                  <m:d>
                    <m:dPr>
                      <m:ctrlPr>
                        <w:rPr>
                          <w:rFonts w:ascii="Cambria Math" w:hAnsi="Cambria Math" w:cs="Arial"/>
                          <w:i/>
                          <w:sz w:val="24"/>
                        </w:rPr>
                      </m:ctrlPr>
                    </m:dPr>
                    <m:e>
                      <m:sSub>
                        <m:sSubPr>
                          <m:ctrlPr>
                            <w:rPr>
                              <w:rFonts w:ascii="Cambria Math" w:hAnsi="Cambria Math" w:cs="Arial"/>
                              <w:i/>
                              <w:sz w:val="24"/>
                            </w:rPr>
                          </m:ctrlPr>
                        </m:sSubPr>
                        <m:e>
                          <m:r>
                            <w:rPr>
                              <w:rFonts w:ascii="Cambria Math" w:hAnsi="Cambria Math" w:cs="Arial"/>
                              <w:sz w:val="24"/>
                            </w:rPr>
                            <m:t>GDHI</m:t>
                          </m:r>
                        </m:e>
                        <m:sub>
                          <m:r>
                            <w:rPr>
                              <w:rFonts w:ascii="Cambria Math" w:hAnsi="Cambria Math" w:cs="Arial"/>
                              <w:sz w:val="24"/>
                            </w:rPr>
                            <m:t>R,t</m:t>
                          </m:r>
                        </m:sub>
                      </m:sSub>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Pop</m:t>
                          </m:r>
                        </m:e>
                        <m:sub>
                          <m:r>
                            <w:rPr>
                              <w:rFonts w:ascii="Cambria Math" w:hAnsi="Cambria Math" w:cs="Arial"/>
                              <w:sz w:val="24"/>
                            </w:rPr>
                            <m:t>i,t</m:t>
                          </m:r>
                        </m:sub>
                      </m:sSub>
                    </m:e>
                  </m:d>
                </m:e>
              </m:nary>
            </m:num>
            <m:den>
              <m:nary>
                <m:naryPr>
                  <m:chr m:val="∑"/>
                  <m:limLoc m:val="subSup"/>
                  <m:supHide m:val="1"/>
                  <m:ctrlPr>
                    <w:rPr>
                      <w:rFonts w:ascii="Cambria Math" w:hAnsi="Cambria Math" w:cs="Arial"/>
                      <w:i/>
                      <w:sz w:val="24"/>
                    </w:rPr>
                  </m:ctrlPr>
                </m:naryPr>
                <m:sub>
                  <m:r>
                    <w:rPr>
                      <w:rFonts w:ascii="Cambria Math" w:hAnsi="Cambria Math" w:cs="Arial"/>
                      <w:sz w:val="24"/>
                    </w:rPr>
                    <m:t>i∈R</m:t>
                  </m:r>
                </m:sub>
                <m:sup/>
                <m:e>
                  <w:bookmarkStart w:id="0" w:name="OLE_LINK1"/>
                  <m:sSub>
                    <m:sSubPr>
                      <m:ctrlPr>
                        <w:rPr>
                          <w:rFonts w:ascii="Cambria Math" w:hAnsi="Cambria Math" w:cs="Arial"/>
                          <w:i/>
                          <w:sz w:val="24"/>
                        </w:rPr>
                      </m:ctrlPr>
                    </m:sSubPr>
                    <m:e>
                      <m:r>
                        <w:rPr>
                          <w:rFonts w:ascii="Cambria Math" w:hAnsi="Cambria Math" w:cs="Arial"/>
                          <w:sz w:val="24"/>
                        </w:rPr>
                        <m:t>Pop</m:t>
                      </m:r>
                    </m:e>
                    <m:sub>
                      <m:r>
                        <w:rPr>
                          <w:rFonts w:ascii="Cambria Math" w:hAnsi="Cambria Math" w:cs="Arial"/>
                          <w:sz w:val="24"/>
                        </w:rPr>
                        <m:t>i,t</m:t>
                      </m:r>
                    </m:sub>
                  </m:sSub>
                  <w:bookmarkEnd w:id="0"/>
                </m:e>
              </m:nary>
            </m:den>
          </m:f>
        </m:oMath>
      </m:oMathPara>
    </w:p>
    <w:p w14:paraId="1AC8DC0F" w14:textId="4A031A1D" w:rsidR="00892C7B" w:rsidRDefault="00892C7B" w:rsidP="00892C7B">
      <w:pPr>
        <w:adjustRightInd w:val="0"/>
        <w:snapToGrid w:val="0"/>
        <w:spacing w:after="0" w:line="400" w:lineRule="exact"/>
        <w:rPr>
          <w:rFonts w:ascii="Arial" w:hAnsi="Arial" w:cs="Arial"/>
          <w:sz w:val="24"/>
        </w:rPr>
      </w:pPr>
      <w:r w:rsidRPr="00892C7B">
        <w:rPr>
          <w:rFonts w:ascii="Arial" w:hAnsi="Arial" w:cs="Arial"/>
          <w:sz w:val="24"/>
        </w:rPr>
        <w:t xml:space="preserve">In this case, </w:t>
      </w:r>
      <m:oMath>
        <m:r>
          <w:rPr>
            <w:rFonts w:ascii="Cambria Math" w:hAnsi="Cambria Math" w:cs="Arial"/>
            <w:sz w:val="24"/>
          </w:rPr>
          <m:t>i</m:t>
        </m:r>
      </m:oMath>
      <w:r w:rsidRPr="00892C7B">
        <w:rPr>
          <w:rFonts w:ascii="Arial" w:hAnsi="Arial" w:cs="Arial"/>
          <w:sz w:val="24"/>
        </w:rPr>
        <w:t xml:space="preserve"> represents the lower-level </w:t>
      </w:r>
      <w:proofErr w:type="gramStart"/>
      <w:r w:rsidRPr="00892C7B">
        <w:rPr>
          <w:rFonts w:ascii="Arial" w:hAnsi="Arial" w:cs="Arial"/>
          <w:sz w:val="24"/>
        </w:rPr>
        <w:t>micro Local</w:t>
      </w:r>
      <w:proofErr w:type="gramEnd"/>
      <w:r w:rsidRPr="00892C7B">
        <w:rPr>
          <w:rFonts w:ascii="Arial" w:hAnsi="Arial" w:cs="Arial"/>
          <w:sz w:val="24"/>
        </w:rPr>
        <w:t xml:space="preserve"> Administrative Districts (LADs) belonging to the macro-level administrative hierarchy, and </w:t>
      </w:r>
      <m:oMath>
        <m:sSub>
          <m:sSubPr>
            <m:ctrlPr>
              <w:rPr>
                <w:rFonts w:ascii="Cambria Math" w:hAnsi="Cambria Math" w:cs="Arial"/>
                <w:i/>
                <w:sz w:val="24"/>
              </w:rPr>
            </m:ctrlPr>
          </m:sSubPr>
          <m:e>
            <m:r>
              <w:rPr>
                <w:rFonts w:ascii="Cambria Math" w:hAnsi="Cambria Math" w:cs="Arial"/>
                <w:sz w:val="24"/>
              </w:rPr>
              <m:t>Pop</m:t>
            </m:r>
          </m:e>
          <m:sub>
            <m:r>
              <w:rPr>
                <w:rFonts w:ascii="Cambria Math" w:hAnsi="Cambria Math" w:cs="Arial"/>
                <w:sz w:val="24"/>
              </w:rPr>
              <m:t>i,t</m:t>
            </m:r>
          </m:sub>
        </m:sSub>
      </m:oMath>
      <w:r w:rsidRPr="00892C7B">
        <w:rPr>
          <w:rFonts w:ascii="Arial" w:hAnsi="Arial" w:cs="Arial"/>
          <w:sz w:val="24"/>
        </w:rPr>
        <w:t xml:space="preserve"> denotes the total population of this micro region in year </w:t>
      </w:r>
      <m:oMath>
        <m:r>
          <w:rPr>
            <w:rFonts w:ascii="Cambria Math" w:hAnsi="Cambria Math" w:cs="Arial"/>
            <w:sz w:val="24"/>
          </w:rPr>
          <m:t>t</m:t>
        </m:r>
      </m:oMath>
      <w:r w:rsidRPr="00892C7B">
        <w:rPr>
          <w:rFonts w:ascii="Arial" w:hAnsi="Arial" w:cs="Arial"/>
          <w:sz w:val="24"/>
        </w:rPr>
        <w:t>.</w:t>
      </w:r>
    </w:p>
    <w:p w14:paraId="6737C85F" w14:textId="77777777" w:rsidR="00892C7B" w:rsidRPr="00892C7B" w:rsidRDefault="00892C7B" w:rsidP="00892C7B">
      <w:pPr>
        <w:adjustRightInd w:val="0"/>
        <w:snapToGrid w:val="0"/>
        <w:spacing w:after="0" w:line="400" w:lineRule="exact"/>
        <w:rPr>
          <w:rFonts w:ascii="Arial" w:hAnsi="Arial" w:cs="Arial"/>
          <w:sz w:val="24"/>
        </w:rPr>
      </w:pPr>
    </w:p>
    <w:p w14:paraId="26AEF8A1" w14:textId="77777777" w:rsidR="00892C7B" w:rsidRPr="00892C7B" w:rsidRDefault="00892C7B" w:rsidP="00892C7B">
      <w:pPr>
        <w:adjustRightInd w:val="0"/>
        <w:snapToGrid w:val="0"/>
        <w:spacing w:after="0" w:line="400" w:lineRule="exact"/>
        <w:jc w:val="center"/>
        <w:rPr>
          <w:rFonts w:ascii="Arial" w:hAnsi="Arial" w:cs="Arial"/>
          <w:sz w:val="28"/>
          <w:szCs w:val="28"/>
        </w:rPr>
      </w:pPr>
      <w:r w:rsidRPr="00892C7B">
        <w:rPr>
          <w:rFonts w:ascii="Arial" w:hAnsi="Arial" w:cs="Arial"/>
          <w:sz w:val="28"/>
          <w:szCs w:val="28"/>
        </w:rPr>
        <w:t>4.2 Cross-Domain Integration and Temporal Interpolation of Population Data</w:t>
      </w:r>
    </w:p>
    <w:p w14:paraId="7043B3D5" w14:textId="77777777" w:rsidR="00892C7B" w:rsidRDefault="00892C7B" w:rsidP="00892C7B">
      <w:pPr>
        <w:adjustRightInd w:val="0"/>
        <w:snapToGrid w:val="0"/>
        <w:spacing w:after="0" w:line="400" w:lineRule="exact"/>
        <w:rPr>
          <w:rFonts w:ascii="Arial" w:hAnsi="Arial" w:cs="Arial"/>
          <w:sz w:val="24"/>
        </w:rPr>
      </w:pPr>
    </w:p>
    <w:p w14:paraId="2184EF6A" w14:textId="620EE3BD" w:rsidR="00892C7B" w:rsidRDefault="00892C7B" w:rsidP="00892C7B">
      <w:pPr>
        <w:adjustRightInd w:val="0"/>
        <w:snapToGrid w:val="0"/>
        <w:spacing w:after="0" w:line="400" w:lineRule="exact"/>
        <w:rPr>
          <w:rFonts w:ascii="Arial" w:hAnsi="Arial" w:cs="Arial"/>
          <w:sz w:val="24"/>
        </w:rPr>
      </w:pPr>
      <w:r w:rsidRPr="00892C7B">
        <w:rPr>
          <w:rFonts w:ascii="Arial" w:hAnsi="Arial" w:cs="Arial"/>
          <w:sz w:val="24"/>
        </w:rPr>
        <w:t>Due to the misalignment in the data publication cycles between the statistical agencies of Scotland, Northern Ireland, and England, this study developed an independent incremental population patch. After completing the stitching of the UK-wide panel, the natural absence of population data for 2024 and 2025 was addressed using a time-series forward fill method. This method assumes that the population size in each region remains relatively stable in the short term, and utilizes the most recent year's observation for reasonable imputation.</w:t>
      </w:r>
    </w:p>
    <w:p w14:paraId="3FA760F9" w14:textId="77777777" w:rsidR="00892C7B" w:rsidRPr="00892C7B" w:rsidRDefault="00892C7B" w:rsidP="00892C7B">
      <w:pPr>
        <w:adjustRightInd w:val="0"/>
        <w:snapToGrid w:val="0"/>
        <w:spacing w:after="0" w:line="400" w:lineRule="exact"/>
        <w:rPr>
          <w:rFonts w:ascii="Arial" w:hAnsi="Arial" w:cs="Arial"/>
          <w:sz w:val="24"/>
        </w:rPr>
      </w:pPr>
    </w:p>
    <w:p w14:paraId="03E16E75" w14:textId="77777777" w:rsidR="00892C7B" w:rsidRPr="00892C7B" w:rsidRDefault="00892C7B" w:rsidP="00892C7B">
      <w:pPr>
        <w:adjustRightInd w:val="0"/>
        <w:snapToGrid w:val="0"/>
        <w:spacing w:after="0" w:line="400" w:lineRule="exact"/>
        <w:jc w:val="center"/>
        <w:rPr>
          <w:rFonts w:ascii="Arial" w:hAnsi="Arial" w:cs="Arial"/>
          <w:sz w:val="28"/>
          <w:szCs w:val="28"/>
        </w:rPr>
      </w:pPr>
      <w:r w:rsidRPr="00892C7B">
        <w:rPr>
          <w:rFonts w:ascii="Arial" w:hAnsi="Arial" w:cs="Arial"/>
          <w:sz w:val="28"/>
          <w:szCs w:val="28"/>
        </w:rPr>
        <w:t>4.3 Macroeconomic Interpolation Based on CPIH and Real Growth Rate</w:t>
      </w:r>
    </w:p>
    <w:p w14:paraId="30A05219" w14:textId="77777777" w:rsidR="00892C7B" w:rsidRDefault="00892C7B" w:rsidP="00892C7B">
      <w:pPr>
        <w:adjustRightInd w:val="0"/>
        <w:snapToGrid w:val="0"/>
        <w:spacing w:after="0" w:line="400" w:lineRule="exact"/>
        <w:rPr>
          <w:rFonts w:ascii="Arial" w:hAnsi="Arial" w:cs="Arial"/>
          <w:sz w:val="24"/>
        </w:rPr>
      </w:pPr>
      <w:r w:rsidRPr="00892C7B">
        <w:rPr>
          <w:rFonts w:ascii="Arial" w:hAnsi="Arial" w:cs="Arial"/>
          <w:sz w:val="24"/>
        </w:rPr>
        <w:lastRenderedPageBreak/>
        <w:t>Official GDHI data usually experience a release lag of 1 to 2 years. To ensure the completeness of the panel data for 2024 and 2025, we introduced the CPIH index for inter-period interpolation.</w:t>
      </w:r>
    </w:p>
    <w:p w14:paraId="7A5733C6" w14:textId="117A55F6" w:rsidR="00892C7B" w:rsidRPr="00892C7B" w:rsidRDefault="00892C7B" w:rsidP="00892C7B">
      <w:pPr>
        <w:adjustRightInd w:val="0"/>
        <w:snapToGrid w:val="0"/>
        <w:spacing w:after="0" w:line="400" w:lineRule="exact"/>
        <w:rPr>
          <w:rFonts w:ascii="Arial" w:hAnsi="Arial" w:cs="Arial"/>
          <w:sz w:val="24"/>
        </w:rPr>
      </w:pPr>
      <w:r w:rsidRPr="00892C7B">
        <w:rPr>
          <w:rFonts w:ascii="Arial" w:hAnsi="Arial" w:cs="Arial"/>
          <w:sz w:val="24"/>
        </w:rPr>
        <w:t>The Real Compound Annual Growth Rate (Real CAGR) was used to deflate nominal GDHI data from 2011 to 2019 based on CPIH, stripping out inflation factors, and calculating the endogenous growth potential of each region</w:t>
      </w:r>
      <m:oMath>
        <m:r>
          <w:rPr>
            <w:rFonts w:ascii="Cambria Math" w:hAnsi="Cambria Math" w:cs="Arial"/>
            <w:sz w:val="24"/>
          </w:rPr>
          <m:t>i</m:t>
        </m:r>
      </m:oMath>
      <w:r w:rsidRPr="00892C7B">
        <w:rPr>
          <w:rFonts w:ascii="Arial" w:hAnsi="Arial" w:cs="Arial"/>
          <w:sz w:val="24"/>
        </w:rPr>
        <w:t>:</w:t>
      </w:r>
    </w:p>
    <w:bookmarkStart w:id="1" w:name="OLE_LINK2"/>
    <w:p w14:paraId="5EB0CF6F" w14:textId="7FC1130E" w:rsidR="00892C7B" w:rsidRPr="00892C7B" w:rsidRDefault="00000000" w:rsidP="0002274B">
      <w:pPr>
        <w:adjustRightInd w:val="0"/>
        <w:snapToGrid w:val="0"/>
        <w:spacing w:after="0" w:line="240" w:lineRule="auto"/>
        <w:rPr>
          <w:rFonts w:ascii="Arial" w:hAnsi="Arial" w:cs="Arial"/>
          <w:sz w:val="24"/>
        </w:rPr>
      </w:pPr>
      <m:oMathPara>
        <m:oMath>
          <m:sSub>
            <m:sSubPr>
              <m:ctrlPr>
                <w:rPr>
                  <w:rFonts w:ascii="Cambria Math" w:hAnsi="Cambria Math" w:cs="Arial"/>
                  <w:i/>
                  <w:sz w:val="24"/>
                </w:rPr>
              </m:ctrlPr>
            </m:sSubPr>
            <m:e>
              <m:r>
                <w:rPr>
                  <w:rFonts w:ascii="Cambria Math" w:hAnsi="Cambria Math" w:cs="Arial"/>
                  <w:sz w:val="24"/>
                </w:rPr>
                <m:t>CAGR</m:t>
              </m:r>
            </m:e>
            <m:sub>
              <m:r>
                <w:rPr>
                  <w:rFonts w:ascii="Cambria Math" w:hAnsi="Cambria Math" w:cs="Arial"/>
                  <w:sz w:val="24"/>
                </w:rPr>
                <m:t>i</m:t>
              </m:r>
            </m:sub>
          </m:sSub>
          <w:bookmarkEnd w:id="1"/>
          <m:r>
            <w:rPr>
              <w:rFonts w:ascii="Cambria Math" w:hAnsi="Cambria Math" w:cs="Arial"/>
              <w:sz w:val="24"/>
            </w:rPr>
            <m:t>=</m:t>
          </m:r>
          <m:sSup>
            <m:sSupPr>
              <m:ctrlPr>
                <w:rPr>
                  <w:rFonts w:ascii="Cambria Math" w:hAnsi="Cambria Math" w:cs="Arial"/>
                  <w:i/>
                  <w:sz w:val="24"/>
                </w:rPr>
              </m:ctrlPr>
            </m:sSupPr>
            <m:e>
              <m:d>
                <m:dPr>
                  <m:ctrlPr>
                    <w:rPr>
                      <w:rFonts w:ascii="Cambria Math" w:hAnsi="Cambria Math" w:cs="Arial"/>
                      <w:i/>
                      <w:sz w:val="24"/>
                    </w:rPr>
                  </m:ctrlPr>
                </m:dPr>
                <m:e>
                  <m:f>
                    <m:fPr>
                      <m:ctrlPr>
                        <w:rPr>
                          <w:rFonts w:ascii="Cambria Math" w:hAnsi="Cambria Math" w:cs="Arial"/>
                          <w:i/>
                          <w:sz w:val="24"/>
                        </w:rPr>
                      </m:ctrlPr>
                    </m:fPr>
                    <m:num>
                      <m:sSub>
                        <m:sSubPr>
                          <m:ctrlPr>
                            <w:rPr>
                              <w:rFonts w:ascii="Cambria Math" w:hAnsi="Cambria Math" w:cs="Arial"/>
                              <w:i/>
                              <w:sz w:val="24"/>
                            </w:rPr>
                          </m:ctrlPr>
                        </m:sSubPr>
                        <m:e>
                          <m:r>
                            <w:rPr>
                              <w:rFonts w:ascii="Cambria Math" w:hAnsi="Cambria Math" w:cs="Arial"/>
                              <w:sz w:val="24"/>
                            </w:rPr>
                            <m:t>Real_GDHI</m:t>
                          </m:r>
                        </m:e>
                        <m:sub>
                          <m:r>
                            <w:rPr>
                              <w:rFonts w:ascii="Cambria Math" w:hAnsi="Cambria Math" w:cs="Arial"/>
                              <w:sz w:val="24"/>
                            </w:rPr>
                            <m:t>i,2019</m:t>
                          </m:r>
                        </m:sub>
                      </m:sSub>
                    </m:num>
                    <m:den>
                      <m:sSub>
                        <m:sSubPr>
                          <m:ctrlPr>
                            <w:rPr>
                              <w:rFonts w:ascii="Cambria Math" w:hAnsi="Cambria Math" w:cs="Arial"/>
                              <w:i/>
                              <w:sz w:val="24"/>
                            </w:rPr>
                          </m:ctrlPr>
                        </m:sSubPr>
                        <m:e>
                          <m:r>
                            <w:rPr>
                              <w:rFonts w:ascii="Cambria Math" w:hAnsi="Cambria Math" w:cs="Arial"/>
                              <w:sz w:val="24"/>
                            </w:rPr>
                            <m:t>Real_GDHI</m:t>
                          </m:r>
                        </m:e>
                        <m:sub>
                          <m:r>
                            <w:rPr>
                              <w:rFonts w:ascii="Cambria Math" w:hAnsi="Cambria Math" w:cs="Arial"/>
                              <w:sz w:val="24"/>
                            </w:rPr>
                            <m:t>i,2011</m:t>
                          </m:r>
                        </m:sub>
                      </m:sSub>
                    </m:den>
                  </m:f>
                </m:e>
              </m:d>
            </m:e>
            <m:sup>
              <m:f>
                <m:fPr>
                  <m:ctrlPr>
                    <w:rPr>
                      <w:rFonts w:ascii="Cambria Math" w:hAnsi="Cambria Math" w:cs="Arial"/>
                      <w:i/>
                      <w:sz w:val="24"/>
                    </w:rPr>
                  </m:ctrlPr>
                </m:fPr>
                <m:num>
                  <m:r>
                    <w:rPr>
                      <w:rFonts w:ascii="Cambria Math" w:hAnsi="Cambria Math" w:cs="Arial"/>
                      <w:sz w:val="24"/>
                    </w:rPr>
                    <m:t>1</m:t>
                  </m:r>
                </m:num>
                <m:den>
                  <m:r>
                    <w:rPr>
                      <w:rFonts w:ascii="Cambria Math" w:hAnsi="Cambria Math" w:cs="Arial"/>
                      <w:sz w:val="24"/>
                    </w:rPr>
                    <m:t>8</m:t>
                  </m:r>
                </m:den>
              </m:f>
            </m:sup>
          </m:sSup>
          <m:r>
            <w:rPr>
              <w:rFonts w:ascii="Cambria Math" w:hAnsi="Cambria Math" w:cs="Arial"/>
              <w:sz w:val="24"/>
            </w:rPr>
            <m:t>-1</m:t>
          </m:r>
        </m:oMath>
      </m:oMathPara>
    </w:p>
    <w:p w14:paraId="28CB5722" w14:textId="0CDE3977" w:rsidR="00892C7B" w:rsidRDefault="00892C7B" w:rsidP="00892C7B">
      <w:pPr>
        <w:adjustRightInd w:val="0"/>
        <w:snapToGrid w:val="0"/>
        <w:spacing w:after="0" w:line="400" w:lineRule="atLeast"/>
        <w:rPr>
          <w:rFonts w:ascii="Arial" w:hAnsi="Arial" w:cs="Arial"/>
          <w:sz w:val="24"/>
        </w:rPr>
      </w:pPr>
      <w:r w:rsidRPr="00892C7B">
        <w:rPr>
          <w:rFonts w:ascii="Arial" w:hAnsi="Arial" w:cs="Arial" w:hint="eastAsia"/>
          <w:sz w:val="24"/>
        </w:rPr>
        <w:t xml:space="preserve">Nominal Value Extrapolation </w:t>
      </w:r>
      <w:proofErr w:type="spellStart"/>
      <w:proofErr w:type="gramStart"/>
      <w:r w:rsidRPr="00892C7B">
        <w:rPr>
          <w:rFonts w:ascii="Arial" w:hAnsi="Arial" w:cs="Arial" w:hint="eastAsia"/>
          <w:sz w:val="24"/>
        </w:rPr>
        <w:t>Forecasting</w:t>
      </w:r>
      <w:r>
        <w:rPr>
          <w:rFonts w:ascii="Arial" w:hAnsi="Arial" w:cs="Arial" w:hint="eastAsia"/>
          <w:sz w:val="24"/>
        </w:rPr>
        <w:t>:</w:t>
      </w:r>
      <w:r w:rsidRPr="00892C7B">
        <w:rPr>
          <w:rFonts w:ascii="Arial" w:hAnsi="Arial" w:cs="Arial" w:hint="eastAsia"/>
          <w:sz w:val="24"/>
        </w:rPr>
        <w:t>For</w:t>
      </w:r>
      <w:proofErr w:type="spellEnd"/>
      <w:proofErr w:type="gramEnd"/>
      <w:r w:rsidRPr="00892C7B">
        <w:rPr>
          <w:rFonts w:ascii="Arial" w:hAnsi="Arial" w:cs="Arial" w:hint="eastAsia"/>
          <w:sz w:val="24"/>
        </w:rPr>
        <w:t xml:space="preserve"> the missing years</w:t>
      </w:r>
      <m:oMath>
        <m:d>
          <m:dPr>
            <m:ctrlPr>
              <w:rPr>
                <w:rFonts w:ascii="Cambria Math" w:hAnsi="Cambria Math" w:cs="Arial"/>
                <w:i/>
                <w:sz w:val="24"/>
              </w:rPr>
            </m:ctrlPr>
          </m:dPr>
          <m:e>
            <m:r>
              <w:rPr>
                <w:rFonts w:ascii="Cambria Math" w:hAnsi="Cambria Math" w:cs="Arial"/>
                <w:sz w:val="24"/>
              </w:rPr>
              <m:t>t∈</m:t>
            </m:r>
            <m:d>
              <m:dPr>
                <m:begChr m:val="{"/>
                <m:endChr m:val="}"/>
                <m:ctrlPr>
                  <w:rPr>
                    <w:rFonts w:ascii="Cambria Math" w:hAnsi="Cambria Math" w:cs="Arial"/>
                    <w:i/>
                    <w:sz w:val="24"/>
                  </w:rPr>
                </m:ctrlPr>
              </m:dPr>
              <m:e>
                <m:r>
                  <w:rPr>
                    <w:rFonts w:ascii="Cambria Math" w:hAnsi="Cambria Math" w:cs="Arial"/>
                    <w:sz w:val="24"/>
                  </w:rPr>
                  <m:t>2024,2025</m:t>
                </m:r>
              </m:e>
            </m:d>
          </m:e>
        </m:d>
      </m:oMath>
      <w:r w:rsidRPr="00892C7B">
        <w:rPr>
          <w:rFonts w:ascii="Arial" w:hAnsi="Arial" w:cs="Arial" w:hint="eastAsia"/>
          <w:sz w:val="24"/>
        </w:rPr>
        <w:t xml:space="preserve">, the nominal GDHI for the previous year is used as the base. The exclusive real growth rate </w:t>
      </w:r>
      <m:oMath>
        <m:sSub>
          <m:sSubPr>
            <m:ctrlPr>
              <w:rPr>
                <w:rFonts w:ascii="Cambria Math" w:hAnsi="Cambria Math" w:cs="Arial"/>
                <w:i/>
                <w:sz w:val="24"/>
              </w:rPr>
            </m:ctrlPr>
          </m:sSubPr>
          <m:e>
            <m:r>
              <w:rPr>
                <w:rFonts w:ascii="Cambria Math" w:hAnsi="Cambria Math" w:cs="Arial"/>
                <w:sz w:val="24"/>
              </w:rPr>
              <m:t>CAR</m:t>
            </m:r>
          </m:e>
          <m:sub>
            <m:r>
              <w:rPr>
                <w:rFonts w:ascii="Cambria Math" w:hAnsi="Cambria Math" w:cs="Arial"/>
                <w:sz w:val="24"/>
              </w:rPr>
              <m:t>i</m:t>
            </m:r>
          </m:sub>
        </m:sSub>
      </m:oMath>
      <w:r w:rsidRPr="00892C7B">
        <w:rPr>
          <w:rFonts w:ascii="Arial" w:hAnsi="Arial" w:cs="Arial" w:hint="eastAsia"/>
          <w:sz w:val="24"/>
        </w:rPr>
        <w:t xml:space="preserve"> is then added, and combined with the CPIH inflation rate for the given year </w:t>
      </w:r>
      <m:oMath>
        <m:sSub>
          <m:sSubPr>
            <m:ctrlPr>
              <w:rPr>
                <w:rFonts w:ascii="Cambria Math" w:hAnsi="Cambria Math" w:cs="Arial"/>
                <w:i/>
                <w:sz w:val="24"/>
              </w:rPr>
            </m:ctrlPr>
          </m:sSubPr>
          <m:e>
            <m:r>
              <w:rPr>
                <w:rFonts w:ascii="Cambria Math" w:hAnsi="Cambria Math" w:cs="Arial" w:hint="eastAsia"/>
                <w:sz w:val="24"/>
              </w:rPr>
              <m:t>C</m:t>
            </m:r>
            <m:r>
              <w:rPr>
                <w:rFonts w:ascii="Cambria Math" w:hAnsi="Cambria Math" w:cs="Arial"/>
                <w:sz w:val="24"/>
              </w:rPr>
              <m:t>PIH_Rate</m:t>
            </m:r>
          </m:e>
          <m:sub>
            <m:r>
              <w:rPr>
                <w:rFonts w:ascii="Cambria Math" w:hAnsi="Cambria Math" w:cs="Arial"/>
                <w:sz w:val="24"/>
              </w:rPr>
              <m:t>t</m:t>
            </m:r>
          </m:sub>
        </m:sSub>
      </m:oMath>
      <w:r w:rsidRPr="00892C7B">
        <w:rPr>
          <w:rFonts w:ascii="Arial" w:hAnsi="Arial" w:cs="Arial" w:hint="eastAsia"/>
          <w:sz w:val="24"/>
        </w:rPr>
        <w:t>to forecast the values:</w:t>
      </w:r>
    </w:p>
    <w:bookmarkStart w:id="2" w:name="OLE_LINK3"/>
    <w:p w14:paraId="378AEF8D" w14:textId="4A36FAEF" w:rsidR="002950E5" w:rsidRPr="002950E5" w:rsidRDefault="002950E5" w:rsidP="00892C7B">
      <w:pPr>
        <w:adjustRightInd w:val="0"/>
        <w:snapToGrid w:val="0"/>
        <w:spacing w:after="0" w:line="400" w:lineRule="atLeast"/>
        <w:rPr>
          <w:rFonts w:ascii="Arial" w:hAnsi="Arial" w:cs="Arial"/>
          <w:sz w:val="24"/>
        </w:rPr>
      </w:pPr>
      <m:oMathPara>
        <m:oMath>
          <m:sSub>
            <m:sSubPr>
              <m:ctrlPr>
                <w:rPr>
                  <w:rFonts w:ascii="Cambria Math" w:hAnsi="Cambria Math" w:cs="Arial"/>
                  <w:i/>
                  <w:sz w:val="24"/>
                </w:rPr>
              </m:ctrlPr>
            </m:sSubPr>
            <m:e>
              <m:r>
                <w:rPr>
                  <w:rFonts w:ascii="Cambria Math" w:hAnsi="Cambria Math" w:cs="Arial"/>
                  <w:sz w:val="24"/>
                </w:rPr>
                <m:t>GDHI</m:t>
              </m:r>
            </m:e>
            <m:sub>
              <m:r>
                <w:rPr>
                  <w:rFonts w:ascii="Cambria Math" w:hAnsi="Cambria Math" w:cs="Arial"/>
                  <w:sz w:val="24"/>
                </w:rPr>
                <m:t>i</m:t>
              </m:r>
              <m:r>
                <w:rPr>
                  <w:rFonts w:ascii="Cambria Math" w:hAnsi="Cambria Math" w:cs="Arial"/>
                  <w:sz w:val="24"/>
                </w:rPr>
                <m:t>,t</m:t>
              </m:r>
            </m:sub>
          </m:sSub>
          <w:bookmarkEnd w:id="2"/>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GDHI</m:t>
              </m:r>
            </m:e>
            <m:sub>
              <m:r>
                <w:rPr>
                  <w:rFonts w:ascii="Cambria Math" w:hAnsi="Cambria Math" w:cs="Arial"/>
                  <w:sz w:val="24"/>
                </w:rPr>
                <m:t>i,t</m:t>
              </m:r>
              <m:r>
                <w:rPr>
                  <w:rFonts w:ascii="Cambria Math" w:hAnsi="Cambria Math" w:cs="Arial"/>
                  <w:sz w:val="24"/>
                </w:rPr>
                <m:t>-1</m:t>
              </m:r>
            </m:sub>
          </m:sSub>
          <m:r>
            <w:rPr>
              <w:rFonts w:ascii="Cambria Math" w:hAnsi="Cambria Math" w:cs="Arial"/>
              <w:sz w:val="24"/>
            </w:rPr>
            <m:t>×</m:t>
          </m:r>
          <m:d>
            <m:dPr>
              <m:ctrlPr>
                <w:rPr>
                  <w:rFonts w:ascii="Cambria Math" w:hAnsi="Cambria Math" w:cs="Arial"/>
                  <w:i/>
                  <w:sz w:val="24"/>
                </w:rPr>
              </m:ctrlPr>
            </m:dPr>
            <m:e>
              <m:r>
                <w:rPr>
                  <w:rFonts w:ascii="Cambria Math" w:hAnsi="Cambria Math" w:cs="Arial"/>
                  <w:sz w:val="24"/>
                </w:rPr>
                <m:t>1+</m:t>
              </m:r>
              <m:sSub>
                <m:sSubPr>
                  <m:ctrlPr>
                    <w:rPr>
                      <w:rFonts w:ascii="Cambria Math" w:hAnsi="Cambria Math" w:cs="Arial"/>
                      <w:i/>
                      <w:sz w:val="24"/>
                    </w:rPr>
                  </m:ctrlPr>
                </m:sSubPr>
                <m:e>
                  <m:r>
                    <w:rPr>
                      <w:rFonts w:ascii="Cambria Math" w:hAnsi="Cambria Math" w:cs="Arial"/>
                      <w:sz w:val="24"/>
                    </w:rPr>
                    <m:t>CAGR</m:t>
                  </m:r>
                </m:e>
                <m:sub>
                  <m:r>
                    <w:rPr>
                      <w:rFonts w:ascii="Cambria Math" w:hAnsi="Cambria Math" w:cs="Arial"/>
                      <w:sz w:val="24"/>
                    </w:rPr>
                    <m:t>i</m:t>
                  </m:r>
                </m:sub>
              </m:sSub>
            </m:e>
          </m:d>
          <m:r>
            <w:rPr>
              <w:rFonts w:ascii="Cambria Math" w:hAnsi="Cambria Math" w:cs="Arial"/>
              <w:sz w:val="24"/>
            </w:rPr>
            <m:t>×</m:t>
          </m:r>
          <m:d>
            <m:dPr>
              <m:ctrlPr>
                <w:rPr>
                  <w:rFonts w:ascii="Cambria Math" w:hAnsi="Cambria Math" w:cs="Arial"/>
                  <w:i/>
                  <w:sz w:val="24"/>
                </w:rPr>
              </m:ctrlPr>
            </m:dPr>
            <m:e>
              <m:r>
                <w:rPr>
                  <w:rFonts w:ascii="Cambria Math" w:hAnsi="Cambria Math" w:cs="Arial"/>
                  <w:sz w:val="24"/>
                </w:rPr>
                <m:t>1+</m:t>
              </m:r>
              <m:f>
                <m:fPr>
                  <m:ctrlPr>
                    <w:rPr>
                      <w:rFonts w:ascii="Cambria Math" w:hAnsi="Cambria Math" w:cs="Arial"/>
                      <w:i/>
                      <w:sz w:val="24"/>
                    </w:rPr>
                  </m:ctrlPr>
                </m:fPr>
                <m:num>
                  <m:sSub>
                    <m:sSubPr>
                      <m:ctrlPr>
                        <w:rPr>
                          <w:rFonts w:ascii="Cambria Math" w:hAnsi="Cambria Math" w:cs="Arial"/>
                          <w:i/>
                          <w:sz w:val="24"/>
                        </w:rPr>
                      </m:ctrlPr>
                    </m:sSubPr>
                    <m:e>
                      <m:r>
                        <w:rPr>
                          <w:rFonts w:ascii="Cambria Math" w:hAnsi="Cambria Math" w:cs="Arial" w:hint="eastAsia"/>
                          <w:sz w:val="24"/>
                        </w:rPr>
                        <m:t>C</m:t>
                      </m:r>
                      <m:r>
                        <w:rPr>
                          <w:rFonts w:ascii="Cambria Math" w:hAnsi="Cambria Math" w:cs="Arial"/>
                          <w:sz w:val="24"/>
                        </w:rPr>
                        <m:t>PIH_Rate</m:t>
                      </m:r>
                    </m:e>
                    <m:sub>
                      <m:r>
                        <w:rPr>
                          <w:rFonts w:ascii="Cambria Math" w:hAnsi="Cambria Math" w:cs="Arial"/>
                          <w:sz w:val="24"/>
                        </w:rPr>
                        <m:t>t</m:t>
                      </m:r>
                    </m:sub>
                  </m:sSub>
                </m:num>
                <m:den>
                  <m:r>
                    <w:rPr>
                      <w:rFonts w:ascii="Cambria Math" w:hAnsi="Cambria Math" w:cs="Arial"/>
                      <w:sz w:val="24"/>
                    </w:rPr>
                    <m:t>100</m:t>
                  </m:r>
                </m:den>
              </m:f>
            </m:e>
          </m:d>
        </m:oMath>
      </m:oMathPara>
    </w:p>
    <w:p w14:paraId="7E03376E" w14:textId="77777777" w:rsidR="002950E5" w:rsidRPr="002950E5" w:rsidRDefault="002950E5" w:rsidP="00892C7B">
      <w:pPr>
        <w:adjustRightInd w:val="0"/>
        <w:snapToGrid w:val="0"/>
        <w:spacing w:after="0" w:line="400" w:lineRule="atLeast"/>
        <w:rPr>
          <w:rFonts w:ascii="Arial" w:hAnsi="Arial" w:cs="Arial" w:hint="eastAsia"/>
          <w:sz w:val="24"/>
        </w:rPr>
      </w:pPr>
    </w:p>
    <w:p w14:paraId="33BC17D4" w14:textId="77777777" w:rsidR="002950E5" w:rsidRPr="002950E5" w:rsidRDefault="002950E5" w:rsidP="002950E5">
      <w:pPr>
        <w:adjustRightInd w:val="0"/>
        <w:snapToGrid w:val="0"/>
        <w:spacing w:after="0" w:line="400" w:lineRule="exact"/>
        <w:jc w:val="center"/>
        <w:rPr>
          <w:rFonts w:ascii="Arial" w:hAnsi="Arial" w:cs="Arial" w:hint="eastAsia"/>
          <w:sz w:val="28"/>
          <w:szCs w:val="28"/>
        </w:rPr>
      </w:pPr>
      <w:r w:rsidRPr="002950E5">
        <w:rPr>
          <w:rFonts w:ascii="Arial" w:hAnsi="Arial" w:cs="Arial" w:hint="eastAsia"/>
          <w:sz w:val="28"/>
          <w:szCs w:val="28"/>
        </w:rPr>
        <w:t>4.4 Outlier Cleaning and Core Research Variables Construction</w:t>
      </w:r>
    </w:p>
    <w:p w14:paraId="51EAE4F3" w14:textId="77777777" w:rsidR="002950E5" w:rsidRPr="002950E5" w:rsidRDefault="002950E5" w:rsidP="002950E5">
      <w:pPr>
        <w:adjustRightInd w:val="0"/>
        <w:snapToGrid w:val="0"/>
        <w:spacing w:after="0" w:line="400" w:lineRule="exact"/>
        <w:rPr>
          <w:rFonts w:ascii="Arial" w:hAnsi="Arial" w:cs="Arial" w:hint="eastAsia"/>
          <w:sz w:val="24"/>
        </w:rPr>
      </w:pPr>
    </w:p>
    <w:p w14:paraId="24710154" w14:textId="619B051A" w:rsidR="002950E5" w:rsidRPr="002950E5" w:rsidRDefault="002950E5" w:rsidP="002950E5">
      <w:pPr>
        <w:adjustRightInd w:val="0"/>
        <w:snapToGrid w:val="0"/>
        <w:spacing w:after="0" w:line="400" w:lineRule="exact"/>
        <w:rPr>
          <w:rFonts w:ascii="Arial" w:hAnsi="Arial" w:cs="Arial" w:hint="eastAsia"/>
          <w:sz w:val="24"/>
        </w:rPr>
      </w:pPr>
      <w:r w:rsidRPr="002950E5">
        <w:rPr>
          <w:rFonts w:ascii="Arial" w:hAnsi="Arial" w:cs="Arial" w:hint="eastAsia"/>
          <w:sz w:val="24"/>
        </w:rPr>
        <w:t>Masked values in the raw data (such as [x], [z], [low]) were uniformly replaced with missing values or zero. Additionally, the stock data for passenger vehicles were adjusted to their physical units. Three core derived indicators were constructed in this study:</w:t>
      </w:r>
    </w:p>
    <w:p w14:paraId="1E4CCC4F" w14:textId="77777777" w:rsidR="002950E5" w:rsidRPr="002950E5" w:rsidRDefault="002950E5" w:rsidP="002950E5">
      <w:pPr>
        <w:adjustRightInd w:val="0"/>
        <w:snapToGrid w:val="0"/>
        <w:spacing w:after="0" w:line="400" w:lineRule="exact"/>
        <w:rPr>
          <w:rFonts w:ascii="Arial" w:hAnsi="Arial" w:cs="Arial" w:hint="eastAsia"/>
          <w:sz w:val="24"/>
        </w:rPr>
      </w:pPr>
      <w:r w:rsidRPr="002950E5">
        <w:rPr>
          <w:rFonts w:ascii="Arial" w:hAnsi="Arial" w:cs="Arial" w:hint="eastAsia"/>
          <w:sz w:val="24"/>
        </w:rPr>
        <w:t>Electric Vehicle Penetration Rate (EV Penetration Rate): The percentage of ultra-low emission vehicles (ULEVs) in the total passenger vehicle stock across all energy types.</w:t>
      </w:r>
    </w:p>
    <w:p w14:paraId="0346AF8C" w14:textId="77777777" w:rsidR="002950E5" w:rsidRPr="002950E5" w:rsidRDefault="002950E5" w:rsidP="002950E5">
      <w:pPr>
        <w:adjustRightInd w:val="0"/>
        <w:snapToGrid w:val="0"/>
        <w:spacing w:after="0" w:line="400" w:lineRule="exact"/>
        <w:rPr>
          <w:rFonts w:ascii="Arial" w:hAnsi="Arial" w:cs="Arial" w:hint="eastAsia"/>
          <w:sz w:val="24"/>
        </w:rPr>
      </w:pPr>
      <w:r w:rsidRPr="002950E5">
        <w:rPr>
          <w:rFonts w:ascii="Arial" w:hAnsi="Arial" w:cs="Arial" w:hint="eastAsia"/>
          <w:sz w:val="24"/>
        </w:rPr>
        <w:t>Charging Infrastructure Density (Charging Ports per 100k Population): The number of charging ports per 100,000 people.</w:t>
      </w:r>
    </w:p>
    <w:p w14:paraId="49C92DDA" w14:textId="77777777" w:rsidR="002950E5" w:rsidRPr="002950E5" w:rsidRDefault="002950E5" w:rsidP="002950E5">
      <w:pPr>
        <w:adjustRightInd w:val="0"/>
        <w:snapToGrid w:val="0"/>
        <w:spacing w:after="0" w:line="400" w:lineRule="exact"/>
        <w:rPr>
          <w:rFonts w:ascii="Arial" w:hAnsi="Arial" w:cs="Arial" w:hint="eastAsia"/>
          <w:sz w:val="24"/>
        </w:rPr>
      </w:pPr>
      <w:r w:rsidRPr="002950E5">
        <w:rPr>
          <w:rFonts w:ascii="Arial" w:hAnsi="Arial" w:cs="Arial" w:hint="eastAsia"/>
          <w:sz w:val="24"/>
        </w:rPr>
        <w:t>EV-to-Port Ratio (EV-to-Port Ratio): The ratio of electric vehicle stock to the number of charging ports in a given region.</w:t>
      </w:r>
    </w:p>
    <w:p w14:paraId="45F0F38B" w14:textId="77777777" w:rsidR="002950E5" w:rsidRPr="002950E5" w:rsidRDefault="002950E5" w:rsidP="002950E5">
      <w:pPr>
        <w:adjustRightInd w:val="0"/>
        <w:snapToGrid w:val="0"/>
        <w:spacing w:after="0" w:line="400" w:lineRule="exact"/>
        <w:rPr>
          <w:rFonts w:ascii="Arial" w:hAnsi="Arial" w:cs="Arial" w:hint="eastAsia"/>
          <w:sz w:val="24"/>
        </w:rPr>
      </w:pPr>
    </w:p>
    <w:p w14:paraId="47BBE2D4" w14:textId="77777777" w:rsidR="002950E5" w:rsidRPr="002950E5" w:rsidRDefault="002950E5" w:rsidP="002950E5">
      <w:pPr>
        <w:adjustRightInd w:val="0"/>
        <w:snapToGrid w:val="0"/>
        <w:spacing w:after="0" w:line="400" w:lineRule="exact"/>
        <w:jc w:val="center"/>
        <w:rPr>
          <w:rFonts w:ascii="Arial" w:hAnsi="Arial" w:cs="Arial" w:hint="eastAsia"/>
          <w:sz w:val="28"/>
          <w:szCs w:val="28"/>
        </w:rPr>
      </w:pPr>
      <w:r w:rsidRPr="002950E5">
        <w:rPr>
          <w:rFonts w:ascii="Arial" w:hAnsi="Arial" w:cs="Arial" w:hint="eastAsia"/>
          <w:sz w:val="28"/>
          <w:szCs w:val="28"/>
        </w:rPr>
        <w:t>4.5 Lagged Variable Construction and Feature Normalization</w:t>
      </w:r>
    </w:p>
    <w:p w14:paraId="0DF9B5DC" w14:textId="77777777" w:rsidR="002950E5" w:rsidRPr="002950E5" w:rsidRDefault="002950E5" w:rsidP="002950E5">
      <w:pPr>
        <w:adjustRightInd w:val="0"/>
        <w:snapToGrid w:val="0"/>
        <w:spacing w:after="0" w:line="400" w:lineRule="exact"/>
        <w:rPr>
          <w:rFonts w:ascii="Arial" w:hAnsi="Arial" w:cs="Arial" w:hint="eastAsia"/>
          <w:sz w:val="24"/>
        </w:rPr>
      </w:pPr>
    </w:p>
    <w:p w14:paraId="3FC28067" w14:textId="77777777" w:rsidR="002950E5" w:rsidRPr="002950E5" w:rsidRDefault="002950E5" w:rsidP="002950E5">
      <w:pPr>
        <w:adjustRightInd w:val="0"/>
        <w:snapToGrid w:val="0"/>
        <w:spacing w:after="0" w:line="400" w:lineRule="exact"/>
        <w:rPr>
          <w:rFonts w:ascii="Arial" w:hAnsi="Arial" w:cs="Arial" w:hint="eastAsia"/>
          <w:sz w:val="24"/>
        </w:rPr>
      </w:pPr>
      <w:r w:rsidRPr="002950E5">
        <w:rPr>
          <w:rFonts w:ascii="Arial" w:hAnsi="Arial" w:cs="Arial" w:hint="eastAsia"/>
          <w:sz w:val="24"/>
        </w:rPr>
        <w:t xml:space="preserve">To mitigate the endogeneity (bidirectional causality) issue between infrastructure, wealth, and EV adoption, we treated the explanatory variables (such as charging port density, per capita GDHI, etc.) as lagged variables from the previous period (T-1). Additionally, before entering the bidirectional </w:t>
      </w:r>
      <w:r w:rsidRPr="002950E5">
        <w:rPr>
          <w:rFonts w:ascii="Arial" w:hAnsi="Arial" w:cs="Arial" w:hint="eastAsia"/>
          <w:sz w:val="24"/>
        </w:rPr>
        <w:lastRenderedPageBreak/>
        <w:t>fixed effects model, all continuous features and target variables underwent Z-score normalization to ensure that the regression coefficients reflect the relative contribution weights of different driving factors.</w:t>
      </w:r>
    </w:p>
    <w:p w14:paraId="23C4D433" w14:textId="77777777" w:rsidR="002950E5" w:rsidRPr="002950E5" w:rsidRDefault="002950E5" w:rsidP="002950E5">
      <w:pPr>
        <w:adjustRightInd w:val="0"/>
        <w:snapToGrid w:val="0"/>
        <w:spacing w:after="0" w:line="400" w:lineRule="exact"/>
        <w:rPr>
          <w:rFonts w:ascii="Arial" w:hAnsi="Arial" w:cs="Arial" w:hint="eastAsia"/>
          <w:sz w:val="24"/>
        </w:rPr>
      </w:pPr>
    </w:p>
    <w:p w14:paraId="510D67C4" w14:textId="77777777" w:rsidR="002950E5" w:rsidRPr="002950E5" w:rsidRDefault="002950E5" w:rsidP="002950E5">
      <w:pPr>
        <w:adjustRightInd w:val="0"/>
        <w:snapToGrid w:val="0"/>
        <w:spacing w:after="0" w:line="400" w:lineRule="exact"/>
        <w:jc w:val="center"/>
        <w:rPr>
          <w:rFonts w:ascii="Arial" w:hAnsi="Arial" w:cs="Arial" w:hint="eastAsia"/>
          <w:sz w:val="28"/>
          <w:szCs w:val="28"/>
        </w:rPr>
      </w:pPr>
      <w:r w:rsidRPr="002950E5">
        <w:rPr>
          <w:rFonts w:ascii="Arial" w:hAnsi="Arial" w:cs="Arial" w:hint="eastAsia"/>
          <w:sz w:val="28"/>
          <w:szCs w:val="28"/>
        </w:rPr>
        <w:t>4.6 Geospatial Boundary Fusion for Spatial Visualization</w:t>
      </w:r>
    </w:p>
    <w:p w14:paraId="0A52AFBC" w14:textId="77777777" w:rsidR="002950E5" w:rsidRPr="002950E5" w:rsidRDefault="002950E5" w:rsidP="002950E5">
      <w:pPr>
        <w:adjustRightInd w:val="0"/>
        <w:snapToGrid w:val="0"/>
        <w:spacing w:after="0" w:line="400" w:lineRule="exact"/>
        <w:rPr>
          <w:rFonts w:ascii="Arial" w:hAnsi="Arial" w:cs="Arial" w:hint="eastAsia"/>
          <w:sz w:val="24"/>
        </w:rPr>
      </w:pPr>
    </w:p>
    <w:p w14:paraId="7B82F99B" w14:textId="212C777F" w:rsidR="002950E5" w:rsidRPr="002950E5" w:rsidRDefault="002950E5" w:rsidP="002950E5">
      <w:pPr>
        <w:adjustRightInd w:val="0"/>
        <w:snapToGrid w:val="0"/>
        <w:spacing w:after="0" w:line="400" w:lineRule="exact"/>
        <w:rPr>
          <w:rFonts w:ascii="Arial" w:hAnsi="Arial" w:cs="Arial" w:hint="eastAsia"/>
          <w:sz w:val="24"/>
        </w:rPr>
      </w:pPr>
      <w:r w:rsidRPr="002950E5">
        <w:rPr>
          <w:rFonts w:ascii="Arial" w:hAnsi="Arial" w:cs="Arial" w:hint="eastAsia"/>
          <w:sz w:val="24"/>
        </w:rPr>
        <w:t xml:space="preserve">To present the evolution in the spatiotemporal dimension, this study constructed a high-precision </w:t>
      </w:r>
      <w:proofErr w:type="spellStart"/>
      <w:r w:rsidRPr="002950E5">
        <w:rPr>
          <w:rFonts w:ascii="Arial" w:hAnsi="Arial" w:cs="Arial" w:hint="eastAsia"/>
          <w:sz w:val="24"/>
        </w:rPr>
        <w:t>GeoJSON</w:t>
      </w:r>
      <w:proofErr w:type="spellEnd"/>
      <w:r w:rsidRPr="002950E5">
        <w:rPr>
          <w:rFonts w:ascii="Arial" w:hAnsi="Arial" w:cs="Arial" w:hint="eastAsia"/>
          <w:sz w:val="24"/>
        </w:rPr>
        <w:t xml:space="preserve"> dataset for visualization. Given that Northern Ireland lacked macro-boundary files, this research utilized the 2024 UK-wide LAD-level boundary file. Through a geospatial aggregation algorithm, the micro-polygons of Northern Ireland were seamlessly merged into the macro-region polygons. Furthermore, historical naming discrepancies (such as unifying "Eastern" as "East of England") were corrected, and the dataset was ultimately compiled into a seamless, UK-wide macro-regional base map for spatial visualization.</w:t>
      </w:r>
    </w:p>
    <w:sectPr w:rsidR="002950E5" w:rsidRPr="002950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C91"/>
    <w:rsid w:val="0002274B"/>
    <w:rsid w:val="000E041E"/>
    <w:rsid w:val="00112D0E"/>
    <w:rsid w:val="00123C91"/>
    <w:rsid w:val="00194A09"/>
    <w:rsid w:val="002950E5"/>
    <w:rsid w:val="002C6988"/>
    <w:rsid w:val="00823CB8"/>
    <w:rsid w:val="00892C7B"/>
    <w:rsid w:val="00896319"/>
    <w:rsid w:val="00AC73B1"/>
    <w:rsid w:val="00AE0E23"/>
    <w:rsid w:val="00BD3BA3"/>
    <w:rsid w:val="00C163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DC21B"/>
  <w15:chartTrackingRefBased/>
  <w15:docId w15:val="{3B4090AE-3C1F-4AE0-B84B-0538E841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3C9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3C9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3C9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3C9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3C9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23C9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3C9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3C9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23C9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3C9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23C9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23C9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23C91"/>
    <w:rPr>
      <w:rFonts w:cstheme="majorBidi"/>
      <w:color w:val="0F4761" w:themeColor="accent1" w:themeShade="BF"/>
      <w:sz w:val="28"/>
      <w:szCs w:val="28"/>
    </w:rPr>
  </w:style>
  <w:style w:type="character" w:customStyle="1" w:styleId="50">
    <w:name w:val="标题 5 字符"/>
    <w:basedOn w:val="a0"/>
    <w:link w:val="5"/>
    <w:uiPriority w:val="9"/>
    <w:semiHidden/>
    <w:rsid w:val="00123C91"/>
    <w:rPr>
      <w:rFonts w:cstheme="majorBidi"/>
      <w:color w:val="0F4761" w:themeColor="accent1" w:themeShade="BF"/>
      <w:sz w:val="24"/>
    </w:rPr>
  </w:style>
  <w:style w:type="character" w:customStyle="1" w:styleId="60">
    <w:name w:val="标题 6 字符"/>
    <w:basedOn w:val="a0"/>
    <w:link w:val="6"/>
    <w:uiPriority w:val="9"/>
    <w:semiHidden/>
    <w:rsid w:val="00123C91"/>
    <w:rPr>
      <w:rFonts w:cstheme="majorBidi"/>
      <w:b/>
      <w:bCs/>
      <w:color w:val="0F4761" w:themeColor="accent1" w:themeShade="BF"/>
    </w:rPr>
  </w:style>
  <w:style w:type="character" w:customStyle="1" w:styleId="70">
    <w:name w:val="标题 7 字符"/>
    <w:basedOn w:val="a0"/>
    <w:link w:val="7"/>
    <w:uiPriority w:val="9"/>
    <w:semiHidden/>
    <w:rsid w:val="00123C91"/>
    <w:rPr>
      <w:rFonts w:cstheme="majorBidi"/>
      <w:b/>
      <w:bCs/>
      <w:color w:val="595959" w:themeColor="text1" w:themeTint="A6"/>
    </w:rPr>
  </w:style>
  <w:style w:type="character" w:customStyle="1" w:styleId="80">
    <w:name w:val="标题 8 字符"/>
    <w:basedOn w:val="a0"/>
    <w:link w:val="8"/>
    <w:uiPriority w:val="9"/>
    <w:semiHidden/>
    <w:rsid w:val="00123C91"/>
    <w:rPr>
      <w:rFonts w:cstheme="majorBidi"/>
      <w:color w:val="595959" w:themeColor="text1" w:themeTint="A6"/>
    </w:rPr>
  </w:style>
  <w:style w:type="character" w:customStyle="1" w:styleId="90">
    <w:name w:val="标题 9 字符"/>
    <w:basedOn w:val="a0"/>
    <w:link w:val="9"/>
    <w:uiPriority w:val="9"/>
    <w:semiHidden/>
    <w:rsid w:val="00123C91"/>
    <w:rPr>
      <w:rFonts w:eastAsiaTheme="majorEastAsia" w:cstheme="majorBidi"/>
      <w:color w:val="595959" w:themeColor="text1" w:themeTint="A6"/>
    </w:rPr>
  </w:style>
  <w:style w:type="paragraph" w:styleId="a3">
    <w:name w:val="Title"/>
    <w:basedOn w:val="a"/>
    <w:next w:val="a"/>
    <w:link w:val="a4"/>
    <w:uiPriority w:val="10"/>
    <w:qFormat/>
    <w:rsid w:val="00123C9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3C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3C9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3C9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3C91"/>
    <w:pPr>
      <w:spacing w:before="160"/>
      <w:jc w:val="center"/>
    </w:pPr>
    <w:rPr>
      <w:i/>
      <w:iCs/>
      <w:color w:val="404040" w:themeColor="text1" w:themeTint="BF"/>
    </w:rPr>
  </w:style>
  <w:style w:type="character" w:customStyle="1" w:styleId="a8">
    <w:name w:val="引用 字符"/>
    <w:basedOn w:val="a0"/>
    <w:link w:val="a7"/>
    <w:uiPriority w:val="29"/>
    <w:rsid w:val="00123C91"/>
    <w:rPr>
      <w:i/>
      <w:iCs/>
      <w:color w:val="404040" w:themeColor="text1" w:themeTint="BF"/>
    </w:rPr>
  </w:style>
  <w:style w:type="paragraph" w:styleId="a9">
    <w:name w:val="List Paragraph"/>
    <w:basedOn w:val="a"/>
    <w:uiPriority w:val="34"/>
    <w:qFormat/>
    <w:rsid w:val="00123C91"/>
    <w:pPr>
      <w:ind w:left="720"/>
      <w:contextualSpacing/>
    </w:pPr>
  </w:style>
  <w:style w:type="character" w:styleId="aa">
    <w:name w:val="Intense Emphasis"/>
    <w:basedOn w:val="a0"/>
    <w:uiPriority w:val="21"/>
    <w:qFormat/>
    <w:rsid w:val="00123C91"/>
    <w:rPr>
      <w:i/>
      <w:iCs/>
      <w:color w:val="0F4761" w:themeColor="accent1" w:themeShade="BF"/>
    </w:rPr>
  </w:style>
  <w:style w:type="paragraph" w:styleId="ab">
    <w:name w:val="Intense Quote"/>
    <w:basedOn w:val="a"/>
    <w:next w:val="a"/>
    <w:link w:val="ac"/>
    <w:uiPriority w:val="30"/>
    <w:qFormat/>
    <w:rsid w:val="00123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3C91"/>
    <w:rPr>
      <w:i/>
      <w:iCs/>
      <w:color w:val="0F4761" w:themeColor="accent1" w:themeShade="BF"/>
    </w:rPr>
  </w:style>
  <w:style w:type="character" w:styleId="ad">
    <w:name w:val="Intense Reference"/>
    <w:basedOn w:val="a0"/>
    <w:uiPriority w:val="32"/>
    <w:qFormat/>
    <w:rsid w:val="00123C91"/>
    <w:rPr>
      <w:b/>
      <w:bCs/>
      <w:smallCaps/>
      <w:color w:val="0F4761" w:themeColor="accent1" w:themeShade="BF"/>
      <w:spacing w:val="5"/>
    </w:rPr>
  </w:style>
  <w:style w:type="table" w:styleId="ae">
    <w:name w:val="Table Grid"/>
    <w:basedOn w:val="a1"/>
    <w:uiPriority w:val="39"/>
    <w:rsid w:val="00823C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823CB8"/>
    <w:rPr>
      <w:b/>
      <w:bCs/>
    </w:rPr>
  </w:style>
  <w:style w:type="character" w:styleId="af0">
    <w:name w:val="Placeholder Text"/>
    <w:basedOn w:val="a0"/>
    <w:uiPriority w:val="99"/>
    <w:semiHidden/>
    <w:rsid w:val="00AE0E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26C7E-834D-4C51-BBF1-A24AEB738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1160</Words>
  <Characters>6612</Characters>
  <Application>Microsoft Office Word</Application>
  <DocSecurity>0</DocSecurity>
  <Lines>55</Lines>
  <Paragraphs>15</Paragraphs>
  <ScaleCrop>false</ScaleCrop>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晨曦 胡</dc:creator>
  <cp:keywords/>
  <dc:description/>
  <cp:lastModifiedBy>晨曦 胡</cp:lastModifiedBy>
  <cp:revision>5</cp:revision>
  <dcterms:created xsi:type="dcterms:W3CDTF">2026-03-24T23:12:00Z</dcterms:created>
  <dcterms:modified xsi:type="dcterms:W3CDTF">2026-03-24T23:18:00Z</dcterms:modified>
</cp:coreProperties>
</file>