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0CDE6" w14:textId="77777777" w:rsidR="00BE116C" w:rsidRPr="00267179" w:rsidRDefault="00000000">
      <w:pPr>
        <w:spacing w:before="480" w:after="120"/>
        <w:jc w:val="center"/>
        <w:rPr>
          <w:rFonts w:ascii="Times New Roman" w:hAnsi="Times New Roman" w:cs="Times New Roman"/>
          <w:sz w:val="40"/>
          <w:szCs w:val="40"/>
        </w:rPr>
      </w:pPr>
      <w:r w:rsidRPr="00267179">
        <w:rPr>
          <w:rFonts w:ascii="Times New Roman" w:hAnsi="Times New Roman" w:cs="Times New Roman"/>
          <w:b/>
          <w:bCs/>
          <w:color w:val="006D77"/>
          <w:sz w:val="40"/>
          <w:szCs w:val="40"/>
        </w:rPr>
        <w:t>Presentation Script</w:t>
      </w:r>
    </w:p>
    <w:p w14:paraId="7E07DF72" w14:textId="77777777" w:rsidR="00BE116C" w:rsidRPr="00267179" w:rsidRDefault="00000000">
      <w:pPr>
        <w:spacing w:after="60"/>
        <w:jc w:val="center"/>
        <w:rPr>
          <w:rFonts w:ascii="Times New Roman" w:hAnsi="Times New Roman" w:cs="Times New Roman"/>
          <w:sz w:val="24"/>
          <w:szCs w:val="24"/>
        </w:rPr>
      </w:pPr>
      <w:r w:rsidRPr="00267179">
        <w:rPr>
          <w:rFonts w:ascii="Times New Roman" w:hAnsi="Times New Roman" w:cs="Times New Roman"/>
          <w:i/>
          <w:iCs/>
          <w:color w:val="555555"/>
          <w:sz w:val="24"/>
          <w:szCs w:val="24"/>
        </w:rPr>
        <w:t>Spatiotemporal Evolution and Driving Mechanisms of UK EV Adoption</w:t>
      </w:r>
    </w:p>
    <w:p w14:paraId="0F141207" w14:textId="3795BFEB" w:rsidR="00BE116C" w:rsidRPr="00267179" w:rsidRDefault="00000000">
      <w:pPr>
        <w:spacing w:before="60" w:after="480"/>
        <w:jc w:val="center"/>
        <w:rPr>
          <w:rFonts w:ascii="Times New Roman" w:hAnsi="Times New Roman" w:cs="Times New Roman"/>
          <w:sz w:val="24"/>
          <w:szCs w:val="24"/>
        </w:rPr>
      </w:pPr>
      <w:r w:rsidRPr="00267179">
        <w:rPr>
          <w:rFonts w:ascii="Times New Roman" w:hAnsi="Times New Roman" w:cs="Times New Roman"/>
          <w:color w:val="AAAAAA"/>
          <w:sz w:val="24"/>
          <w:szCs w:val="24"/>
        </w:rPr>
        <w:t xml:space="preserve">Group </w:t>
      </w:r>
      <w:r w:rsidR="008C3269" w:rsidRPr="00267179">
        <w:rPr>
          <w:rFonts w:ascii="Times New Roman" w:hAnsi="Times New Roman" w:cs="Times New Roman"/>
          <w:color w:val="AAAAAA"/>
          <w:sz w:val="24"/>
          <w:szCs w:val="24"/>
        </w:rPr>
        <w:t>1 · Chenxi</w:t>
      </w:r>
      <w:r w:rsidRPr="00267179">
        <w:rPr>
          <w:rFonts w:ascii="Times New Roman" w:hAnsi="Times New Roman" w:cs="Times New Roman"/>
          <w:color w:val="AAAAAA"/>
          <w:sz w:val="24"/>
          <w:szCs w:val="24"/>
        </w:rPr>
        <w:t xml:space="preserve"> </w:t>
      </w:r>
      <w:r w:rsidR="008C3269" w:rsidRPr="00267179">
        <w:rPr>
          <w:rFonts w:ascii="Times New Roman" w:hAnsi="Times New Roman" w:cs="Times New Roman"/>
          <w:color w:val="AAAAAA"/>
          <w:sz w:val="24"/>
          <w:szCs w:val="24"/>
        </w:rPr>
        <w:t>Hu · Jipeng</w:t>
      </w:r>
      <w:r w:rsidRPr="00267179">
        <w:rPr>
          <w:rFonts w:ascii="Times New Roman" w:hAnsi="Times New Roman" w:cs="Times New Roman"/>
          <w:color w:val="AAAAAA"/>
          <w:sz w:val="24"/>
          <w:szCs w:val="24"/>
        </w:rPr>
        <w:t xml:space="preserve"> </w:t>
      </w:r>
      <w:r w:rsidR="008C3269" w:rsidRPr="00267179">
        <w:rPr>
          <w:rFonts w:ascii="Times New Roman" w:hAnsi="Times New Roman" w:cs="Times New Roman"/>
          <w:color w:val="AAAAAA"/>
          <w:sz w:val="24"/>
          <w:szCs w:val="24"/>
        </w:rPr>
        <w:t>Song · Yiding</w:t>
      </w:r>
      <w:r w:rsidRPr="00267179">
        <w:rPr>
          <w:rFonts w:ascii="Times New Roman" w:hAnsi="Times New Roman" w:cs="Times New Roman"/>
          <w:color w:val="AAAAAA"/>
          <w:sz w:val="24"/>
          <w:szCs w:val="24"/>
        </w:rPr>
        <w:t xml:space="preserve"> </w:t>
      </w:r>
      <w:r w:rsidR="008C3269" w:rsidRPr="00267179">
        <w:rPr>
          <w:rFonts w:ascii="Times New Roman" w:hAnsi="Times New Roman" w:cs="Times New Roman"/>
          <w:color w:val="AAAAAA"/>
          <w:sz w:val="24"/>
          <w:szCs w:val="24"/>
        </w:rPr>
        <w:t>Wang · Yuan</w:t>
      </w:r>
      <w:r w:rsidRPr="00267179">
        <w:rPr>
          <w:rFonts w:ascii="Times New Roman" w:hAnsi="Times New Roman" w:cs="Times New Roman"/>
          <w:color w:val="AAAAAA"/>
          <w:sz w:val="24"/>
          <w:szCs w:val="24"/>
        </w:rPr>
        <w:t xml:space="preserve"> </w:t>
      </w:r>
      <w:r w:rsidR="008C3269" w:rsidRPr="00267179">
        <w:rPr>
          <w:rFonts w:ascii="Times New Roman" w:hAnsi="Times New Roman" w:cs="Times New Roman"/>
          <w:color w:val="AAAAAA"/>
          <w:sz w:val="24"/>
          <w:szCs w:val="24"/>
        </w:rPr>
        <w:t>Lu · 11</w:t>
      </w:r>
      <w:r w:rsidRPr="00267179">
        <w:rPr>
          <w:rFonts w:ascii="Times New Roman" w:hAnsi="Times New Roman" w:cs="Times New Roman"/>
          <w:color w:val="AAAAAA"/>
          <w:sz w:val="24"/>
          <w:szCs w:val="24"/>
        </w:rPr>
        <w:t xml:space="preserve"> March 2026</w:t>
      </w:r>
    </w:p>
    <w:p w14:paraId="10044287" w14:textId="09C1A2D2" w:rsidR="00BE116C" w:rsidRPr="00267179" w:rsidRDefault="008C3269">
      <w:pPr>
        <w:spacing w:after="120"/>
        <w:rPr>
          <w:rFonts w:ascii="Times New Roman" w:hAnsi="Times New Roman" w:cs="Times New Roman"/>
          <w:sz w:val="32"/>
          <w:szCs w:val="32"/>
        </w:rPr>
      </w:pPr>
      <w:r w:rsidRPr="00267179">
        <w:rPr>
          <w:rFonts w:ascii="Times New Roman" w:hAnsi="Times New Roman" w:cs="Times New Roman"/>
          <w:b/>
          <w:bCs/>
          <w:color w:val="006D77"/>
          <w:sz w:val="32"/>
          <w:szCs w:val="32"/>
        </w:rPr>
        <w:t>Briefly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E116C" w:rsidRPr="00267179" w14:paraId="7466416B" w14:textId="77777777">
        <w:tc>
          <w:tcPr>
            <w:tcW w:w="2400" w:type="dxa"/>
            <w:tcBorders>
              <w:top w:val="single" w:sz="1" w:space="0" w:color="DDDDDD"/>
              <w:left w:val="single" w:sz="1" w:space="0" w:color="DDDDDD"/>
              <w:bottom w:val="single" w:sz="1" w:space="0" w:color="DDDDDD"/>
              <w:right w:val="single" w:sz="1" w:space="0" w:color="DDDDDD"/>
            </w:tcBorders>
            <w:shd w:val="clear" w:color="auto" w:fill="E8F4F5"/>
            <w:tcMar>
              <w:top w:w="80" w:type="dxa"/>
              <w:left w:w="160" w:type="dxa"/>
              <w:bottom w:w="80" w:type="dxa"/>
              <w:right w:w="80" w:type="dxa"/>
            </w:tcMar>
          </w:tcPr>
          <w:p w14:paraId="0E79006D" w14:textId="77777777" w:rsidR="00BE116C" w:rsidRPr="00267179" w:rsidRDefault="00000000">
            <w:pPr>
              <w:rPr>
                <w:rFonts w:ascii="Times New Roman" w:hAnsi="Times New Roman" w:cs="Times New Roman"/>
                <w:sz w:val="24"/>
                <w:szCs w:val="24"/>
              </w:rPr>
            </w:pPr>
            <w:r w:rsidRPr="00267179">
              <w:rPr>
                <w:rFonts w:ascii="Times New Roman" w:hAnsi="Times New Roman" w:cs="Times New Roman"/>
                <w:b/>
                <w:bCs/>
                <w:sz w:val="24"/>
                <w:szCs w:val="24"/>
              </w:rPr>
              <w:t>Total time</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5311FEBC" w14:textId="77777777" w:rsidR="00BE116C" w:rsidRPr="00267179" w:rsidRDefault="00000000">
            <w:pPr>
              <w:rPr>
                <w:rFonts w:ascii="Times New Roman" w:hAnsi="Times New Roman" w:cs="Times New Roman"/>
                <w:sz w:val="24"/>
                <w:szCs w:val="24"/>
              </w:rPr>
            </w:pPr>
            <w:r w:rsidRPr="00267179">
              <w:rPr>
                <w:rFonts w:ascii="Times New Roman" w:hAnsi="Times New Roman" w:cs="Times New Roman"/>
                <w:sz w:val="24"/>
                <w:szCs w:val="24"/>
              </w:rPr>
              <w:t>~9 minutes (hard stop at 10)</w:t>
            </w:r>
          </w:p>
        </w:tc>
      </w:tr>
      <w:tr w:rsidR="00BE116C" w:rsidRPr="00267179" w14:paraId="14E32329" w14:textId="77777777">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60" w:type="dxa"/>
              <w:bottom w:w="80" w:type="dxa"/>
              <w:right w:w="80" w:type="dxa"/>
            </w:tcMar>
          </w:tcPr>
          <w:p w14:paraId="11E89EE2" w14:textId="77777777" w:rsidR="00BE116C" w:rsidRPr="00267179" w:rsidRDefault="00000000">
            <w:pPr>
              <w:rPr>
                <w:rFonts w:ascii="Times New Roman" w:hAnsi="Times New Roman" w:cs="Times New Roman"/>
                <w:sz w:val="24"/>
                <w:szCs w:val="24"/>
              </w:rPr>
            </w:pPr>
            <w:r w:rsidRPr="00267179">
              <w:rPr>
                <w:rFonts w:ascii="Times New Roman" w:hAnsi="Times New Roman" w:cs="Times New Roman"/>
                <w:b/>
                <w:bCs/>
                <w:sz w:val="24"/>
                <w:szCs w:val="24"/>
              </w:rPr>
              <w:t>Format</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24240511" w14:textId="77777777" w:rsidR="00BE116C" w:rsidRPr="00267179" w:rsidRDefault="00000000">
            <w:pPr>
              <w:rPr>
                <w:rFonts w:ascii="Times New Roman" w:hAnsi="Times New Roman" w:cs="Times New Roman"/>
                <w:sz w:val="24"/>
                <w:szCs w:val="24"/>
              </w:rPr>
            </w:pPr>
            <w:r w:rsidRPr="00267179">
              <w:rPr>
                <w:rFonts w:ascii="Times New Roman" w:hAnsi="Times New Roman" w:cs="Times New Roman"/>
                <w:sz w:val="24"/>
                <w:szCs w:val="24"/>
              </w:rPr>
              <w:t>10 slides · 4 speakers · Panel Q&amp;A follows</w:t>
            </w:r>
          </w:p>
        </w:tc>
      </w:tr>
      <w:tr w:rsidR="00BE116C" w:rsidRPr="00267179" w14:paraId="5FE568F2" w14:textId="77777777">
        <w:tc>
          <w:tcPr>
            <w:tcW w:w="2400" w:type="dxa"/>
            <w:tcBorders>
              <w:top w:val="single" w:sz="1" w:space="0" w:color="DDDDDD"/>
              <w:left w:val="single" w:sz="1" w:space="0" w:color="DDDDDD"/>
              <w:bottom w:val="single" w:sz="1" w:space="0" w:color="DDDDDD"/>
              <w:right w:val="single" w:sz="1" w:space="0" w:color="DDDDDD"/>
            </w:tcBorders>
            <w:shd w:val="clear" w:color="auto" w:fill="E8F4F5"/>
            <w:tcMar>
              <w:top w:w="80" w:type="dxa"/>
              <w:left w:w="160" w:type="dxa"/>
              <w:bottom w:w="80" w:type="dxa"/>
              <w:right w:w="80" w:type="dxa"/>
            </w:tcMar>
          </w:tcPr>
          <w:p w14:paraId="68C8A865" w14:textId="77777777" w:rsidR="00BE116C" w:rsidRPr="00267179" w:rsidRDefault="00000000">
            <w:pPr>
              <w:rPr>
                <w:rFonts w:ascii="Times New Roman" w:hAnsi="Times New Roman" w:cs="Times New Roman"/>
                <w:sz w:val="24"/>
                <w:szCs w:val="24"/>
              </w:rPr>
            </w:pPr>
            <w:r w:rsidRPr="00267179">
              <w:rPr>
                <w:rFonts w:ascii="Times New Roman" w:hAnsi="Times New Roman" w:cs="Times New Roman"/>
                <w:b/>
                <w:bCs/>
                <w:sz w:val="24"/>
                <w:szCs w:val="24"/>
              </w:rPr>
              <w:t>Speakers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74F115FC" w14:textId="77777777" w:rsidR="00BE116C" w:rsidRPr="00267179" w:rsidRDefault="00000000">
            <w:pPr>
              <w:rPr>
                <w:rFonts w:ascii="Times New Roman" w:hAnsi="Times New Roman" w:cs="Times New Roman"/>
                <w:sz w:val="24"/>
                <w:szCs w:val="24"/>
              </w:rPr>
            </w:pPr>
            <w:r w:rsidRPr="00267179">
              <w:rPr>
                <w:rFonts w:ascii="Times New Roman" w:hAnsi="Times New Roman" w:cs="Times New Roman"/>
                <w:sz w:val="24"/>
                <w:szCs w:val="24"/>
              </w:rPr>
              <w:t>Yiding (intro + engine), Chenxi (background + recs), Yuan (geography + wealth), Jipeng (drivers + tipping points)</w:t>
            </w:r>
          </w:p>
        </w:tc>
      </w:tr>
      <w:tr w:rsidR="00BE116C" w:rsidRPr="00267179" w14:paraId="1D9628BF" w14:textId="77777777">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60" w:type="dxa"/>
              <w:bottom w:w="80" w:type="dxa"/>
              <w:right w:w="80" w:type="dxa"/>
            </w:tcMar>
          </w:tcPr>
          <w:p w14:paraId="7EF7E440" w14:textId="77777777" w:rsidR="00BE116C" w:rsidRPr="00267179" w:rsidRDefault="00000000">
            <w:pPr>
              <w:rPr>
                <w:rFonts w:ascii="Times New Roman" w:hAnsi="Times New Roman" w:cs="Times New Roman"/>
                <w:sz w:val="24"/>
                <w:szCs w:val="24"/>
              </w:rPr>
            </w:pPr>
            <w:r w:rsidRPr="00267179">
              <w:rPr>
                <w:rFonts w:ascii="Times New Roman" w:hAnsi="Times New Roman" w:cs="Times New Roman"/>
                <w:b/>
                <w:bCs/>
                <w:sz w:val="24"/>
                <w:szCs w:val="24"/>
              </w:rPr>
              <w:t>Key message</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80" w:type="dxa"/>
            </w:tcMar>
          </w:tcPr>
          <w:p w14:paraId="06FC7160" w14:textId="77777777" w:rsidR="00BE116C" w:rsidRPr="00267179" w:rsidRDefault="00000000">
            <w:pPr>
              <w:rPr>
                <w:rFonts w:ascii="Times New Roman" w:hAnsi="Times New Roman" w:cs="Times New Roman"/>
                <w:sz w:val="24"/>
                <w:szCs w:val="24"/>
              </w:rPr>
            </w:pPr>
            <w:r w:rsidRPr="00267179">
              <w:rPr>
                <w:rFonts w:ascii="Times New Roman" w:hAnsi="Times New Roman" w:cs="Times New Roman"/>
                <w:sz w:val="24"/>
                <w:szCs w:val="24"/>
              </w:rPr>
              <w:t>UK EV adoption is geographically fractured. A data-backed forecasting engine shows that without targeted policy, lagging regions will plateau well below 2035 targets.</w:t>
            </w:r>
          </w:p>
        </w:tc>
      </w:tr>
    </w:tbl>
    <w:p w14:paraId="24A5FC0F" w14:textId="77777777" w:rsidR="00BE116C" w:rsidRPr="00267179" w:rsidRDefault="00BE116C">
      <w:pPr>
        <w:pBdr>
          <w:bottom w:val="single" w:sz="4" w:space="0" w:color="CCCCCC"/>
        </w:pBdr>
        <w:spacing w:before="240" w:after="240"/>
        <w:rPr>
          <w:rFonts w:ascii="Times New Roman" w:hAnsi="Times New Roman" w:cs="Times New Roman"/>
          <w:sz w:val="24"/>
          <w:szCs w:val="24"/>
        </w:rPr>
      </w:pPr>
    </w:p>
    <w:p w14:paraId="0EC388AB" w14:textId="77777777" w:rsidR="00BE116C" w:rsidRPr="00267179" w:rsidRDefault="00000000">
      <w:pPr>
        <w:spacing w:before="480" w:after="120"/>
        <w:rPr>
          <w:rFonts w:ascii="Times New Roman" w:hAnsi="Times New Roman" w:cs="Times New Roman"/>
          <w:sz w:val="30"/>
          <w:szCs w:val="30"/>
        </w:rPr>
      </w:pPr>
      <w:r w:rsidRPr="00267179">
        <w:rPr>
          <w:rFonts w:ascii="Times New Roman" w:hAnsi="Times New Roman" w:cs="Times New Roman"/>
          <w:b/>
          <w:bCs/>
          <w:color w:val="006D77"/>
          <w:sz w:val="30"/>
          <w:szCs w:val="30"/>
        </w:rPr>
        <w:t>Slide 1 — Title Page</w:t>
      </w:r>
    </w:p>
    <w:p w14:paraId="7E5ECAF4" w14:textId="01A01F92" w:rsidR="00BE116C" w:rsidRPr="00267179" w:rsidRDefault="008C3269">
      <w:pPr>
        <w:pBdr>
          <w:left w:val="single" w:sz="18" w:space="0" w:color="006D77"/>
        </w:pBdr>
        <w:shd w:val="clear" w:color="auto" w:fill="E8F4F5"/>
        <w:spacing w:before="360" w:after="60"/>
        <w:ind w:left="200"/>
        <w:rPr>
          <w:rFonts w:ascii="Times New Roman" w:hAnsi="Times New Roman" w:cs="Times New Roman"/>
          <w:sz w:val="30"/>
          <w:szCs w:val="30"/>
        </w:rPr>
      </w:pPr>
      <w:r w:rsidRPr="00267179">
        <w:rPr>
          <w:rFonts w:ascii="Segoe UI Emoji" w:hAnsi="Segoe UI Emoji" w:cs="Segoe UI Emoji"/>
          <w:b/>
          <w:bCs/>
          <w:color w:val="006D77"/>
          <w:sz w:val="30"/>
          <w:szCs w:val="30"/>
        </w:rPr>
        <w:t>🎤</w:t>
      </w:r>
      <w:r w:rsidRPr="00267179">
        <w:rPr>
          <w:rFonts w:ascii="Times New Roman" w:hAnsi="Times New Roman" w:cs="Times New Roman"/>
          <w:b/>
          <w:bCs/>
          <w:color w:val="006D77"/>
          <w:sz w:val="30"/>
          <w:szCs w:val="30"/>
        </w:rPr>
        <w:t xml:space="preserve"> Yiding Wang</w:t>
      </w:r>
      <w:r w:rsidRPr="00267179">
        <w:rPr>
          <w:rFonts w:ascii="Times New Roman" w:hAnsi="Times New Roman" w:cs="Times New Roman"/>
          <w:color w:val="555555"/>
          <w:sz w:val="30"/>
          <w:szCs w:val="30"/>
        </w:rPr>
        <w:t xml:space="preserve">   |   0:00 – 0:45   |   Slide 1</w:t>
      </w:r>
    </w:p>
    <w:p w14:paraId="159CF3BF"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Good morning, everyone. We're Group 1: Chenxi, Jipeng, Yuan, and I'm Yiding.</w:t>
      </w:r>
    </w:p>
    <w:p w14:paraId="413F98AA"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Today we're presenting a data-driven investigation into how and why electric vehicle adoption is playing out so differently across UK regions — and what that means for hitting the government's 2030 targets.</w:t>
      </w:r>
    </w:p>
    <w:p w14:paraId="3FD08707" w14:textId="37BF453D"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 xml:space="preserve">I'll open and close our presentation. Chenxi will set the scene, then Yuan and Jipeng will walk you through what the data </w:t>
      </w:r>
      <w:r w:rsidR="008C3269" w:rsidRPr="00267179">
        <w:rPr>
          <w:rFonts w:ascii="Times New Roman" w:hAnsi="Times New Roman" w:cs="Times New Roman"/>
          <w:sz w:val="24"/>
          <w:szCs w:val="24"/>
        </w:rPr>
        <w:t>shows</w:t>
      </w:r>
      <w:r w:rsidRPr="00267179">
        <w:rPr>
          <w:rFonts w:ascii="Times New Roman" w:hAnsi="Times New Roman" w:cs="Times New Roman"/>
          <w:sz w:val="24"/>
          <w:szCs w:val="24"/>
        </w:rPr>
        <w:t>, before I return with our predictive forecasting engine. Let's get into it.</w:t>
      </w:r>
    </w:p>
    <w:p w14:paraId="3DD8E625" w14:textId="77777777" w:rsidR="00BE116C" w:rsidRPr="00267179" w:rsidRDefault="00000000">
      <w:pPr>
        <w:spacing w:before="60" w:after="140"/>
        <w:ind w:left="360"/>
        <w:rPr>
          <w:rFonts w:ascii="Times New Roman" w:hAnsi="Times New Roman" w:cs="Times New Roman"/>
          <w:sz w:val="24"/>
          <w:szCs w:val="24"/>
        </w:rPr>
      </w:pPr>
      <w:r w:rsidRPr="00267179">
        <w:rPr>
          <w:rFonts w:ascii="Segoe UI Emoji" w:hAnsi="Segoe UI Emoji" w:cs="Segoe UI Emoji"/>
          <w:i/>
          <w:iCs/>
          <w:color w:val="888888"/>
          <w:sz w:val="24"/>
          <w:szCs w:val="24"/>
        </w:rPr>
        <w:t>💡</w:t>
      </w:r>
      <w:r w:rsidRPr="00267179">
        <w:rPr>
          <w:rFonts w:ascii="Times New Roman" w:hAnsi="Times New Roman" w:cs="Times New Roman"/>
          <w:i/>
          <w:iCs/>
          <w:color w:val="888888"/>
          <w:sz w:val="24"/>
          <w:szCs w:val="24"/>
        </w:rPr>
        <w:t xml:space="preserve"> Delivery note: Speak slowly and make brief eye contact with each panel member as you introduce the team. Pause after 'Let's get into it' before clicking.</w:t>
      </w:r>
    </w:p>
    <w:p w14:paraId="4501E1AC" w14:textId="77777777" w:rsidR="00BE116C" w:rsidRPr="00267179" w:rsidRDefault="00BE116C">
      <w:pPr>
        <w:pBdr>
          <w:bottom w:val="single" w:sz="4" w:space="0" w:color="CCCCCC"/>
        </w:pBdr>
        <w:spacing w:before="240" w:after="240"/>
        <w:rPr>
          <w:rFonts w:ascii="Times New Roman" w:hAnsi="Times New Roman" w:cs="Times New Roman"/>
          <w:sz w:val="24"/>
          <w:szCs w:val="24"/>
        </w:rPr>
      </w:pPr>
    </w:p>
    <w:p w14:paraId="743B6138" w14:textId="77777777" w:rsidR="00BE116C" w:rsidRPr="00267179" w:rsidRDefault="00000000">
      <w:pPr>
        <w:spacing w:before="480" w:after="120"/>
        <w:rPr>
          <w:rFonts w:ascii="Times New Roman" w:hAnsi="Times New Roman" w:cs="Times New Roman"/>
          <w:sz w:val="30"/>
          <w:szCs w:val="30"/>
        </w:rPr>
      </w:pPr>
      <w:r w:rsidRPr="00267179">
        <w:rPr>
          <w:rFonts w:ascii="Times New Roman" w:hAnsi="Times New Roman" w:cs="Times New Roman"/>
          <w:b/>
          <w:bCs/>
          <w:color w:val="006D77"/>
          <w:sz w:val="30"/>
          <w:szCs w:val="30"/>
        </w:rPr>
        <w:t>Slide 2 — Background &amp; Research Scope</w:t>
      </w:r>
    </w:p>
    <w:p w14:paraId="250D841A" w14:textId="781E7887" w:rsidR="00BE116C" w:rsidRPr="00267179" w:rsidRDefault="008C3269">
      <w:pPr>
        <w:pBdr>
          <w:left w:val="single" w:sz="18" w:space="0" w:color="006D77"/>
        </w:pBdr>
        <w:shd w:val="clear" w:color="auto" w:fill="E8F4F5"/>
        <w:spacing w:before="360" w:after="60"/>
        <w:ind w:left="200"/>
        <w:rPr>
          <w:rFonts w:ascii="Times New Roman" w:hAnsi="Times New Roman" w:cs="Times New Roman"/>
          <w:sz w:val="30"/>
          <w:szCs w:val="30"/>
        </w:rPr>
      </w:pPr>
      <w:r w:rsidRPr="00267179">
        <w:rPr>
          <w:rFonts w:ascii="Segoe UI Emoji" w:hAnsi="Segoe UI Emoji" w:cs="Segoe UI Emoji"/>
          <w:b/>
          <w:bCs/>
          <w:color w:val="006D77"/>
          <w:sz w:val="30"/>
          <w:szCs w:val="30"/>
        </w:rPr>
        <w:t>🎤</w:t>
      </w:r>
      <w:r w:rsidRPr="00267179">
        <w:rPr>
          <w:rFonts w:ascii="Times New Roman" w:hAnsi="Times New Roman" w:cs="Times New Roman"/>
          <w:b/>
          <w:bCs/>
          <w:color w:val="006D77"/>
          <w:sz w:val="30"/>
          <w:szCs w:val="30"/>
        </w:rPr>
        <w:t xml:space="preserve"> Chenxi Hu</w:t>
      </w:r>
      <w:r w:rsidRPr="00267179">
        <w:rPr>
          <w:rFonts w:ascii="Times New Roman" w:hAnsi="Times New Roman" w:cs="Times New Roman"/>
          <w:color w:val="555555"/>
          <w:sz w:val="30"/>
          <w:szCs w:val="30"/>
        </w:rPr>
        <w:t xml:space="preserve">   |   0:45 – 2:00   |   Slide 2</w:t>
      </w:r>
    </w:p>
    <w:p w14:paraId="12919C82" w14:textId="13919A48"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Thank you</w:t>
      </w:r>
      <w:r w:rsidR="00107AD0">
        <w:rPr>
          <w:rFonts w:ascii="Times New Roman" w:hAnsi="Times New Roman" w:cs="Times New Roman"/>
          <w:sz w:val="24"/>
          <w:szCs w:val="24"/>
        </w:rPr>
        <w:t xml:space="preserve">. </w:t>
      </w:r>
      <w:r w:rsidRPr="00267179">
        <w:rPr>
          <w:rFonts w:ascii="Times New Roman" w:hAnsi="Times New Roman" w:cs="Times New Roman"/>
          <w:sz w:val="24"/>
          <w:szCs w:val="24"/>
        </w:rPr>
        <w:t>To frame the problem: transport is responsible for 29.1% of all UK greenhouse gas emissions. In response, the ZEV Mandate legally requires automakers to achieve 80% zero-emission vehicle sales by 2030.</w:t>
      </w:r>
    </w:p>
    <w:p w14:paraId="772DF081"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lastRenderedPageBreak/>
        <w:t>But here's a distinction that most headlines miss — an 80% sales mandate is not the same as an 80% fleet penetration rate. Because vehicles have a roughly 14-year scrappage cycle, millions of legacy petrol cars will still be on the road long after 2030.</w:t>
      </w:r>
    </w:p>
    <w:p w14:paraId="3870776E" w14:textId="20DF6074"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 xml:space="preserve">This gap between sales and fleet penetration is exactly the problem we're tackling. Our research rests on three pillars: first, tracking how EV adoption has evolved differently across regions and over time; second, identifying the socio-economic and infrastructure factors </w:t>
      </w:r>
      <w:r w:rsidR="008C3269" w:rsidRPr="00267179">
        <w:rPr>
          <w:rFonts w:ascii="Times New Roman" w:hAnsi="Times New Roman" w:cs="Times New Roman"/>
          <w:sz w:val="24"/>
          <w:szCs w:val="24"/>
        </w:rPr>
        <w:t>driving</w:t>
      </w:r>
      <w:r w:rsidRPr="00267179">
        <w:rPr>
          <w:rFonts w:ascii="Times New Roman" w:hAnsi="Times New Roman" w:cs="Times New Roman"/>
          <w:sz w:val="24"/>
          <w:szCs w:val="24"/>
        </w:rPr>
        <w:t xml:space="preserve"> those differences; and third, building a forecasting engine to project what 2035 looks like if current trends continue.</w:t>
      </w:r>
    </w:p>
    <w:p w14:paraId="4DA28676" w14:textId="51A42D6B"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 xml:space="preserve">I'll hand over to Yuan now, who'll show you what's </w:t>
      </w:r>
      <w:r w:rsidR="008C3269" w:rsidRPr="00267179">
        <w:rPr>
          <w:rFonts w:ascii="Times New Roman" w:hAnsi="Times New Roman" w:cs="Times New Roman"/>
          <w:sz w:val="24"/>
          <w:szCs w:val="24"/>
        </w:rPr>
        <w:t>happening</w:t>
      </w:r>
      <w:r w:rsidRPr="00267179">
        <w:rPr>
          <w:rFonts w:ascii="Times New Roman" w:hAnsi="Times New Roman" w:cs="Times New Roman"/>
          <w:sz w:val="24"/>
          <w:szCs w:val="24"/>
        </w:rPr>
        <w:t xml:space="preserve"> on the ground geographically.</w:t>
      </w:r>
    </w:p>
    <w:p w14:paraId="6F0D2BFD" w14:textId="77777777" w:rsidR="00BE116C" w:rsidRPr="00267179" w:rsidRDefault="00000000">
      <w:pPr>
        <w:spacing w:before="60" w:after="140"/>
        <w:ind w:left="360"/>
        <w:rPr>
          <w:rFonts w:ascii="Times New Roman" w:hAnsi="Times New Roman" w:cs="Times New Roman"/>
          <w:sz w:val="24"/>
          <w:szCs w:val="24"/>
        </w:rPr>
      </w:pPr>
      <w:r w:rsidRPr="00267179">
        <w:rPr>
          <w:rFonts w:ascii="Segoe UI Emoji" w:hAnsi="Segoe UI Emoji" w:cs="Segoe UI Emoji"/>
          <w:i/>
          <w:iCs/>
          <w:color w:val="888888"/>
          <w:sz w:val="24"/>
          <w:szCs w:val="24"/>
        </w:rPr>
        <w:t>💡</w:t>
      </w:r>
      <w:r w:rsidRPr="00267179">
        <w:rPr>
          <w:rFonts w:ascii="Times New Roman" w:hAnsi="Times New Roman" w:cs="Times New Roman"/>
          <w:i/>
          <w:iCs/>
          <w:color w:val="888888"/>
          <w:sz w:val="24"/>
          <w:szCs w:val="24"/>
        </w:rPr>
        <w:t xml:space="preserve"> Delivery note: The 'sales vs fleet' distinction is your most important conceptual setup — slow down and land it clearly.</w:t>
      </w:r>
    </w:p>
    <w:p w14:paraId="675D81EB" w14:textId="77777777" w:rsidR="00BE116C" w:rsidRPr="00267179" w:rsidRDefault="00BE116C">
      <w:pPr>
        <w:pBdr>
          <w:bottom w:val="single" w:sz="4" w:space="0" w:color="CCCCCC"/>
        </w:pBdr>
        <w:spacing w:before="240" w:after="240"/>
        <w:rPr>
          <w:rFonts w:ascii="Times New Roman" w:hAnsi="Times New Roman" w:cs="Times New Roman"/>
          <w:sz w:val="24"/>
          <w:szCs w:val="24"/>
        </w:rPr>
      </w:pPr>
    </w:p>
    <w:p w14:paraId="094DFBB3" w14:textId="77777777" w:rsidR="00BE116C" w:rsidRPr="00267179" w:rsidRDefault="00000000">
      <w:pPr>
        <w:spacing w:before="480" w:after="120"/>
        <w:rPr>
          <w:rFonts w:ascii="Times New Roman" w:hAnsi="Times New Roman" w:cs="Times New Roman"/>
          <w:sz w:val="30"/>
          <w:szCs w:val="30"/>
        </w:rPr>
      </w:pPr>
      <w:r w:rsidRPr="00267179">
        <w:rPr>
          <w:rFonts w:ascii="Times New Roman" w:hAnsi="Times New Roman" w:cs="Times New Roman"/>
          <w:b/>
          <w:bCs/>
          <w:color w:val="006D77"/>
          <w:sz w:val="30"/>
          <w:szCs w:val="30"/>
        </w:rPr>
        <w:t>Slide 3 — The "Green Divide"</w:t>
      </w:r>
    </w:p>
    <w:p w14:paraId="0FBDC803" w14:textId="3C2D33C6" w:rsidR="00BE116C" w:rsidRPr="00267179" w:rsidRDefault="008C3269">
      <w:pPr>
        <w:pBdr>
          <w:left w:val="single" w:sz="18" w:space="0" w:color="006D77"/>
        </w:pBdr>
        <w:shd w:val="clear" w:color="auto" w:fill="E8F4F5"/>
        <w:spacing w:before="360" w:after="60"/>
        <w:ind w:left="200"/>
        <w:rPr>
          <w:rFonts w:ascii="Times New Roman" w:hAnsi="Times New Roman" w:cs="Times New Roman"/>
          <w:sz w:val="30"/>
          <w:szCs w:val="30"/>
        </w:rPr>
      </w:pPr>
      <w:r w:rsidRPr="00267179">
        <w:rPr>
          <w:rFonts w:ascii="Segoe UI Emoji" w:hAnsi="Segoe UI Emoji" w:cs="Segoe UI Emoji"/>
          <w:b/>
          <w:bCs/>
          <w:color w:val="006D77"/>
          <w:sz w:val="30"/>
          <w:szCs w:val="30"/>
        </w:rPr>
        <w:t>🎤</w:t>
      </w:r>
      <w:r w:rsidRPr="00267179">
        <w:rPr>
          <w:rFonts w:ascii="Times New Roman" w:hAnsi="Times New Roman" w:cs="Times New Roman"/>
          <w:b/>
          <w:bCs/>
          <w:color w:val="006D77"/>
          <w:sz w:val="30"/>
          <w:szCs w:val="30"/>
        </w:rPr>
        <w:t xml:space="preserve"> Yuan Lu</w:t>
      </w:r>
      <w:r w:rsidRPr="00267179">
        <w:rPr>
          <w:rFonts w:ascii="Times New Roman" w:hAnsi="Times New Roman" w:cs="Times New Roman"/>
          <w:color w:val="555555"/>
          <w:sz w:val="30"/>
          <w:szCs w:val="30"/>
        </w:rPr>
        <w:t xml:space="preserve">   |   2:00 – 3:15   |   Slide 3</w:t>
      </w:r>
    </w:p>
    <w:p w14:paraId="7EAEE797" w14:textId="35026033"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 xml:space="preserve">Thanks, </w:t>
      </w:r>
      <w:r w:rsidR="00107AD0" w:rsidRPr="00267179">
        <w:rPr>
          <w:rFonts w:ascii="Times New Roman" w:hAnsi="Times New Roman" w:cs="Times New Roman"/>
          <w:sz w:val="24"/>
          <w:szCs w:val="24"/>
        </w:rPr>
        <w:t>looking</w:t>
      </w:r>
      <w:r w:rsidRPr="00267179">
        <w:rPr>
          <w:rFonts w:ascii="Times New Roman" w:hAnsi="Times New Roman" w:cs="Times New Roman"/>
          <w:sz w:val="24"/>
          <w:szCs w:val="24"/>
        </w:rPr>
        <w:t xml:space="preserve"> at the heatmap and line chart on screen — the headline finding is stark: EV adoption is not spreading evenly across the UK. It's fracturing.</w:t>
      </w:r>
    </w:p>
    <w:p w14:paraId="16F77728" w14:textId="0097FD10"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 xml:space="preserve">What we're calling the 'Green Divide' describes how free-market dynamics have turbocharged adoption in already-affluent areas — London, the </w:t>
      </w:r>
      <w:r w:rsidR="008C3269" w:rsidRPr="00267179">
        <w:rPr>
          <w:rFonts w:ascii="Times New Roman" w:hAnsi="Times New Roman" w:cs="Times New Roman"/>
          <w:sz w:val="24"/>
          <w:szCs w:val="24"/>
        </w:rPr>
        <w:t>Southeast</w:t>
      </w:r>
      <w:r w:rsidRPr="00267179">
        <w:rPr>
          <w:rFonts w:ascii="Times New Roman" w:hAnsi="Times New Roman" w:cs="Times New Roman"/>
          <w:sz w:val="24"/>
          <w:szCs w:val="24"/>
        </w:rPr>
        <w:t xml:space="preserve"> — while leaving regions like Northern Ireland and Wales increasingly behind.</w:t>
      </w:r>
    </w:p>
    <w:p w14:paraId="2EA2F134"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This isn't just an inequality story. It's a policy emergency. By 2025, the absolute penetration gap between leading and lagging regions had widened to nearly seven percentage points. If that trajectory continues uncorrected, it directly undermines the national target.</w:t>
      </w:r>
    </w:p>
    <w:p w14:paraId="3C0C3028" w14:textId="77777777" w:rsidR="00BE116C" w:rsidRPr="00267179" w:rsidRDefault="00000000">
      <w:pPr>
        <w:spacing w:before="60" w:after="140"/>
        <w:ind w:left="360"/>
        <w:rPr>
          <w:rFonts w:ascii="Times New Roman" w:hAnsi="Times New Roman" w:cs="Times New Roman"/>
          <w:sz w:val="24"/>
          <w:szCs w:val="24"/>
        </w:rPr>
      </w:pPr>
      <w:r w:rsidRPr="00267179">
        <w:rPr>
          <w:rFonts w:ascii="Segoe UI Emoji" w:hAnsi="Segoe UI Emoji" w:cs="Segoe UI Emoji"/>
          <w:i/>
          <w:iCs/>
          <w:color w:val="888888"/>
          <w:sz w:val="24"/>
          <w:szCs w:val="24"/>
        </w:rPr>
        <w:t>💡</w:t>
      </w:r>
      <w:r w:rsidRPr="00267179">
        <w:rPr>
          <w:rFonts w:ascii="Times New Roman" w:hAnsi="Times New Roman" w:cs="Times New Roman"/>
          <w:i/>
          <w:iCs/>
          <w:color w:val="888888"/>
          <w:sz w:val="24"/>
          <w:szCs w:val="24"/>
        </w:rPr>
        <w:t xml:space="preserve"> Delivery note: Point to the line chart divergence when mentioning the 7-point gap. The visual makes this land harder than any number alone.</w:t>
      </w:r>
    </w:p>
    <w:p w14:paraId="3AA04752" w14:textId="77777777" w:rsidR="00BE116C" w:rsidRPr="00267179" w:rsidRDefault="00BE116C">
      <w:pPr>
        <w:pBdr>
          <w:bottom w:val="single" w:sz="4" w:space="0" w:color="CCCCCC"/>
        </w:pBdr>
        <w:spacing w:before="240" w:after="240"/>
        <w:rPr>
          <w:rFonts w:ascii="Times New Roman" w:hAnsi="Times New Roman" w:cs="Times New Roman"/>
          <w:sz w:val="24"/>
          <w:szCs w:val="24"/>
        </w:rPr>
      </w:pPr>
    </w:p>
    <w:p w14:paraId="31DCF7FF" w14:textId="77777777" w:rsidR="00BE116C" w:rsidRPr="00267179" w:rsidRDefault="00000000">
      <w:pPr>
        <w:spacing w:before="480" w:after="120"/>
        <w:rPr>
          <w:rFonts w:ascii="Times New Roman" w:hAnsi="Times New Roman" w:cs="Times New Roman"/>
          <w:sz w:val="30"/>
          <w:szCs w:val="30"/>
        </w:rPr>
      </w:pPr>
      <w:r w:rsidRPr="00267179">
        <w:rPr>
          <w:rFonts w:ascii="Times New Roman" w:hAnsi="Times New Roman" w:cs="Times New Roman"/>
          <w:b/>
          <w:bCs/>
          <w:color w:val="006D77"/>
          <w:sz w:val="30"/>
          <w:szCs w:val="30"/>
        </w:rPr>
        <w:t>Slide 4 — The Wealth Constraint</w:t>
      </w:r>
    </w:p>
    <w:p w14:paraId="0522B800" w14:textId="722D8028" w:rsidR="00BE116C" w:rsidRPr="00267179" w:rsidRDefault="008C3269">
      <w:pPr>
        <w:pBdr>
          <w:left w:val="single" w:sz="18" w:space="0" w:color="006D77"/>
        </w:pBdr>
        <w:shd w:val="clear" w:color="auto" w:fill="E8F4F5"/>
        <w:spacing w:before="360" w:after="60"/>
        <w:ind w:left="200"/>
        <w:rPr>
          <w:rFonts w:ascii="Times New Roman" w:hAnsi="Times New Roman" w:cs="Times New Roman"/>
          <w:sz w:val="30"/>
          <w:szCs w:val="30"/>
        </w:rPr>
      </w:pPr>
      <w:r w:rsidRPr="00267179">
        <w:rPr>
          <w:rFonts w:ascii="Segoe UI Emoji" w:hAnsi="Segoe UI Emoji" w:cs="Segoe UI Emoji"/>
          <w:b/>
          <w:bCs/>
          <w:color w:val="006D77"/>
          <w:sz w:val="30"/>
          <w:szCs w:val="30"/>
        </w:rPr>
        <w:t>🎤</w:t>
      </w:r>
      <w:r w:rsidRPr="00267179">
        <w:rPr>
          <w:rFonts w:ascii="Times New Roman" w:hAnsi="Times New Roman" w:cs="Times New Roman"/>
          <w:b/>
          <w:bCs/>
          <w:color w:val="006D77"/>
          <w:sz w:val="30"/>
          <w:szCs w:val="30"/>
        </w:rPr>
        <w:t xml:space="preserve"> Yuan Lu</w:t>
      </w:r>
      <w:r w:rsidRPr="00267179">
        <w:rPr>
          <w:rFonts w:ascii="Times New Roman" w:hAnsi="Times New Roman" w:cs="Times New Roman"/>
          <w:color w:val="555555"/>
          <w:sz w:val="30"/>
          <w:szCs w:val="30"/>
        </w:rPr>
        <w:t xml:space="preserve">   |   3:15 – 4:15   |   Slide 4</w:t>
      </w:r>
    </w:p>
    <w:p w14:paraId="1FF97A9F"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This next slide reveals something that initially looks like a paradox. London has the lowest vehicle ownership rate in the UK — fewer than 3,000 vehicles per 10,000 people. Yet it has one of the highest EV penetration rates, at 10.8%.</w:t>
      </w:r>
    </w:p>
    <w:p w14:paraId="40E1D617"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How do you reconcile that? The answer is that London's EV buyers aren't representative of typical car owners. They're a concentrated pocket of high-income, early adopters who can absorb the premium price of an EV without a subsidy nudge.</w:t>
      </w:r>
    </w:p>
    <w:p w14:paraId="32DF1044"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This tells us something fundamental: right now, EVs are premium goods constrained by absolute purchasing power. And that means organic, market-led growth will not close the regional gap on its own. Targeted policy intervention isn't just helpful — it's mathematically necessary. Jipeng will now show you the data that proves just how much wealth and infrastructure matter.</w:t>
      </w:r>
    </w:p>
    <w:p w14:paraId="327FC75D" w14:textId="77777777" w:rsidR="00BE116C" w:rsidRPr="00267179" w:rsidRDefault="00000000">
      <w:pPr>
        <w:spacing w:before="60" w:after="140"/>
        <w:ind w:left="360"/>
        <w:rPr>
          <w:rFonts w:ascii="Times New Roman" w:hAnsi="Times New Roman" w:cs="Times New Roman"/>
          <w:sz w:val="24"/>
          <w:szCs w:val="24"/>
        </w:rPr>
      </w:pPr>
      <w:r w:rsidRPr="00267179">
        <w:rPr>
          <w:rFonts w:ascii="Segoe UI Emoji" w:hAnsi="Segoe UI Emoji" w:cs="Segoe UI Emoji"/>
          <w:i/>
          <w:iCs/>
          <w:color w:val="888888"/>
          <w:sz w:val="24"/>
          <w:szCs w:val="24"/>
        </w:rPr>
        <w:lastRenderedPageBreak/>
        <w:t>💡</w:t>
      </w:r>
      <w:r w:rsidRPr="00267179">
        <w:rPr>
          <w:rFonts w:ascii="Times New Roman" w:hAnsi="Times New Roman" w:cs="Times New Roman"/>
          <w:i/>
          <w:iCs/>
          <w:color w:val="888888"/>
          <w:sz w:val="24"/>
          <w:szCs w:val="24"/>
        </w:rPr>
        <w:t xml:space="preserve"> Delivery note: The word 'mathematically' signals to the panel that your conclusions are evidence-based, not political — use it deliberately.</w:t>
      </w:r>
    </w:p>
    <w:p w14:paraId="6B0FF946" w14:textId="77777777" w:rsidR="00BE116C" w:rsidRPr="00267179" w:rsidRDefault="00BE116C">
      <w:pPr>
        <w:pBdr>
          <w:bottom w:val="single" w:sz="4" w:space="0" w:color="CCCCCC"/>
        </w:pBdr>
        <w:spacing w:before="240" w:after="240"/>
        <w:rPr>
          <w:rFonts w:ascii="Times New Roman" w:hAnsi="Times New Roman" w:cs="Times New Roman"/>
          <w:sz w:val="24"/>
          <w:szCs w:val="24"/>
        </w:rPr>
      </w:pPr>
    </w:p>
    <w:p w14:paraId="5EDADF00" w14:textId="77777777" w:rsidR="00BE116C" w:rsidRPr="00267179" w:rsidRDefault="00000000">
      <w:pPr>
        <w:spacing w:before="480" w:after="120"/>
        <w:rPr>
          <w:rFonts w:ascii="Times New Roman" w:hAnsi="Times New Roman" w:cs="Times New Roman"/>
          <w:sz w:val="30"/>
          <w:szCs w:val="30"/>
        </w:rPr>
      </w:pPr>
      <w:r w:rsidRPr="00267179">
        <w:rPr>
          <w:rFonts w:ascii="Times New Roman" w:hAnsi="Times New Roman" w:cs="Times New Roman"/>
          <w:b/>
          <w:bCs/>
          <w:color w:val="006D77"/>
          <w:sz w:val="30"/>
          <w:szCs w:val="30"/>
        </w:rPr>
        <w:t>Slide 5 — Feature Importance Attribution</w:t>
      </w:r>
    </w:p>
    <w:p w14:paraId="0DA9E47C" w14:textId="5F7D5691" w:rsidR="00BE116C" w:rsidRPr="00267179" w:rsidRDefault="008C3269">
      <w:pPr>
        <w:pBdr>
          <w:left w:val="single" w:sz="18" w:space="0" w:color="006D77"/>
        </w:pBdr>
        <w:shd w:val="clear" w:color="auto" w:fill="E8F4F5"/>
        <w:spacing w:before="360" w:after="60"/>
        <w:ind w:left="200"/>
        <w:rPr>
          <w:rFonts w:ascii="Times New Roman" w:hAnsi="Times New Roman" w:cs="Times New Roman"/>
          <w:sz w:val="30"/>
          <w:szCs w:val="30"/>
        </w:rPr>
      </w:pPr>
      <w:r w:rsidRPr="00267179">
        <w:rPr>
          <w:rFonts w:ascii="Segoe UI Emoji" w:hAnsi="Segoe UI Emoji" w:cs="Segoe UI Emoji"/>
          <w:b/>
          <w:bCs/>
          <w:color w:val="006D77"/>
          <w:sz w:val="30"/>
          <w:szCs w:val="30"/>
        </w:rPr>
        <w:t>🎤</w:t>
      </w:r>
      <w:r w:rsidRPr="00267179">
        <w:rPr>
          <w:rFonts w:ascii="Times New Roman" w:hAnsi="Times New Roman" w:cs="Times New Roman"/>
          <w:b/>
          <w:bCs/>
          <w:color w:val="006D77"/>
          <w:sz w:val="30"/>
          <w:szCs w:val="30"/>
        </w:rPr>
        <w:t xml:space="preserve"> Jipeng Song</w:t>
      </w:r>
      <w:r w:rsidRPr="00267179">
        <w:rPr>
          <w:rFonts w:ascii="Times New Roman" w:hAnsi="Times New Roman" w:cs="Times New Roman"/>
          <w:color w:val="555555"/>
          <w:sz w:val="30"/>
          <w:szCs w:val="30"/>
        </w:rPr>
        <w:t xml:space="preserve">   |   4:15 – 5:30   |   Slide 5</w:t>
      </w:r>
    </w:p>
    <w:p w14:paraId="49AF2896" w14:textId="1B8E193F"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To move from 'what' to 'why', we needed to quantify these drivers rigorously. We trained an XGBoost model to capture complex, non-linear relationships across our panel data, then layered on the SHAP framework to extract precise, interpretable feature contributions.</w:t>
      </w:r>
    </w:p>
    <w:p w14:paraId="5FB4DD87"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The results are on screen. Setting aside time itself, the two dominant drivers are lagged charging port density at 21.9% and per capita disposable income — GDHI — at 18.5%. Population scale comes in third at 19.6%.</w:t>
      </w:r>
    </w:p>
    <w:p w14:paraId="38A3787B"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The word 'lagged' matters here. Charging infrastructure influences EV adoption not immediately, but with a delay — suggesting that building chargers now is an investment in future adoption rather than a direct trigger. This has real implications for how and when we deploy infrastructure spending.</w:t>
      </w:r>
    </w:p>
    <w:p w14:paraId="7251EADC" w14:textId="77777777" w:rsidR="00BE116C" w:rsidRPr="00267179" w:rsidRDefault="00000000">
      <w:pPr>
        <w:spacing w:before="60" w:after="140"/>
        <w:ind w:left="360"/>
        <w:rPr>
          <w:rFonts w:ascii="Times New Roman" w:hAnsi="Times New Roman" w:cs="Times New Roman"/>
          <w:sz w:val="24"/>
          <w:szCs w:val="24"/>
        </w:rPr>
      </w:pPr>
      <w:r w:rsidRPr="00267179">
        <w:rPr>
          <w:rFonts w:ascii="Segoe UI Emoji" w:hAnsi="Segoe UI Emoji" w:cs="Segoe UI Emoji"/>
          <w:i/>
          <w:iCs/>
          <w:color w:val="888888"/>
          <w:sz w:val="24"/>
          <w:szCs w:val="24"/>
        </w:rPr>
        <w:t>💡</w:t>
      </w:r>
      <w:r w:rsidRPr="00267179">
        <w:rPr>
          <w:rFonts w:ascii="Times New Roman" w:hAnsi="Times New Roman" w:cs="Times New Roman"/>
          <w:i/>
          <w:iCs/>
          <w:color w:val="888888"/>
          <w:sz w:val="24"/>
          <w:szCs w:val="24"/>
        </w:rPr>
        <w:t xml:space="preserve"> Delivery note: SHAP can be a technical term for a mixed audience — briefly nod to what it means in plain language: it tells us exactly how much each factor contributed to EV adoption across all regions.</w:t>
      </w:r>
    </w:p>
    <w:p w14:paraId="4BABF481" w14:textId="77777777" w:rsidR="00BE116C" w:rsidRPr="00267179" w:rsidRDefault="00BE116C">
      <w:pPr>
        <w:pBdr>
          <w:bottom w:val="single" w:sz="4" w:space="0" w:color="CCCCCC"/>
        </w:pBdr>
        <w:spacing w:before="240" w:after="240"/>
        <w:rPr>
          <w:rFonts w:ascii="Times New Roman" w:hAnsi="Times New Roman" w:cs="Times New Roman"/>
          <w:sz w:val="24"/>
          <w:szCs w:val="24"/>
        </w:rPr>
      </w:pPr>
    </w:p>
    <w:p w14:paraId="1ECFD900" w14:textId="77777777" w:rsidR="00BE116C" w:rsidRPr="00267179" w:rsidRDefault="00000000">
      <w:pPr>
        <w:spacing w:before="480" w:after="120"/>
        <w:rPr>
          <w:rFonts w:ascii="Times New Roman" w:hAnsi="Times New Roman" w:cs="Times New Roman"/>
          <w:sz w:val="30"/>
          <w:szCs w:val="30"/>
        </w:rPr>
      </w:pPr>
      <w:r w:rsidRPr="00267179">
        <w:rPr>
          <w:rFonts w:ascii="Times New Roman" w:hAnsi="Times New Roman" w:cs="Times New Roman"/>
          <w:b/>
          <w:bCs/>
          <w:color w:val="006D77"/>
          <w:sz w:val="30"/>
          <w:szCs w:val="30"/>
        </w:rPr>
        <w:t>Slide 6 — Unlocking Tipping Points</w:t>
      </w:r>
    </w:p>
    <w:p w14:paraId="26C48A33" w14:textId="24B3815E" w:rsidR="00BE116C" w:rsidRPr="00267179" w:rsidRDefault="008C3269">
      <w:pPr>
        <w:pBdr>
          <w:left w:val="single" w:sz="18" w:space="0" w:color="006D77"/>
        </w:pBdr>
        <w:shd w:val="clear" w:color="auto" w:fill="E8F4F5"/>
        <w:spacing w:before="360" w:after="60"/>
        <w:ind w:left="200"/>
        <w:rPr>
          <w:rFonts w:ascii="Times New Roman" w:hAnsi="Times New Roman" w:cs="Times New Roman"/>
          <w:sz w:val="30"/>
          <w:szCs w:val="30"/>
        </w:rPr>
      </w:pPr>
      <w:r w:rsidRPr="00267179">
        <w:rPr>
          <w:rFonts w:ascii="Segoe UI Emoji" w:hAnsi="Segoe UI Emoji" w:cs="Segoe UI Emoji"/>
          <w:b/>
          <w:bCs/>
          <w:color w:val="006D77"/>
          <w:sz w:val="30"/>
          <w:szCs w:val="30"/>
        </w:rPr>
        <w:t>🎤</w:t>
      </w:r>
      <w:r w:rsidRPr="00267179">
        <w:rPr>
          <w:rFonts w:ascii="Times New Roman" w:hAnsi="Times New Roman" w:cs="Times New Roman"/>
          <w:b/>
          <w:bCs/>
          <w:color w:val="006D77"/>
          <w:sz w:val="30"/>
          <w:szCs w:val="30"/>
        </w:rPr>
        <w:t xml:space="preserve"> Jipeng Song</w:t>
      </w:r>
      <w:r w:rsidRPr="00267179">
        <w:rPr>
          <w:rFonts w:ascii="Times New Roman" w:hAnsi="Times New Roman" w:cs="Times New Roman"/>
          <w:color w:val="555555"/>
          <w:sz w:val="30"/>
          <w:szCs w:val="30"/>
        </w:rPr>
        <w:t xml:space="preserve">   |   5:30 – 6:30   |   Slide 6</w:t>
      </w:r>
    </w:p>
    <w:p w14:paraId="5CF69F04"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Knowing which factors matter is only half the picture. The more policy-critical finding is that these drivers have threshold effects — they don't nudge adoption gradually, they unlock it.</w:t>
      </w:r>
    </w:p>
    <w:p w14:paraId="7C3F4A25"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The left scatter plot shows that GDHI is a powerful accelerator, but only once a region crosses roughly £20,000 to £35,000 per capita. Below that threshold, income gains make almost no difference to EV penetration.</w:t>
      </w:r>
    </w:p>
    <w:p w14:paraId="230C6AA6"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The infrastructure plot tells the same story from a different angle. Deploying public chargers in low-adoption areas achieves very little until density crosses around 100 to 150 ports per 10,000 people. Below that level, you're essentially spending money with no measurable return on adoption.</w:t>
      </w:r>
    </w:p>
    <w:p w14:paraId="2E6429DD" w14:textId="4646AFD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 xml:space="preserve">Together, these two tipping points define the exact intervention zones where policy spending will </w:t>
      </w:r>
      <w:r w:rsidR="008C3269" w:rsidRPr="00267179">
        <w:rPr>
          <w:rFonts w:ascii="Times New Roman" w:hAnsi="Times New Roman" w:cs="Times New Roman"/>
          <w:sz w:val="24"/>
          <w:szCs w:val="24"/>
        </w:rPr>
        <w:t>be</w:t>
      </w:r>
      <w:r w:rsidRPr="00267179">
        <w:rPr>
          <w:rFonts w:ascii="Times New Roman" w:hAnsi="Times New Roman" w:cs="Times New Roman"/>
          <w:sz w:val="24"/>
          <w:szCs w:val="24"/>
        </w:rPr>
        <w:t xml:space="preserve"> effective. I'll hand back to Yiding, who'll show how we built these insights into our forecasting engine.</w:t>
      </w:r>
    </w:p>
    <w:p w14:paraId="53A6C8AB" w14:textId="77777777" w:rsidR="00BE116C" w:rsidRPr="00267179" w:rsidRDefault="00000000">
      <w:pPr>
        <w:spacing w:before="60" w:after="140"/>
        <w:ind w:left="360"/>
        <w:rPr>
          <w:rFonts w:ascii="Times New Roman" w:hAnsi="Times New Roman" w:cs="Times New Roman"/>
          <w:sz w:val="24"/>
          <w:szCs w:val="24"/>
        </w:rPr>
      </w:pPr>
      <w:r w:rsidRPr="00267179">
        <w:rPr>
          <w:rFonts w:ascii="Segoe UI Emoji" w:hAnsi="Segoe UI Emoji" w:cs="Segoe UI Emoji"/>
          <w:i/>
          <w:iCs/>
          <w:color w:val="888888"/>
          <w:sz w:val="24"/>
          <w:szCs w:val="24"/>
        </w:rPr>
        <w:t>💡</w:t>
      </w:r>
      <w:r w:rsidRPr="00267179">
        <w:rPr>
          <w:rFonts w:ascii="Times New Roman" w:hAnsi="Times New Roman" w:cs="Times New Roman"/>
          <w:i/>
          <w:iCs/>
          <w:color w:val="888888"/>
          <w:sz w:val="24"/>
          <w:szCs w:val="24"/>
        </w:rPr>
        <w:t xml:space="preserve"> Delivery note: Use your hands to gesture to each plot as you describe it — the visual anchoring helps the panel follow which chart you mean.</w:t>
      </w:r>
    </w:p>
    <w:p w14:paraId="406D299A" w14:textId="77777777" w:rsidR="00BE116C" w:rsidRPr="00267179" w:rsidRDefault="00BE116C">
      <w:pPr>
        <w:pBdr>
          <w:bottom w:val="single" w:sz="4" w:space="0" w:color="CCCCCC"/>
        </w:pBdr>
        <w:spacing w:before="240" w:after="240"/>
        <w:rPr>
          <w:rFonts w:ascii="Times New Roman" w:hAnsi="Times New Roman" w:cs="Times New Roman"/>
          <w:sz w:val="24"/>
          <w:szCs w:val="24"/>
        </w:rPr>
      </w:pPr>
    </w:p>
    <w:p w14:paraId="36E1DED9" w14:textId="77777777" w:rsidR="00BE116C" w:rsidRPr="00267179" w:rsidRDefault="00000000">
      <w:pPr>
        <w:spacing w:before="480" w:after="120"/>
        <w:rPr>
          <w:rFonts w:ascii="Times New Roman" w:hAnsi="Times New Roman" w:cs="Times New Roman"/>
          <w:sz w:val="30"/>
          <w:szCs w:val="30"/>
        </w:rPr>
      </w:pPr>
      <w:r w:rsidRPr="00267179">
        <w:rPr>
          <w:rFonts w:ascii="Times New Roman" w:hAnsi="Times New Roman" w:cs="Times New Roman"/>
          <w:b/>
          <w:bCs/>
          <w:color w:val="006D77"/>
          <w:sz w:val="30"/>
          <w:szCs w:val="30"/>
        </w:rPr>
        <w:lastRenderedPageBreak/>
        <w:t>Slide 7 — The Forecasting Engine</w:t>
      </w:r>
    </w:p>
    <w:p w14:paraId="122F05DF" w14:textId="4021FFEC" w:rsidR="00BE116C" w:rsidRPr="00267179" w:rsidRDefault="008C3269">
      <w:pPr>
        <w:pBdr>
          <w:left w:val="single" w:sz="18" w:space="0" w:color="006D77"/>
        </w:pBdr>
        <w:shd w:val="clear" w:color="auto" w:fill="E8F4F5"/>
        <w:spacing w:before="360" w:after="60"/>
        <w:ind w:left="200"/>
        <w:rPr>
          <w:rFonts w:ascii="Times New Roman" w:hAnsi="Times New Roman" w:cs="Times New Roman"/>
          <w:sz w:val="30"/>
          <w:szCs w:val="30"/>
        </w:rPr>
      </w:pPr>
      <w:r w:rsidRPr="00267179">
        <w:rPr>
          <w:rFonts w:ascii="Segoe UI Emoji" w:hAnsi="Segoe UI Emoji" w:cs="Segoe UI Emoji"/>
          <w:b/>
          <w:bCs/>
          <w:color w:val="006D77"/>
          <w:sz w:val="30"/>
          <w:szCs w:val="30"/>
        </w:rPr>
        <w:t>🎤</w:t>
      </w:r>
      <w:r w:rsidRPr="00267179">
        <w:rPr>
          <w:rFonts w:ascii="Times New Roman" w:hAnsi="Times New Roman" w:cs="Times New Roman"/>
          <w:b/>
          <w:bCs/>
          <w:color w:val="006D77"/>
          <w:sz w:val="30"/>
          <w:szCs w:val="30"/>
        </w:rPr>
        <w:t xml:space="preserve"> Yiding Wang</w:t>
      </w:r>
      <w:r w:rsidRPr="00267179">
        <w:rPr>
          <w:rFonts w:ascii="Times New Roman" w:hAnsi="Times New Roman" w:cs="Times New Roman"/>
          <w:color w:val="555555"/>
          <w:sz w:val="30"/>
          <w:szCs w:val="30"/>
        </w:rPr>
        <w:t xml:space="preserve">   |   6:30 – 8:00   |   Slide 7</w:t>
      </w:r>
    </w:p>
    <w:p w14:paraId="31010A17" w14:textId="6208F49B"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Armed with those insights, we needed a forecasting model that could genuinely extrapolate to 2035 — and we were as rigorous about model selection as we were about the analysis itself.</w:t>
      </w:r>
    </w:p>
    <w:p w14:paraId="0FECD22D"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We rejected tree-based models like XGBoost because they fundamentally cannot extrapolate beyond historical time ranges — they would simply flat-line the future. We also ruled out standard linear regression, which physically breaks by predicting impossible adoption rates above 100%.</w:t>
      </w:r>
    </w:p>
    <w:p w14:paraId="0B47B635" w14:textId="55F9887B"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 xml:space="preserve">Instead, we built a panel fractional logit model with regional fixed effects. The key innovation is a Logit space transformation: we map real-world penetration rates using the equation log of P over 50.24% minus P. That ceiling — 50.24% — is not arbitrary. It's the hard physical maximum fleet penetration achievable by 2035, derived directly from the ZEV Mandate's year-by-year sales quotas, the UK's 14-year scrappage cycle, and </w:t>
      </w:r>
      <w:r w:rsidR="000F5D73" w:rsidRPr="000F5D73">
        <w:rPr>
          <w:rFonts w:ascii="Times New Roman" w:hAnsi="Times New Roman" w:cs="Times New Roman"/>
          <w:b/>
          <w:bCs/>
          <w:sz w:val="24"/>
          <w:szCs w:val="24"/>
        </w:rPr>
        <w:t>Society of Motor Manufacturers and Traders</w:t>
      </w:r>
      <w:r w:rsidR="000F5D73">
        <w:rPr>
          <w:rFonts w:ascii="Times New Roman" w:hAnsi="Times New Roman" w:cs="Times New Roman"/>
          <w:b/>
          <w:bCs/>
          <w:sz w:val="24"/>
          <w:szCs w:val="24"/>
        </w:rPr>
        <w:t xml:space="preserve"> </w:t>
      </w:r>
      <w:r w:rsidR="000F5D73">
        <w:rPr>
          <w:rFonts w:ascii="Times New Roman" w:hAnsi="Times New Roman" w:cs="Times New Roman"/>
          <w:sz w:val="24"/>
          <w:szCs w:val="24"/>
        </w:rPr>
        <w:t>(</w:t>
      </w:r>
      <w:r w:rsidRPr="00267179">
        <w:rPr>
          <w:rFonts w:ascii="Times New Roman" w:hAnsi="Times New Roman" w:cs="Times New Roman"/>
          <w:sz w:val="24"/>
          <w:szCs w:val="24"/>
        </w:rPr>
        <w:t>SMMT</w:t>
      </w:r>
      <w:r w:rsidR="000F5D73">
        <w:rPr>
          <w:rFonts w:ascii="Times New Roman" w:hAnsi="Times New Roman" w:cs="Times New Roman"/>
          <w:sz w:val="24"/>
          <w:szCs w:val="24"/>
        </w:rPr>
        <w:t>)</w:t>
      </w:r>
      <w:r w:rsidRPr="00267179">
        <w:rPr>
          <w:rFonts w:ascii="Times New Roman" w:hAnsi="Times New Roman" w:cs="Times New Roman"/>
          <w:sz w:val="24"/>
          <w:szCs w:val="24"/>
        </w:rPr>
        <w:t xml:space="preserve"> stock data.</w:t>
      </w:r>
    </w:p>
    <w:p w14:paraId="5925C906"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The model also locks the annual drift in vehicle-to-population ratios to plus or minus 0.5%, preventing the algorithm from generating absurd scenarios — like predicting more cars than people in depopulating areas.</w:t>
      </w:r>
    </w:p>
    <w:p w14:paraId="199DC6BF" w14:textId="77777777" w:rsidR="00BE116C" w:rsidRPr="00267179" w:rsidRDefault="00000000">
      <w:pPr>
        <w:spacing w:before="80" w:after="80"/>
        <w:ind w:left="360"/>
        <w:rPr>
          <w:rFonts w:ascii="Times New Roman" w:hAnsi="Times New Roman" w:cs="Times New Roman"/>
          <w:sz w:val="24"/>
          <w:szCs w:val="24"/>
        </w:rPr>
      </w:pPr>
      <w:r w:rsidRPr="00267179">
        <w:rPr>
          <w:rFonts w:ascii="Times New Roman" w:hAnsi="Times New Roman" w:cs="Times New Roman"/>
          <w:b/>
          <w:bCs/>
          <w:i/>
          <w:iCs/>
          <w:color w:val="E29578"/>
          <w:sz w:val="24"/>
          <w:szCs w:val="24"/>
        </w:rPr>
        <w:t>[Point to the equation on screen when mentioning the Logit transformation]</w:t>
      </w:r>
    </w:p>
    <w:p w14:paraId="54DE3F83" w14:textId="77777777" w:rsidR="00BE116C" w:rsidRPr="00267179" w:rsidRDefault="00000000">
      <w:pPr>
        <w:spacing w:before="60" w:after="140"/>
        <w:ind w:left="360"/>
        <w:rPr>
          <w:rFonts w:ascii="Times New Roman" w:hAnsi="Times New Roman" w:cs="Times New Roman"/>
          <w:sz w:val="24"/>
          <w:szCs w:val="24"/>
        </w:rPr>
      </w:pPr>
      <w:r w:rsidRPr="00267179">
        <w:rPr>
          <w:rFonts w:ascii="Segoe UI Emoji" w:hAnsi="Segoe UI Emoji" w:cs="Segoe UI Emoji"/>
          <w:i/>
          <w:iCs/>
          <w:color w:val="888888"/>
          <w:sz w:val="24"/>
          <w:szCs w:val="24"/>
        </w:rPr>
        <w:t>💡</w:t>
      </w:r>
      <w:r w:rsidRPr="00267179">
        <w:rPr>
          <w:rFonts w:ascii="Times New Roman" w:hAnsi="Times New Roman" w:cs="Times New Roman"/>
          <w:i/>
          <w:iCs/>
          <w:color w:val="888888"/>
          <w:sz w:val="24"/>
          <w:szCs w:val="24"/>
        </w:rPr>
        <w:t xml:space="preserve"> Delivery note: The equation may prompt a question — be ready to explain in plain English: 'As penetration approaches 50.24%, the denominator shrinks toward zero, which mathematically forces the growth rate to decelerate. It self-corrects.'</w:t>
      </w:r>
    </w:p>
    <w:p w14:paraId="6D377248" w14:textId="77777777" w:rsidR="00BE116C" w:rsidRPr="00267179" w:rsidRDefault="00BE116C">
      <w:pPr>
        <w:pBdr>
          <w:bottom w:val="single" w:sz="4" w:space="0" w:color="CCCCCC"/>
        </w:pBdr>
        <w:spacing w:before="240" w:after="240"/>
        <w:rPr>
          <w:rFonts w:ascii="Times New Roman" w:hAnsi="Times New Roman" w:cs="Times New Roman"/>
          <w:sz w:val="24"/>
          <w:szCs w:val="24"/>
        </w:rPr>
      </w:pPr>
    </w:p>
    <w:p w14:paraId="0328315E" w14:textId="77777777" w:rsidR="00BE116C" w:rsidRPr="00267179" w:rsidRDefault="00000000">
      <w:pPr>
        <w:spacing w:before="480" w:after="120"/>
        <w:rPr>
          <w:rFonts w:ascii="Times New Roman" w:hAnsi="Times New Roman" w:cs="Times New Roman"/>
          <w:sz w:val="30"/>
          <w:szCs w:val="30"/>
        </w:rPr>
      </w:pPr>
      <w:r w:rsidRPr="00267179">
        <w:rPr>
          <w:rFonts w:ascii="Times New Roman" w:hAnsi="Times New Roman" w:cs="Times New Roman"/>
          <w:b/>
          <w:bCs/>
          <w:color w:val="006D77"/>
          <w:sz w:val="30"/>
          <w:szCs w:val="30"/>
        </w:rPr>
        <w:t>Slide 8 — The 2035 Regional Extremes</w:t>
      </w:r>
    </w:p>
    <w:p w14:paraId="37FA8458" w14:textId="365C879F" w:rsidR="00BE116C" w:rsidRPr="00267179" w:rsidRDefault="008C3269">
      <w:pPr>
        <w:pBdr>
          <w:left w:val="single" w:sz="18" w:space="0" w:color="006D77"/>
        </w:pBdr>
        <w:shd w:val="clear" w:color="auto" w:fill="E8F4F5"/>
        <w:spacing w:before="360" w:after="60"/>
        <w:ind w:left="200"/>
        <w:rPr>
          <w:rFonts w:ascii="Times New Roman" w:hAnsi="Times New Roman" w:cs="Times New Roman"/>
          <w:sz w:val="30"/>
          <w:szCs w:val="30"/>
        </w:rPr>
      </w:pPr>
      <w:r w:rsidRPr="00267179">
        <w:rPr>
          <w:rFonts w:ascii="Segoe UI Emoji" w:hAnsi="Segoe UI Emoji" w:cs="Segoe UI Emoji"/>
          <w:b/>
          <w:bCs/>
          <w:color w:val="006D77"/>
          <w:sz w:val="30"/>
          <w:szCs w:val="30"/>
        </w:rPr>
        <w:t>🎤</w:t>
      </w:r>
      <w:r w:rsidRPr="00267179">
        <w:rPr>
          <w:rFonts w:ascii="Times New Roman" w:hAnsi="Times New Roman" w:cs="Times New Roman"/>
          <w:b/>
          <w:bCs/>
          <w:color w:val="006D77"/>
          <w:sz w:val="30"/>
          <w:szCs w:val="30"/>
        </w:rPr>
        <w:t xml:space="preserve"> Yiding Wang</w:t>
      </w:r>
      <w:r w:rsidRPr="00267179">
        <w:rPr>
          <w:rFonts w:ascii="Times New Roman" w:hAnsi="Times New Roman" w:cs="Times New Roman"/>
          <w:color w:val="555555"/>
          <w:sz w:val="30"/>
          <w:szCs w:val="30"/>
        </w:rPr>
        <w:t xml:space="preserve">   |   8:00 – 8:45   |   Slide 8</w:t>
      </w:r>
    </w:p>
    <w:p w14:paraId="20B3E95B"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When we apply this engine, the national picture looks reassuring at first — a clean S-curve growth trajectory for the UK overall. But the regional breakdown is where the story gets serious.</w:t>
      </w:r>
    </w:p>
    <w:p w14:paraId="310C1A2E"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England drives the national average upward, benefiting from the concentrated wealth and early infrastructure scaling we identified earlier. But Northern Ireland is a different story entirely. Our model shows it plateauing early, and without direct policy intervention to address the barriers we've quantified, it's projected to struggle to reach even 30% fleet penetration by 2035.</w:t>
      </w:r>
    </w:p>
    <w:p w14:paraId="3855338C"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That 30% figure isn't a pessimistic scenario — it's the forecast under current trajectories. Closing that gap requires deliberate action, which brings us to Chenxi's recommendations.</w:t>
      </w:r>
    </w:p>
    <w:p w14:paraId="37A75DB9" w14:textId="77777777" w:rsidR="00BE116C" w:rsidRPr="00267179" w:rsidRDefault="00BE116C">
      <w:pPr>
        <w:pBdr>
          <w:bottom w:val="single" w:sz="4" w:space="0" w:color="CCCCCC"/>
        </w:pBdr>
        <w:spacing w:before="240" w:after="240"/>
        <w:rPr>
          <w:rFonts w:ascii="Times New Roman" w:hAnsi="Times New Roman" w:cs="Times New Roman"/>
          <w:sz w:val="24"/>
          <w:szCs w:val="24"/>
        </w:rPr>
      </w:pPr>
    </w:p>
    <w:p w14:paraId="05D8D1DE" w14:textId="77777777" w:rsidR="003C06F9" w:rsidRDefault="003C06F9">
      <w:pPr>
        <w:spacing w:before="480" w:after="120"/>
        <w:rPr>
          <w:rFonts w:ascii="Times New Roman" w:hAnsi="Times New Roman" w:cs="Times New Roman"/>
          <w:b/>
          <w:bCs/>
          <w:color w:val="006D77"/>
          <w:sz w:val="30"/>
          <w:szCs w:val="30"/>
        </w:rPr>
      </w:pPr>
    </w:p>
    <w:p w14:paraId="2AC35036" w14:textId="3968D5A4" w:rsidR="00BE116C" w:rsidRPr="00267179" w:rsidRDefault="00000000">
      <w:pPr>
        <w:spacing w:before="480" w:after="120"/>
        <w:rPr>
          <w:rFonts w:ascii="Times New Roman" w:hAnsi="Times New Roman" w:cs="Times New Roman"/>
          <w:sz w:val="30"/>
          <w:szCs w:val="30"/>
        </w:rPr>
      </w:pPr>
      <w:r w:rsidRPr="00267179">
        <w:rPr>
          <w:rFonts w:ascii="Times New Roman" w:hAnsi="Times New Roman" w:cs="Times New Roman"/>
          <w:b/>
          <w:bCs/>
          <w:color w:val="006D77"/>
          <w:sz w:val="30"/>
          <w:szCs w:val="30"/>
        </w:rPr>
        <w:t>Slide 9 — Strategic Recommendations</w:t>
      </w:r>
    </w:p>
    <w:p w14:paraId="21E8DE78" w14:textId="6093C152" w:rsidR="00BE116C" w:rsidRPr="00267179" w:rsidRDefault="008C3269">
      <w:pPr>
        <w:pBdr>
          <w:left w:val="single" w:sz="18" w:space="0" w:color="006D77"/>
        </w:pBdr>
        <w:shd w:val="clear" w:color="auto" w:fill="E8F4F5"/>
        <w:spacing w:before="360" w:after="60"/>
        <w:ind w:left="200"/>
        <w:rPr>
          <w:rFonts w:ascii="Times New Roman" w:hAnsi="Times New Roman" w:cs="Times New Roman"/>
          <w:sz w:val="30"/>
          <w:szCs w:val="30"/>
        </w:rPr>
      </w:pPr>
      <w:r w:rsidRPr="00267179">
        <w:rPr>
          <w:rFonts w:ascii="Segoe UI Emoji" w:hAnsi="Segoe UI Emoji" w:cs="Segoe UI Emoji"/>
          <w:b/>
          <w:bCs/>
          <w:color w:val="006D77"/>
          <w:sz w:val="30"/>
          <w:szCs w:val="30"/>
        </w:rPr>
        <w:lastRenderedPageBreak/>
        <w:t>🎤</w:t>
      </w:r>
      <w:r w:rsidRPr="00267179">
        <w:rPr>
          <w:rFonts w:ascii="Times New Roman" w:hAnsi="Times New Roman" w:cs="Times New Roman"/>
          <w:b/>
          <w:bCs/>
          <w:color w:val="006D77"/>
          <w:sz w:val="30"/>
          <w:szCs w:val="30"/>
        </w:rPr>
        <w:t xml:space="preserve"> Chenxi Hu</w:t>
      </w:r>
      <w:r w:rsidRPr="00267179">
        <w:rPr>
          <w:rFonts w:ascii="Times New Roman" w:hAnsi="Times New Roman" w:cs="Times New Roman"/>
          <w:color w:val="555555"/>
          <w:sz w:val="30"/>
          <w:szCs w:val="30"/>
        </w:rPr>
        <w:t xml:space="preserve">   |   8:45 – 9:30   |   Slide 9</w:t>
      </w:r>
    </w:p>
    <w:p w14:paraId="7DAB5391"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Our core conclusion is this: a uniform national policy cannot close a structurally uneven geographic gap. The data demands an asymmetric response.</w:t>
      </w:r>
    </w:p>
    <w:p w14:paraId="30B1E7CC"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We propose three evidence-backed interventions. First, asymmetric subsidies — purchase grants should be redirected away from already high-adoption regions and concentrated in economically weaker areas like Wales and Northern Ireland, where purchasing power is the binding constraint.</w:t>
      </w:r>
    </w:p>
    <w:p w14:paraId="34165C58"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Second, targeted infrastructure investment. Rather than spreading charger deployment thinly across all areas, spending should be concentrated in urban centres that are approaching the GDHI income threshold — so that infrastructure and purchasing power reach the 150 ports tipping point simultaneously.</w:t>
      </w:r>
    </w:p>
    <w:p w14:paraId="58E170A3"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Third, a marketing pivot. Automakers are still framing EVs as a technology choice. Our data suggests the more effective message for mainstream adoption is a premium lifestyle replacement — positioning the shift from petrol to electric as a natural upgrade, not a compromise.</w:t>
      </w:r>
    </w:p>
    <w:p w14:paraId="5BAB00CB"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These aren't aspirational suggestions. Each one maps directly onto a quantified driver from our model.</w:t>
      </w:r>
    </w:p>
    <w:p w14:paraId="4A4A54F2" w14:textId="77777777" w:rsidR="00BE116C" w:rsidRPr="00267179" w:rsidRDefault="00000000">
      <w:pPr>
        <w:spacing w:before="60" w:after="140"/>
        <w:ind w:left="360"/>
        <w:rPr>
          <w:rFonts w:ascii="Times New Roman" w:hAnsi="Times New Roman" w:cs="Times New Roman"/>
          <w:sz w:val="24"/>
          <w:szCs w:val="24"/>
        </w:rPr>
      </w:pPr>
      <w:r w:rsidRPr="00267179">
        <w:rPr>
          <w:rFonts w:ascii="Segoe UI Emoji" w:hAnsi="Segoe UI Emoji" w:cs="Segoe UI Emoji"/>
          <w:i/>
          <w:iCs/>
          <w:color w:val="888888"/>
          <w:sz w:val="24"/>
          <w:szCs w:val="24"/>
        </w:rPr>
        <w:t>💡</w:t>
      </w:r>
      <w:r w:rsidRPr="00267179">
        <w:rPr>
          <w:rFonts w:ascii="Times New Roman" w:hAnsi="Times New Roman" w:cs="Times New Roman"/>
          <w:i/>
          <w:iCs/>
          <w:color w:val="888888"/>
          <w:sz w:val="24"/>
          <w:szCs w:val="24"/>
        </w:rPr>
        <w:t xml:space="preserve"> Delivery note: Emphasise the link back to the model — the panel will respond well to recommendations that trace back to specific evidence.</w:t>
      </w:r>
    </w:p>
    <w:p w14:paraId="20A9A2A8" w14:textId="77777777" w:rsidR="00BE116C" w:rsidRPr="00267179" w:rsidRDefault="00BE116C">
      <w:pPr>
        <w:pBdr>
          <w:bottom w:val="single" w:sz="4" w:space="0" w:color="CCCCCC"/>
        </w:pBdr>
        <w:spacing w:before="240" w:after="240"/>
        <w:rPr>
          <w:rFonts w:ascii="Times New Roman" w:hAnsi="Times New Roman" w:cs="Times New Roman"/>
          <w:sz w:val="24"/>
          <w:szCs w:val="24"/>
        </w:rPr>
      </w:pPr>
    </w:p>
    <w:p w14:paraId="26D1B93C" w14:textId="77777777" w:rsidR="00BE116C" w:rsidRPr="00267179" w:rsidRDefault="00000000">
      <w:pPr>
        <w:spacing w:before="480" w:after="120"/>
        <w:rPr>
          <w:rFonts w:ascii="Times New Roman" w:hAnsi="Times New Roman" w:cs="Times New Roman"/>
          <w:sz w:val="30"/>
          <w:szCs w:val="30"/>
        </w:rPr>
      </w:pPr>
      <w:r w:rsidRPr="00267179">
        <w:rPr>
          <w:rFonts w:ascii="Times New Roman" w:hAnsi="Times New Roman" w:cs="Times New Roman"/>
          <w:b/>
          <w:bCs/>
          <w:color w:val="006D77"/>
          <w:sz w:val="30"/>
          <w:szCs w:val="30"/>
        </w:rPr>
        <w:t>Slide 10 — Team Contributions &amp; Q&amp;A</w:t>
      </w:r>
    </w:p>
    <w:p w14:paraId="56BC0119" w14:textId="234220CE" w:rsidR="00BE116C" w:rsidRPr="00267179" w:rsidRDefault="008C3269">
      <w:pPr>
        <w:pBdr>
          <w:left w:val="single" w:sz="18" w:space="0" w:color="006D77"/>
        </w:pBdr>
        <w:shd w:val="clear" w:color="auto" w:fill="E8F4F5"/>
        <w:spacing w:before="360" w:after="60"/>
        <w:ind w:left="200"/>
        <w:rPr>
          <w:rFonts w:ascii="Times New Roman" w:hAnsi="Times New Roman" w:cs="Times New Roman"/>
          <w:sz w:val="30"/>
          <w:szCs w:val="30"/>
        </w:rPr>
      </w:pPr>
      <w:r w:rsidRPr="00267179">
        <w:rPr>
          <w:rFonts w:ascii="Segoe UI Emoji" w:hAnsi="Segoe UI Emoji" w:cs="Segoe UI Emoji"/>
          <w:b/>
          <w:bCs/>
          <w:color w:val="006D77"/>
          <w:sz w:val="30"/>
          <w:szCs w:val="30"/>
        </w:rPr>
        <w:t>🎤</w:t>
      </w:r>
      <w:r w:rsidRPr="00267179">
        <w:rPr>
          <w:rFonts w:ascii="Times New Roman" w:hAnsi="Times New Roman" w:cs="Times New Roman"/>
          <w:b/>
          <w:bCs/>
          <w:color w:val="006D77"/>
          <w:sz w:val="30"/>
          <w:szCs w:val="30"/>
        </w:rPr>
        <w:t xml:space="preserve"> Yiding Wang</w:t>
      </w:r>
      <w:r w:rsidRPr="00267179">
        <w:rPr>
          <w:rFonts w:ascii="Times New Roman" w:hAnsi="Times New Roman" w:cs="Times New Roman"/>
          <w:color w:val="555555"/>
          <w:sz w:val="30"/>
          <w:szCs w:val="30"/>
        </w:rPr>
        <w:t xml:space="preserve">   |   9:30 – 9:50   |   Slide 10</w:t>
      </w:r>
    </w:p>
    <w:p w14:paraId="0582EECF" w14:textId="778FEA9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To close — this was a genuinely collaborative project. You can see the contribution breakdown on screen</w:t>
      </w:r>
      <w:r w:rsidR="00836FF9">
        <w:rPr>
          <w:rFonts w:ascii="Times New Roman" w:hAnsi="Times New Roman" w:cs="Times New Roman"/>
          <w:sz w:val="24"/>
          <w:szCs w:val="24"/>
        </w:rPr>
        <w:t>.</w:t>
      </w:r>
    </w:p>
    <w:p w14:paraId="0B101CB2" w14:textId="77777777" w:rsidR="00BE116C" w:rsidRPr="00267179" w:rsidRDefault="00000000">
      <w:pPr>
        <w:spacing w:before="100" w:after="100"/>
        <w:ind w:left="360"/>
        <w:rPr>
          <w:rFonts w:ascii="Times New Roman" w:hAnsi="Times New Roman" w:cs="Times New Roman"/>
          <w:sz w:val="24"/>
          <w:szCs w:val="24"/>
        </w:rPr>
      </w:pPr>
      <w:r w:rsidRPr="00267179">
        <w:rPr>
          <w:rFonts w:ascii="Times New Roman" w:hAnsi="Times New Roman" w:cs="Times New Roman"/>
          <w:sz w:val="24"/>
          <w:szCs w:val="24"/>
        </w:rPr>
        <w:t>We're confident in the rigour of our methodology and the policy relevance of our findings. We'd welcome any questions from the panel.</w:t>
      </w:r>
    </w:p>
    <w:p w14:paraId="04299390" w14:textId="77777777" w:rsidR="00BE116C" w:rsidRPr="00267179" w:rsidRDefault="00000000">
      <w:pPr>
        <w:spacing w:before="60" w:after="140"/>
        <w:ind w:left="360"/>
        <w:rPr>
          <w:rFonts w:ascii="Times New Roman" w:hAnsi="Times New Roman" w:cs="Times New Roman"/>
          <w:sz w:val="24"/>
          <w:szCs w:val="24"/>
        </w:rPr>
      </w:pPr>
      <w:r w:rsidRPr="00267179">
        <w:rPr>
          <w:rFonts w:ascii="Segoe UI Emoji" w:hAnsi="Segoe UI Emoji" w:cs="Segoe UI Emoji"/>
          <w:i/>
          <w:iCs/>
          <w:color w:val="888888"/>
          <w:sz w:val="24"/>
          <w:szCs w:val="24"/>
        </w:rPr>
        <w:t>💡</w:t>
      </w:r>
      <w:r w:rsidRPr="00267179">
        <w:rPr>
          <w:rFonts w:ascii="Times New Roman" w:hAnsi="Times New Roman" w:cs="Times New Roman"/>
          <w:i/>
          <w:iCs/>
          <w:color w:val="888888"/>
          <w:sz w:val="24"/>
          <w:szCs w:val="24"/>
        </w:rPr>
        <w:t xml:space="preserve"> Delivery note: Smile, make eye contact, and settle — don't look down at notes during Q&amp;A. Project confidence even on questions you need a moment to think through.</w:t>
      </w:r>
    </w:p>
    <w:p w14:paraId="4A0EA5F2" w14:textId="77777777" w:rsidR="00BE116C" w:rsidRPr="00267179" w:rsidRDefault="00BE116C">
      <w:pPr>
        <w:pBdr>
          <w:bottom w:val="single" w:sz="4" w:space="0" w:color="CCCCCC"/>
        </w:pBdr>
        <w:spacing w:before="240" w:after="240"/>
        <w:rPr>
          <w:rFonts w:ascii="Times New Roman" w:hAnsi="Times New Roman" w:cs="Times New Roman"/>
          <w:sz w:val="24"/>
          <w:szCs w:val="24"/>
        </w:rPr>
      </w:pPr>
    </w:p>
    <w:p w14:paraId="3FF49148" w14:textId="77777777" w:rsidR="00CA4270" w:rsidRPr="00267179" w:rsidRDefault="00CA4270" w:rsidP="00CA4270">
      <w:pPr>
        <w:spacing w:before="360"/>
        <w:jc w:val="center"/>
        <w:rPr>
          <w:rFonts w:ascii="Times New Roman" w:hAnsi="Times New Roman" w:cs="Times New Roman"/>
          <w:sz w:val="24"/>
          <w:szCs w:val="24"/>
        </w:rPr>
      </w:pPr>
      <w:r w:rsidRPr="00267179">
        <w:rPr>
          <w:rFonts w:ascii="Times New Roman" w:hAnsi="Times New Roman" w:cs="Times New Roman"/>
          <w:i/>
          <w:iCs/>
          <w:color w:val="AAAAAA"/>
          <w:sz w:val="24"/>
          <w:szCs w:val="24"/>
        </w:rPr>
        <w:t>Total estimated delivery time: ~9 min 20 sec · Hard cut-off at 10:00 · Do not add content without trimming elsewhere</w:t>
      </w:r>
    </w:p>
    <w:p w14:paraId="39DCB145" w14:textId="77777777" w:rsidR="00267179" w:rsidRPr="00267179" w:rsidRDefault="00267179">
      <w:pPr>
        <w:spacing w:before="480" w:after="120"/>
        <w:rPr>
          <w:rFonts w:ascii="Times New Roman" w:hAnsi="Times New Roman" w:cs="Times New Roman"/>
          <w:b/>
          <w:bCs/>
          <w:color w:val="006D77"/>
          <w:sz w:val="24"/>
          <w:szCs w:val="24"/>
        </w:rPr>
      </w:pPr>
    </w:p>
    <w:p w14:paraId="6ECB1BFC" w14:textId="77777777" w:rsidR="00267179" w:rsidRPr="00267179" w:rsidRDefault="00267179">
      <w:pPr>
        <w:spacing w:before="480" w:after="120"/>
        <w:rPr>
          <w:rFonts w:ascii="Times New Roman" w:hAnsi="Times New Roman" w:cs="Times New Roman"/>
          <w:b/>
          <w:bCs/>
          <w:color w:val="006D77"/>
          <w:sz w:val="24"/>
          <w:szCs w:val="24"/>
        </w:rPr>
      </w:pPr>
    </w:p>
    <w:p w14:paraId="7ABB32B9" w14:textId="77777777" w:rsidR="00F424A8" w:rsidRDefault="00F424A8">
      <w:pPr>
        <w:spacing w:before="480" w:after="120"/>
        <w:rPr>
          <w:rFonts w:ascii="Times New Roman" w:hAnsi="Times New Roman" w:cs="Times New Roman"/>
          <w:b/>
          <w:bCs/>
          <w:color w:val="006D77"/>
          <w:sz w:val="32"/>
          <w:szCs w:val="32"/>
        </w:rPr>
      </w:pPr>
    </w:p>
    <w:p w14:paraId="2F011C51" w14:textId="0AD72536" w:rsidR="00BE116C" w:rsidRPr="00267179" w:rsidRDefault="00000000">
      <w:pPr>
        <w:spacing w:before="480" w:after="120"/>
        <w:rPr>
          <w:rFonts w:ascii="Times New Roman" w:hAnsi="Times New Roman" w:cs="Times New Roman"/>
          <w:sz w:val="32"/>
          <w:szCs w:val="32"/>
        </w:rPr>
      </w:pPr>
      <w:r w:rsidRPr="00267179">
        <w:rPr>
          <w:rFonts w:ascii="Times New Roman" w:hAnsi="Times New Roman" w:cs="Times New Roman"/>
          <w:b/>
          <w:bCs/>
          <w:color w:val="006D77"/>
          <w:sz w:val="32"/>
          <w:szCs w:val="32"/>
        </w:rPr>
        <w:lastRenderedPageBreak/>
        <w:t>Q&amp;A Preparation</w:t>
      </w:r>
    </w:p>
    <w:p w14:paraId="4F83230B" w14:textId="77777777" w:rsidR="00267179" w:rsidRDefault="00267179">
      <w:pPr>
        <w:spacing w:before="80" w:after="80"/>
        <w:rPr>
          <w:rFonts w:ascii="Times New Roman" w:hAnsi="Times New Roman" w:cs="Times New Roman"/>
          <w:color w:val="555555"/>
          <w:sz w:val="24"/>
          <w:szCs w:val="24"/>
        </w:rPr>
      </w:pPr>
    </w:p>
    <w:p w14:paraId="58A81C60" w14:textId="31C0E0F7" w:rsidR="00BE116C" w:rsidRPr="00267179" w:rsidRDefault="00000000">
      <w:pPr>
        <w:spacing w:before="80" w:after="80"/>
        <w:rPr>
          <w:rFonts w:ascii="Times New Roman" w:hAnsi="Times New Roman" w:cs="Times New Roman"/>
          <w:sz w:val="24"/>
          <w:szCs w:val="24"/>
        </w:rPr>
      </w:pPr>
      <w:r w:rsidRPr="00267179">
        <w:rPr>
          <w:rFonts w:ascii="Times New Roman" w:hAnsi="Times New Roman" w:cs="Times New Roman"/>
          <w:color w:val="555555"/>
          <w:sz w:val="24"/>
          <w:szCs w:val="24"/>
        </w:rPr>
        <w:t>Anticipate these likely panel questions and have a short, confident answer ready.</w:t>
      </w:r>
    </w:p>
    <w:p w14:paraId="63BABF75" w14:textId="77777777" w:rsidR="00F424A8" w:rsidRDefault="00F424A8" w:rsidP="00267179">
      <w:pPr>
        <w:spacing w:before="100" w:after="100"/>
        <w:ind w:left="360"/>
        <w:rPr>
          <w:rFonts w:ascii="Times New Roman" w:hAnsi="Times New Roman" w:cs="Times New Roman"/>
          <w:b/>
          <w:bCs/>
          <w:color w:val="006D77"/>
          <w:sz w:val="24"/>
          <w:szCs w:val="24"/>
        </w:rPr>
      </w:pPr>
    </w:p>
    <w:p w14:paraId="7DCC7658" w14:textId="7A95E68E" w:rsidR="00267179" w:rsidRPr="00267179" w:rsidRDefault="00267179" w:rsidP="00267179">
      <w:pPr>
        <w:spacing w:before="100" w:after="100"/>
        <w:ind w:left="360"/>
        <w:rPr>
          <w:rFonts w:ascii="Times New Roman" w:hAnsi="Times New Roman" w:cs="Times New Roman"/>
          <w:b/>
          <w:bCs/>
          <w:color w:val="006D77"/>
          <w:sz w:val="24"/>
          <w:szCs w:val="24"/>
        </w:rPr>
      </w:pPr>
      <w:r w:rsidRPr="00267179">
        <w:rPr>
          <w:rFonts w:ascii="Times New Roman" w:hAnsi="Times New Roman" w:cs="Times New Roman"/>
          <w:b/>
          <w:bCs/>
          <w:color w:val="006D77"/>
          <w:sz w:val="24"/>
          <w:szCs w:val="24"/>
        </w:rPr>
        <w:t>Part 1: The Mathematics &amp; Forecasting Engine</w:t>
      </w:r>
    </w:p>
    <w:p w14:paraId="27E50C26" w14:textId="77777777" w:rsidR="00267179" w:rsidRPr="00267179" w:rsidRDefault="00267179" w:rsidP="00267179">
      <w:pPr>
        <w:spacing w:before="100" w:after="100"/>
        <w:ind w:left="360"/>
        <w:rPr>
          <w:rFonts w:ascii="Times New Roman" w:hAnsi="Times New Roman" w:cs="Times New Roman"/>
          <w:b/>
          <w:bCs/>
          <w:color w:val="006D77"/>
          <w:sz w:val="24"/>
          <w:szCs w:val="24"/>
        </w:rPr>
      </w:pPr>
      <w:r w:rsidRPr="00267179">
        <w:rPr>
          <w:rFonts w:ascii="Times New Roman" w:hAnsi="Times New Roman" w:cs="Times New Roman"/>
          <w:b/>
          <w:bCs/>
          <w:color w:val="006D77"/>
          <w:sz w:val="24"/>
          <w:szCs w:val="24"/>
        </w:rPr>
        <w:t>Q1: You capped your model at a 50.24% ceiling. Why not 100% since the government is mandating a total transition?</w:t>
      </w:r>
    </w:p>
    <w:p w14:paraId="190FE327" w14:textId="77777777" w:rsidR="00267179" w:rsidRPr="00267179" w:rsidRDefault="00267179" w:rsidP="00267179">
      <w:pPr>
        <w:numPr>
          <w:ilvl w:val="0"/>
          <w:numId w:val="2"/>
        </w:numPr>
        <w:spacing w:before="100" w:after="100"/>
        <w:rPr>
          <w:rFonts w:ascii="Times New Roman" w:hAnsi="Times New Roman" w:cs="Times New Roman"/>
          <w:sz w:val="24"/>
          <w:szCs w:val="24"/>
        </w:rPr>
      </w:pPr>
      <w:r w:rsidRPr="00267179">
        <w:rPr>
          <w:rFonts w:ascii="Times New Roman" w:hAnsi="Times New Roman" w:cs="Times New Roman"/>
          <w:b/>
          <w:bCs/>
          <w:sz w:val="24"/>
          <w:szCs w:val="24"/>
        </w:rPr>
        <w:t>Answer:</w:t>
      </w:r>
      <w:r w:rsidRPr="00267179">
        <w:rPr>
          <w:rFonts w:ascii="Times New Roman" w:hAnsi="Times New Roman" w:cs="Times New Roman"/>
          <w:sz w:val="24"/>
          <w:szCs w:val="24"/>
        </w:rPr>
        <w:t xml:space="preserve"> The ZEV Mandate controls new car sales, not existing stock. With a 14-year scrappage cycle and roughly 33 million cars on UK roads, even if every new car sold from today were electric, the fleet would still contain millions of legacy petrol vehicles in 2035. We calculated the precise 50.24% ceiling using SMMT data and the Mandate's year-by-year sales quotas.</w:t>
      </w:r>
    </w:p>
    <w:p w14:paraId="1189FE60" w14:textId="0B7C7989" w:rsidR="00267179" w:rsidRPr="00267179" w:rsidRDefault="00267179" w:rsidP="00267179">
      <w:pPr>
        <w:spacing w:before="100" w:after="100"/>
        <w:ind w:left="360"/>
        <w:rPr>
          <w:rFonts w:ascii="Times New Roman" w:hAnsi="Times New Roman" w:cs="Times New Roman"/>
          <w:b/>
          <w:bCs/>
          <w:color w:val="006D77"/>
          <w:sz w:val="24"/>
          <w:szCs w:val="24"/>
        </w:rPr>
      </w:pPr>
      <w:r w:rsidRPr="00267179">
        <w:rPr>
          <w:rFonts w:ascii="Times New Roman" w:hAnsi="Times New Roman" w:cs="Times New Roman"/>
          <w:b/>
          <w:bCs/>
          <w:color w:val="006D77"/>
          <w:sz w:val="24"/>
          <w:szCs w:val="24"/>
        </w:rPr>
        <w:t>Q2: Can you explain the mechanics behind your Logit space transformation? How does it enforce that physical ceiling?</w:t>
      </w:r>
    </w:p>
    <w:p w14:paraId="75F06CFB" w14:textId="0F6DAA85" w:rsidR="00267179" w:rsidRPr="00267179" w:rsidRDefault="00267179" w:rsidP="00267179">
      <w:pPr>
        <w:numPr>
          <w:ilvl w:val="0"/>
          <w:numId w:val="3"/>
        </w:numPr>
        <w:spacing w:before="100" w:after="100"/>
        <w:rPr>
          <w:rFonts w:ascii="Times New Roman" w:hAnsi="Times New Roman" w:cs="Times New Roman"/>
          <w:sz w:val="24"/>
          <w:szCs w:val="24"/>
        </w:rPr>
      </w:pPr>
      <w:r w:rsidRPr="00267179">
        <w:rPr>
          <w:rFonts w:ascii="Times New Roman" w:hAnsi="Times New Roman" w:cs="Times New Roman"/>
          <w:b/>
          <w:bCs/>
          <w:sz w:val="24"/>
          <w:szCs w:val="24"/>
        </w:rPr>
        <w:t>Answer:</w:t>
      </w:r>
      <w:r w:rsidRPr="00267179">
        <w:rPr>
          <w:rFonts w:ascii="Times New Roman" w:hAnsi="Times New Roman" w:cs="Times New Roman"/>
          <w:sz w:val="24"/>
          <w:szCs w:val="24"/>
        </w:rPr>
        <w:t xml:space="preserve"> We used the equation </w:t>
      </w:r>
      <m:oMath>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i, t</m:t>
            </m:r>
          </m:sub>
        </m:sSub>
        <m:r>
          <w:rPr>
            <w:rFonts w:ascii="Cambria Math" w:hAnsi="Cambria Math" w:cs="Times New Roman"/>
            <w:sz w:val="24"/>
            <w:szCs w:val="24"/>
          </w:rPr>
          <m:t>=ln</m:t>
        </m:r>
        <m:d>
          <m:dPr>
            <m:ctrlPr>
              <w:rPr>
                <w:rFonts w:ascii="Cambria Math" w:hAnsi="Cambria Math" w:cs="Times New Roman"/>
                <w:i/>
                <w:iCs/>
                <w:sz w:val="24"/>
                <w:szCs w:val="24"/>
              </w:rPr>
            </m:ctrlPr>
          </m:dPr>
          <m:e>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i,t</m:t>
                    </m:r>
                  </m:sub>
                </m:sSub>
              </m:num>
              <m:den>
                <m:r>
                  <w:rPr>
                    <w:rFonts w:ascii="Cambria Math" w:hAnsi="Cambria Math" w:cs="Times New Roman"/>
                    <w:sz w:val="24"/>
                    <w:szCs w:val="24"/>
                  </w:rPr>
                  <m:t>50.24%-</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i,t</m:t>
                    </m:r>
                  </m:sub>
                </m:sSub>
              </m:den>
            </m:f>
          </m:e>
        </m:d>
      </m:oMath>
      <w:r w:rsidRPr="00267179">
        <w:rPr>
          <w:rFonts w:ascii="Times New Roman" w:hAnsi="Times New Roman" w:cs="Times New Roman"/>
          <w:iCs/>
          <w:sz w:val="24"/>
          <w:szCs w:val="24"/>
        </w:rPr>
        <w:t xml:space="preserve"> </w:t>
      </w:r>
      <w:r w:rsidRPr="00267179">
        <w:rPr>
          <w:rFonts w:ascii="Times New Roman" w:hAnsi="Times New Roman" w:cs="Times New Roman"/>
          <w:sz w:val="24"/>
          <w:szCs w:val="24"/>
        </w:rPr>
        <w:t>In plain terms, as the penetration rate (</w:t>
      </w:r>
      <w:r w:rsidRPr="00267179">
        <w:rPr>
          <w:rFonts w:ascii="Times New Roman" w:hAnsi="Times New Roman" w:cs="Times New Roman"/>
          <w:i/>
          <w:iCs/>
          <w:sz w:val="24"/>
          <w:szCs w:val="24"/>
        </w:rPr>
        <w:t>P</w:t>
      </w:r>
      <w:r w:rsidRPr="00267179">
        <w:rPr>
          <w:rFonts w:ascii="Times New Roman" w:hAnsi="Times New Roman" w:cs="Times New Roman"/>
          <w:sz w:val="24"/>
          <w:szCs w:val="24"/>
        </w:rPr>
        <w:t>) approaches our absolute ceiling of 50.24%, the denominator shrinks toward zero. Mathematically, this forces the growth rate to decelerate and self-correct, producing a realistic S-curve rather than an impossible exponential spike.</w:t>
      </w:r>
    </w:p>
    <w:p w14:paraId="2391DDA9" w14:textId="1442E659" w:rsidR="00267179" w:rsidRPr="00267179" w:rsidRDefault="00267179" w:rsidP="00267179">
      <w:pPr>
        <w:spacing w:before="100" w:after="100"/>
        <w:ind w:left="360"/>
        <w:rPr>
          <w:rFonts w:ascii="Times New Roman" w:hAnsi="Times New Roman" w:cs="Times New Roman"/>
          <w:b/>
          <w:bCs/>
          <w:color w:val="006D77"/>
          <w:sz w:val="24"/>
          <w:szCs w:val="24"/>
        </w:rPr>
      </w:pPr>
      <w:r w:rsidRPr="00267179">
        <w:rPr>
          <w:rFonts w:ascii="Times New Roman" w:hAnsi="Times New Roman" w:cs="Times New Roman"/>
          <w:b/>
          <w:bCs/>
          <w:color w:val="006D77"/>
          <w:sz w:val="24"/>
          <w:szCs w:val="24"/>
        </w:rPr>
        <w:t>Q3: You used XGBoost to find feature importance but rejected it for the final forecast. Why use two different models?</w:t>
      </w:r>
    </w:p>
    <w:p w14:paraId="2DF15544" w14:textId="77777777" w:rsidR="00267179" w:rsidRPr="00267179" w:rsidRDefault="00267179" w:rsidP="00267179">
      <w:pPr>
        <w:numPr>
          <w:ilvl w:val="0"/>
          <w:numId w:val="4"/>
        </w:numPr>
        <w:spacing w:before="100" w:after="100"/>
        <w:rPr>
          <w:rFonts w:ascii="Times New Roman" w:hAnsi="Times New Roman" w:cs="Times New Roman"/>
          <w:sz w:val="24"/>
          <w:szCs w:val="24"/>
        </w:rPr>
      </w:pPr>
      <w:r w:rsidRPr="00267179">
        <w:rPr>
          <w:rFonts w:ascii="Times New Roman" w:hAnsi="Times New Roman" w:cs="Times New Roman"/>
          <w:b/>
          <w:bCs/>
          <w:sz w:val="24"/>
          <w:szCs w:val="24"/>
        </w:rPr>
        <w:t>Answer:</w:t>
      </w:r>
      <w:r w:rsidRPr="00267179">
        <w:rPr>
          <w:rFonts w:ascii="Times New Roman" w:hAnsi="Times New Roman" w:cs="Times New Roman"/>
          <w:sz w:val="24"/>
          <w:szCs w:val="24"/>
        </w:rPr>
        <w:t xml:space="preserve"> XGBoost is excellent for capturing complex, non-linear relationships across our historical panel data. However, tree-based models fundamentally cannot extrapolate beyond historical time ranges—if we used it for 2035, it would simply flat-line the future. We needed the Panel Fractional Logit model specifically for its ability to project forward while respecting physical constraints.</w:t>
      </w:r>
    </w:p>
    <w:p w14:paraId="1E60E660" w14:textId="77777777" w:rsidR="00267179" w:rsidRPr="00267179" w:rsidRDefault="00267179" w:rsidP="00267179">
      <w:pPr>
        <w:spacing w:before="100" w:after="100"/>
        <w:ind w:left="360"/>
        <w:rPr>
          <w:rFonts w:ascii="Times New Roman" w:hAnsi="Times New Roman" w:cs="Times New Roman"/>
          <w:b/>
          <w:bCs/>
          <w:color w:val="006D77"/>
          <w:sz w:val="24"/>
          <w:szCs w:val="24"/>
        </w:rPr>
      </w:pPr>
      <w:r w:rsidRPr="00267179">
        <w:rPr>
          <w:rFonts w:ascii="Times New Roman" w:hAnsi="Times New Roman" w:cs="Times New Roman"/>
          <w:b/>
          <w:bCs/>
          <w:color w:val="006D77"/>
          <w:sz w:val="24"/>
          <w:szCs w:val="24"/>
        </w:rPr>
        <w:t>Q4: Why not use a dedicated time-series model like ARIMA or an LSTM neural network for your forecast?</w:t>
      </w:r>
    </w:p>
    <w:p w14:paraId="0672AE18" w14:textId="77777777" w:rsidR="00267179" w:rsidRPr="00267179" w:rsidRDefault="00267179" w:rsidP="00267179">
      <w:pPr>
        <w:numPr>
          <w:ilvl w:val="0"/>
          <w:numId w:val="5"/>
        </w:numPr>
        <w:spacing w:before="100" w:after="100"/>
        <w:rPr>
          <w:rFonts w:ascii="Times New Roman" w:hAnsi="Times New Roman" w:cs="Times New Roman"/>
          <w:sz w:val="24"/>
          <w:szCs w:val="24"/>
        </w:rPr>
      </w:pPr>
      <w:r w:rsidRPr="00267179">
        <w:rPr>
          <w:rFonts w:ascii="Times New Roman" w:hAnsi="Times New Roman" w:cs="Times New Roman"/>
          <w:b/>
          <w:bCs/>
          <w:sz w:val="24"/>
          <w:szCs w:val="24"/>
        </w:rPr>
        <w:t>Answer:</w:t>
      </w:r>
      <w:r w:rsidRPr="00267179">
        <w:rPr>
          <w:rFonts w:ascii="Times New Roman" w:hAnsi="Times New Roman" w:cs="Times New Roman"/>
          <w:sz w:val="24"/>
          <w:szCs w:val="24"/>
        </w:rPr>
        <w:t xml:space="preserve"> Time-series models extrapolate based primarily on past patterns in the target variable itself. Over a 10-year horizon, small residual errors would compound exponentially. More critically, they cannot absorb structural changes in external variables like GDHI or charging infrastructure, which are the exact policy levers we needed to evaluate.</w:t>
      </w:r>
    </w:p>
    <w:p w14:paraId="788D918D" w14:textId="77777777" w:rsidR="00267179" w:rsidRPr="00267179" w:rsidRDefault="00267179" w:rsidP="00267179">
      <w:pPr>
        <w:spacing w:before="100" w:after="100"/>
        <w:ind w:left="360"/>
        <w:rPr>
          <w:rFonts w:ascii="Times New Roman" w:hAnsi="Times New Roman" w:cs="Times New Roman"/>
          <w:b/>
          <w:bCs/>
          <w:color w:val="006D77"/>
          <w:sz w:val="24"/>
          <w:szCs w:val="24"/>
        </w:rPr>
      </w:pPr>
      <w:r w:rsidRPr="00267179">
        <w:rPr>
          <w:rFonts w:ascii="Times New Roman" w:hAnsi="Times New Roman" w:cs="Times New Roman"/>
          <w:b/>
          <w:bCs/>
          <w:color w:val="006D77"/>
          <w:sz w:val="24"/>
          <w:szCs w:val="24"/>
        </w:rPr>
        <w:t>Q5: You mentioned locking the vehicle-to-population drift to ±0.5%. What happens if you remove that constraint?</w:t>
      </w:r>
    </w:p>
    <w:p w14:paraId="6A15CF52" w14:textId="77777777" w:rsidR="00267179" w:rsidRPr="00267179" w:rsidRDefault="00267179" w:rsidP="00267179">
      <w:pPr>
        <w:numPr>
          <w:ilvl w:val="0"/>
          <w:numId w:val="6"/>
        </w:numPr>
        <w:spacing w:before="100" w:after="100"/>
        <w:rPr>
          <w:rFonts w:ascii="Times New Roman" w:hAnsi="Times New Roman" w:cs="Times New Roman"/>
          <w:sz w:val="24"/>
          <w:szCs w:val="24"/>
        </w:rPr>
      </w:pPr>
      <w:r w:rsidRPr="00267179">
        <w:rPr>
          <w:rFonts w:ascii="Times New Roman" w:hAnsi="Times New Roman" w:cs="Times New Roman"/>
          <w:b/>
          <w:bCs/>
          <w:sz w:val="24"/>
          <w:szCs w:val="24"/>
        </w:rPr>
        <w:t>Answer:</w:t>
      </w:r>
      <w:r w:rsidRPr="00267179">
        <w:rPr>
          <w:rFonts w:ascii="Times New Roman" w:hAnsi="Times New Roman" w:cs="Times New Roman"/>
          <w:sz w:val="24"/>
          <w:szCs w:val="24"/>
        </w:rPr>
        <w:t xml:space="preserve"> Without that constraint, the algorithm could generate mathematically absurd scenarios. For example, in regions experiencing population decline (depopulating areas), an unconstrained model might predict more cars than actual people. The ±0.5% drift acts as an anchor to reality.</w:t>
      </w:r>
    </w:p>
    <w:p w14:paraId="61BF7BCA" w14:textId="77777777" w:rsidR="00267179" w:rsidRPr="00267179" w:rsidRDefault="00000000" w:rsidP="00267179">
      <w:pPr>
        <w:spacing w:before="100" w:after="100"/>
        <w:ind w:left="360"/>
        <w:rPr>
          <w:rFonts w:ascii="Times New Roman" w:hAnsi="Times New Roman" w:cs="Times New Roman"/>
          <w:sz w:val="24"/>
          <w:szCs w:val="24"/>
        </w:rPr>
      </w:pPr>
      <w:r>
        <w:rPr>
          <w:rFonts w:ascii="Times New Roman" w:hAnsi="Times New Roman" w:cs="Times New Roman"/>
          <w:sz w:val="24"/>
          <w:szCs w:val="24"/>
        </w:rPr>
        <w:pict w14:anchorId="6679A14F">
          <v:rect id="_x0000_i1025" style="width:0;height:1.5pt" o:hralign="center" o:hrstd="t" o:hr="t" fillcolor="#a0a0a0" stroked="f"/>
        </w:pict>
      </w:r>
    </w:p>
    <w:p w14:paraId="09FCF005" w14:textId="77777777" w:rsidR="00267179" w:rsidRPr="00267179" w:rsidRDefault="00267179" w:rsidP="00267179">
      <w:pPr>
        <w:spacing w:before="100" w:after="100"/>
        <w:ind w:left="360"/>
        <w:rPr>
          <w:rFonts w:ascii="Times New Roman" w:hAnsi="Times New Roman" w:cs="Times New Roman"/>
          <w:b/>
          <w:bCs/>
          <w:color w:val="006D77"/>
          <w:sz w:val="24"/>
          <w:szCs w:val="24"/>
        </w:rPr>
      </w:pPr>
      <w:r w:rsidRPr="00267179">
        <w:rPr>
          <w:rFonts w:ascii="Times New Roman" w:hAnsi="Times New Roman" w:cs="Times New Roman"/>
          <w:b/>
          <w:bCs/>
          <w:color w:val="006D77"/>
          <w:sz w:val="24"/>
          <w:szCs w:val="24"/>
        </w:rPr>
        <w:t>Part 2: Feature Engineering &amp; Analysis</w:t>
      </w:r>
    </w:p>
    <w:p w14:paraId="4790980E" w14:textId="77777777" w:rsidR="00267179" w:rsidRPr="00267179" w:rsidRDefault="00267179" w:rsidP="00267179">
      <w:pPr>
        <w:spacing w:before="100" w:after="100"/>
        <w:ind w:left="360"/>
        <w:rPr>
          <w:rFonts w:ascii="Times New Roman" w:hAnsi="Times New Roman" w:cs="Times New Roman"/>
          <w:b/>
          <w:bCs/>
          <w:color w:val="006D77"/>
          <w:sz w:val="24"/>
          <w:szCs w:val="24"/>
        </w:rPr>
      </w:pPr>
      <w:r w:rsidRPr="00267179">
        <w:rPr>
          <w:rFonts w:ascii="Times New Roman" w:hAnsi="Times New Roman" w:cs="Times New Roman"/>
          <w:b/>
          <w:bCs/>
          <w:color w:val="006D77"/>
          <w:sz w:val="24"/>
          <w:szCs w:val="24"/>
        </w:rPr>
        <w:t>Q6: Why did you specifically use lagged variables for charging ports and GDHI instead of current-year data?</w:t>
      </w:r>
    </w:p>
    <w:p w14:paraId="11261952" w14:textId="442D0BA2" w:rsidR="00267179" w:rsidRPr="00267179" w:rsidRDefault="00267179" w:rsidP="00267179">
      <w:pPr>
        <w:numPr>
          <w:ilvl w:val="0"/>
          <w:numId w:val="7"/>
        </w:numPr>
        <w:spacing w:before="100" w:after="100"/>
        <w:rPr>
          <w:rFonts w:ascii="Times New Roman" w:hAnsi="Times New Roman" w:cs="Times New Roman"/>
          <w:sz w:val="24"/>
          <w:szCs w:val="24"/>
        </w:rPr>
      </w:pPr>
      <w:r w:rsidRPr="00267179">
        <w:rPr>
          <w:rFonts w:ascii="Times New Roman" w:hAnsi="Times New Roman" w:cs="Times New Roman"/>
          <w:b/>
          <w:bCs/>
          <w:sz w:val="24"/>
          <w:szCs w:val="24"/>
        </w:rPr>
        <w:lastRenderedPageBreak/>
        <w:t>Answer:</w:t>
      </w:r>
      <w:r w:rsidRPr="00267179">
        <w:rPr>
          <w:rFonts w:ascii="Times New Roman" w:hAnsi="Times New Roman" w:cs="Times New Roman"/>
          <w:sz w:val="24"/>
          <w:szCs w:val="24"/>
        </w:rPr>
        <w:t xml:space="preserve"> Our analysis showed that charging infrastructure influences EV adoption with a delay, not immediately. Building chargers now is an investment in future adoption rather than a direct, same-year trigger. Using lagged variables captures this realistic delay in consumer behaviours.</w:t>
      </w:r>
    </w:p>
    <w:p w14:paraId="7DA61628" w14:textId="77777777" w:rsidR="00267179" w:rsidRPr="00267179" w:rsidRDefault="00267179" w:rsidP="00267179">
      <w:pPr>
        <w:spacing w:before="100" w:after="100"/>
        <w:ind w:left="360"/>
        <w:rPr>
          <w:rFonts w:ascii="Times New Roman" w:hAnsi="Times New Roman" w:cs="Times New Roman"/>
          <w:b/>
          <w:bCs/>
          <w:color w:val="006D77"/>
          <w:sz w:val="24"/>
          <w:szCs w:val="24"/>
        </w:rPr>
      </w:pPr>
      <w:r w:rsidRPr="00267179">
        <w:rPr>
          <w:rFonts w:ascii="Times New Roman" w:hAnsi="Times New Roman" w:cs="Times New Roman"/>
          <w:b/>
          <w:bCs/>
          <w:color w:val="006D77"/>
          <w:sz w:val="24"/>
          <w:szCs w:val="24"/>
        </w:rPr>
        <w:t>Q7: What is the risk that your tipping points (£20k–£35k GDHI and 100–150 ports) are just overfitted to specific outlier regions?</w:t>
      </w:r>
    </w:p>
    <w:p w14:paraId="67AD05A6" w14:textId="77777777" w:rsidR="00267179" w:rsidRPr="00267179" w:rsidRDefault="00267179" w:rsidP="00267179">
      <w:pPr>
        <w:numPr>
          <w:ilvl w:val="0"/>
          <w:numId w:val="8"/>
        </w:numPr>
        <w:spacing w:before="100" w:after="100"/>
        <w:rPr>
          <w:rFonts w:ascii="Times New Roman" w:hAnsi="Times New Roman" w:cs="Times New Roman"/>
          <w:sz w:val="24"/>
          <w:szCs w:val="24"/>
        </w:rPr>
      </w:pPr>
      <w:r w:rsidRPr="00267179">
        <w:rPr>
          <w:rFonts w:ascii="Times New Roman" w:hAnsi="Times New Roman" w:cs="Times New Roman"/>
          <w:b/>
          <w:bCs/>
          <w:sz w:val="24"/>
          <w:szCs w:val="24"/>
        </w:rPr>
        <w:t>Answer:</w:t>
      </w:r>
      <w:r w:rsidRPr="00267179">
        <w:rPr>
          <w:rFonts w:ascii="Times New Roman" w:hAnsi="Times New Roman" w:cs="Times New Roman"/>
          <w:sz w:val="24"/>
          <w:szCs w:val="24"/>
        </w:rPr>
        <w:t xml:space="preserve"> That is a fair challenge, but our SHAP analysis mitigates this by using a global marginal contribution framework across all regions and years, rather than a single local fit. The inflection ranges we cite reflect a consistent pattern across the entire panel data. Furthermore, they align with analogous findings in EV adoption literature from comparable European markets.</w:t>
      </w:r>
    </w:p>
    <w:p w14:paraId="73BE9ABA" w14:textId="77777777" w:rsidR="00267179" w:rsidRPr="00267179" w:rsidRDefault="00267179" w:rsidP="00267179">
      <w:pPr>
        <w:spacing w:before="100" w:after="100"/>
        <w:ind w:left="360"/>
        <w:rPr>
          <w:rFonts w:ascii="Times New Roman" w:hAnsi="Times New Roman" w:cs="Times New Roman"/>
          <w:b/>
          <w:bCs/>
          <w:color w:val="006D77"/>
          <w:sz w:val="24"/>
          <w:szCs w:val="24"/>
        </w:rPr>
      </w:pPr>
      <w:r w:rsidRPr="00267179">
        <w:rPr>
          <w:rFonts w:ascii="Times New Roman" w:hAnsi="Times New Roman" w:cs="Times New Roman"/>
          <w:b/>
          <w:bCs/>
          <w:color w:val="006D77"/>
          <w:sz w:val="24"/>
          <w:szCs w:val="24"/>
        </w:rPr>
        <w:t>Q8: Explain the London "Car Ownership Paradox" again. If they own the fewest cars, how is their EV penetration so high?</w:t>
      </w:r>
    </w:p>
    <w:p w14:paraId="7242C136" w14:textId="77777777" w:rsidR="00267179" w:rsidRPr="00267179" w:rsidRDefault="00267179" w:rsidP="00267179">
      <w:pPr>
        <w:numPr>
          <w:ilvl w:val="0"/>
          <w:numId w:val="9"/>
        </w:numPr>
        <w:spacing w:before="100" w:after="100"/>
        <w:rPr>
          <w:rFonts w:ascii="Times New Roman" w:hAnsi="Times New Roman" w:cs="Times New Roman"/>
          <w:sz w:val="24"/>
          <w:szCs w:val="24"/>
        </w:rPr>
      </w:pPr>
      <w:r w:rsidRPr="00267179">
        <w:rPr>
          <w:rFonts w:ascii="Times New Roman" w:hAnsi="Times New Roman" w:cs="Times New Roman"/>
          <w:b/>
          <w:bCs/>
          <w:sz w:val="24"/>
          <w:szCs w:val="24"/>
        </w:rPr>
        <w:t>Answer:</w:t>
      </w:r>
      <w:r w:rsidRPr="00267179">
        <w:rPr>
          <w:rFonts w:ascii="Times New Roman" w:hAnsi="Times New Roman" w:cs="Times New Roman"/>
          <w:sz w:val="24"/>
          <w:szCs w:val="24"/>
        </w:rPr>
        <w:t xml:space="preserve"> London has fewer than 3,000 vehicles per 10,000 people, yet a 10.8% EV penetration rate. This occurs because London's car buyers are not representative of typical UK drivers; they are a concentrated demographic of high-income early adopters. They have the absolute purchasing power to absorb the premium price of an EV without needing a subsidy.</w:t>
      </w:r>
    </w:p>
    <w:p w14:paraId="05FB2756" w14:textId="77777777" w:rsidR="00267179" w:rsidRPr="00267179" w:rsidRDefault="00267179" w:rsidP="00267179">
      <w:pPr>
        <w:spacing w:before="100" w:after="100"/>
        <w:ind w:left="360"/>
        <w:rPr>
          <w:rFonts w:ascii="Times New Roman" w:hAnsi="Times New Roman" w:cs="Times New Roman"/>
          <w:b/>
          <w:bCs/>
          <w:color w:val="006D77"/>
          <w:sz w:val="24"/>
          <w:szCs w:val="24"/>
        </w:rPr>
      </w:pPr>
      <w:r w:rsidRPr="00267179">
        <w:rPr>
          <w:rFonts w:ascii="Times New Roman" w:hAnsi="Times New Roman" w:cs="Times New Roman"/>
          <w:b/>
          <w:bCs/>
          <w:color w:val="006D77"/>
          <w:sz w:val="24"/>
          <w:szCs w:val="24"/>
        </w:rPr>
        <w:t>Q9: How did you handle data gaps or missing Local Authority District (LAD) level data in your dataset?</w:t>
      </w:r>
    </w:p>
    <w:p w14:paraId="0F20C551" w14:textId="77777777" w:rsidR="00267179" w:rsidRPr="00267179" w:rsidRDefault="00267179" w:rsidP="00267179">
      <w:pPr>
        <w:numPr>
          <w:ilvl w:val="0"/>
          <w:numId w:val="10"/>
        </w:numPr>
        <w:spacing w:before="100" w:after="100"/>
        <w:rPr>
          <w:rFonts w:ascii="Times New Roman" w:hAnsi="Times New Roman" w:cs="Times New Roman"/>
          <w:sz w:val="24"/>
          <w:szCs w:val="24"/>
        </w:rPr>
      </w:pPr>
      <w:r w:rsidRPr="00267179">
        <w:rPr>
          <w:rFonts w:ascii="Times New Roman" w:hAnsi="Times New Roman" w:cs="Times New Roman"/>
          <w:b/>
          <w:bCs/>
          <w:sz w:val="24"/>
          <w:szCs w:val="24"/>
        </w:rPr>
        <w:t>Answer:</w:t>
      </w:r>
      <w:r w:rsidRPr="00267179">
        <w:rPr>
          <w:rFonts w:ascii="Times New Roman" w:hAnsi="Times New Roman" w:cs="Times New Roman"/>
          <w:sz w:val="24"/>
          <w:szCs w:val="24"/>
        </w:rPr>
        <w:t xml:space="preserve"> We used a mask approach, exempting the 2019 data point from the lagged variable recalculation to preserve the genuine 2018 historical baseline. For gaps in LAD-level data, our regional fixed effects absorbed unobservable local characteristics, allowing the model to run without requiring us to artificially impute missing values.</w:t>
      </w:r>
    </w:p>
    <w:p w14:paraId="773E7B4E" w14:textId="77777777" w:rsidR="00267179" w:rsidRPr="00267179" w:rsidRDefault="00000000" w:rsidP="00267179">
      <w:pPr>
        <w:spacing w:before="100" w:after="100"/>
        <w:ind w:left="360"/>
        <w:rPr>
          <w:rFonts w:ascii="Times New Roman" w:hAnsi="Times New Roman" w:cs="Times New Roman"/>
          <w:sz w:val="24"/>
          <w:szCs w:val="24"/>
        </w:rPr>
      </w:pPr>
      <w:r>
        <w:rPr>
          <w:rFonts w:ascii="Times New Roman" w:hAnsi="Times New Roman" w:cs="Times New Roman"/>
          <w:sz w:val="24"/>
          <w:szCs w:val="24"/>
        </w:rPr>
        <w:pict w14:anchorId="632E2EF6">
          <v:rect id="_x0000_i1026" style="width:0;height:1.5pt" o:hralign="center" o:hrstd="t" o:hr="t" fillcolor="#a0a0a0" stroked="f"/>
        </w:pict>
      </w:r>
    </w:p>
    <w:p w14:paraId="330D5918" w14:textId="77777777" w:rsidR="00267179" w:rsidRPr="00267179" w:rsidRDefault="00267179" w:rsidP="00267179">
      <w:pPr>
        <w:spacing w:before="100" w:after="100"/>
        <w:ind w:left="360"/>
        <w:rPr>
          <w:rFonts w:ascii="Times New Roman" w:hAnsi="Times New Roman" w:cs="Times New Roman"/>
          <w:b/>
          <w:bCs/>
          <w:color w:val="006D77"/>
          <w:sz w:val="24"/>
          <w:szCs w:val="24"/>
        </w:rPr>
      </w:pPr>
      <w:r w:rsidRPr="00267179">
        <w:rPr>
          <w:rFonts w:ascii="Times New Roman" w:hAnsi="Times New Roman" w:cs="Times New Roman"/>
          <w:b/>
          <w:bCs/>
          <w:color w:val="006D77"/>
          <w:sz w:val="24"/>
          <w:szCs w:val="24"/>
        </w:rPr>
        <w:t>Part 3: Strategy &amp; Policy</w:t>
      </w:r>
    </w:p>
    <w:p w14:paraId="221FCE01" w14:textId="77777777" w:rsidR="00267179" w:rsidRPr="00267179" w:rsidRDefault="00267179" w:rsidP="00267179">
      <w:pPr>
        <w:spacing w:before="100" w:after="100"/>
        <w:ind w:left="360"/>
        <w:rPr>
          <w:rFonts w:ascii="Times New Roman" w:hAnsi="Times New Roman" w:cs="Times New Roman"/>
          <w:b/>
          <w:bCs/>
          <w:color w:val="006D77"/>
          <w:sz w:val="24"/>
          <w:szCs w:val="24"/>
        </w:rPr>
      </w:pPr>
      <w:r w:rsidRPr="00267179">
        <w:rPr>
          <w:rFonts w:ascii="Times New Roman" w:hAnsi="Times New Roman" w:cs="Times New Roman"/>
          <w:b/>
          <w:bCs/>
          <w:color w:val="006D77"/>
          <w:sz w:val="24"/>
          <w:szCs w:val="24"/>
        </w:rPr>
        <w:t>Q10: Your recommendation says to target infrastructure only in areas that have reached the wealth threshold. Doesn't that mean abandoning poorer regions?</w:t>
      </w:r>
    </w:p>
    <w:p w14:paraId="50A63346" w14:textId="7FFFA5F6" w:rsidR="00267179" w:rsidRDefault="00267179" w:rsidP="00267179">
      <w:pPr>
        <w:numPr>
          <w:ilvl w:val="0"/>
          <w:numId w:val="11"/>
        </w:numPr>
        <w:spacing w:before="100" w:after="100"/>
        <w:rPr>
          <w:rFonts w:ascii="Times New Roman" w:hAnsi="Times New Roman" w:cs="Times New Roman"/>
          <w:sz w:val="24"/>
          <w:szCs w:val="24"/>
        </w:rPr>
      </w:pPr>
      <w:r w:rsidRPr="00267179">
        <w:rPr>
          <w:rFonts w:ascii="Times New Roman" w:hAnsi="Times New Roman" w:cs="Times New Roman"/>
          <w:b/>
          <w:bCs/>
          <w:sz w:val="24"/>
          <w:szCs w:val="24"/>
        </w:rPr>
        <w:t>Answer:</w:t>
      </w:r>
      <w:r w:rsidRPr="00267179">
        <w:rPr>
          <w:rFonts w:ascii="Times New Roman" w:hAnsi="Times New Roman" w:cs="Times New Roman"/>
          <w:sz w:val="24"/>
          <w:szCs w:val="24"/>
        </w:rPr>
        <w:t xml:space="preserve"> Not at all; it means sequencing our interventions effectively. Because EVs are currently premium goods constrained by purchasing power, putting chargers in low-income areas yields no measurable return on adoption right now. Poorer regions urgently need </w:t>
      </w:r>
      <w:r w:rsidRPr="00267179">
        <w:rPr>
          <w:rFonts w:ascii="Times New Roman" w:hAnsi="Times New Roman" w:cs="Times New Roman"/>
          <w:i/>
          <w:iCs/>
          <w:sz w:val="24"/>
          <w:szCs w:val="24"/>
        </w:rPr>
        <w:t>asymmetric subsidies</w:t>
      </w:r>
      <w:r w:rsidRPr="00267179">
        <w:rPr>
          <w:rFonts w:ascii="Times New Roman" w:hAnsi="Times New Roman" w:cs="Times New Roman"/>
          <w:sz w:val="24"/>
          <w:szCs w:val="24"/>
        </w:rPr>
        <w:t xml:space="preserve"> (purchase grants) first to overcome the wealth barrier. Once that barrier is lowered, infrastructure investment will be effective.</w:t>
      </w:r>
    </w:p>
    <w:p w14:paraId="1D287ED8" w14:textId="79D56ED4" w:rsidR="00601CDB" w:rsidRDefault="00000000" w:rsidP="00601CDB">
      <w:pPr>
        <w:spacing w:before="100" w:after="100"/>
        <w:ind w:left="360"/>
        <w:rPr>
          <w:rFonts w:ascii="Times New Roman" w:hAnsi="Times New Roman" w:cs="Times New Roman"/>
          <w:sz w:val="24"/>
          <w:szCs w:val="24"/>
        </w:rPr>
      </w:pPr>
      <w:r>
        <w:rPr>
          <w:rFonts w:ascii="Times New Roman" w:hAnsi="Times New Roman" w:cs="Times New Roman"/>
          <w:sz w:val="24"/>
          <w:szCs w:val="24"/>
        </w:rPr>
        <w:pict w14:anchorId="3596EB80">
          <v:rect id="_x0000_i1027" style="width:0;height:1.5pt" o:hralign="center" o:hrstd="t" o:hr="t" fillcolor="#a0a0a0" stroked="f"/>
        </w:pict>
      </w:r>
    </w:p>
    <w:p w14:paraId="285FCEEC" w14:textId="77777777" w:rsidR="000F5D73" w:rsidRPr="000F5D73" w:rsidRDefault="000F5D73" w:rsidP="000F5D73">
      <w:pPr>
        <w:spacing w:before="100" w:after="100"/>
        <w:rPr>
          <w:rFonts w:ascii="Times New Roman" w:hAnsi="Times New Roman" w:cs="Times New Roman"/>
          <w:b/>
          <w:bCs/>
          <w:color w:val="006D77"/>
          <w:sz w:val="24"/>
          <w:szCs w:val="24"/>
        </w:rPr>
      </w:pPr>
      <w:r w:rsidRPr="000F5D73">
        <w:rPr>
          <w:rFonts w:ascii="Times New Roman" w:hAnsi="Times New Roman" w:cs="Times New Roman"/>
          <w:b/>
          <w:bCs/>
          <w:color w:val="006D77"/>
          <w:sz w:val="24"/>
          <w:szCs w:val="24"/>
        </w:rPr>
        <w:t>How the 50.24% Ceiling Drives the Mathematical Model</w:t>
      </w:r>
    </w:p>
    <w:p w14:paraId="41651180" w14:textId="1A32A94A" w:rsidR="000F5D73" w:rsidRPr="000F5D73" w:rsidRDefault="000F5D73" w:rsidP="000F5D73">
      <w:pPr>
        <w:pStyle w:val="NormalWeb"/>
        <w:spacing w:before="0" w:beforeAutospacing="0"/>
      </w:pPr>
      <w:r w:rsidRPr="000F5D73">
        <w:t>We integrated the 50.24% ceiling into a "Panel Fractional Logit Model" to act as a hard mathematical limit. They achieved this through the following steps:</w:t>
      </w:r>
    </w:p>
    <w:p w14:paraId="5D5D38EF" w14:textId="18780130" w:rsidR="000F5D73" w:rsidRPr="000F5D73" w:rsidRDefault="000F5D73" w:rsidP="000F5D73">
      <w:pPr>
        <w:pStyle w:val="NormalWeb"/>
        <w:numPr>
          <w:ilvl w:val="0"/>
          <w:numId w:val="12"/>
        </w:numPr>
        <w:spacing w:before="0" w:beforeAutospacing="0"/>
      </w:pPr>
      <w:r w:rsidRPr="000F5D73">
        <w:rPr>
          <w:b/>
          <w:bCs/>
        </w:rPr>
        <w:t>Step 1: Logit Space Mapping:</w:t>
      </w:r>
      <w:r w:rsidRPr="000F5D73">
        <w:t xml:space="preserve"> We transformed the real-world penetration rate </w:t>
      </w:r>
      <m:oMath>
        <m:sSub>
          <m:sSubPr>
            <m:ctrlPr>
              <w:rPr>
                <w:rFonts w:ascii="Cambria Math" w:hAnsi="Cambria Math"/>
                <w:i/>
              </w:rPr>
            </m:ctrlPr>
          </m:sSubPr>
          <m:e>
            <m:r>
              <w:rPr>
                <w:rFonts w:ascii="Cambria Math" w:hAnsi="Cambria Math"/>
              </w:rPr>
              <m:t>P</m:t>
            </m:r>
          </m:e>
          <m:sub>
            <m:r>
              <w:rPr>
                <w:rFonts w:ascii="Cambria Math" w:hAnsi="Cambria Math"/>
              </w:rPr>
              <m:t>i, t</m:t>
            </m:r>
          </m:sub>
        </m:sSub>
      </m:oMath>
      <w:r w:rsidRPr="000F5D73">
        <w:t xml:space="preserve">using the equation </w:t>
      </w:r>
      <m:oMath>
        <m:sSub>
          <m:sSubPr>
            <m:ctrlPr>
              <w:rPr>
                <w:rFonts w:ascii="Cambria Math" w:hAnsi="Cambria Math"/>
                <w:i/>
                <w:iCs/>
              </w:rPr>
            </m:ctrlPr>
          </m:sSubPr>
          <m:e>
            <m:r>
              <w:rPr>
                <w:rFonts w:ascii="Cambria Math" w:hAnsi="Cambria Math"/>
              </w:rPr>
              <m:t>Y</m:t>
            </m:r>
          </m:e>
          <m:sub>
            <m:r>
              <w:rPr>
                <w:rFonts w:ascii="Cambria Math" w:hAnsi="Cambria Math"/>
              </w:rPr>
              <m:t>i, t</m:t>
            </m:r>
          </m:sub>
        </m:sSub>
        <m:r>
          <w:rPr>
            <w:rFonts w:ascii="Cambria Math" w:hAnsi="Cambria Math"/>
          </w:rPr>
          <m:t>=ln</m:t>
        </m:r>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P</m:t>
                    </m:r>
                  </m:e>
                  <m:sub>
                    <m:r>
                      <w:rPr>
                        <w:rFonts w:ascii="Cambria Math" w:hAnsi="Cambria Math"/>
                      </w:rPr>
                      <m:t>i,t</m:t>
                    </m:r>
                  </m:sub>
                </m:sSub>
              </m:num>
              <m:den>
                <m:r>
                  <w:rPr>
                    <w:rFonts w:ascii="Cambria Math" w:hAnsi="Cambria Math"/>
                  </w:rPr>
                  <m:t>50.24%-</m:t>
                </m:r>
                <m:sSub>
                  <m:sSubPr>
                    <m:ctrlPr>
                      <w:rPr>
                        <w:rFonts w:ascii="Cambria Math" w:hAnsi="Cambria Math"/>
                        <w:i/>
                        <w:iCs/>
                      </w:rPr>
                    </m:ctrlPr>
                  </m:sSubPr>
                  <m:e>
                    <m:r>
                      <w:rPr>
                        <w:rFonts w:ascii="Cambria Math" w:hAnsi="Cambria Math"/>
                      </w:rPr>
                      <m:t>P</m:t>
                    </m:r>
                  </m:e>
                  <m:sub>
                    <m:r>
                      <w:rPr>
                        <w:rFonts w:ascii="Cambria Math" w:hAnsi="Cambria Math"/>
                      </w:rPr>
                      <m:t>i,t</m:t>
                    </m:r>
                  </m:sub>
                </m:sSub>
              </m:den>
            </m:f>
          </m:e>
        </m:d>
      </m:oMath>
      <w:r w:rsidRPr="000F5D73">
        <w:rPr>
          <w:iCs/>
        </w:rPr>
        <w:t xml:space="preserve"> </w:t>
      </w:r>
      <w:r w:rsidRPr="000F5D73">
        <w:t xml:space="preserve">This specific transformation takes a restricted real-world percentage and maps it into an unbounded Logit momentum space ranging from </w:t>
      </w:r>
      <m:oMath>
        <m:d>
          <m:dPr>
            <m:ctrlPr>
              <w:rPr>
                <w:rFonts w:ascii="Cambria Math" w:hAnsi="Cambria Math"/>
                <w:i/>
              </w:rPr>
            </m:ctrlPr>
          </m:dPr>
          <m:e>
            <m:r>
              <w:rPr>
                <w:rFonts w:ascii="Cambria Math" w:hAnsi="Cambria Math"/>
              </w:rPr>
              <m:t>-∞, +∞</m:t>
            </m:r>
          </m:e>
        </m:d>
      </m:oMath>
      <w:r w:rsidRPr="000F5D73">
        <w:t>.</w:t>
      </w:r>
    </w:p>
    <w:p w14:paraId="5C5E1611" w14:textId="77777777" w:rsidR="000F5D73" w:rsidRPr="000F5D73" w:rsidRDefault="000F5D73" w:rsidP="000F5D73">
      <w:pPr>
        <w:pStyle w:val="NormalWeb"/>
        <w:numPr>
          <w:ilvl w:val="0"/>
          <w:numId w:val="12"/>
        </w:numPr>
        <w:spacing w:before="0" w:beforeAutospacing="0"/>
      </w:pPr>
      <w:r w:rsidRPr="000F5D73">
        <w:rPr>
          <w:b/>
          <w:bCs/>
        </w:rPr>
        <w:t>Step 2: Mathematical Self-Correction:</w:t>
      </w:r>
      <w:r w:rsidRPr="000F5D73">
        <w:t xml:space="preserve"> As a region's EV penetration rate gets closer to the 50.24% absolute ceiling, the denominator in that equation shrinks toward zero. This dynamic mathematically forces the adoption growth rate to decelerate and self-correct, producing a realistic S-curve rather than an impossible exponential spike.</w:t>
      </w:r>
    </w:p>
    <w:p w14:paraId="208183F0" w14:textId="004CBCBF" w:rsidR="000F5D73" w:rsidRPr="000F5D73" w:rsidRDefault="000F5D73" w:rsidP="000F5D73">
      <w:pPr>
        <w:pStyle w:val="NormalWeb"/>
        <w:numPr>
          <w:ilvl w:val="0"/>
          <w:numId w:val="12"/>
        </w:numPr>
        <w:spacing w:before="0" w:beforeAutospacing="0"/>
      </w:pPr>
      <w:r w:rsidRPr="000F5D73">
        <w:rPr>
          <w:b/>
          <w:bCs/>
        </w:rPr>
        <w:lastRenderedPageBreak/>
        <w:t>Step 3: Simulating Economic Friction:</w:t>
      </w:r>
      <w:r w:rsidRPr="000F5D73">
        <w:t xml:space="preserve"> In the Logit space, as penetration approaches the ceiling, the partial derivative </w:t>
      </w:r>
      <m:oMath>
        <m:f>
          <m:fPr>
            <m:ctrlPr>
              <w:rPr>
                <w:rFonts w:ascii="Cambria Math" w:hAnsi="Cambria Math"/>
                <w:i/>
              </w:rPr>
            </m:ctrlPr>
          </m:fPr>
          <m:num>
            <m:r>
              <w:rPr>
                <w:rFonts w:ascii="Cambria Math" w:hAnsi="Cambria Math"/>
              </w:rPr>
              <m:t>∂P</m:t>
            </m:r>
          </m:num>
          <m:den>
            <m:r>
              <w:rPr>
                <w:rFonts w:ascii="Cambria Math" w:hAnsi="Cambria Math"/>
              </w:rPr>
              <m:t>∂GDHI</m:t>
            </m:r>
          </m:den>
        </m:f>
      </m:oMath>
      <w:r w:rsidRPr="000F5D73">
        <w:t>exponentially decays. This acts as "Logit calculus magic" to automatically model the real-world economic barriers of lower-income demographics being unable to afford EVs, eliminating the need to manually adjust variable weights.</w:t>
      </w:r>
    </w:p>
    <w:p w14:paraId="670E3993" w14:textId="0114630B" w:rsidR="00BE116C" w:rsidRDefault="000F5D73" w:rsidP="00835326">
      <w:pPr>
        <w:pStyle w:val="NormalWeb"/>
        <w:numPr>
          <w:ilvl w:val="0"/>
          <w:numId w:val="12"/>
        </w:numPr>
        <w:spacing w:before="0" w:beforeAutospacing="0"/>
      </w:pPr>
      <w:r w:rsidRPr="000F5D73">
        <w:rPr>
          <w:b/>
          <w:bCs/>
        </w:rPr>
        <w:t>Step 4: Inverse Transformation:</w:t>
      </w:r>
      <w:r w:rsidRPr="000F5D73">
        <w:t xml:space="preserve"> After calculating the predictions in the Logit space, the team used the ‘</w:t>
      </w:r>
      <w:r w:rsidRPr="000F5D73">
        <w:rPr>
          <w:rStyle w:val="HTMLCode"/>
          <w:rFonts w:ascii="Times New Roman" w:hAnsi="Times New Roman" w:cs="Times New Roman"/>
          <w:sz w:val="24"/>
          <w:szCs w:val="24"/>
        </w:rPr>
        <w:t>expit’</w:t>
      </w:r>
      <w:r w:rsidRPr="000F5D73">
        <w:t xml:space="preserve"> (Sigmoid) function. This acts as a dimensional upgrade, pulling the predicted means and the 95% confidence intervals back into the physical reality of regional percentages (</w:t>
      </w:r>
      <m:oMath>
        <m:sSub>
          <m:sSubPr>
            <m:ctrlPr>
              <w:rPr>
                <w:rFonts w:ascii="Cambria Math" w:hAnsi="Cambria Math"/>
                <w:i/>
              </w:rPr>
            </m:ctrlPr>
          </m:sSubPr>
          <m:e>
            <m:r>
              <w:rPr>
                <w:rFonts w:ascii="Cambria Math" w:hAnsi="Cambria Math"/>
              </w:rPr>
              <m:t>P</m:t>
            </m:r>
          </m:e>
          <m:sub>
            <m:r>
              <w:rPr>
                <w:rFonts w:ascii="Cambria Math" w:hAnsi="Cambria Math"/>
              </w:rPr>
              <m:t>i,t</m:t>
            </m:r>
          </m:sub>
        </m:sSub>
      </m:oMath>
      <w:r w:rsidRPr="000F5D73">
        <w:t>).</w:t>
      </w:r>
    </w:p>
    <w:p w14:paraId="369AD5A8" w14:textId="30EC4525" w:rsidR="00F56631" w:rsidRDefault="00F56631" w:rsidP="00F56631">
      <w:pPr>
        <w:pStyle w:val="NormalWeb"/>
        <w:spacing w:before="0" w:beforeAutospacing="0"/>
        <w:ind w:left="360"/>
      </w:pPr>
      <w:r>
        <w:pict w14:anchorId="6AFE1804">
          <v:rect id="_x0000_i1028" style="width:0;height:1.5pt" o:hralign="center" o:hrstd="t" o:hr="t" fillcolor="#a0a0a0" stroked="f"/>
        </w:pict>
      </w:r>
    </w:p>
    <w:p w14:paraId="7C129E09" w14:textId="51743D4E" w:rsidR="00F56631" w:rsidRPr="00F56631" w:rsidRDefault="00F56631" w:rsidP="00F56631">
      <w:pPr>
        <w:pStyle w:val="NormalWeb"/>
        <w:spacing w:before="0" w:beforeAutospacing="0"/>
        <w:ind w:left="360"/>
        <w:rPr>
          <w:rFonts w:eastAsia="Calibri"/>
          <w:b/>
          <w:bCs/>
          <w:color w:val="006D77"/>
        </w:rPr>
      </w:pPr>
      <w:r w:rsidRPr="00F56631">
        <w:rPr>
          <w:rFonts w:eastAsia="Calibri"/>
          <w:b/>
          <w:bCs/>
          <w:color w:val="006D77"/>
        </w:rPr>
        <w:t>50.24% Calculation</w:t>
      </w:r>
    </w:p>
    <w:p w14:paraId="5670A353" w14:textId="1B917B4B" w:rsidR="00F56631" w:rsidRDefault="00F56631" w:rsidP="00F56631">
      <w:pPr>
        <w:pStyle w:val="NormalWeb"/>
        <w:numPr>
          <w:ilvl w:val="0"/>
          <w:numId w:val="13"/>
        </w:numPr>
      </w:pPr>
      <w:r>
        <w:t xml:space="preserve">Legal Mandates: </w:t>
      </w:r>
      <w:r>
        <w:t>We</w:t>
      </w:r>
      <w:r>
        <w:t xml:space="preserve"> utilized the UK's ZEV Mandate (2023 Vehicle Emissions Trading Scheme Order), which legally locks in the required sales proportion for each year from 2024 to 2035.</w:t>
      </w:r>
    </w:p>
    <w:p w14:paraId="6308A27D" w14:textId="0A56A28E" w:rsidR="00F56631" w:rsidRDefault="00F56631" w:rsidP="00F56631">
      <w:pPr>
        <w:pStyle w:val="NormalWeb"/>
        <w:numPr>
          <w:ilvl w:val="0"/>
          <w:numId w:val="13"/>
        </w:numPr>
      </w:pPr>
      <w:r>
        <w:t xml:space="preserve">Baseline Volumes: </w:t>
      </w:r>
      <w:r>
        <w:t>We</w:t>
      </w:r>
      <w:r>
        <w:t xml:space="preserve"> identified that the UK has an average annual new car sales volume of roughly 2 million vehicles (from SMMT data), a total vehicle stock of 33 million, and a starting electric vehicle stock of 1 million as of 2023.</w:t>
      </w:r>
    </w:p>
    <w:p w14:paraId="78DCAE9E" w14:textId="6B5F8159" w:rsidR="00F56631" w:rsidRDefault="00F56631" w:rsidP="00F56631">
      <w:pPr>
        <w:pStyle w:val="NormalWeb"/>
        <w:numPr>
          <w:ilvl w:val="0"/>
          <w:numId w:val="13"/>
        </w:numPr>
      </w:pPr>
      <w:r>
        <w:t xml:space="preserve">Projecting New EVs: </w:t>
      </w:r>
      <w:r>
        <w:t xml:space="preserve">We </w:t>
      </w:r>
      <w:r>
        <w:t>multiplied the 2 million annual sales by 7.79 (the calculated sum of the 12 years of mandated ZEV proportions) to project that 15.58 million new electric vehicles will be added to the roads.</w:t>
      </w:r>
    </w:p>
    <w:p w14:paraId="60FD090D" w14:textId="510435B1" w:rsidR="00F56631" w:rsidRDefault="00F56631" w:rsidP="00F56631">
      <w:pPr>
        <w:pStyle w:val="NormalWeb"/>
        <w:numPr>
          <w:ilvl w:val="0"/>
          <w:numId w:val="13"/>
        </w:numPr>
      </w:pPr>
      <w:r>
        <w:t xml:space="preserve">Final Calculation: </w:t>
      </w:r>
      <w:r>
        <w:t>We</w:t>
      </w:r>
      <w:r>
        <w:t xml:space="preserve"> added the projected 15.58 million new EVs to the existing 1 million EVs from </w:t>
      </w:r>
      <w:r>
        <w:t>2023 and</w:t>
      </w:r>
      <w:r>
        <w:t xml:space="preserve"> divided that total by the 33 million total vehicle stock to arrive at exactly 50.24%.</w:t>
      </w:r>
    </w:p>
    <w:p w14:paraId="4D28CF83" w14:textId="23B9D6A3" w:rsidR="00806A36" w:rsidRDefault="00806A36" w:rsidP="00806A36">
      <w:pPr>
        <w:pStyle w:val="NormalWeb"/>
      </w:pPr>
      <w:r>
        <w:pict w14:anchorId="31ADB5B3">
          <v:rect id="_x0000_i1029" style="width:0;height:1.5pt" o:hralign="center" o:hrstd="t" o:hr="t" fillcolor="#a0a0a0" stroked="f"/>
        </w:pict>
      </w:r>
    </w:p>
    <w:p w14:paraId="00E6B970" w14:textId="77777777" w:rsidR="00806A36" w:rsidRPr="00806A36" w:rsidRDefault="00806A36" w:rsidP="00806A36">
      <w:pPr>
        <w:pStyle w:val="Heading3"/>
        <w:rPr>
          <w:rFonts w:ascii="Times New Roman" w:hAnsi="Times New Roman" w:cs="Times New Roman"/>
          <w:b/>
          <w:bCs/>
          <w:color w:val="006D77"/>
        </w:rPr>
      </w:pPr>
      <w:r w:rsidRPr="00806A36">
        <w:rPr>
          <w:rFonts w:ascii="Times New Roman" w:hAnsi="Times New Roman" w:cs="Times New Roman"/>
          <w:b/>
          <w:bCs/>
          <w:color w:val="006D77"/>
        </w:rPr>
        <w:t>The Vehicle-to-Population Drift Cap</w:t>
      </w:r>
    </w:p>
    <w:p w14:paraId="55B4C9CD" w14:textId="66A55FEA" w:rsidR="00806A36" w:rsidRPr="00806A36" w:rsidRDefault="00806A36" w:rsidP="00806A36">
      <w:pPr>
        <w:pStyle w:val="NormalWeb"/>
        <w:rPr>
          <w:rFonts w:eastAsia="Calibri"/>
          <w:b/>
          <w:bCs/>
          <w:color w:val="006D77"/>
        </w:rPr>
      </w:pPr>
      <w:r w:rsidRPr="00806A36">
        <w:rPr>
          <w:rFonts w:eastAsia="Calibri"/>
          <w:b/>
          <w:bCs/>
          <w:color w:val="006D77"/>
        </w:rPr>
        <w:t>The "drift cap" functions as a physical anchor in the forecasting engine to keep predictions tethered to demographic reality.</w:t>
      </w:r>
    </w:p>
    <w:p w14:paraId="78D64F46" w14:textId="4F22056D" w:rsidR="00806A36" w:rsidRDefault="00806A36" w:rsidP="00806A36">
      <w:pPr>
        <w:pStyle w:val="NormalWeb"/>
        <w:numPr>
          <w:ilvl w:val="0"/>
          <w:numId w:val="13"/>
        </w:numPr>
      </w:pPr>
      <w:r>
        <w:rPr>
          <w:b/>
          <w:bCs/>
        </w:rPr>
        <w:t>The Mechanism:</w:t>
      </w:r>
      <w:r>
        <w:t xml:space="preserve"> The model strictly limits the annual change—or "drift"—in the ratio of vehicles to people to a narrow window of </w:t>
      </w:r>
      <w:r>
        <w:rPr>
          <w:b/>
          <w:bCs/>
        </w:rPr>
        <w:t>±0.5%</w:t>
      </w:r>
      <w:r>
        <w:t xml:space="preserve">. In the codebase, this boundary is enforced using the function </w:t>
      </w:r>
      <w:proofErr w:type="spellStart"/>
      <w:r>
        <w:rPr>
          <w:rStyle w:val="HTMLCode"/>
        </w:rPr>
        <w:t>np.clip</w:t>
      </w:r>
      <w:proofErr w:type="spellEnd"/>
      <w:r>
        <w:rPr>
          <w:rStyle w:val="HTMLCode"/>
        </w:rPr>
        <w:t>(-0.005, 0.005)</w:t>
      </w:r>
      <w:r>
        <w:t>.</w:t>
      </w:r>
    </w:p>
    <w:p w14:paraId="50AC3BF2" w14:textId="74A971D9" w:rsidR="00806A36" w:rsidRDefault="00806A36" w:rsidP="00806A36">
      <w:pPr>
        <w:pStyle w:val="NormalWeb"/>
        <w:numPr>
          <w:ilvl w:val="0"/>
          <w:numId w:val="13"/>
        </w:numPr>
      </w:pPr>
      <w:r>
        <w:rPr>
          <w:b/>
          <w:bCs/>
        </w:rPr>
        <w:t>The Rationale:</w:t>
      </w:r>
      <w:r>
        <w:t xml:space="preserve"> The number of vehicles per 1,000 people is a highly stable macroeconomic metric. By capping the drift rate, the model uses the "gravity" of the human population to tether the total vehicle count, preventing the two metrics from decoupling.</w:t>
      </w:r>
    </w:p>
    <w:p w14:paraId="7A849524" w14:textId="6FA23EC9" w:rsidR="00806A36" w:rsidRDefault="00806A36" w:rsidP="00806A36">
      <w:pPr>
        <w:pStyle w:val="NormalWeb"/>
        <w:numPr>
          <w:ilvl w:val="0"/>
          <w:numId w:val="13"/>
        </w:numPr>
      </w:pPr>
      <w:r>
        <w:rPr>
          <w:b/>
          <w:bCs/>
        </w:rPr>
        <w:t>Preventing Absurdities:</w:t>
      </w:r>
      <w:r>
        <w:t xml:space="preserve"> Without this constraint, regression algorithms can break down in areas experiencing population decline, such as old industrial regions. An unconstrained model might mathematically project physically impossible scenarios where there are more cars than actual people—for instance, generating a disastrously inaccurate forecast of 3 cars per person.</w:t>
      </w:r>
    </w:p>
    <w:p w14:paraId="255FE9A3" w14:textId="77777777" w:rsidR="00F56631" w:rsidRPr="00835326" w:rsidRDefault="00F56631" w:rsidP="00F56631">
      <w:pPr>
        <w:pStyle w:val="NormalWeb"/>
      </w:pPr>
    </w:p>
    <w:sectPr w:rsidR="00F56631" w:rsidRPr="0083532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57D3"/>
    <w:multiLevelType w:val="hybridMultilevel"/>
    <w:tmpl w:val="ECFC2208"/>
    <w:lvl w:ilvl="0" w:tplc="E9F045B2">
      <w:start w:val="1"/>
      <w:numFmt w:val="bullet"/>
      <w:lvlText w:val="●"/>
      <w:lvlJc w:val="left"/>
      <w:pPr>
        <w:ind w:left="720" w:hanging="360"/>
      </w:pPr>
    </w:lvl>
    <w:lvl w:ilvl="1" w:tplc="11146FE2">
      <w:start w:val="1"/>
      <w:numFmt w:val="bullet"/>
      <w:lvlText w:val="○"/>
      <w:lvlJc w:val="left"/>
      <w:pPr>
        <w:ind w:left="1440" w:hanging="360"/>
      </w:pPr>
    </w:lvl>
    <w:lvl w:ilvl="2" w:tplc="AA46D5F8">
      <w:start w:val="1"/>
      <w:numFmt w:val="bullet"/>
      <w:lvlText w:val="■"/>
      <w:lvlJc w:val="left"/>
      <w:pPr>
        <w:ind w:left="2160" w:hanging="360"/>
      </w:pPr>
    </w:lvl>
    <w:lvl w:ilvl="3" w:tplc="0FB88B5C">
      <w:start w:val="1"/>
      <w:numFmt w:val="bullet"/>
      <w:lvlText w:val="●"/>
      <w:lvlJc w:val="left"/>
      <w:pPr>
        <w:ind w:left="2880" w:hanging="360"/>
      </w:pPr>
    </w:lvl>
    <w:lvl w:ilvl="4" w:tplc="BF8E264E">
      <w:start w:val="1"/>
      <w:numFmt w:val="bullet"/>
      <w:lvlText w:val="○"/>
      <w:lvlJc w:val="left"/>
      <w:pPr>
        <w:ind w:left="3600" w:hanging="360"/>
      </w:pPr>
    </w:lvl>
    <w:lvl w:ilvl="5" w:tplc="00228D08">
      <w:start w:val="1"/>
      <w:numFmt w:val="bullet"/>
      <w:lvlText w:val="■"/>
      <w:lvlJc w:val="left"/>
      <w:pPr>
        <w:ind w:left="4320" w:hanging="360"/>
      </w:pPr>
    </w:lvl>
    <w:lvl w:ilvl="6" w:tplc="E7EC0A46">
      <w:start w:val="1"/>
      <w:numFmt w:val="bullet"/>
      <w:lvlText w:val="●"/>
      <w:lvlJc w:val="left"/>
      <w:pPr>
        <w:ind w:left="5040" w:hanging="360"/>
      </w:pPr>
    </w:lvl>
    <w:lvl w:ilvl="7" w:tplc="6696F19C">
      <w:start w:val="1"/>
      <w:numFmt w:val="bullet"/>
      <w:lvlText w:val="●"/>
      <w:lvlJc w:val="left"/>
      <w:pPr>
        <w:ind w:left="5760" w:hanging="360"/>
      </w:pPr>
    </w:lvl>
    <w:lvl w:ilvl="8" w:tplc="797E5E34">
      <w:start w:val="1"/>
      <w:numFmt w:val="bullet"/>
      <w:lvlText w:val="●"/>
      <w:lvlJc w:val="left"/>
      <w:pPr>
        <w:ind w:left="6480" w:hanging="360"/>
      </w:pPr>
    </w:lvl>
  </w:abstractNum>
  <w:abstractNum w:abstractNumId="1" w15:restartNumberingAfterBreak="0">
    <w:nsid w:val="14287DBE"/>
    <w:multiLevelType w:val="multilevel"/>
    <w:tmpl w:val="8738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E2078"/>
    <w:multiLevelType w:val="multilevel"/>
    <w:tmpl w:val="B48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560E5"/>
    <w:multiLevelType w:val="hybridMultilevel"/>
    <w:tmpl w:val="D876B7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F580517"/>
    <w:multiLevelType w:val="multilevel"/>
    <w:tmpl w:val="ED9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25AF9"/>
    <w:multiLevelType w:val="multilevel"/>
    <w:tmpl w:val="7FA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B278C"/>
    <w:multiLevelType w:val="multilevel"/>
    <w:tmpl w:val="CC98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F3971"/>
    <w:multiLevelType w:val="multilevel"/>
    <w:tmpl w:val="C768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B4222"/>
    <w:multiLevelType w:val="multilevel"/>
    <w:tmpl w:val="A77C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41E66"/>
    <w:multiLevelType w:val="multilevel"/>
    <w:tmpl w:val="E5C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422EF"/>
    <w:multiLevelType w:val="multilevel"/>
    <w:tmpl w:val="A3A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26283"/>
    <w:multiLevelType w:val="multilevel"/>
    <w:tmpl w:val="1104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8B0B1C"/>
    <w:multiLevelType w:val="multilevel"/>
    <w:tmpl w:val="AD18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84862">
    <w:abstractNumId w:val="0"/>
    <w:lvlOverride w:ilvl="0">
      <w:startOverride w:val="1"/>
    </w:lvlOverride>
  </w:num>
  <w:num w:numId="2" w16cid:durableId="1772504501">
    <w:abstractNumId w:val="10"/>
  </w:num>
  <w:num w:numId="3" w16cid:durableId="119879287">
    <w:abstractNumId w:val="12"/>
  </w:num>
  <w:num w:numId="4" w16cid:durableId="848445283">
    <w:abstractNumId w:val="5"/>
  </w:num>
  <w:num w:numId="5" w16cid:durableId="936256385">
    <w:abstractNumId w:val="11"/>
  </w:num>
  <w:num w:numId="6" w16cid:durableId="1388261911">
    <w:abstractNumId w:val="7"/>
  </w:num>
  <w:num w:numId="7" w16cid:durableId="1415784371">
    <w:abstractNumId w:val="8"/>
  </w:num>
  <w:num w:numId="8" w16cid:durableId="617183118">
    <w:abstractNumId w:val="2"/>
  </w:num>
  <w:num w:numId="9" w16cid:durableId="501362435">
    <w:abstractNumId w:val="9"/>
  </w:num>
  <w:num w:numId="10" w16cid:durableId="348415915">
    <w:abstractNumId w:val="4"/>
  </w:num>
  <w:num w:numId="11" w16cid:durableId="1326476260">
    <w:abstractNumId w:val="6"/>
  </w:num>
  <w:num w:numId="12" w16cid:durableId="1702432513">
    <w:abstractNumId w:val="1"/>
  </w:num>
  <w:num w:numId="13" w16cid:durableId="1711757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16C"/>
    <w:rsid w:val="000F5D73"/>
    <w:rsid w:val="00107AD0"/>
    <w:rsid w:val="001C0C45"/>
    <w:rsid w:val="00267179"/>
    <w:rsid w:val="003C06F9"/>
    <w:rsid w:val="00440CED"/>
    <w:rsid w:val="00533FD9"/>
    <w:rsid w:val="00601CDB"/>
    <w:rsid w:val="00806A36"/>
    <w:rsid w:val="0083234E"/>
    <w:rsid w:val="00835326"/>
    <w:rsid w:val="00836FF9"/>
    <w:rsid w:val="008C3269"/>
    <w:rsid w:val="00BE116C"/>
    <w:rsid w:val="00C47C0C"/>
    <w:rsid w:val="00C61585"/>
    <w:rsid w:val="00CA4270"/>
    <w:rsid w:val="00F424A8"/>
    <w:rsid w:val="00F5663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D0AB4"/>
  <w15:docId w15:val="{C013B752-EDED-4730-A6CE-58B8F7C7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27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0F5D73"/>
    <w:pPr>
      <w:spacing w:before="100" w:beforeAutospacing="1" w:after="100" w:afterAutospacing="1"/>
    </w:pPr>
    <w:rPr>
      <w:rFonts w:ascii="Times New Roman" w:eastAsia="Times New Roman" w:hAnsi="Times New Roman" w:cs="Times New Roman"/>
      <w:color w:val="auto"/>
      <w:sz w:val="24"/>
      <w:szCs w:val="24"/>
    </w:rPr>
  </w:style>
  <w:style w:type="character" w:customStyle="1" w:styleId="math-inline">
    <w:name w:val="math-inline"/>
    <w:basedOn w:val="DefaultParagraphFont"/>
    <w:rsid w:val="000F5D73"/>
  </w:style>
  <w:style w:type="character" w:styleId="HTMLCode">
    <w:name w:val="HTML Code"/>
    <w:basedOn w:val="DefaultParagraphFont"/>
    <w:uiPriority w:val="99"/>
    <w:semiHidden/>
    <w:unhideWhenUsed/>
    <w:rsid w:val="000F5D73"/>
    <w:rPr>
      <w:rFonts w:ascii="Courier New" w:eastAsia="Times New Roman" w:hAnsi="Courier New" w:cs="Courier New"/>
      <w:sz w:val="20"/>
      <w:szCs w:val="20"/>
    </w:rPr>
  </w:style>
  <w:style w:type="character" w:styleId="PlaceholderText">
    <w:name w:val="Placeholder Text"/>
    <w:basedOn w:val="DefaultParagraphFont"/>
    <w:uiPriority w:val="99"/>
    <w:semiHidden/>
    <w:rsid w:val="000F5D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8</Pages>
  <Words>2870</Words>
  <Characters>16359</Characters>
  <Application>Microsoft Office Word</Application>
  <DocSecurity>0</DocSecurity>
  <Lines>136</Lines>
  <Paragraphs>38</Paragraphs>
  <ScaleCrop>false</ScaleCrop>
  <Company/>
  <LinksUpToDate>false</LinksUpToDate>
  <CharactersWithSpaces>19191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Wang</cp:lastModifiedBy>
  <cp:revision>17</cp:revision>
  <dcterms:created xsi:type="dcterms:W3CDTF">2026-03-10T20:11:00Z</dcterms:created>
  <dcterms:modified xsi:type="dcterms:W3CDTF">2026-03-11T12:21:00Z</dcterms:modified>
</cp:coreProperties>
</file>