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Earnings transcript Q1 2026: Revenue grew 12% year over year to $85M. Operating income rose to $9.4M driven by software subscription growth. Management expects headcount to stay flat while capex in AI data centers doubles.</w:t>
      </w:r>
    </w:p>
    <w:p>
      <w:r>
        <w:t>Net income attributable to GAAP requirements... hmm, this is plain text, so sentence-two of the transcript covers guidance: full-year guidance is 8-11% organic revenue growth with adjusted free cash flow margin around 18%.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