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Portfolio Math Appendix (With Variable Definitions)</w:t>
      </w:r>
    </w:p>
    <w:p>
      <w:pPr>
        <w:pStyle w:val="Heading2"/>
      </w:pPr>
      <w:r>
        <w:t>1. Portfolio Value &amp; Allocation</w:t>
      </w:r>
    </w:p>
    <w:p>
      <w:pPr>
        <w:spacing w:after="160"/>
      </w:pPr>
      <w:r>
        <w:t>These formulas compute the market value of each position and determine the weight of each holding in the portfolio.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1: Position Valuation</w:t>
      </w:r>
    </w:p>
    <w:p>
      <w:pPr>
        <w:spacing w:after="80"/>
      </w:pPr>
      <w:r>
        <w:t>The value of each holding is the product of the number of shares and the current market price.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Vᵢ — value of holding i</w:t>
      </w:r>
    </w:p>
    <w:p>
      <w:pPr>
        <w:pStyle w:val="ListBullet2"/>
        <w:spacing w:after="20"/>
      </w:pPr>
      <w:r>
        <w:t>Sᵢ — shares of holding i</w:t>
      </w:r>
    </w:p>
    <w:p>
      <w:pPr>
        <w:pStyle w:val="ListBullet2"/>
        <w:spacing w:after="20"/>
      </w:pPr>
      <w:r>
        <w:t>Pᵢ — price per share of holding i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2: Portfolio Allocation Percentage</w:t>
      </w:r>
    </w:p>
    <w:p>
      <w:pPr>
        <w:spacing w:after="80"/>
      </w:pPr>
      <w:r>
        <w:t>Each holding’s weight equals its value divided by total portfolio value.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wᵢ — portfolio weight of holding i</w:t>
      </w:r>
    </w:p>
    <w:p>
      <w:pPr>
        <w:pStyle w:val="ListBullet2"/>
        <w:spacing w:after="20"/>
      </w:pPr>
      <w:r>
        <w:t>Vᵢ — value of holding i</w:t>
      </w:r>
    </w:p>
    <w:p>
      <w:pPr>
        <w:pStyle w:val="ListBullet2"/>
        <w:spacing w:after="20"/>
      </w:pPr>
      <w:r>
        <w:t>ΣVⱼ — total portfolio value across all holdings</w:t>
      </w:r>
    </w:p>
    <w:p>
      <w:pPr>
        <w:spacing w:after="240"/>
      </w:pPr>
    </w:p>
    <w:p>
      <w:pPr>
        <w:pStyle w:val="Heading2"/>
      </w:pPr>
      <w:r>
        <w:t>2. Return Calculations</w:t>
      </w:r>
    </w:p>
    <w:p>
      <w:pPr>
        <w:spacing w:after="160"/>
      </w:pPr>
      <w:r>
        <w:t>These formulas compute asset returns across multiple time horizons.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3: General Period Return</w:t>
      </w:r>
    </w:p>
    <w:p>
      <w:pPr>
        <w:spacing w:after="80"/>
      </w:pPr>
      <w:r>
        <w:t>Standard percentage return comparing ending price to starting price.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r — return over the period</w:t>
      </w:r>
    </w:p>
    <w:p>
      <w:pPr>
        <w:pStyle w:val="ListBullet2"/>
        <w:spacing w:after="20"/>
      </w:pPr>
      <w:r>
        <w:t>Pₑₙd — ending price</w:t>
      </w:r>
    </w:p>
    <w:p>
      <w:pPr>
        <w:pStyle w:val="ListBullet2"/>
        <w:spacing w:after="20"/>
      </w:pPr>
      <w:r>
        <w:t>Pₛₜₐᵣₜ — starting price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4: 1-Day Return</w:t>
      </w:r>
    </w:p>
    <w:p>
      <w:pPr>
        <w:spacing w:after="80"/>
      </w:pPr>
      <w:r>
        <w:t>Uses only two days of pricing to compute daily return.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r₁D — 1‑day return</w:t>
      </w:r>
    </w:p>
    <w:p>
      <w:pPr>
        <w:pStyle w:val="ListBullet2"/>
        <w:spacing w:after="20"/>
      </w:pPr>
      <w:r>
        <w:t>Pₜₒdₐy — today's closing price</w:t>
      </w:r>
    </w:p>
    <w:p>
      <w:pPr>
        <w:pStyle w:val="ListBullet2"/>
        <w:spacing w:after="20"/>
      </w:pPr>
      <w:r>
        <w:t>Pᵧₑₛₜ — yesterday’s closing price</w:t>
      </w:r>
    </w:p>
    <w:p>
      <w:pPr>
        <w:spacing w:after="240"/>
      </w:pPr>
    </w:p>
    <w:p>
      <w:pPr>
        <w:pStyle w:val="Heading2"/>
      </w:pPr>
      <w:r>
        <w:t>3. Weighted Portfolio Returns</w:t>
      </w:r>
    </w:p>
    <w:p>
      <w:pPr>
        <w:spacing w:after="160"/>
      </w:pPr>
      <w:r>
        <w:t>Portfolio-level performance is calculated by taking the weighted sum of all individual returns.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5: Weighted Portfolio Return</w:t>
      </w:r>
    </w:p>
    <w:p>
      <w:pPr>
        <w:spacing w:after="80"/>
      </w:pPr>
      <w:r>
        <w:t>Each holding’s return is multiplied by its portfolio weight and then summed.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Rₚₒᵣₜ — portfolio return</w:t>
      </w:r>
    </w:p>
    <w:p>
      <w:pPr>
        <w:pStyle w:val="ListBullet2"/>
        <w:spacing w:after="20"/>
      </w:pPr>
      <w:r>
        <w:t>wᵢ — weight of holding i</w:t>
      </w:r>
    </w:p>
    <w:p>
      <w:pPr>
        <w:pStyle w:val="ListBullet2"/>
        <w:spacing w:after="20"/>
      </w:pPr>
      <w:r>
        <w:t>rᵢ — return of holding i</w:t>
      </w:r>
    </w:p>
    <w:p>
      <w:pPr>
        <w:spacing w:after="240"/>
      </w:pPr>
    </w:p>
    <w:p>
      <w:pPr>
        <w:pStyle w:val="Heading2"/>
      </w:pPr>
      <w:r>
        <w:t>4. Dollar Profit/Loss</w:t>
      </w:r>
    </w:p>
    <w:p>
      <w:pPr>
        <w:spacing w:after="160"/>
      </w:pPr>
      <w:r>
        <w:t>Dollar P/L uses the return to infer starting value and compute actual dollar gains or losses.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6: Dollar Profit/Loss</w:t>
      </w:r>
    </w:p>
    <w:p>
      <w:pPr>
        <w:spacing w:after="80"/>
      </w:pPr>
      <w:r>
        <w:t>Dollar P/L equals ending value minus the implied starting value.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PL — dollar profit or loss</w:t>
      </w:r>
    </w:p>
    <w:p>
      <w:pPr>
        <w:pStyle w:val="ListBullet2"/>
        <w:spacing w:after="20"/>
      </w:pPr>
      <w:r>
        <w:t>Vₑₙd — ending value of the holding</w:t>
      </w:r>
    </w:p>
    <w:p>
      <w:pPr>
        <w:pStyle w:val="ListBullet2"/>
        <w:spacing w:after="20"/>
      </w:pPr>
      <w:r>
        <w:t>r — return over the period</w:t>
      </w:r>
    </w:p>
    <w:p>
      <w:pPr>
        <w:spacing w:after="240"/>
      </w:pPr>
    </w:p>
    <w:p>
      <w:pPr>
        <w:pStyle w:val="Heading2"/>
      </w:pPr>
      <w:r>
        <w:t>5. Target Allocations &amp; Rebalancing</w:t>
      </w:r>
    </w:p>
    <w:p>
      <w:pPr>
        <w:spacing w:after="160"/>
      </w:pPr>
      <w:r>
        <w:t>These formulas determine target allocations, shortfalls, and contribution schedules.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7: Target Value per Holding</w:t>
      </w:r>
    </w:p>
    <w:p>
      <w:pPr>
        <w:spacing w:after="80"/>
      </w:pPr>
      <w:r>
        <w:t>Each holding’s target value is its target weight scaled by the target portfolio size.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Tᵢ — target value of holding i</w:t>
      </w:r>
    </w:p>
    <w:p>
      <w:pPr>
        <w:pStyle w:val="ListBullet2"/>
        <w:spacing w:after="20"/>
      </w:pPr>
      <w:r>
        <w:t>wᵢᵗᵃʳᵍᵉᵗ — target weight of holding i</w:t>
      </w:r>
    </w:p>
    <w:p>
      <w:pPr>
        <w:pStyle w:val="ListBullet2"/>
        <w:spacing w:after="20"/>
      </w:pPr>
      <w:r>
        <w:t>Vₜₐᵣget — target total portfolio value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8: Shortfall From Target</w:t>
      </w:r>
    </w:p>
    <w:p>
      <w:pPr>
        <w:spacing w:after="80"/>
      </w:pPr>
      <w:r>
        <w:t>Only positive gaps are funded through contributions.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Gapᵢ — shortfall for holding i</w:t>
      </w:r>
    </w:p>
    <w:p>
      <w:pPr>
        <w:pStyle w:val="ListBullet2"/>
        <w:spacing w:after="20"/>
      </w:pPr>
      <w:r>
        <w:t>Tᵢ — target value</w:t>
      </w:r>
    </w:p>
    <w:p>
      <w:pPr>
        <w:pStyle w:val="ListBullet2"/>
        <w:spacing w:after="20"/>
      </w:pPr>
      <w:r>
        <w:t>Vᵢ — current value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9: Proportional Contribution Share</w:t>
      </w:r>
    </w:p>
    <w:p>
      <w:pPr>
        <w:spacing w:after="80"/>
      </w:pPr>
      <w:r>
        <w:t>Each holding receives a fraction of monthly contributions proportional to its shortfall.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cᵢ — share of monthly contributions allocated to holding i</w:t>
      </w:r>
    </w:p>
    <w:p>
      <w:pPr>
        <w:pStyle w:val="ListBullet2"/>
        <w:spacing w:after="20"/>
      </w:pPr>
      <w:r>
        <w:t>Gapᵢ — shortfall of holding i</w:t>
      </w:r>
    </w:p>
    <w:p>
      <w:pPr>
        <w:pStyle w:val="ListBullet2"/>
        <w:spacing w:after="20"/>
      </w:pPr>
      <w:r>
        <w:t>ΣGapⱼ — total shortfall across all holdings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10: Suggested Monthly Contribution</w:t>
      </w:r>
    </w:p>
    <w:p>
      <w:pPr>
        <w:spacing w:after="80"/>
      </w:pPr>
      <w:r>
        <w:t>Monthly contributions are allocated proportionally to shortfall shares.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Mᵢ — monthly dollars allocated to holding i</w:t>
      </w:r>
    </w:p>
    <w:p>
      <w:pPr>
        <w:pStyle w:val="ListBullet2"/>
        <w:spacing w:after="20"/>
      </w:pPr>
      <w:r>
        <w:t>Cₘₒₙₜₕₗy — total monthly contribution</w:t>
      </w:r>
    </w:p>
    <w:p>
      <w:pPr>
        <w:pStyle w:val="ListBullet2"/>
        <w:spacing w:after="20"/>
      </w:pPr>
      <w:r>
        <w:t>cᵢ — contribution share of holding i</w:t>
      </w:r>
    </w:p>
    <w:p>
      <w:pPr>
        <w:spacing w:after="240"/>
      </w:pPr>
    </w:p>
    <w:p>
      <w:pPr>
        <w:pStyle w:val="Heading2"/>
      </w:pPr>
      <w:r>
        <w:t>6. Future Value &amp; Projections</w:t>
      </w:r>
    </w:p>
    <w:p>
      <w:pPr>
        <w:spacing w:after="160"/>
      </w:pPr>
      <w:r>
        <w:t>Long-term projections model monthly compounding for lump-sum and contribution-based scenarios.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11: Future Value (Lump Sum)</w:t>
      </w:r>
    </w:p>
    <w:p>
      <w:pPr>
        <w:spacing w:after="80"/>
      </w:pPr>
      <w:r>
        <w:t>This formula compounds principal monthly at a constant annual rate.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FV — future value</w:t>
      </w:r>
    </w:p>
    <w:p>
      <w:pPr>
        <w:pStyle w:val="ListBullet2"/>
        <w:spacing w:after="20"/>
      </w:pPr>
      <w:r>
        <w:t>P — principal (current balance)</w:t>
      </w:r>
    </w:p>
    <w:p>
      <w:pPr>
        <w:pStyle w:val="ListBullet2"/>
        <w:spacing w:after="20"/>
      </w:pPr>
      <w:r>
        <w:t>r — annual rate of return</w:t>
      </w:r>
    </w:p>
    <w:p>
      <w:pPr>
        <w:pStyle w:val="ListBullet2"/>
        <w:spacing w:after="20"/>
      </w:pPr>
      <w:r>
        <w:t>y — years invested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3383280" cy="827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82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12: Future Value (With Contributions)</w:t>
      </w:r>
    </w:p>
    <w:p>
      <w:pPr>
        <w:spacing w:after="80"/>
      </w:pPr>
      <w:r>
        <w:t>Adds a monthly contributing stream to lump-sum compounding.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FV — future value including contributions</w:t>
      </w:r>
    </w:p>
    <w:p>
      <w:pPr>
        <w:pStyle w:val="ListBullet2"/>
        <w:spacing w:after="20"/>
      </w:pPr>
      <w:r>
        <w:t>P — principal</w:t>
      </w:r>
    </w:p>
    <w:p>
      <w:pPr>
        <w:pStyle w:val="ListBullet2"/>
        <w:spacing w:after="20"/>
      </w:pPr>
      <w:r>
        <w:t>C — monthly contribution</w:t>
      </w:r>
    </w:p>
    <w:p>
      <w:pPr>
        <w:pStyle w:val="ListBullet2"/>
        <w:spacing w:after="20"/>
      </w:pPr>
      <w:r>
        <w:t>r — annual return</w:t>
      </w:r>
    </w:p>
    <w:p>
      <w:pPr>
        <w:pStyle w:val="ListBullet2"/>
        <w:spacing w:after="20"/>
      </w:pPr>
      <w:r>
        <w:t>y — years invested</w:t>
      </w:r>
    </w:p>
    <w:p>
      <w:pPr>
        <w:spacing w:after="240"/>
      </w:pPr>
    </w:p>
    <w:p>
      <w:pPr>
        <w:pStyle w:val="Heading2"/>
      </w:pPr>
      <w:r>
        <w:t>7. Contributions vs Growth Breakdown</w:t>
      </w:r>
    </w:p>
    <w:p>
      <w:pPr>
        <w:spacing w:after="160"/>
      </w:pPr>
      <w:r>
        <w:t>This calculation separates invested capital from market-driven growth.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13: Total Contributions After y Years</w:t>
      </w:r>
    </w:p>
    <w:p>
      <w:pPr>
        <w:spacing w:after="80"/>
      </w:pPr>
      <w:r>
        <w:t>All dollars invested over time, including initial balance and monthly contributions.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Contrib — total contributed capital</w:t>
      </w:r>
    </w:p>
    <w:p>
      <w:pPr>
        <w:pStyle w:val="ListBullet2"/>
        <w:spacing w:after="20"/>
      </w:pPr>
      <w:r>
        <w:t>P — initial principal</w:t>
      </w:r>
    </w:p>
    <w:p>
      <w:pPr>
        <w:pStyle w:val="ListBullet2"/>
        <w:spacing w:after="20"/>
      </w:pPr>
      <w:r>
        <w:t>C — monthly contribution</w:t>
      </w:r>
    </w:p>
    <w:p>
      <w:pPr>
        <w:pStyle w:val="ListBullet2"/>
        <w:spacing w:after="20"/>
      </w:pPr>
      <w:r>
        <w:t>y — years</w:t>
      </w:r>
    </w:p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14: Growth Component</w:t>
      </w:r>
    </w:p>
    <w:p>
      <w:pPr>
        <w:spacing w:after="80"/>
      </w:pPr>
      <w:r>
        <w:t>Growth equals total future value minus total contributions.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Growth — market-driven growth</w:t>
      </w:r>
    </w:p>
    <w:p>
      <w:pPr>
        <w:pStyle w:val="ListBullet2"/>
        <w:spacing w:after="20"/>
      </w:pPr>
      <w:r>
        <w:t>FV — future value</w:t>
      </w:r>
    </w:p>
    <w:p>
      <w:pPr>
        <w:pStyle w:val="ListBullet2"/>
        <w:spacing w:after="20"/>
      </w:pPr>
      <w:r>
        <w:t>Contrib — total contributions</w:t>
      </w:r>
    </w:p>
    <w:p>
      <w:pPr>
        <w:spacing w:after="240"/>
      </w:pPr>
    </w:p>
    <w:p>
      <w:pPr>
        <w:pStyle w:val="Heading2"/>
      </w:pPr>
      <w:r>
        <w:t>8. Benchmark Excess Return</w:t>
      </w:r>
    </w:p>
    <w:p>
      <w:pPr>
        <w:spacing w:after="160"/>
      </w:pPr>
      <w:r>
        <w:t>Excess return measures the portfolio’s outperformance relative to a benchmark.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15: Excess Return</w:t>
      </w:r>
    </w:p>
    <w:p>
      <w:pPr>
        <w:spacing w:after="80"/>
      </w:pPr>
      <w:r>
        <w:t>Difference between portfolio return and benchmark return.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ER — excess return</w:t>
      </w:r>
    </w:p>
    <w:p>
      <w:pPr>
        <w:pStyle w:val="ListBullet2"/>
        <w:spacing w:after="20"/>
      </w:pPr>
      <w:r>
        <w:t>rₚₒᵣₜ — portfolio return</w:t>
      </w:r>
    </w:p>
    <w:p>
      <w:pPr>
        <w:pStyle w:val="ListBullet2"/>
        <w:spacing w:after="20"/>
      </w:pPr>
      <w:r>
        <w:t>r_bₑₙcₕ — benchmark return</w:t>
      </w:r>
    </w:p>
    <w:p>
      <w:pPr>
        <w:spacing w:after="240"/>
      </w:pPr>
    </w:p>
    <w:p>
      <w:pPr>
        <w:pStyle w:val="Heading2"/>
      </w:pPr>
      <w:r>
        <w:t>9. Risk &amp; Volatility Assumptions</w:t>
      </w:r>
    </w:p>
    <w:p>
      <w:pPr>
        <w:spacing w:after="160"/>
      </w:pPr>
      <w:r>
        <w:t>Risk and return estimates use long-run asset class expectations.</w:t>
      </w:r>
    </w:p>
    <w:p>
      <w:r>
        <w:drawing>
          <wp:inline xmlns:a="http://schemas.openxmlformats.org/drawingml/2006/main" xmlns:pic="http://schemas.openxmlformats.org/drawingml/2006/picture">
            <wp:extent cx="3383280" cy="9944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Equation 16: Risk / Return Pair</w:t>
      </w:r>
    </w:p>
    <w:p>
      <w:pPr>
        <w:spacing w:after="80"/>
      </w:pPr>
      <w:r>
        <w:t>Each asset class is modeled using a volatility-return pair.</w:t>
      </w:r>
    </w:p>
    <w:p>
      <w:pPr>
        <w:pStyle w:val="ListBullet"/>
      </w:pPr>
      <w:r>
        <w:t>Where:</w:t>
      </w:r>
    </w:p>
    <w:p>
      <w:pPr>
        <w:pStyle w:val="ListBullet2"/>
        <w:spacing w:after="20"/>
      </w:pPr>
      <w:r>
        <w:t>σᵢ — volatility (standard deviation)</w:t>
      </w:r>
    </w:p>
    <w:p>
      <w:pPr>
        <w:pStyle w:val="ListBullet2"/>
        <w:spacing w:after="20"/>
      </w:pPr>
      <w:r>
        <w:t>μᵢ — expected annual return</w:t>
      </w:r>
    </w:p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