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67389"/>
          <w:sz w:val="20"/>
          <w:szCs w:val="20"/>
        </w:rPr>
        <w:t xml:space="preserve">Documento 1.1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5B2A6F"/>
          <w:sz w:val="40"/>
          <w:szCs w:val="40"/>
        </w:rPr>
        <w:t xml:space="preserve">Visión y Alcance del Proyecto</w:t>
      </w:r>
    </w:p>
    <w:p>
      <w:pPr>
        <w:pBdr>
          <w:bottom w:val="single" w:color="B67389" w:sz="8" w:space="6"/>
        </w:pBdr>
        <w:spacing w:after="240"/>
      </w:pPr>
      <w:r>
        <w:rPr>
          <w:color w:val="8E4A9E"/>
          <w:sz w:val="24"/>
          <w:szCs w:val="24"/>
        </w:rPr>
        <w:t xml:space="preserve">Sistema de Gestión Integral — Deva Aesthetic House (Buin)</w:t>
      </w:r>
    </w:p>
    <w:p>
      <w:pPr>
        <w:pStyle w:val="Heading2"/>
        <w:spacing w:after="100" w:before="220"/>
      </w:pPr>
      <w:r>
        <w:t xml:space="preserve">Control de versiones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2120"/>
        <w:gridCol w:w="5207"/>
      </w:tblGrid>
      <w:tr>
        <w:trPr>
          <w:tblHeader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05-10-2026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Borrador inicial a partir del video de presentación de la cliente.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07-10-2026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Actualizado con la reunión 1 (transcripción), prototipo, backlog en Jira y decisiones de Fase 1.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1. Contexto</w:t>
      </w:r>
    </w:p>
    <w:p>
      <w:pPr>
        <w:spacing w:after="120" w:line="276"/>
        <w:jc w:val="left"/>
      </w:pPr>
      <w:r>
        <w:t xml:space="preserve">Deva Aesthetic House es un centro de kinesiología dermatofuncional y medicina estética ubicado en Linderos, comuna de Buin, dirigido por Sandra Sánchez. Atiende aproximadamente 20 pacientes diarios con 4 profesionales (2 de ellos con turnos) y 3 boxes. El centro ha crecido en servicios y pacientes, pero su gestión sigue apoyada en herramientas manuales y desconectadas.</w:t>
      </w:r>
    </w:p>
    <w:p>
      <w:pPr>
        <w:spacing w:after="120" w:line="276"/>
        <w:jc w:val="left"/>
      </w:pPr>
      <w:r>
        <w:t xml:space="preserve">Este proyecto es el Proyecto APT (Capstone) del equipo y se desarrolla con metodología Scrum. La contraparte es la propia directora del centro, quien es la única persona que toma decisiones importantes (reunión 1).</w:t>
      </w:r>
    </w:p>
    <w:p>
      <w:pPr>
        <w:pStyle w:val="Heading1"/>
        <w:spacing w:after="140" w:before="320"/>
      </w:pPr>
      <w:r>
        <w:t xml:space="preserve">2. Problema detectado</w:t>
      </w:r>
    </w:p>
    <w:p>
      <w:pPr>
        <w:pStyle w:val="Heading2"/>
        <w:spacing w:after="100" w:before="220"/>
      </w:pPr>
      <w:r>
        <w:t xml:space="preserve">2.1 Situación actual (as-is)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7"/>
      </w:tblGrid>
      <w:tr>
        <w:trPr>
          <w:tblHeader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Proceso</w:t>
            </w:r>
          </w:p>
        </w:tc>
        <w:tc>
          <w:tcPr>
            <w:tcW w:type="dxa" w:w="42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hace hoy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Consecuencia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Ficha clínica</w:t>
            </w:r>
          </w:p>
        </w:tc>
        <w:tc>
          <w:tcPr>
            <w:tcW w:type="dxa" w:w="42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papel; existe un borrador digital que la directora intenta armar desde hace un tiempo.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Información dispersa, difícil de consultar y de hacer firmar al paciente; mucho papel.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Agenda</w:t>
            </w:r>
          </w:p>
        </w:tc>
        <w:tc>
          <w:tcPr>
            <w:tcW w:type="dxa" w:w="42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propia (física/digital) no conectada a la ficha. Los pacientes no pueden autoagendarse; la web los deriva al WhatsApp.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Duplicidad de trabajo y riesgo de perder el control del N° de sesiones.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Recordatorios</w:t>
            </w:r>
          </w:p>
        </w:tc>
        <w:tc>
          <w:tcPr>
            <w:tcW w:type="dxa" w:w="42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Mensaje manual de WhatsApp o correo el día anterior.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Tiempo administrativo y posibles olvidos o inasistencias.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Ventas y comisiones</w:t>
            </w:r>
          </w:p>
        </w:tc>
        <w:tc>
          <w:tcPr>
            <w:tcW w:type="dxa" w:w="42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que se llena a diario; comisiones calculadas a mano. Las boletas las emite automáticamente otro sistema de pago.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lento y propenso a error; el contador pide el Excel una vez al mes.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Seguimiento / retorno</w:t>
            </w:r>
          </w:p>
        </w:tc>
        <w:tc>
          <w:tcPr>
            <w:tcW w:type="dxa" w:w="42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revisan las fichas manualmente para avisar mantenciones o promociones.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Pacientes que no vuelven por falta de seguimiento oportuno.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Stock de productos</w:t>
            </w:r>
          </w:p>
        </w:tc>
        <w:tc>
          <w:tcPr>
            <w:tcW w:type="dxa" w:w="424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informal: a veces los productos llegan y nadie los carga al inventario.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Inventario desordenado.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2.2 A quién afecta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Dirección: no tiene una visión consolidada de ventas, pacientes, tratamientos y comisiones.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Profesionales: no tienen un registro propio de pacientes atendidos ni de su comisión (los que ganan por porcentaje).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Pacientes: reciben un seguimiento menos oportuno y firman documentos en papel.</w:t>
      </w:r>
    </w:p>
    <w:p>
      <w:pPr>
        <w:pStyle w:val="Heading1"/>
        <w:spacing w:after="140" w:before="320"/>
      </w:pPr>
      <w:r>
        <w:t xml:space="preserve">3. Visión del producto</w:t>
      </w:r>
    </w:p>
    <w:p>
      <w:pPr>
        <w:spacing w:after="120" w:line="276"/>
        <w:jc w:val="left"/>
      </w:pPr>
      <w:r>
        <w:rPr>
          <w:b/>
          <w:bCs/>
        </w:rPr>
        <w:t xml:space="preserve">Para </w:t>
      </w:r>
      <w:r>
        <w:t xml:space="preserve">la directora y el equipo de profesionales de Deva Aesthetic House </w:t>
      </w:r>
      <w:r>
        <w:rPr>
          <w:b/>
          <w:bCs/>
        </w:rPr>
        <w:t xml:space="preserve">que </w:t>
      </w:r>
      <w:r>
        <w:t xml:space="preserve">hoy gestionan fichas, agenda, ventas y comisiones en herramientas separadas, </w:t>
      </w:r>
      <w:r>
        <w:rPr>
          <w:b/>
          <w:bCs/>
        </w:rPr>
        <w:t xml:space="preserve">el Sistema de Gestión Integral </w:t>
      </w:r>
      <w:r>
        <w:t xml:space="preserve">es una aplicación web que centraliza ficha clínica electrónica, agenda con planes de sesiones, seguimiento de pacientes (CRM) y ventas con cálculo automático de comisiones. </w:t>
      </w:r>
      <w:r>
        <w:rPr>
          <w:b/>
          <w:bCs/>
        </w:rPr>
        <w:t xml:space="preserve">A diferencia de </w:t>
      </w:r>
      <w:r>
        <w:t xml:space="preserve">una agenda digital genérica, se adapta a los procesos reales del centro (sesiones por plan, comisiones por porcentaje, consentimientos digitales) y puede crecer junto con él.</w:t>
      </w:r>
    </w:p>
    <w:p>
      <w:pPr>
        <w:pStyle w:val="Heading1"/>
        <w:spacing w:after="140" w:before="320"/>
      </w:pPr>
      <w:r>
        <w:t xml:space="preserve">4. Objetivos</w:t>
      </w:r>
    </w:p>
    <w:p>
      <w:pPr>
        <w:pStyle w:val="Heading2"/>
        <w:spacing w:after="100" w:before="220"/>
      </w:pPr>
      <w:r>
        <w:t xml:space="preserve">4.1 Objetivo general</w:t>
      </w:r>
    </w:p>
    <w:p>
      <w:pPr>
        <w:spacing w:after="120" w:line="276"/>
        <w:jc w:val="left"/>
      </w:pPr>
      <w:r>
        <w:t xml:space="preserve">Desarrollar e implementar, bajo Scrum y hasta diciembre de 2026, un sistema web integral que digitalice la ficha clínica, la agenda, el seguimiento de pacientes y la gestión de ventas y comisiones de Deva Aesthetic House, alcanzando un prototipo validado en un entorno relevante (TRL 6).</w:t>
      </w:r>
    </w:p>
    <w:p>
      <w:pPr>
        <w:pStyle w:val="Heading2"/>
        <w:spacing w:after="100" w:before="220"/>
      </w:pPr>
      <w:r>
        <w:t xml:space="preserve">4.2 Objetivos específicos y criterios de éxito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4821"/>
      </w:tblGrid>
      <w:tr>
        <w:trPr>
          <w:tblHeader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0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 específico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éxito (medible)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OE1</w:t>
            </w:r>
          </w:p>
        </w:tc>
        <w:tc>
          <w:tcPr>
            <w:tcW w:type="dxa" w:w="40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Digitalizar la ficha de ingreso y el consentimiento informado.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100% de los pacientes nuevos de la prueba piloto se registra sin papel; consentimiento firmado y descargable en PDF.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OE2</w:t>
            </w:r>
          </w:p>
        </w:tc>
        <w:tc>
          <w:tcPr>
            <w:tcW w:type="dxa" w:w="40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la agenda por profesional, box y plan de sesiones.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existen dobles reservas; cada cita muestra “sesión N de M”.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OE3</w:t>
            </w:r>
          </w:p>
        </w:tc>
        <w:tc>
          <w:tcPr>
            <w:tcW w:type="dxa" w:w="40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Automatizar recordatorios y alertas de mantención.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100% de las citas del día siguiente genera un recordatorio automático; lista de pacientes por contactar generada sin revisión manual.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OE4</w:t>
            </w:r>
          </w:p>
        </w:tc>
        <w:tc>
          <w:tcPr>
            <w:tcW w:type="dxa" w:w="40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ventas/pagos y calcular comisiones automáticamente.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cálculo del sistema coincide con el cálculo manual actual (prueba con datos reales de un mes).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OE5</w:t>
            </w:r>
          </w:p>
        </w:tc>
        <w:tc>
          <w:tcPr>
            <w:tcW w:type="dxa" w:w="40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Entregar un panel de gestión y exportación para contabilidad.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exportable en menos de 1 minuto con los campos de la planilla actual.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OE6</w:t>
            </w:r>
          </w:p>
        </w:tc>
        <w:tc>
          <w:tcPr>
            <w:tcW w:type="dxa" w:w="40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Proteger los datos clínicos.</w:t>
            </w:r>
          </w:p>
        </w:tc>
        <w:tc>
          <w:tcPr>
            <w:tcW w:type="dxa" w:w="482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Roles aplicados, registro de accesos y respaldo diario con restauración probada.</w:t>
            </w:r>
          </w:p>
        </w:tc>
      </w:tr>
    </w:tbl>
    <w:p>
      <w:pPr>
        <w:pStyle w:val="Heading1"/>
        <w:spacing w:after="140" w:before="320"/>
      </w:pPr>
      <w:r>
        <w:t xml:space="preserve">5. Alcance</w:t>
      </w:r>
    </w:p>
    <w:p>
      <w:pPr>
        <w:pStyle w:val="Heading2"/>
        <w:spacing w:after="100" w:before="220"/>
      </w:pPr>
      <w:r>
        <w:t xml:space="preserve">5.1 Incluido (priorización MoSCoW)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98"/>
        <w:gridCol w:w="2314"/>
      </w:tblGrid>
      <w:tr>
        <w:trPr>
          <w:tblHeader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539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Historias Jira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Must (imprescindible)</w:t>
            </w:r>
          </w:p>
        </w:tc>
        <w:tc>
          <w:tcPr>
            <w:tcW w:type="dxa" w:w="539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Inicio de sesión y roles; ficha de ingreso y edición; consentimiento digital; evolución de sesión; profesionales, turnos y boxes; agenda; reprogramación y estados de cita; plan de tratamiento con N° de sesiones; registro de ventas/pagos; catálogo de servicios con % de comisión; cálculo automático de comisiones.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 a HU-06, HU-08, HU-11, HU-12, HU-17 a HU-21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Should (importante)</w:t>
            </w:r>
          </w:p>
        </w:tc>
        <w:tc>
          <w:tcPr>
            <w:tcW w:type="dxa" w:w="539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Recordatorios automáticos por WhatsApp y correo; historial del paciente; alertas de mantención; panel de gestión; vista del profesional; exportación a Excel; auditoría y respaldos.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HU-07, HU-09, HU-10, HU-14, HU-15, HU-16, HU-23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Could (deseable)</w:t>
            </w:r>
          </w:p>
        </w:tc>
        <w:tc>
          <w:tcPr>
            <w:tcW w:type="dxa" w:w="539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básico de productos; envío del enlace de encuesta de satisfacción.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HU-13, HU-22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Won’t (esta versión)</w:t>
            </w:r>
          </w:p>
        </w:tc>
        <w:tc>
          <w:tcPr>
            <w:tcW w:type="dxa" w:w="539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sección 5.2.</w:t>
            </w:r>
          </w:p>
        </w:tc>
        <w:tc>
          <w:tcPr>
            <w:tcW w:type="dxa" w:w="231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5.2 Fuera de alcance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Integración con el sistema de boletas y pagos actual: la clienta indicó que funciona bien y no desea volver a complicarlo. El sistema solo registra la venta y, opcionalmente, el N° de boleta ingresado a mano.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Autoagendamiento de pacientes por la web: la clienta prefiere que el personal gestione las horas para no perder el control de las sesiones.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Adjuntar imágenes a la ficha (por ahora se maneja en papel).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Migración del Excel actual: el sistema parte desde cero con los pacientes nuevos.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Facturación electrónica, pasarela de pago en línea y aplicación móvil nativa.</w:t>
      </w:r>
    </w:p>
    <w:p>
      <w:pPr>
        <w:pStyle w:val="Heading1"/>
        <w:spacing w:after="140" w:before="320"/>
      </w:pPr>
      <w:r>
        <w:t xml:space="preserve">6. Interesados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99"/>
        <w:gridCol w:w="5013"/>
      </w:tblGrid>
      <w:tr>
        <w:trPr>
          <w:tblHeader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Interesado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Expectativa / influencia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Directora de Deva · Product Owner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Única decisora; prioriza el backlog y valida cada demo. Prefiere contacto por WhatsApp (respaldo por correo).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Profesionales (4)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su agenda y sus pacientes; los que ganan por porcentaje, su registro de atenciones.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Contador externo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Receptor de reportes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Recibir el Excel mensual con ventas y comisiones.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Pacientes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Beneficiarios indirectos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Recordatorios oportunos y menos trámites en papel.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Equipo Capstone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 desarrollo y Scrum Master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Entregar un sistema funcional y documentado.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Docente guía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Evaluador</w:t>
            </w:r>
          </w:p>
        </w:tc>
        <w:tc>
          <w:tcPr>
            <w:tcW w:type="dxa" w:w="501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metodología, TRL y arquitectura.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7. Supuestos y restricciones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esperan 1 a 2 usuarios concurrentes y ~20 pacientes diarios; no se requiere alta escala inicial.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Plazo: hasta el 18 de diciembre de 2026 (sprints de 2 semanas, ver Documento de Metodología). Fechas finales sujetas al calendario académico.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clienta enviará la ficha en papel, su borrador digital, la plantilla de Excel en blanco y el enlace de su sitio web; estos insumos condicionan el diseño de la ficha y la decisión web vs. escritorio.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Normativa: el centro solo exige consentimientos informados, pero se aplican las normas de protección de datos personales y de derechos del paciente (a validar con la clienta).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Costos de WhatsApp Business API, hosting y correo aún no están definidos; se evaluarán alternativas gratuitas o de bajo costo durante el Sprint 1.</w:t>
      </w:r>
    </w:p>
    <w:p>
      <w:pPr>
        <w:pStyle w:val="Heading1"/>
        <w:spacing w:after="140" w:before="320"/>
      </w:pPr>
      <w:r>
        <w:t xml:space="preserve">8. Riesgos principales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3"/>
        <w:gridCol w:w="964"/>
        <w:gridCol w:w="1156"/>
        <w:gridCol w:w="3857"/>
      </w:tblGrid>
      <w:tr>
        <w:trPr>
          <w:tblHeader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Retraso de la clienta en entregar insumos (ficha, plantilla, web).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Solicitud formal por correo, diseño inicial con el borrador disponible y validación en demos.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Alcance excesivo para el semestre (carga del Sprint 2 y 3).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Priorización MoSCoW; recalibrar velocidad tras el Sprint 1; postergar Could.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Costo o aprobación de WhatsApp Business API.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Recordatorios por correo primero; enlace wa.me asistido como alternativa.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Incumplimiento en el manejo de datos de salud.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Roles, auditoría, HTTPS, respaldos y consentimientos; revisión de normativa.</w:t>
            </w:r>
          </w:p>
        </w:tc>
      </w:tr>
      <w:tr>
        <w:trPr>
          <w:cantSplit/>
        </w:trPr>
        <w:tc>
          <w:tcPr>
            <w:tcW w:type="dxa" w:w="366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Baja adopción por el personal.</w:t>
            </w:r>
          </w:p>
        </w:tc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85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 simple, demos frecuentes, manual y capacitación.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B73"/>
        <w:sz w:val="17"/>
        <w:szCs w:val="17"/>
      </w:rPr>
      <w:t xml:space="preserve">1.1 Visión y Alcance · Página </w:t>
    </w:r>
    <w:r>
      <w:rPr>
        <w:color w:val="6B5B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B73"/>
        <w:sz w:val="17"/>
        <w:szCs w:val="17"/>
      </w:rPr>
      <w:t xml:space="preserve">Deva Aesthetic House · Sistema de Gestión Integral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5B2A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8E4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B6738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Visión y Alcance</dc:title>
  <dc:creator>Equipo Capstone — Deva Aesthetic House</dc:creator>
  <cp:lastModifiedBy>Un-named</cp:lastModifiedBy>
  <cp:revision>1</cp:revision>
  <dcterms:created xsi:type="dcterms:W3CDTF">2026-10-08T01:32:49.007Z</dcterms:created>
  <dcterms:modified xsi:type="dcterms:W3CDTF">2026-10-08T01:32:49.007Z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