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67389"/>
          <w:sz w:val="20"/>
          <w:szCs w:val="20"/>
        </w:rPr>
        <w:t xml:space="preserve">Documento 1.2</w:t>
      </w:r>
    </w:p>
    <w:p>
      <w:pPr>
        <w:spacing w:after="80"/>
      </w:pPr>
      <w:r>
        <w:rPr>
          <w:rFonts w:ascii="Cambria" w:cs="Cambria" w:eastAsia="Cambria" w:hAnsi="Cambria"/>
          <w:b/>
          <w:bCs/>
          <w:color w:val="5B2A6F"/>
          <w:sz w:val="40"/>
          <w:szCs w:val="40"/>
        </w:rPr>
        <w:t xml:space="preserve">Toma de Requisitos / Requerimientos</w:t>
      </w:r>
    </w:p>
    <w:p>
      <w:pPr>
        <w:pBdr>
          <w:bottom w:val="single" w:color="B67389" w:sz="8" w:space="6"/>
        </w:pBdr>
        <w:spacing w:after="240"/>
      </w:pPr>
      <w:r>
        <w:rPr>
          <w:color w:val="8E4A9E"/>
          <w:sz w:val="24"/>
          <w:szCs w:val="24"/>
        </w:rPr>
        <w:t xml:space="preserve">Sistema de Gestión Integral — Deva Aesthetic House</w:t>
      </w:r>
    </w:p>
    <w:p>
      <w:pPr>
        <w:pStyle w:val="Heading2"/>
        <w:spacing w:after="100" w:before="220"/>
      </w:pPr>
      <w:r>
        <w:t xml:space="preserve">Control de versiones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349"/>
        <w:gridCol w:w="2120"/>
        <w:gridCol w:w="5207"/>
      </w:tblGrid>
      <w:tr>
        <w:trPr>
          <w:tblHeader/>
        </w:trPr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34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520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Cambios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34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05-10-2026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 del proyecto</w:t>
            </w:r>
          </w:p>
        </w:tc>
        <w:tc>
          <w:tcPr>
            <w:tcW w:type="dxa" w:w="520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Borrador inicial a partir del video de presentación de la cliente.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34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07-10-2026</w:t>
            </w:r>
          </w:p>
        </w:tc>
        <w:tc>
          <w:tcPr>
            <w:tcW w:type="dxa" w:w="212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 del proyecto</w:t>
            </w:r>
          </w:p>
        </w:tc>
        <w:tc>
          <w:tcPr>
            <w:tcW w:type="dxa" w:w="520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Actualizado con la reunión 1 (transcripción), prototipo, backlog en Jira y decisiones de Fase 1.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t xml:space="preserve">1. Fuentes y técnica de levantamiento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2699"/>
        <w:gridCol w:w="1542"/>
        <w:gridCol w:w="2700"/>
      </w:tblGrid>
      <w:tr>
        <w:trPr>
          <w:tblHeader/>
        </w:trPr>
        <w:tc>
          <w:tcPr>
            <w:tcW w:type="dxa" w:w="269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269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Técnica</w:t>
            </w:r>
          </w:p>
        </w:tc>
        <w:tc>
          <w:tcPr>
            <w:tcW w:type="dxa" w:w="154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70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Aporte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Video de presentación de Sandra Sánchez</w:t>
            </w:r>
          </w:p>
        </w:tc>
        <w:tc>
          <w:tcPr>
            <w:tcW w:type="dxa" w:w="269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Análisis de documento audiovisual</w:t>
            </w:r>
          </w:p>
        </w:tc>
        <w:tc>
          <w:tcPr>
            <w:tcW w:type="dxa" w:w="154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Inicios de octubre 2026</w:t>
            </w:r>
          </w:p>
        </w:tc>
        <w:tc>
          <w:tcPr>
            <w:tcW w:type="dxa" w:w="270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Necesidad general, módulos deseados y objetivos.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Reunión 1 con la clienta (≈26 min)</w:t>
            </w:r>
          </w:p>
        </w:tc>
        <w:tc>
          <w:tcPr>
            <w:tcW w:type="dxa" w:w="269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Entrevista semiestructurada, con la transcripción como evidencia</w:t>
            </w:r>
          </w:p>
        </w:tc>
        <w:tc>
          <w:tcPr>
            <w:tcW w:type="dxa" w:w="154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Inicios de octubre 2026</w:t>
            </w:r>
          </w:p>
        </w:tc>
        <w:tc>
          <w:tcPr>
            <w:tcW w:type="dxa" w:w="270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Prioridades, reglas de negocio, volúmenes, roles y decisiones.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Prototipo HTML/CSS/JS del equipo</w:t>
            </w:r>
          </w:p>
        </w:tc>
        <w:tc>
          <w:tcPr>
            <w:tcW w:type="dxa" w:w="269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Revisión del prototipo</w:t>
            </w:r>
          </w:p>
        </w:tc>
        <w:tc>
          <w:tcPr>
            <w:tcW w:type="dxa" w:w="154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Octubre 2026</w:t>
            </w:r>
          </w:p>
        </w:tc>
        <w:tc>
          <w:tcPr>
            <w:tcW w:type="dxa" w:w="270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Pantallas de login, ficha, agenda y panel (datos simulados).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Insumos pendientes de la clienta</w:t>
            </w:r>
          </w:p>
        </w:tc>
        <w:tc>
          <w:tcPr>
            <w:tcW w:type="dxa" w:w="2699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Análisis de documentos</w:t>
            </w:r>
          </w:p>
        </w:tc>
        <w:tc>
          <w:tcPr>
            <w:tcW w:type="dxa" w:w="1542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 recibir</w:t>
            </w:r>
          </w:p>
        </w:tc>
        <w:tc>
          <w:tcPr>
            <w:tcW w:type="dxa" w:w="2700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Ficha en papel, borrador digital, plantilla Excel en blanco y link de la web.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t xml:space="preserve">2. Resumen de hallazgos de la reunión 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Prioridad: </w:t>
      </w:r>
      <w:r>
        <w:t xml:space="preserve">la ficha clínica electrónica es el módulo más urgente.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Agenda: </w:t>
      </w:r>
      <w:r>
        <w:t xml:space="preserve">la gestiona el personal; si el paciente se autoagenda a veces elige mal el servicio y se pierde el orden de sesiones.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Recordatorios: </w:t>
      </w:r>
      <w:r>
        <w:t xml:space="preserve">hoy manuales por WhatsApp o correo el día anterior; desean automatizarlos.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Ficha: </w:t>
      </w:r>
      <w:r>
        <w:t xml:space="preserve">solo datos (personales, antecedentes, enfermedades y medicamentos); sin imágenes por ahora; consentimiento digital deseado.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Operación: </w:t>
      </w:r>
      <w:r>
        <w:t xml:space="preserve">3 boxes, 4 profesionales (2 con turnos), ~20 pacientes diarios, 1–2 usuarios del sistema.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Pagos y boletas: </w:t>
      </w:r>
      <w:r>
        <w:t xml:space="preserve">las emite automáticamente otro sistema; no desean integrarlo. Cualquier profesional recibe el pago; hay todos los medios de pago.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Comisiones: </w:t>
      </w:r>
      <w:r>
        <w:t xml:space="preserve">porcentaje fijo sobre el valor del servicio (ej. 30 o 40% de $30.000); no todos los profesionales ganan por porcentaje; hoy se calcula manualmente en Excel.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Reportes: </w:t>
      </w:r>
      <w:r>
        <w:t xml:space="preserve">el Excel se llena a diario; el contador lo pide una vez al mes; necesitan exportar.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Productos: </w:t>
      </w:r>
      <w:r>
        <w:t xml:space="preserve">venden productos y el stock está desordenado.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Datos: </w:t>
      </w:r>
      <w:r>
        <w:t xml:space="preserve">empezar desde cero, sin migrar el Excel. Avances mediante demo en vivo; contacto por WhatsApp y correo.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Plataforma: </w:t>
      </w:r>
      <w:r>
        <w:t xml:space="preserve">prefieren integrarlo a su web si es posible; esperan una recomendación del equipo (web vs. escritorio).</w:t>
      </w:r>
    </w:p>
    <w:p>
      <w:pPr>
        <w:pStyle w:val="Heading1"/>
        <w:spacing w:after="140" w:before="320"/>
      </w:pPr>
      <w:r>
        <w:t xml:space="preserve">3. Requerimientos funcionales</w:t>
      </w:r>
    </w:p>
    <w:p>
      <w:pPr>
        <w:spacing w:after="120" w:line="276"/>
        <w:jc w:val="left"/>
      </w:pPr>
      <w:r>
        <w:t xml:space="preserve">La prioridad usa MoSCoW (Must, Should, Could). Cada requerimiento se traza a una historia de usuario del backlog en Jira (proyecto SCRUM).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1253"/>
        <w:gridCol w:w="5591"/>
        <w:gridCol w:w="867"/>
        <w:gridCol w:w="1158"/>
      </w:tblGrid>
      <w:tr>
        <w:trPr>
          <w:tblHeader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559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86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  <w:tc>
          <w:tcPr>
            <w:tcW w:type="dxa" w:w="115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Jira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RF-01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Plataforma</w:t>
            </w:r>
          </w:p>
        </w:tc>
        <w:tc>
          <w:tcPr>
            <w:tcW w:type="dxa" w:w="559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Inicio de sesión con usuario y contraseña, cierre de sesión y selección de sucursal (Linderos, Buin).</w:t>
            </w:r>
          </w:p>
        </w:tc>
        <w:tc>
          <w:tcPr>
            <w:tcW w:type="dxa" w:w="86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  <w:tc>
          <w:tcPr>
            <w:tcW w:type="dxa" w:w="115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HU-17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RF-02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Plataforma</w:t>
            </w:r>
          </w:p>
        </w:tc>
        <w:tc>
          <w:tcPr>
            <w:tcW w:type="dxa" w:w="559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Dos perfiles: Dirección/Administración y Profesional, con permisos distintos; la directora crea y desactiva usuarios.</w:t>
            </w:r>
          </w:p>
        </w:tc>
        <w:tc>
          <w:tcPr>
            <w:tcW w:type="dxa" w:w="86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  <w:tc>
          <w:tcPr>
            <w:tcW w:type="dxa" w:w="115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HU-18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RF-03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Ficha clínica</w:t>
            </w:r>
          </w:p>
        </w:tc>
        <w:tc>
          <w:tcPr>
            <w:tcW w:type="dxa" w:w="559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ficha de ingreso: nombre, RUT validado, edad, celular, correo, motivo de consulta, antecedentes (hipertensión, diabetes, resistencia a la insulina, alergias/dermatitis, acné, rosácea u otros), medicamentos y enfermedades.</w:t>
            </w:r>
          </w:p>
        </w:tc>
        <w:tc>
          <w:tcPr>
            <w:tcW w:type="dxa" w:w="86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  <w:tc>
          <w:tcPr>
            <w:tcW w:type="dxa" w:w="115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HU-01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RF-04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Ficha clínica</w:t>
            </w:r>
          </w:p>
        </w:tc>
        <w:tc>
          <w:tcPr>
            <w:tcW w:type="dxa" w:w="559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Editar la ficha y buscar pacientes por RUT o nombre; no permitir RUT duplicados; registrar quién modificó.</w:t>
            </w:r>
          </w:p>
        </w:tc>
        <w:tc>
          <w:tcPr>
            <w:tcW w:type="dxa" w:w="86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  <w:tc>
          <w:tcPr>
            <w:tcW w:type="dxa" w:w="115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HU-03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RF-05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Ficha clínica</w:t>
            </w:r>
          </w:p>
        </w:tc>
        <w:tc>
          <w:tcPr>
            <w:tcW w:type="dxa" w:w="559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Firmar el consentimiento informado de forma digital (firma en pantalla), con versión del texto, fecha/hora y descarga en PDF.</w:t>
            </w:r>
          </w:p>
        </w:tc>
        <w:tc>
          <w:tcPr>
            <w:tcW w:type="dxa" w:w="86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  <w:tc>
          <w:tcPr>
            <w:tcW w:type="dxa" w:w="115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HU-02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RF-06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Ficha clínica</w:t>
            </w:r>
          </w:p>
        </w:tc>
        <w:tc>
          <w:tcPr>
            <w:tcW w:type="dxa" w:w="559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la evolución de cada sesión asociada a la cita, al profesional y al N° de sesión.</w:t>
            </w:r>
          </w:p>
        </w:tc>
        <w:tc>
          <w:tcPr>
            <w:tcW w:type="dxa" w:w="86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  <w:tc>
          <w:tcPr>
            <w:tcW w:type="dxa" w:w="115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HU-04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RF-07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Agenda</w:t>
            </w:r>
          </w:p>
        </w:tc>
        <w:tc>
          <w:tcPr>
            <w:tcW w:type="dxa" w:w="559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Administrar 3 boxes y 4 profesionales (2 con turnos) con su disponibilidad.</w:t>
            </w:r>
          </w:p>
        </w:tc>
        <w:tc>
          <w:tcPr>
            <w:tcW w:type="dxa" w:w="86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  <w:tc>
          <w:tcPr>
            <w:tcW w:type="dxa" w:w="115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HU-20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RF-08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Agenda</w:t>
            </w:r>
          </w:p>
        </w:tc>
        <w:tc>
          <w:tcPr>
            <w:tcW w:type="dxa" w:w="559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Agendar horas indicando paciente, servicio, profesional, box y horario, impidiendo dobles reservas. Solo el personal agenda.</w:t>
            </w:r>
          </w:p>
        </w:tc>
        <w:tc>
          <w:tcPr>
            <w:tcW w:type="dxa" w:w="86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  <w:tc>
          <w:tcPr>
            <w:tcW w:type="dxa" w:w="115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HU-05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RF-09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Agenda</w:t>
            </w:r>
          </w:p>
        </w:tc>
        <w:tc>
          <w:tcPr>
            <w:tcW w:type="dxa" w:w="559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Reprogramar citas conservando el N° de sesión y registrando el historial de cambios.</w:t>
            </w:r>
          </w:p>
        </w:tc>
        <w:tc>
          <w:tcPr>
            <w:tcW w:type="dxa" w:w="86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  <w:tc>
          <w:tcPr>
            <w:tcW w:type="dxa" w:w="115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HU-06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RF-10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Agenda</w:t>
            </w:r>
          </w:p>
        </w:tc>
        <w:tc>
          <w:tcPr>
            <w:tcW w:type="dxa" w:w="559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Gestionar el estado de la cita: agendada, confirmada, realizada, cancelada, reprogramada o inasistencia.</w:t>
            </w:r>
          </w:p>
        </w:tc>
        <w:tc>
          <w:tcPr>
            <w:tcW w:type="dxa" w:w="86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  <w:tc>
          <w:tcPr>
            <w:tcW w:type="dxa" w:w="115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HU-08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RF-11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Agenda</w:t>
            </w:r>
          </w:p>
        </w:tc>
        <w:tc>
          <w:tcPr>
            <w:tcW w:type="dxa" w:w="559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Definir el plan de tratamiento (N° de sesiones tras evaluación o por derivación médica) y mostrar “sesión N de M”; servicios de una sola sesión no generan plan.</w:t>
            </w:r>
          </w:p>
        </w:tc>
        <w:tc>
          <w:tcPr>
            <w:tcW w:type="dxa" w:w="86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  <w:tc>
          <w:tcPr>
            <w:tcW w:type="dxa" w:w="115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HU-19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RF-12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Agenda / CRM</w:t>
            </w:r>
          </w:p>
        </w:tc>
        <w:tc>
          <w:tcPr>
            <w:tcW w:type="dxa" w:w="559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Enviar recordatorios automáticos el día anterior por WhatsApp y correo, con registro de envío y opción de confirmar.</w:t>
            </w:r>
          </w:p>
        </w:tc>
        <w:tc>
          <w:tcPr>
            <w:tcW w:type="dxa" w:w="86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  <w:tc>
          <w:tcPr>
            <w:tcW w:type="dxa" w:w="115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HU-07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RF-13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CRM</w:t>
            </w:r>
          </w:p>
        </w:tc>
        <w:tc>
          <w:tcPr>
            <w:tcW w:type="dxa" w:w="559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 el historial del paciente: llegada, tratamientos, sesiones, compras y próxima cita.</w:t>
            </w:r>
          </w:p>
        </w:tc>
        <w:tc>
          <w:tcPr>
            <w:tcW w:type="dxa" w:w="86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  <w:tc>
          <w:tcPr>
            <w:tcW w:type="dxa" w:w="115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HU-09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RF-14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CRM</w:t>
            </w:r>
          </w:p>
        </w:tc>
        <w:tc>
          <w:tcPr>
            <w:tcW w:type="dxa" w:w="559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Generar alertas de mantención/retorno según el intervalo definido por servicio y permitir contactar al paciente.</w:t>
            </w:r>
          </w:p>
        </w:tc>
        <w:tc>
          <w:tcPr>
            <w:tcW w:type="dxa" w:w="86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  <w:tc>
          <w:tcPr>
            <w:tcW w:type="dxa" w:w="115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HU-10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RF-15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CRM</w:t>
            </w:r>
          </w:p>
        </w:tc>
        <w:tc>
          <w:tcPr>
            <w:tcW w:type="dxa" w:w="559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Enviar el enlace de la encuesta de satisfacción tras la sesión.</w:t>
            </w:r>
          </w:p>
        </w:tc>
        <w:tc>
          <w:tcPr>
            <w:tcW w:type="dxa" w:w="86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Could</w:t>
            </w:r>
          </w:p>
        </w:tc>
        <w:tc>
          <w:tcPr>
            <w:tcW w:type="dxa" w:w="115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HU-22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RF-16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Ventas</w:t>
            </w:r>
          </w:p>
        </w:tc>
        <w:tc>
          <w:tcPr>
            <w:tcW w:type="dxa" w:w="559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ventas de servicios y productos con medio de pago, vendedor y N° de boleta manual opcional; marcar sesiones como pagadas.</w:t>
            </w:r>
          </w:p>
        </w:tc>
        <w:tc>
          <w:tcPr>
            <w:tcW w:type="dxa" w:w="86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  <w:tc>
          <w:tcPr>
            <w:tcW w:type="dxa" w:w="115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HU-11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RF-17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Ventas</w:t>
            </w:r>
          </w:p>
        </w:tc>
        <w:tc>
          <w:tcPr>
            <w:tcW w:type="dxa" w:w="559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Administrar el catálogo de servicios (precio, sesiones, intervalo de mantención) y el % de comisión por profesional.</w:t>
            </w:r>
          </w:p>
        </w:tc>
        <w:tc>
          <w:tcPr>
            <w:tcW w:type="dxa" w:w="86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  <w:tc>
          <w:tcPr>
            <w:tcW w:type="dxa" w:w="115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HU-21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RF-18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Comisiones</w:t>
            </w:r>
          </w:p>
        </w:tc>
        <w:tc>
          <w:tcPr>
            <w:tcW w:type="dxa" w:w="559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Calcular automáticamente la comisión (valor del servicio × %) de los profesionales por porcentaje, por mes.</w:t>
            </w:r>
          </w:p>
        </w:tc>
        <w:tc>
          <w:tcPr>
            <w:tcW w:type="dxa" w:w="86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  <w:tc>
          <w:tcPr>
            <w:tcW w:type="dxa" w:w="115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HU-12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RF-19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Productos</w:t>
            </w:r>
          </w:p>
        </w:tc>
        <w:tc>
          <w:tcPr>
            <w:tcW w:type="dxa" w:w="559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Consultar y actualizar el stock con alerta de stock mínimo.</w:t>
            </w:r>
          </w:p>
        </w:tc>
        <w:tc>
          <w:tcPr>
            <w:tcW w:type="dxa" w:w="86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Could</w:t>
            </w:r>
          </w:p>
        </w:tc>
        <w:tc>
          <w:tcPr>
            <w:tcW w:type="dxa" w:w="115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HU-13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RF-20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Panel</w:t>
            </w:r>
          </w:p>
        </w:tc>
        <w:tc>
          <w:tcPr>
            <w:tcW w:type="dxa" w:w="559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Panel de gestión con citas, pacientes, ventas, comisiones y pacientes por contactar.</w:t>
            </w:r>
          </w:p>
        </w:tc>
        <w:tc>
          <w:tcPr>
            <w:tcW w:type="dxa" w:w="86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  <w:tc>
          <w:tcPr>
            <w:tcW w:type="dxa" w:w="115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HU-14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RF-21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Panel</w:t>
            </w:r>
          </w:p>
        </w:tc>
        <w:tc>
          <w:tcPr>
            <w:tcW w:type="dxa" w:w="559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Vista del profesional con su agenda, sus pacientes atendidos y su comisión estimada.</w:t>
            </w:r>
          </w:p>
        </w:tc>
        <w:tc>
          <w:tcPr>
            <w:tcW w:type="dxa" w:w="86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  <w:tc>
          <w:tcPr>
            <w:tcW w:type="dxa" w:w="115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HU-15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RF-22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Reportes</w:t>
            </w:r>
          </w:p>
        </w:tc>
        <w:tc>
          <w:tcPr>
            <w:tcW w:type="dxa" w:w="559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Exportar ventas y comisiones a Excel alineado con la planilla actual.</w:t>
            </w:r>
          </w:p>
        </w:tc>
        <w:tc>
          <w:tcPr>
            <w:tcW w:type="dxa" w:w="86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  <w:tc>
          <w:tcPr>
            <w:tcW w:type="dxa" w:w="115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HU-16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RF-23</w:t>
            </w:r>
          </w:p>
        </w:tc>
        <w:tc>
          <w:tcPr>
            <w:tcW w:type="dxa" w:w="1253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Seguridad</w:t>
            </w:r>
          </w:p>
        </w:tc>
        <w:tc>
          <w:tcPr>
            <w:tcW w:type="dxa" w:w="559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Registro de auditoría de accesos a fichas y respaldo diario de la base de datos.</w:t>
            </w:r>
          </w:p>
        </w:tc>
        <w:tc>
          <w:tcPr>
            <w:tcW w:type="dxa" w:w="86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  <w:tc>
          <w:tcPr>
            <w:tcW w:type="dxa" w:w="115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HU-23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t xml:space="preserve">4. Requerimientos no funcionales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928"/>
        <w:gridCol w:w="6748"/>
      </w:tblGrid>
      <w:tr>
        <w:trPr>
          <w:tblHeader/>
        </w:trPr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674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RNF-01</w:t>
            </w:r>
          </w:p>
        </w:tc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Usabilidad</w:t>
            </w:r>
          </w:p>
        </w:tc>
        <w:tc>
          <w:tcPr>
            <w:tcW w:type="dxa" w:w="674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Interfaz simple para personal sin perfil técnico; agendar una cita en máximo 5 pasos. Mantener el diseño de marca Deva (paleta mauve, Playfair Display y Montserrat).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RNF-02</w:t>
            </w:r>
          </w:p>
        </w:tc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Rendimiento</w:t>
            </w:r>
          </w:p>
        </w:tc>
        <w:tc>
          <w:tcPr>
            <w:tcW w:type="dxa" w:w="674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Pantallas principales en menos de 3 segundos con ~20 pacientes diarios y 1–2 usuarios concurrentes.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RNF-03</w:t>
            </w:r>
          </w:p>
        </w:tc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Seguridad</w:t>
            </w:r>
          </w:p>
        </w:tc>
        <w:tc>
          <w:tcPr>
            <w:tcW w:type="dxa" w:w="674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Contraseñas con hash, sesiones con JWT con expiración, HTTPS obligatorio, control de acceso por rol y bloqueo tras intentos fallidos.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RNF-04</w:t>
            </w:r>
          </w:p>
        </w:tc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Privacidad</w:t>
            </w:r>
          </w:p>
        </w:tc>
        <w:tc>
          <w:tcPr>
            <w:tcW w:type="dxa" w:w="674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Tratamiento de datos de salud conforme a la normativa chilena (Ley 19.628, Ley 20.584 y Ley 21.719 de protección de datos personales; vigencia a validar), con auditoría de accesos.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RNF-05</w:t>
            </w:r>
          </w:p>
        </w:tc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Disponibilidad y respaldo</w:t>
            </w:r>
          </w:p>
        </w:tc>
        <w:tc>
          <w:tcPr>
            <w:tcW w:type="dxa" w:w="674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Disponible en horario de atención; respaldo diario automático de la base de datos con restauración probada.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RNF-06</w:t>
            </w:r>
          </w:p>
        </w:tc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Compatibilidad</w:t>
            </w:r>
          </w:p>
        </w:tc>
        <w:tc>
          <w:tcPr>
            <w:tcW w:type="dxa" w:w="674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Aplicación web responsive para PC, tablet y celular; navegadores Chrome, Edge y Firefox actuales.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RNF-07</w:t>
            </w:r>
          </w:p>
        </w:tc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Escalabilidad</w:t>
            </w:r>
          </w:p>
        </w:tc>
        <w:tc>
          <w:tcPr>
            <w:tcW w:type="dxa" w:w="674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Poder sumar profesionales, servicios y, a futuro, sucursales sin rediseñar la base de datos.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RNF-08</w:t>
            </w:r>
          </w:p>
        </w:tc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Mantenibilidad</w:t>
            </w:r>
          </w:p>
        </w:tc>
        <w:tc>
          <w:tcPr>
            <w:tcW w:type="dxa" w:w="674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Código versionado en GitHub, integración continua, pruebas automáticas de la lógica crítica y documentación de la API.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RNF-09</w:t>
            </w:r>
          </w:p>
        </w:tc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Interoperabilidad</w:t>
            </w:r>
          </w:p>
        </w:tc>
        <w:tc>
          <w:tcPr>
            <w:tcW w:type="dxa" w:w="674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Exportación a .xlsx y envío de mensajes por WhatsApp Business Cloud API y correo; sin integración con el sistema de boletas.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RNF-10</w:t>
            </w:r>
          </w:p>
        </w:tc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Localización</w:t>
            </w:r>
          </w:p>
        </w:tc>
        <w:tc>
          <w:tcPr>
            <w:tcW w:type="dxa" w:w="674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Español de Chile, moneda CLP, RUT con dígito verificador y zona horaria America/Santiago.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t xml:space="preserve">5. Reglas de negocio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8484"/>
      </w:tblGrid>
      <w:tr>
        <w:trPr>
          <w:tblHeader/>
        </w:trPr>
        <w:tc>
          <w:tcPr>
            <w:tcW w:type="dxa" w:w="115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48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RN-01</w:t>
            </w:r>
          </w:p>
        </w:tc>
        <w:tc>
          <w:tcPr>
            <w:tcW w:type="dxa" w:w="848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Las horas las agenda solo el personal del centro; el paciente no se autoagenda.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RN-02</w:t>
            </w:r>
          </w:p>
        </w:tc>
        <w:tc>
          <w:tcPr>
            <w:tcW w:type="dxa" w:w="848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Tras la evaluación (o derivación médica) se fija el N° de sesiones; los servicios de una sola sesión no requieren plan.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RN-03</w:t>
            </w:r>
          </w:p>
        </w:tc>
        <w:tc>
          <w:tcPr>
            <w:tcW w:type="dxa" w:w="848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Comisión = valor del servicio × porcentaje del profesional. Solo aplica a profesionales con contrato por porcentaje.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RN-04</w:t>
            </w:r>
          </w:p>
        </w:tc>
        <w:tc>
          <w:tcPr>
            <w:tcW w:type="dxa" w:w="848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Las boletas se emiten fuera del sistema; el sistema solo registra la venta y, opcionalmente, el N° de boleta.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RN-05</w:t>
            </w:r>
          </w:p>
        </w:tc>
        <w:tc>
          <w:tcPr>
            <w:tcW w:type="dxa" w:w="848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Un profesional ve solo su agenda y sus pacientes; la Dirección ve todo.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RN-06</w:t>
            </w:r>
          </w:p>
        </w:tc>
        <w:tc>
          <w:tcPr>
            <w:tcW w:type="dxa" w:w="848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Un consentimiento firmado no se modifica; solo se agrega uno nuevo.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RN-07</w:t>
            </w:r>
          </w:p>
        </w:tc>
        <w:tc>
          <w:tcPr>
            <w:tcW w:type="dxa" w:w="848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Un box o profesional no puede tener dos citas en el mismo horario.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t xml:space="preserve">6. Pendientes y supuestos por validar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434"/>
        <w:gridCol w:w="1928"/>
        <w:gridCol w:w="2507"/>
      </w:tblGrid>
      <w:tr>
        <w:trPr>
          <w:tblHeader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443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Pendiente</w:t>
            </w:r>
          </w:p>
        </w:tc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50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5B2A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P1</w:t>
            </w:r>
          </w:p>
        </w:tc>
        <w:tc>
          <w:tcPr>
            <w:tcW w:type="dxa" w:w="443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Enviar la ficha en papel y el borrador digital.</w:t>
            </w:r>
          </w:p>
        </w:tc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Sandra Sánchez</w:t>
            </w:r>
          </w:p>
        </w:tc>
        <w:tc>
          <w:tcPr>
            <w:tcW w:type="dxa" w:w="250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Define campos de RF-03 y el diseño de RF-05.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P2</w:t>
            </w:r>
          </w:p>
        </w:tc>
        <w:tc>
          <w:tcPr>
            <w:tcW w:type="dxa" w:w="443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Enviar la plantilla de Excel en blanco para ventas y comisiones.</w:t>
            </w:r>
          </w:p>
        </w:tc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Sandra Sánchez</w:t>
            </w:r>
          </w:p>
        </w:tc>
        <w:tc>
          <w:tcPr>
            <w:tcW w:type="dxa" w:w="250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Define el formato de RF-22 y los campos de RF-16.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P3</w:t>
            </w:r>
          </w:p>
        </w:tc>
        <w:tc>
          <w:tcPr>
            <w:tcW w:type="dxa" w:w="443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Compartir el enlace del sitio web.</w:t>
            </w:r>
          </w:p>
        </w:tc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Sandra Sánchez</w:t>
            </w:r>
          </w:p>
        </w:tc>
        <w:tc>
          <w:tcPr>
            <w:tcW w:type="dxa" w:w="250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Decisión web integrada vs. aplicación independiente (ver Arquitectura).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P4</w:t>
            </w:r>
          </w:p>
        </w:tc>
        <w:tc>
          <w:tcPr>
            <w:tcW w:type="dxa" w:w="443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Definir costo aceptable para WhatsApp Business API.</w:t>
            </w:r>
          </w:p>
        </w:tc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 / Sandra</w:t>
            </w:r>
          </w:p>
        </w:tc>
        <w:tc>
          <w:tcPr>
            <w:tcW w:type="dxa" w:w="250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Alcance de RF-12.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P5</w:t>
            </w:r>
          </w:p>
        </w:tc>
        <w:tc>
          <w:tcPr>
            <w:tcW w:type="dxa" w:w="443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Confirmar listado de servicios, precios, N° de sesiones y % por profesional.</w:t>
            </w:r>
          </w:p>
        </w:tc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Sandra Sánchez</w:t>
            </w:r>
          </w:p>
        </w:tc>
        <w:tc>
          <w:tcPr>
            <w:tcW w:type="dxa" w:w="250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Carga inicial de RF-17 y RF-18.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P6</w:t>
            </w:r>
          </w:p>
        </w:tc>
        <w:tc>
          <w:tcPr>
            <w:tcW w:type="dxa" w:w="443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Confirmar textos de consentimientos informados por tratamiento.</w:t>
            </w:r>
          </w:p>
        </w:tc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Sandra Sánchez</w:t>
            </w:r>
          </w:p>
        </w:tc>
        <w:tc>
          <w:tcPr>
            <w:tcW w:type="dxa" w:w="250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shd w:fill="F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RF-05.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P7</w:t>
            </w:r>
          </w:p>
        </w:tc>
        <w:tc>
          <w:tcPr>
            <w:tcW w:type="dxa" w:w="4434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Validar normativa de datos de salud con asesoría disponible en la institución.</w:t>
            </w:r>
          </w:p>
        </w:tc>
        <w:tc>
          <w:tcPr>
            <w:tcW w:type="dxa" w:w="1928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</w:t>
            </w:r>
          </w:p>
        </w:tc>
        <w:tc>
          <w:tcPr>
            <w:tcW w:type="dxa" w:w="2507"/>
            <w:tcBorders>
              <w:top w:val="single" w:color="D9C7E0" w:sz="4"/>
              <w:left w:val="single" w:color="D9C7E0" w:sz="4"/>
              <w:bottom w:val="single" w:color="D9C7E0" w:sz="4"/>
              <w:right w:val="single" w:color="D9C7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RNF-04.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5B73"/>
        <w:sz w:val="17"/>
        <w:szCs w:val="17"/>
      </w:rPr>
      <w:t xml:space="preserve">1.2 Toma de Requisitos · Página </w:t>
    </w:r>
    <w:r>
      <w:rPr>
        <w:color w:val="6B5B7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5B73"/>
        <w:sz w:val="17"/>
        <w:szCs w:val="17"/>
      </w:rPr>
      <w:t xml:space="preserve">Deva Aesthetic House · Sistema de Gestión Integral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2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mbria" w:cs="Cambria" w:eastAsia="Cambria" w:hAnsi="Cambria"/>
      <w:b/>
      <w:bCs/>
      <w:color w:val="5B2A6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mbria" w:cs="Cambria" w:eastAsia="Cambria" w:hAnsi="Cambria"/>
      <w:b/>
      <w:bCs/>
      <w:color w:val="8E4A9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B6738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1.2 Toma de Requisitos</dc:title>
  <dc:creator>Equipo Capstone — Deva Aesthetic House</dc:creator>
  <cp:lastModifiedBy>Un-named</cp:lastModifiedBy>
  <cp:revision>1</cp:revision>
  <dcterms:created xsi:type="dcterms:W3CDTF">2026-10-08T01:32:49.245Z</dcterms:created>
  <dcterms:modified xsi:type="dcterms:W3CDTF">2026-10-08T01:32:49.245Z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