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67389"/>
          <w:sz w:val="20"/>
          <w:szCs w:val="20"/>
        </w:rPr>
        <w:t xml:space="preserve">Documento 1.4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5B2A6F"/>
          <w:sz w:val="40"/>
          <w:szCs w:val="40"/>
        </w:rPr>
        <w:t xml:space="preserve">Acta de Constitución del Proyecto</w:t>
      </w:r>
    </w:p>
    <w:p>
      <w:pPr>
        <w:pBdr>
          <w:bottom w:val="single" w:color="B67389" w:sz="8" w:space="6"/>
        </w:pBdr>
        <w:spacing w:after="240"/>
      </w:pPr>
      <w:r>
        <w:rPr>
          <w:color w:val="8E4A9E"/>
          <w:sz w:val="24"/>
          <w:szCs w:val="24"/>
        </w:rPr>
        <w:t xml:space="preserve">Project Charter — Sistema de Gestión Integral para Deva Aesthetic House</w:t>
      </w:r>
    </w:p>
    <w:p>
      <w:pPr>
        <w:pStyle w:val="Heading2"/>
        <w:spacing w:after="100" w:before="220"/>
      </w:pPr>
      <w:r>
        <w:t xml:space="preserve">Control de versiones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2120"/>
        <w:gridCol w:w="5207"/>
      </w:tblGrid>
      <w:tr>
        <w:trPr>
          <w:tblHeader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05-10-2026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del proyecto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Borrador inicial a partir del video de presentación de la cliente.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07-10-2026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del proyecto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Actualizado con la reunión 1 (transcripción), prototipo, backlog en Jira y decisiones de Fase 1.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1. Datos generales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41"/>
      </w:tblGrid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1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69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Sistema de Gestión Integral para Deva Aesthetic House (Proyecto APT, asignatura PTY4614 Capstone)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1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Cliente / Patrocinadora</w:t>
            </w:r>
          </w:p>
        </w:tc>
        <w:tc>
          <w:tcPr>
            <w:tcW w:type="dxa" w:w="69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Sandra Sánchez, directora de Deva Aesthetic House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1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69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Deva Aesthetic House, centro de kinesiología dermatofuncional y medicina estética, Linderos, Buin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1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Metodología</w:t>
            </w:r>
          </w:p>
        </w:tc>
        <w:tc>
          <w:tcPr>
            <w:tcW w:type="dxa" w:w="69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Scrum, con sprints de 2 semanas y gestión en Jira (proyecto SCRUM)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1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9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GitHub: capstone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1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Fecha de inicio</w:t>
            </w:r>
          </w:p>
        </w:tc>
        <w:tc>
          <w:tcPr>
            <w:tcW w:type="dxa" w:w="69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Inicios de octubre de 2026 (Sprint 0)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1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Fecha estimada de término</w:t>
            </w:r>
          </w:p>
        </w:tc>
        <w:tc>
          <w:tcPr>
            <w:tcW w:type="dxa" w:w="69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18 de diciembre de 2026 (fin del Sprint 5), sujeta al calendario académico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1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TRL</w:t>
            </w:r>
          </w:p>
        </w:tc>
        <w:tc>
          <w:tcPr>
            <w:tcW w:type="dxa" w:w="69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Actual 3; objetivo 6; meta ampliada 7 (ver Documento 2.2)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1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Estado del documento</w:t>
            </w:r>
          </w:p>
        </w:tc>
        <w:tc>
          <w:tcPr>
            <w:tcW w:type="dxa" w:w="69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Versión 1.0 para revisión y firma</w:t>
            </w:r>
          </w:p>
        </w:tc>
      </w:tr>
    </w:tbl>
    <w:p>
      <w:pPr>
        <w:pStyle w:val="Heading1"/>
        <w:spacing w:after="140" w:before="320"/>
      </w:pPr>
      <w:r>
        <w:t xml:space="preserve">2. Descripción y justificación</w:t>
      </w:r>
    </w:p>
    <w:p>
      <w:pPr>
        <w:spacing w:after="120" w:line="276"/>
        <w:jc w:val="left"/>
      </w:pPr>
      <w:r>
        <w:t xml:space="preserve">Deva Aesthetic House gestiona hoy su ficha clínica en papel, su agenda, sus ventas y el cálculo de comisiones en herramientas separadas, y los recordatorios de forma manual. Con ~20 pacientes diarios, 4 profesionales y 3 boxes, esto genera pérdida de tiempo, riesgo de errores y falta de visión consolidada del negocio.</w:t>
      </w:r>
    </w:p>
    <w:p>
      <w:pPr>
        <w:spacing w:after="120" w:line="276"/>
        <w:jc w:val="left"/>
      </w:pPr>
      <w:r>
        <w:t xml:space="preserve">El proyecto desarrollará una aplicación web que integre ficha clínica electrónica con consentimiento digital, agenda con planes de sesiones, seguimiento de pacientes (CRM) y gestión de ventas con cálculo automático de comisiones, además de un panel de gestión.</w:t>
      </w:r>
    </w:p>
    <w:p>
      <w:pPr>
        <w:pStyle w:val="Heading1"/>
        <w:spacing w:after="140" w:before="320"/>
      </w:pPr>
      <w:r>
        <w:t xml:space="preserve">3. Objetivos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General: </w:t>
      </w:r>
      <w:r>
        <w:t xml:space="preserve">entregar un sistema web integrado y validado con la clienta (TRL 6) antes del 18 de diciembre de 2026.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Específicos: </w:t>
      </w:r>
      <w:r>
        <w:t xml:space="preserve">digitalizar ficha y consentimiento; gestionar la agenda y los planes de sesiones; automatizar recordatorios y alertas; calcular comisiones; entregar panel y exportación; proteger los datos clínicos.</w:t>
      </w:r>
    </w:p>
    <w:p>
      <w:pPr>
        <w:pStyle w:val="Heading1"/>
        <w:spacing w:after="140" w:before="320"/>
      </w:pPr>
      <w:r>
        <w:t xml:space="preserve">4. Alcance y entregables</w:t>
      </w:r>
    </w:p>
    <w:p>
      <w:pPr>
        <w:pStyle w:val="Heading2"/>
        <w:spacing w:after="100" w:before="220"/>
      </w:pPr>
      <w:r>
        <w:t xml:space="preserve">4.1 Dentro del alcance</w:t>
      </w:r>
    </w:p>
    <w:p>
      <w:pPr>
        <w:spacing w:after="120" w:line="276"/>
        <w:jc w:val="left"/>
      </w:pPr>
      <w:r>
        <w:t xml:space="preserve">Los módulos de ficha clínica y consentimiento, agenda y planes de tratamiento, CRM y seguimiento, ventas y comisiones, panel de gestión y exportación, además de la plataforma de seguridad (usuarios, roles, auditoría y respaldos). El detalle está en los Documentos 1.1 y 1.2 y en el backlog de Jira.</w:t>
      </w:r>
    </w:p>
    <w:p>
      <w:pPr>
        <w:pStyle w:val="Heading2"/>
        <w:spacing w:after="100" w:before="220"/>
      </w:pPr>
      <w:r>
        <w:t xml:space="preserve">4.2 Fuera del alcance</w:t>
      </w:r>
    </w:p>
    <w:p>
      <w:pPr>
        <w:spacing w:after="120" w:line="276"/>
        <w:jc w:val="left"/>
      </w:pPr>
      <w:r>
        <w:t xml:space="preserve">Integración con el sistema de boletas y pagos, autoagendamiento de pacientes, imágenes en la ficha, migración del Excel actual, facturación electrónica, pasarela de pago y aplicación móvil nativa.</w:t>
      </w:r>
    </w:p>
    <w:p>
      <w:pPr>
        <w:pStyle w:val="Heading2"/>
        <w:spacing w:after="100" w:before="220"/>
      </w:pPr>
      <w:r>
        <w:t xml:space="preserve">4.3 Entregables principales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33"/>
        <w:gridCol w:w="2507"/>
      </w:tblGrid>
      <w:tr>
        <w:trPr>
          <w:tblHeader/>
        </w:trPr>
        <w:tc>
          <w:tcPr>
            <w:tcW w:type="dxa" w:w="713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 objetivo</w:t>
            </w:r>
          </w:p>
        </w:tc>
      </w:tr>
      <w:tr>
        <w:trPr>
          <w:cantSplit/>
        </w:trPr>
        <w:tc>
          <w:tcPr>
            <w:tcW w:type="dxa" w:w="713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Documentación de Fase 1: visión y alcance, requisitos, autoevaluación, acta, canvas, metodología, TRL y arquitectura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Octubre de 2026</w:t>
            </w:r>
          </w:p>
        </w:tc>
      </w:tr>
      <w:tr>
        <w:trPr>
          <w:cantSplit/>
        </w:trPr>
        <w:tc>
          <w:tcPr>
            <w:tcW w:type="dxa" w:w="713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Incremento 1: ficha clínica electrónica, consentimiento y login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26-10-2026</w:t>
            </w:r>
          </w:p>
        </w:tc>
      </w:tr>
      <w:tr>
        <w:trPr>
          <w:cantSplit/>
        </w:trPr>
        <w:tc>
          <w:tcPr>
            <w:tcW w:type="dxa" w:w="713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Incremento 2: agenda, planes de sesiones y recordatorios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09-11-2026</w:t>
            </w:r>
          </w:p>
        </w:tc>
      </w:tr>
      <w:tr>
        <w:trPr>
          <w:cantSplit/>
        </w:trPr>
        <w:tc>
          <w:tcPr>
            <w:tcW w:type="dxa" w:w="713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Incremento 3: ventas, comisiones, roles y alertas de mantención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23-11-2026</w:t>
            </w:r>
          </w:p>
        </w:tc>
      </w:tr>
      <w:tr>
        <w:trPr>
          <w:cantSplit/>
        </w:trPr>
        <w:tc>
          <w:tcPr>
            <w:tcW w:type="dxa" w:w="713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Incremento 4: panel, vista del profesional, exportación, stock y auditoría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07-12-2026</w:t>
            </w:r>
          </w:p>
        </w:tc>
      </w:tr>
      <w:tr>
        <w:trPr>
          <w:cantSplit/>
        </w:trPr>
        <w:tc>
          <w:tcPr>
            <w:tcW w:type="dxa" w:w="713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Entrega final: pruebas de aceptación, manual, capacitación y despliegue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18-12-2026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5. Hitos y calendario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120"/>
        <w:gridCol w:w="5014"/>
      </w:tblGrid>
      <w:tr>
        <w:trPr>
          <w:tblHeader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Fechas</w:t>
            </w:r>
          </w:p>
        </w:tc>
        <w:tc>
          <w:tcPr>
            <w:tcW w:type="dxa" w:w="50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0 (cerrado)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hasta 05-10</w:t>
            </w:r>
          </w:p>
        </w:tc>
        <w:tc>
          <w:tcPr>
            <w:tcW w:type="dxa" w:w="50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Definición del proyecto.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1 “Ficha Clínica”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13-10 al 26-10</w:t>
            </w:r>
          </w:p>
        </w:tc>
        <w:tc>
          <w:tcPr>
            <w:tcW w:type="dxa" w:w="50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electrónica, consentimiento, login y base técnica.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2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27-10 al 09-11</w:t>
            </w:r>
          </w:p>
        </w:tc>
        <w:tc>
          <w:tcPr>
            <w:tcW w:type="dxa" w:w="50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Agenda, planes de sesiones y recordatorios.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3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10-11 al 23-11</w:t>
            </w:r>
          </w:p>
        </w:tc>
        <w:tc>
          <w:tcPr>
            <w:tcW w:type="dxa" w:w="50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Ventas, comisiones, roles y alertas.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4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24-11 al 07-12</w:t>
            </w:r>
          </w:p>
        </w:tc>
        <w:tc>
          <w:tcPr>
            <w:tcW w:type="dxa" w:w="50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Panel, exportación, stock y auditoría.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5 “Cierre”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09-12 al 18-12</w:t>
            </w:r>
          </w:p>
        </w:tc>
        <w:tc>
          <w:tcPr>
            <w:tcW w:type="dxa" w:w="50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Aceptación, capacitación y despliegue.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6. Equipo y roles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892"/>
        <w:gridCol w:w="4242"/>
      </w:tblGrid>
      <w:tr>
        <w:trPr>
          <w:tblHeader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42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Patrocinadora y Product Owner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Sandra Sánchez</w:t>
            </w:r>
          </w:p>
        </w:tc>
        <w:tc>
          <w:tcPr>
            <w:tcW w:type="dxa" w:w="42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Decide y prioriza; acepta los incrementos; entrega insumos y valida las demos.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Scrum Master (propuesto)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Nicolás Marín</w:t>
            </w:r>
          </w:p>
        </w:tc>
        <w:tc>
          <w:tcPr>
            <w:tcW w:type="dxa" w:w="42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Facilita Scrum y gestiona Jira y los impedimentos.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Nicolás Marín, Thomas y demás integrantes (completar)</w:t>
            </w:r>
          </w:p>
        </w:tc>
        <w:tc>
          <w:tcPr>
            <w:tcW w:type="dxa" w:w="42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Diseño, desarrollo, pruebas y documentación.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Docente guía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indicar</w:t>
            </w:r>
          </w:p>
        </w:tc>
        <w:tc>
          <w:tcPr>
            <w:tcW w:type="dxa" w:w="42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Revisión académica del proyecto.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7. Interesados clave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892"/>
        <w:gridCol w:w="4435"/>
      </w:tblGrid>
      <w:tr>
        <w:trPr>
          <w:tblHeader/>
        </w:trPr>
        <w:tc>
          <w:tcPr>
            <w:tcW w:type="dxa" w:w="23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Interesado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Interés</w:t>
            </w:r>
          </w:p>
        </w:tc>
        <w:tc>
          <w:tcPr>
            <w:tcW w:type="dxa" w:w="44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 de comunicación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Sandra Sánchez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 poder, alto interés.</w:t>
            </w:r>
          </w:p>
        </w:tc>
        <w:tc>
          <w:tcPr>
            <w:tcW w:type="dxa" w:w="44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 para coordinación y correo como respaldo; demo en vivo al cierre de cada sprint.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Profesionales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 poder, alto interés (usuarios).</w:t>
            </w:r>
          </w:p>
        </w:tc>
        <w:tc>
          <w:tcPr>
            <w:tcW w:type="dxa" w:w="44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Invitar a las demos y recoger retroalimentación.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Contador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Bajo poder, interés en el reporte.</w:t>
            </w:r>
          </w:p>
        </w:tc>
        <w:tc>
          <w:tcPr>
            <w:tcW w:type="dxa" w:w="44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Validar el formato del Excel exportable.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Pacientes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Beneficiarios indirectos.</w:t>
            </w:r>
          </w:p>
        </w:tc>
        <w:tc>
          <w:tcPr>
            <w:tcW w:type="dxa" w:w="44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 través de la clienta.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8. Recursos y presupuesto</w:t>
      </w:r>
    </w:p>
    <w:p>
      <w:pPr>
        <w:spacing w:after="120" w:line="276"/>
        <w:jc w:val="left"/>
      </w:pPr>
      <w:r>
        <w:t xml:space="preserve">El proyecto no contempla un presupuesto monetario asignado: el principal recurso es el tiempo del equipo durante el semestre. Los costos eventuales de infraestructura (hosting, correo y WhatsApp Business API) están por definir y se priorizarán alternativas gratuitas o de bajo costo; cualquier gasto para la clienta se aprobará previamente con ella.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4"/>
        <w:gridCol w:w="3856"/>
      </w:tblGrid>
      <w:tr>
        <w:trPr>
          <w:tblHeader/>
        </w:trPr>
        <w:tc>
          <w:tcPr>
            <w:tcW w:type="dxa" w:w="57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38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7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Equipo de desarrollo (horas del semestre)</w:t>
            </w:r>
          </w:p>
        </w:tc>
        <w:tc>
          <w:tcPr>
            <w:tcW w:type="dxa" w:w="38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Asignado</w:t>
            </w:r>
          </w:p>
        </w:tc>
      </w:tr>
      <w:tr>
        <w:trPr>
          <w:cantSplit/>
        </w:trPr>
        <w:tc>
          <w:tcPr>
            <w:tcW w:type="dxa" w:w="57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Jira (proyecto SCRUM) y GitHub (capstone)</w:t>
            </w:r>
          </w:p>
        </w:tc>
        <w:tc>
          <w:tcPr>
            <w:tcW w:type="dxa" w:w="38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  <w:tr>
        <w:trPr>
          <w:cantSplit/>
        </w:trPr>
        <w:tc>
          <w:tcPr>
            <w:tcW w:type="dxa" w:w="57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Staging y producción (hosting)</w:t>
            </w:r>
          </w:p>
        </w:tc>
        <w:tc>
          <w:tcPr>
            <w:tcW w:type="dxa" w:w="38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decidir con la clienta</w:t>
            </w:r>
          </w:p>
        </w:tc>
      </w:tr>
      <w:tr>
        <w:trPr>
          <w:cantSplit/>
        </w:trPr>
        <w:tc>
          <w:tcPr>
            <w:tcW w:type="dxa" w:w="57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WhatsApp Business API y correo transaccional</w:t>
            </w:r>
          </w:p>
        </w:tc>
        <w:tc>
          <w:tcPr>
            <w:tcW w:type="dxa" w:w="38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validar costo</w:t>
            </w:r>
          </w:p>
        </w:tc>
      </w:tr>
      <w:tr>
        <w:trPr>
          <w:cantSplit/>
        </w:trPr>
        <w:tc>
          <w:tcPr>
            <w:tcW w:type="dxa" w:w="57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Insumos de la clienta (ficha, plantilla Excel, servicios, web)</w:t>
            </w:r>
          </w:p>
        </w:tc>
        <w:tc>
          <w:tcPr>
            <w:tcW w:type="dxa" w:w="38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Pendientes de envío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9. Supuestos y restricciones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clienta tendrá disponibilidad para una demo al cierre de cada sprint y para responder consultas por WhatsApp.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parte desde cero con pacientes nuevos; no se migra el Excel.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esperan 1–2 usuarios concurrentes y ~20 pacientes diarios.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plazo está acotado por el calendario académico.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sistema de boletas externo queda fuera del proyecto.</w:t>
      </w:r>
    </w:p>
    <w:p>
      <w:pPr>
        <w:pStyle w:val="Heading1"/>
        <w:spacing w:after="140" w:before="320"/>
      </w:pPr>
      <w:r>
        <w:t xml:space="preserve">10. Riesgos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3470"/>
        <w:gridCol w:w="964"/>
        <w:gridCol w:w="1060"/>
        <w:gridCol w:w="3472"/>
      </w:tblGrid>
      <w:tr>
        <w:trPr>
          <w:tblHeader/>
        </w:trPr>
        <w:tc>
          <w:tcPr>
            <w:tcW w:type="dxa" w:w="67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47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47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R1</w:t>
            </w:r>
          </w:p>
        </w:tc>
        <w:tc>
          <w:tcPr>
            <w:tcW w:type="dxa" w:w="347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Insumos de la clienta llegan tarde.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47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Mitigar: solicitud formal por correo y diseño con el borrador disponible.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R2</w:t>
            </w:r>
          </w:p>
        </w:tc>
        <w:tc>
          <w:tcPr>
            <w:tcW w:type="dxa" w:w="347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Sobrecarga de los sprints 1 y 2.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47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Mitigar: recalibrar velocidad y postergar historias Could.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R3</w:t>
            </w:r>
          </w:p>
        </w:tc>
        <w:tc>
          <w:tcPr>
            <w:tcW w:type="dxa" w:w="347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 o aprobación de WhatsApp Business API.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47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Evitar: correo primero y wa.me asistido como alternativa.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R4</w:t>
            </w:r>
          </w:p>
        </w:tc>
        <w:tc>
          <w:tcPr>
            <w:tcW w:type="dxa" w:w="347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Incumplimiento de normas de datos de salud.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47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Mitigar: roles, auditoría, HTTPS, respaldos y consentimientos.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R5</w:t>
            </w:r>
          </w:p>
        </w:tc>
        <w:tc>
          <w:tcPr>
            <w:tcW w:type="dxa" w:w="347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 disponibilidad de integrantes por otras asignaturas.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47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Mitigar: planificación realista y reparto de tareas.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R6</w:t>
            </w:r>
          </w:p>
        </w:tc>
        <w:tc>
          <w:tcPr>
            <w:tcW w:type="dxa" w:w="347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 adopción por el personal.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47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Mitigar: interfaz simple, manual y capacitación.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11. Criterios de éxito y gestión de cambios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clienta valida los incrementos en las demos y firma la aceptación final.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Las comisiones calculadas por el sistema coinciden con el cálculo manual de un mes de referencia.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pacientes nuevos del piloto se registran sin papel, con consentimiento digital.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cambios de alcance se registran como historias en el backlog y se priorizan con la Product Owner.</w:t>
      </w:r>
    </w:p>
    <w:p>
      <w:pPr>
        <w:pStyle w:val="Heading1"/>
        <w:spacing w:after="140" w:before="320"/>
      </w:pPr>
      <w:r>
        <w:t xml:space="preserve">12. Aprobación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892"/>
        <w:gridCol w:w="2699"/>
        <w:gridCol w:w="1543"/>
      </w:tblGrid>
      <w:tr>
        <w:trPr>
          <w:tblHeader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54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Sandra Sánchez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Patrocinadora / Product Owner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Nicolás Marín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Integrantes del equipo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Docente guía</w:t>
            </w:r>
          </w:p>
        </w:tc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Revisor académico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B73"/>
        <w:sz w:val="17"/>
        <w:szCs w:val="17"/>
      </w:rPr>
      <w:t xml:space="preserve">1.4 Acta de Constitución · Página </w:t>
    </w:r>
    <w:r>
      <w:rPr>
        <w:color w:val="6B5B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5B73"/>
        <w:sz w:val="17"/>
        <w:szCs w:val="17"/>
      </w:rPr>
      <w:t xml:space="preserve">Deva Aesthetic House · Sistema de Gestión Integral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5B2A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8E4A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B6738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 Acta de Constitución</dc:title>
  <dc:creator>Equipo Capstone — Deva Aesthetic House</dc:creator>
  <cp:lastModifiedBy>Un-named</cp:lastModifiedBy>
  <cp:revision>1</cp:revision>
  <dcterms:created xsi:type="dcterms:W3CDTF">2026-10-08T01:33:33.037Z</dcterms:created>
  <dcterms:modified xsi:type="dcterms:W3CDTF">2026-10-08T01:33:33.037Z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