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67389"/>
          <w:sz w:val="20"/>
          <w:szCs w:val="20"/>
        </w:rPr>
        <w:t xml:space="preserve">Documento 2.3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5B2A6F"/>
          <w:sz w:val="40"/>
          <w:szCs w:val="40"/>
        </w:rPr>
        <w:t xml:space="preserve">Arquitectura de Desarrollo</w:t>
      </w:r>
    </w:p>
    <w:p>
      <w:pPr>
        <w:pBdr>
          <w:bottom w:val="single" w:color="B67389" w:sz="8" w:space="6"/>
        </w:pBdr>
        <w:spacing w:after="240"/>
      </w:pPr>
      <w:r>
        <w:rPr>
          <w:color w:val="8E4A9E"/>
          <w:sz w:val="24"/>
          <w:szCs w:val="24"/>
        </w:rPr>
        <w:t xml:space="preserve">Tecnologías, componentes y diagrama de conexión del Sistema de Gestión Integral</w:t>
      </w:r>
    </w:p>
    <w:p>
      <w:pPr>
        <w:pStyle w:val="Heading2"/>
        <w:spacing w:after="100" w:before="220"/>
      </w:pPr>
      <w:r>
        <w:t xml:space="preserve">Control de versiones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2120"/>
        <w:gridCol w:w="5207"/>
      </w:tblGrid>
      <w:tr>
        <w:trPr>
          <w:tblHeader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05-10-2026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proyecto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Borrador inicial a partir del video de presentación de la cliente.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07-10-2026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proyecto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Actualizado con la reunión 1 (transcripción), prototipo, backlog en Jira y decisiones de Fase 1.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1. Propósito</w:t>
      </w:r>
    </w:p>
    <w:p>
      <w:pPr>
        <w:spacing w:after="120" w:line="276"/>
        <w:jc w:val="left"/>
      </w:pPr>
      <w:r>
        <w:t xml:space="preserve">Este documento define cómo estará construida técnicamente la solución: qué sistemas, plataformas y tecnologías se usarán para el frontend, el backend, la API, la base de datos y los servicios externos, qué función cumple cada componente y cómo se comunican. El diagrama completo está en el Anexo A y el modelo de datos en el Anexo B.</w:t>
      </w:r>
    </w:p>
    <w:p>
      <w:pPr>
        <w:spacing w:after="120" w:line="276"/>
        <w:jc w:val="left"/>
      </w:pPr>
      <w:r>
        <w:rPr>
          <w:b/>
          <w:bCs/>
        </w:rPr>
        <w:t xml:space="preserve">Flujo general: </w:t>
      </w:r>
      <w:r>
        <w:t xml:space="preserve">Usuario → Frontend (navegador) → API REST → Backend → Base de datos, con el Backend conectado a servicios externos (WhatsApp, correo) y a un almacenamiento de archivos.</w:t>
      </w:r>
    </w:p>
    <w:p>
      <w:pPr>
        <w:pStyle w:val="Heading1"/>
        <w:spacing w:after="140" w:before="320"/>
      </w:pPr>
      <w:r>
        <w:t xml:space="preserve">2. Factores que determinan la arquitectura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7"/>
        <w:gridCol w:w="5013"/>
      </w:tblGrid>
      <w:tr>
        <w:trPr>
          <w:tblHeader/>
        </w:trPr>
        <w:tc>
          <w:tcPr>
            <w:tcW w:type="dxa" w:w="46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Hallazgo / requisito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 de arquitectura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1–2 usuarios concurrentes y ~20 pacientes diarios.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Monolito modular; no se justifican microservicios ni infraestructura compleja.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 clienta prefiere integrarse a su web y pide una recomendación (web vs. escritorio).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Aplicación web responsive accesible desde cualquier computador o tablet, sin instalación; se enlazará desde su sitio actual.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Datos de salud y firma de consentimientos.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Autenticación con roles, HTTPS, auditoría de accesos, respaldo y almacenamiento de firmas y PDF.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Recordatorios por WhatsApp y correo el día anterior.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de notificaciones con tareas programadas y registro de envíos.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Comisiones por porcentaje y reportes a Excel.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Reglas de negocio en el backend con pruebas automáticas; exportación .xlsx desde la API.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Las boletas las emite otro sistema que no se debe tocar.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integración; solo se registra el N° de boleta de forma manual y opcional.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Equipo pequeño y plazo del semestre.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solo lenguaje (TypeScript) en frontend y backend; herramientas conocidas y gratuitas.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Crecimiento futuro (más profesionales y una posible sucursal).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datos con sucursal y roles extensibles; contenedores Docker portables.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3. Componentes y tecnologías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506"/>
        <w:gridCol w:w="3084"/>
        <w:gridCol w:w="2701"/>
      </w:tblGrid>
      <w:tr>
        <w:trPr>
          <w:tblHeader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 dentro de la solución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se eligió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Usuarios y dispositivos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Navegador (Chrome, Edge, Firefox) en PC, tablet o celular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Acceso de Dirección y Profesionales al sistema.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instalación; la firma de consentimiento se hace en tablet o celular.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18 + TypeScript + Vite; React Router; TanStack Query; react-signature-canvas; Recharts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Interfaz: login, ficha, agenda, ventas, comisiones y panel. Reutiliza el diseño del prototipo (paleta mauve; Playfair Display y Montserrat).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Componentes reutilizables, tipado y rapidez de desarrollo; migra directamente las pantallas del prototipo.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REST/JSON versionada (/api/v1), JWT con expiración, validación Zod, documentación OpenAPI (Swagger)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de comunicación entre frontend y backend; control de acceso por rol.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Estándar simple y conocido; la documentación sirve como evidencia.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20 LTS + Express + TypeScript; Prisma ORM; Pino (logs); Helmet y límites de peticiones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Lógica de negocio: autenticación, pacientes y ficha, agenda y planes de sesión, ventas y comisiones, reportes y notificaciones.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Mismo lenguaje que el frontend; ecosistema amplio; monolito modular fácil de probar.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Tareas programadas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node-cron dentro del backend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Envía recordatorios del día siguiente y genera la lista de pacientes por contactar.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Suficiente para el volumen; evita sumar un sistema de colas.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Almacena usuarios, pacientes, fichas, citas, planes, ventas, comisiones y auditoría.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Integridad referencial y transacciones para ventas y comisiones; JSONB para antecedentes flexibles.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Archivos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Almacenamiento compatible con S3 (MinIO en desarrollo)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 firmas y PDF de consentimientos.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Evita guardar binarios en la base; permite URL firmadas y respaldo.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Reportes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ExcelJS y pdf-lib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 el Excel para contabilidad y el PDF del consentimiento.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Librerías maduras que se ejecutan en el servidor.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Mensajería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 Business Cloud API (Meta) y correo por SMTP/API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Recordatorios, confirmaciones y alertas de mantención.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Son los canales que el centro ya usa; el correo queda como respaldo.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Encuesta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Forms (solo enlace)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envía el enlace existente; no se integra la herramienta.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Reutiliza lo que ya funciona.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y Docker Compose; Nginx; ambientes local, staging y producción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Empaqueta y despliega frontend, backend y base de datos.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Ambientes reproducibles y portables.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Calidad y entrega</w:t>
            </w:r>
          </w:p>
        </w:tc>
        <w:tc>
          <w:tcPr>
            <w:tcW w:type="dxa" w:w="250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(repositorio capstone), GitHub Actions, Vitest/Jest y Supertest, ESLint, Jira</w:t>
            </w:r>
          </w:p>
        </w:tc>
        <w:tc>
          <w:tcPr>
            <w:tcW w:type="dxa" w:w="30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de versiones, CI/CD, pruebas y gestión del backlog.</w:t>
            </w:r>
          </w:p>
        </w:tc>
        <w:tc>
          <w:tcPr>
            <w:tcW w:type="dxa" w:w="270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Trazabilidad entre historias, commits y despliegues.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4. Flujos principales</w:t>
      </w:r>
    </w:p>
    <w:p>
      <w:pPr>
        <w:pStyle w:val="Heading2"/>
        <w:spacing w:after="100" w:before="220"/>
      </w:pPr>
      <w:r>
        <w:t xml:space="preserve">4.1 Inicio de sesión</w:t>
      </w:r>
    </w:p>
    <w:p>
      <w:pPr>
        <w:spacing w:after="120" w:line="276"/>
        <w:jc w:val="left"/>
      </w:pPr>
      <w:r>
        <w:t xml:space="preserve">El usuario ingresa credenciales; el frontend llama a POST /api/v1/auth/login; el backend verifica el hash, emite un JWT con el rol y el frontend lo adjunta en cada petición. Las rutas validan el rol antes de responder.</w:t>
      </w:r>
    </w:p>
    <w:p>
      <w:pPr>
        <w:pStyle w:val="Heading2"/>
        <w:spacing w:after="100" w:before="220"/>
      </w:pPr>
      <w:r>
        <w:t xml:space="preserve">4.2 Ficha de ingreso y consentimiento digital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profesional crea el paciente (RUT validado y único) y completa antecedentes, enfermedades y medicamentos.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paciente firma en pantalla; el backend guarda la firma y el PDF en el almacenamiento y registra versión del texto, fecha/hora y tratamiento.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acceso o cambio a la ficha queda en el registro de auditoría.</w:t>
      </w:r>
    </w:p>
    <w:p>
      <w:pPr>
        <w:pStyle w:val="Heading2"/>
        <w:spacing w:after="100" w:before="220"/>
      </w:pPr>
      <w:r>
        <w:t xml:space="preserve">4.3 Agendar una cita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personal elige paciente, servicio, profesional, box y horario.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backend valida turnos y que no existan dobles reservas del profesional o del box.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el servicio tiene plan, la cita se vincula al plan y muestra “sesión N de M”.</w:t>
      </w:r>
    </w:p>
    <w:p>
      <w:pPr>
        <w:pStyle w:val="Heading2"/>
        <w:spacing w:after="100" w:before="220"/>
      </w:pPr>
      <w:r>
        <w:t xml:space="preserve">4.4 Recordatorio automático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Una tarea programada busca las citas del día siguiente.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Envía el mensaje por WhatsApp (plantilla aprobada) y correo, y registra el estado en la tabla de notificaciones.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falla, la cita queda marcada para contacto manual.</w:t>
      </w:r>
    </w:p>
    <w:p>
      <w:pPr>
        <w:pStyle w:val="Heading2"/>
        <w:spacing w:after="100" w:before="220"/>
      </w:pPr>
      <w:r>
        <w:t xml:space="preserve">4.5 Venta y cálculo de comisión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registra la venta o el pago de la sesión con medio de pago y N° de boleta manual opcional.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 cierre del mes, el backend calcula: comisión = valor del servicio × % del profesional, solo para contratos por porcentaje.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Dirección consulta el resultado y lo exporta a Excel.</w:t>
      </w:r>
    </w:p>
    <w:p>
      <w:pPr>
        <w:pStyle w:val="Heading1"/>
        <w:spacing w:after="140" w:before="320"/>
      </w:pPr>
      <w:r>
        <w:t xml:space="preserve">5. API: recursos principales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4434"/>
        <w:gridCol w:w="2314"/>
      </w:tblGrid>
      <w:tr>
        <w:trPr>
          <w:tblHeader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Operaciones principales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/auth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login, refresh, logout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 / autenticado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/usuarios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crear, listar, desactivar, asignar rol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/pacientes y /pacientes/:id/ficha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crear, buscar por RUT o nombre, editar, historial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Dirección y Profesional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/consentimientos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firmar, ver, descargar PDF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Dirección y Profesional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/profesionales, /boxes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turnos, disponibilidad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/servicios y /reglas-comision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catálogo, precios, sesiones, % de comisión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/planes y /citas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 plan; agendar, reprogramar, cambiar estado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Dirección y Profesional (limitado)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/ventas y /productos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venta/pago, stock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Dirección y Profesional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/comisiones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calcular, consultar por mes y profesional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Dirección; Profesional solo la propia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/reportes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panel, exportación .xlsx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/notificaciones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de envíos, reintentos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/ Dirección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6. Seguridad y privacidad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20"/>
      </w:tblGrid>
      <w:tr>
        <w:trPr>
          <w:tblHeader/>
        </w:trPr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75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75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Contraseñas con hash (argon2 o bcrypt), JWT de corta duración, bloqueo tras intentos fallidos.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Autorización</w:t>
            </w:r>
          </w:p>
        </w:tc>
        <w:tc>
          <w:tcPr>
            <w:tcW w:type="dxa" w:w="75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de acceso por rol en cada ruta; el Profesional solo ve sus datos.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Transporte</w:t>
            </w:r>
          </w:p>
        </w:tc>
        <w:tc>
          <w:tcPr>
            <w:tcW w:type="dxa" w:w="75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 obligatorio; CORS restringido al dominio del sistema; cabeceras de seguridad con Helmet.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Datos</w:t>
            </w:r>
          </w:p>
        </w:tc>
        <w:tc>
          <w:tcPr>
            <w:tcW w:type="dxa" w:w="75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Validación de entradas con Zod y consultas parametrizadas con Prisma; sin datos sensibles en logs.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Auditoría</w:t>
            </w:r>
          </w:p>
        </w:tc>
        <w:tc>
          <w:tcPr>
            <w:tcW w:type="dxa" w:w="75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de quién ve, crea o edita una ficha y cuándo.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Respaldo</w:t>
            </w:r>
          </w:p>
        </w:tc>
        <w:tc>
          <w:tcPr>
            <w:tcW w:type="dxa" w:w="75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Copia diaria automática de la base de datos y los archivos, con restauración probada.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Secretos</w:t>
            </w:r>
          </w:p>
        </w:tc>
        <w:tc>
          <w:tcPr>
            <w:tcW w:type="dxa" w:w="75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Variables de entorno y secretos de GitHub; nunca credenciales en el repositorio.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Pruebas</w:t>
            </w:r>
          </w:p>
        </w:tc>
        <w:tc>
          <w:tcPr>
            <w:tcW w:type="dxa" w:w="75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ficticios en desarrollo y staging; datos reales solo en el piloto, con consentimiento.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7. Ambientes y despliegue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4821"/>
      </w:tblGrid>
      <w:tr>
        <w:trPr>
          <w:tblHeader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32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Infraestructura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Local</w:t>
            </w:r>
          </w:p>
        </w:tc>
        <w:tc>
          <w:tcPr>
            <w:tcW w:type="dxa" w:w="32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Desarrollo de cada integrante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compose up: frontend, backend, PostgreSQL y MinIO.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Staging</w:t>
            </w:r>
          </w:p>
        </w:tc>
        <w:tc>
          <w:tcPr>
            <w:tcW w:type="dxa" w:w="32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Demos y pruebas con la clienta (TRL 6)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Contenedores en un servicio gratuito o de bajo costo, con datos ficticios.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Producción</w:t>
            </w:r>
          </w:p>
        </w:tc>
        <w:tc>
          <w:tcPr>
            <w:tcW w:type="dxa" w:w="32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Piloto y entrega final (TRL 7 opcional)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Proveedor con región sudamericana (por ejemplo Google Cloud en Santiago o AWS en São Paulo) o servidor propio; se decide con la clienta según costo.</w:t>
            </w:r>
          </w:p>
        </w:tc>
      </w:tr>
    </w:tbl>
    <w:p>
      <w:pPr>
        <w:spacing w:after="120"/>
      </w:pPr>
    </w:p>
    <w:p>
      <w:pPr>
        <w:spacing w:after="120" w:line="276"/>
        <w:jc w:val="left"/>
      </w:pPr>
      <w:r>
        <w:rPr>
          <w:b/>
          <w:bCs/>
        </w:rPr>
        <w:t xml:space="preserve">Pipeline CI/CD (GitHub Actions): </w:t>
      </w:r>
      <w:r>
        <w:t xml:space="preserve">al abrir un Pull Request se ejecutan lint, pruebas y compilación; al fusionar en main se construyen las imágenes Docker y se despliegan en staging.</w:t>
      </w:r>
    </w:p>
    <w:p>
      <w:pPr>
        <w:pStyle w:val="Heading1"/>
        <w:spacing w:after="140" w:before="320"/>
      </w:pPr>
      <w:r>
        <w:t xml:space="preserve">8. Decisiones y alternativas evaluadas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2120"/>
        <w:gridCol w:w="3664"/>
      </w:tblGrid>
      <w:tr>
        <w:trPr>
          <w:tblHeader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Elegido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36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Tipo de aplicación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 responsive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Escritorio por computador</w:t>
            </w:r>
          </w:p>
        </w:tc>
        <w:tc>
          <w:tcPr>
            <w:tcW w:type="dxa" w:w="36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instalación, datos centralizados y actualización inmediata; basta para 1–2 usuarios.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Estilo de backend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Monolito modular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Microservicios</w:t>
            </w:r>
          </w:p>
        </w:tc>
        <w:tc>
          <w:tcPr>
            <w:tcW w:type="dxa" w:w="36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Volumen bajo y equipo pequeño; menor complejidad y costo.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HTML/JS puro, Vue, Angular</w:t>
            </w:r>
          </w:p>
        </w:tc>
        <w:tc>
          <w:tcPr>
            <w:tcW w:type="dxa" w:w="36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Reutiliza el prototipo y reduce errores de estado en agenda y formularios.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Django, Laravel</w:t>
            </w:r>
          </w:p>
        </w:tc>
        <w:tc>
          <w:tcPr>
            <w:tcW w:type="dxa" w:w="36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solo lenguaje y herramientas ya conocidas por el equipo.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MySQL, MongoDB</w:t>
            </w:r>
          </w:p>
        </w:tc>
        <w:tc>
          <w:tcPr>
            <w:tcW w:type="dxa" w:w="36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muy relacionales (citas, ventas, comisiones) que exigen integridad.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Estilo de API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REST/JSON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GraphQL</w:t>
            </w:r>
          </w:p>
        </w:tc>
        <w:tc>
          <w:tcPr>
            <w:tcW w:type="dxa" w:w="36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Más simple de documentar y probar para este alcance.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Mensajería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 Cloud API + correo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Enlace wa.me asistido</w:t>
            </w:r>
          </w:p>
        </w:tc>
        <w:tc>
          <w:tcPr>
            <w:tcW w:type="dxa" w:w="36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Automatiza el recordatorio; wa.me queda como plan B si el costo no se aprueba.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9. Integración con el sitio web de Deva</w:t>
      </w:r>
    </w:p>
    <w:p>
      <w:pPr>
        <w:spacing w:after="120" w:line="276"/>
        <w:jc w:val="left"/>
      </w:pPr>
      <w:r>
        <w:t xml:space="preserve">La clienta compartirá el enlace de su sitio. Mientras tanto se recomienda mantener el sistema como aplicación independiente en un subdominio propio y agregar en la web un acceso (“Acceso interno”). No se recomienda incrustarlo con iframe por seguridad y por la sesión de usuarios. La decisión final se tomará tras revisar la tecnología de la web (por ejemplo Wix, WordPress u otra).</w:t>
      </w:r>
    </w:p>
    <w:p>
      <w:pPr>
        <w:pStyle w:val="Heading1"/>
        <w:spacing w:after="140" w:before="320"/>
      </w:pPr>
      <w:r>
        <w:t xml:space="preserve">10. Evolución del prototipo actual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3"/>
        <w:gridCol w:w="5977"/>
      </w:tblGrid>
      <w:tr>
        <w:trPr>
          <w:tblHeader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Prototipo (HTML/CSS/JS)</w:t>
            </w:r>
          </w:p>
        </w:tc>
        <w:tc>
          <w:tcPr>
            <w:tcW w:type="dxa" w:w="59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 en la arquitectura final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index.html (login)</w:t>
            </w:r>
          </w:p>
        </w:tc>
        <w:tc>
          <w:tcPr>
            <w:tcW w:type="dxa" w:w="59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Página Login con POST /auth/login y selección de sucursal.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dashboard.html</w:t>
            </w:r>
          </w:p>
        </w:tc>
        <w:tc>
          <w:tcPr>
            <w:tcW w:type="dxa" w:w="59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 de gestión alimentado por /reportes; contenido distinto por rol.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ficha.html</w:t>
            </w:r>
          </w:p>
        </w:tc>
        <w:tc>
          <w:tcPr>
            <w:tcW w:type="dxa" w:w="59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Formulario de ficha y consentimiento con firma; guarda en /pacientes.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agenda.html y citasDB simulada</w:t>
            </w:r>
          </w:p>
        </w:tc>
        <w:tc>
          <w:tcPr>
            <w:tcW w:type="dxa" w:w="59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 conectada a /citas con validación de dobles reservas.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navbar.html + script.js</w:t>
            </w:r>
          </w:p>
        </w:tc>
        <w:tc>
          <w:tcPr>
            <w:tcW w:type="dxa" w:w="59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 de diseño (Layout) y servicios de API; se eliminan datos simulados.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style.css</w:t>
            </w:r>
          </w:p>
        </w:tc>
        <w:tc>
          <w:tcPr>
            <w:tcW w:type="dxa" w:w="597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Tokens de diseño de marca (colores y tipografías) reutilizados en React.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11. Riesgos técnicos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8"/>
        <w:gridCol w:w="5302"/>
      </w:tblGrid>
      <w:tr>
        <w:trPr>
          <w:tblHeader/>
        </w:trPr>
        <w:tc>
          <w:tcPr>
            <w:tcW w:type="dxa" w:w="43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53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43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Aprobación y costo de la API de WhatsApp.</w:t>
            </w:r>
          </w:p>
        </w:tc>
        <w:tc>
          <w:tcPr>
            <w:tcW w:type="dxa" w:w="53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Recordatorio por correo primero; wa.me como alternativa.</w:t>
            </w:r>
          </w:p>
        </w:tc>
      </w:tr>
      <w:tr>
        <w:trPr>
          <w:cantSplit/>
        </w:trPr>
        <w:tc>
          <w:tcPr>
            <w:tcW w:type="dxa" w:w="43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Pérdida de datos clínicos.</w:t>
            </w:r>
          </w:p>
        </w:tc>
        <w:tc>
          <w:tcPr>
            <w:tcW w:type="dxa" w:w="53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Respaldos diarios y prueba de restauración (HU-23).</w:t>
            </w:r>
          </w:p>
        </w:tc>
      </w:tr>
      <w:tr>
        <w:trPr>
          <w:cantSplit/>
        </w:trPr>
        <w:tc>
          <w:tcPr>
            <w:tcW w:type="dxa" w:w="43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Acceso indebido a fichas.</w:t>
            </w:r>
          </w:p>
        </w:tc>
        <w:tc>
          <w:tcPr>
            <w:tcW w:type="dxa" w:w="53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Roles, HTTPS, auditoría y bloqueo de intentos.</w:t>
            </w:r>
          </w:p>
        </w:tc>
      </w:tr>
      <w:tr>
        <w:trPr>
          <w:cantSplit/>
        </w:trPr>
        <w:tc>
          <w:tcPr>
            <w:tcW w:type="dxa" w:w="43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Errores en el cálculo de comisiones.</w:t>
            </w:r>
          </w:p>
        </w:tc>
        <w:tc>
          <w:tcPr>
            <w:tcW w:type="dxa" w:w="53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 unitarias y conciliación con el Excel real de un mes.</w:t>
            </w:r>
          </w:p>
        </w:tc>
      </w:tr>
      <w:tr>
        <w:trPr>
          <w:cantSplit/>
        </w:trPr>
        <w:tc>
          <w:tcPr>
            <w:tcW w:type="dxa" w:w="433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Dependencia del hosting elegido.</w:t>
            </w:r>
          </w:p>
        </w:tc>
        <w:tc>
          <w:tcPr>
            <w:tcW w:type="dxa" w:w="530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Contenedores Docker portables entre proveedores.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300" w:right="1300" w:bottom="1200" w:left="1300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t xml:space="preserve">Anexo A. Diagrama de arquitectura y conexión</w:t>
      </w:r>
    </w:p>
    <w:p>
      <w:pPr>
        <w:spacing w:after="100" w:before="100"/>
        <w:jc w:val="center"/>
      </w:pPr>
      <w:r>
        <w:drawing>
          <wp:inline distT="0" distB="0" distL="0" distR="0">
            <wp:extent cx="8382000" cy="4819650"/>
            <wp:effectExtent t="0" r="0" b="0" l="0"/>
            <wp:docPr id="1" name="diagrama" descr="diagram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5B73"/>
          <w:sz w:val="18"/>
          <w:szCs w:val="18"/>
        </w:rPr>
        <w:t xml:space="preserve">Figura 1. Arquitectura del Sistema de Gestión Integral: usuarios, frontend, API, backend, datos, servicios externos y entrega.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Anexo B. Modelo de datos (entidades y relaciones)</w:t>
      </w:r>
    </w:p>
    <w:p>
      <w:pPr>
        <w:spacing w:after="100" w:before="100"/>
        <w:jc w:val="center"/>
      </w:pPr>
      <w:r>
        <w:drawing>
          <wp:inline distT="0" distB="0" distL="0" distR="0">
            <wp:extent cx="8572500" cy="4362450"/>
            <wp:effectExtent t="0" r="0" b="0" l="0"/>
            <wp:docPr id="1" name="diagrama" descr="diagram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5B73"/>
          <w:sz w:val="18"/>
          <w:szCs w:val="18"/>
        </w:rPr>
        <w:t xml:space="preserve">Figura 2. Modelo entidad-relación inicial (PostgreSQL). Las cardinalidades se indican con 1 y N.</w:t>
      </w:r>
    </w:p>
    <w:sectPr>
      <w:headerReference w:type="default" r:id="rId9"/>
      <w:footerReference w:type="default" r:id="rId10"/>
      <w:pgSz w:w="15840" w:h="12240" w:orient="landscape"/>
      <w:pgMar w:top="900" w:right="700" w:bottom="8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B73"/>
        <w:sz w:val="17"/>
        <w:szCs w:val="17"/>
      </w:rPr>
      <w:t xml:space="preserve">2.3 Arquitectura de Desarrollo · Página </w:t>
    </w:r>
    <w:r>
      <w:rPr>
        <w:color w:val="6B5B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B73"/>
        <w:sz w:val="17"/>
        <w:szCs w:val="17"/>
      </w:rPr>
      <w:t xml:space="preserve">2.3 Arquitectura de Desarrollo · Página </w:t>
    </w:r>
    <w:r>
      <w:rPr>
        <w:color w:val="6B5B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B73"/>
        <w:sz w:val="17"/>
        <w:szCs w:val="17"/>
      </w:rPr>
      <w:t xml:space="preserve">Deva Aesthetic House · Sistema de Gestión Integral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B73"/>
        <w:sz w:val="17"/>
        <w:szCs w:val="17"/>
      </w:rPr>
      <w:t xml:space="preserve">Deva Aesthetic House · Sistema de Gestión Integral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5B2A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8E4A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B6738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eacd4a451a2cad4efa4df3a79104e5af5bbbe144.png"/><Relationship Id="rId12" Type="http://schemas.openxmlformats.org/officeDocument/2006/relationships/image" Target="media/40d979655a91b992055507539e03b919a381567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Arquitectura de Desarrollo</dc:title>
  <dc:creator>Equipo Capstone — Deva Aesthetic House</dc:creator>
  <cp:lastModifiedBy>Un-named</cp:lastModifiedBy>
  <cp:revision>1</cp:revision>
  <dcterms:created xsi:type="dcterms:W3CDTF">2026-10-08T01:32:50.063Z</dcterms:created>
  <dcterms:modified xsi:type="dcterms:W3CDTF">2026-10-08T01:32:50.063Z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