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B9" w:rsidRDefault="00B44CCF" w:rsidP="006606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6606DD" w:rsidRPr="006606DD">
        <w:rPr>
          <w:rFonts w:ascii="Calibri" w:hAnsi="Calibri" w:cs="Calibri"/>
          <w:b/>
          <w:bCs/>
          <w:sz w:val="22"/>
          <w:szCs w:val="22"/>
        </w:rPr>
        <w:t>Normal Childbirth - Pre-delivery and Delivery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Default="00852A40" w:rsidP="00AB5B0D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**Learner is required</w:t>
      </w:r>
      <w:r w:rsidR="005478A9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to handover patient to another healthcare professional</w:t>
      </w:r>
    </w:p>
    <w:p w:rsidR="0077248F" w:rsidRDefault="0077248F" w:rsidP="00AB5B0D">
      <w:pPr>
        <w:rPr>
          <w:rFonts w:ascii="Calibri" w:hAnsi="Calibri" w:cs="Calibri"/>
          <w:i/>
          <w:iCs/>
        </w:rPr>
      </w:pPr>
    </w:p>
    <w:p w:rsidR="0077248F" w:rsidRPr="00090683" w:rsidRDefault="0077248F" w:rsidP="00AB5B0D">
      <w:pPr>
        <w:rPr>
          <w:rFonts w:ascii="Calibri" w:hAnsi="Calibri" w:cs="Calibri"/>
          <w:i/>
          <w:iCs/>
        </w:rPr>
      </w:pP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4886"/>
        <w:gridCol w:w="900"/>
        <w:gridCol w:w="990"/>
        <w:gridCol w:w="1080"/>
        <w:gridCol w:w="954"/>
      </w:tblGrid>
      <w:tr w:rsidR="00CD6F47" w:rsidRPr="00090683" w:rsidTr="006606DD">
        <w:tc>
          <w:tcPr>
            <w:tcW w:w="728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886" w:type="dxa"/>
            <w:vAlign w:val="center"/>
          </w:tcPr>
          <w:p w:rsidR="00CD6F47" w:rsidRPr="00090683" w:rsidRDefault="00CD6F47" w:rsidP="0017440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17440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174404" w:rsidRPr="00090683" w:rsidTr="006606DD">
        <w:tc>
          <w:tcPr>
            <w:tcW w:w="728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4886" w:type="dxa"/>
            <w:shd w:val="clear" w:color="auto" w:fill="FFFFFF"/>
          </w:tcPr>
          <w:p w:rsidR="00174404" w:rsidRDefault="006606DD" w:rsidP="006606DD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Apply plastic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apron and protective eyewear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5478A9" w:rsidRPr="00090683" w:rsidTr="006606DD">
        <w:tc>
          <w:tcPr>
            <w:tcW w:w="728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4886" w:type="dxa"/>
            <w:shd w:val="clear" w:color="auto" w:fill="FFFFFF"/>
          </w:tcPr>
          <w:p w:rsidR="005478A9" w:rsidRPr="0077248F" w:rsidRDefault="006606DD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Reassure patient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6606DD">
        <w:tc>
          <w:tcPr>
            <w:tcW w:w="728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4886" w:type="dxa"/>
            <w:shd w:val="clear" w:color="auto" w:fill="FFFFFF"/>
          </w:tcPr>
          <w:p w:rsidR="005478A9" w:rsidRPr="0077248F" w:rsidRDefault="006606DD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Ascertain the gestation period (Examiner to supply)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6606DD">
        <w:tc>
          <w:tcPr>
            <w:tcW w:w="728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886" w:type="dxa"/>
            <w:shd w:val="clear" w:color="auto" w:fill="FFFFFF"/>
          </w:tcPr>
          <w:p w:rsidR="005478A9" w:rsidRPr="0077248F" w:rsidRDefault="006606DD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 xml:space="preserve">Ascertain if </w:t>
            </w:r>
            <w:proofErr w:type="spellStart"/>
            <w:r w:rsidRPr="006606DD">
              <w:rPr>
                <w:rFonts w:ascii="Calibri" w:eastAsia="Calibri" w:hAnsi="Calibri" w:cs="Calibri"/>
                <w:sz w:val="22"/>
                <w:szCs w:val="22"/>
              </w:rPr>
              <w:t>labour</w:t>
            </w:r>
            <w:proofErr w:type="spellEnd"/>
            <w:r w:rsidRPr="006606DD">
              <w:rPr>
                <w:rFonts w:ascii="Calibri" w:eastAsia="Calibri" w:hAnsi="Calibri" w:cs="Calibri"/>
                <w:sz w:val="22"/>
                <w:szCs w:val="22"/>
              </w:rPr>
              <w:t xml:space="preserve"> has commenced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6606DD">
        <w:tc>
          <w:tcPr>
            <w:tcW w:w="728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4886" w:type="dxa"/>
            <w:shd w:val="clear" w:color="auto" w:fill="FFFFFF"/>
          </w:tcPr>
          <w:p w:rsidR="005478A9" w:rsidRPr="0077248F" w:rsidRDefault="006606DD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Request ALS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6606DD">
        <w:tc>
          <w:tcPr>
            <w:tcW w:w="728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4886" w:type="dxa"/>
            <w:shd w:val="clear" w:color="auto" w:fill="FFFFFF"/>
          </w:tcPr>
          <w:p w:rsidR="005478A9" w:rsidRPr="00852A40" w:rsidRDefault="006606DD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Ascertain if wate</w:t>
            </w:r>
            <w:bookmarkStart w:id="0" w:name="_GoBack"/>
            <w:bookmarkEnd w:id="0"/>
            <w:r w:rsidRPr="006606DD">
              <w:rPr>
                <w:rFonts w:ascii="Calibri" w:eastAsia="Calibri" w:hAnsi="Calibri" w:cs="Calibri"/>
                <w:sz w:val="22"/>
                <w:szCs w:val="22"/>
              </w:rPr>
              <w:t>rs have broken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852A40" w:rsidRPr="00090683" w:rsidTr="006606DD">
        <w:trPr>
          <w:trHeight w:val="309"/>
        </w:trPr>
        <w:tc>
          <w:tcPr>
            <w:tcW w:w="728" w:type="dxa"/>
            <w:shd w:val="clear" w:color="auto" w:fill="FFFFFF"/>
          </w:tcPr>
          <w:p w:rsidR="00852A40" w:rsidRDefault="00852A40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7</w:t>
            </w:r>
          </w:p>
        </w:tc>
        <w:tc>
          <w:tcPr>
            <w:tcW w:w="4886" w:type="dxa"/>
            <w:shd w:val="clear" w:color="auto" w:fill="FFFFFF"/>
          </w:tcPr>
          <w:p w:rsidR="00852A40" w:rsidRPr="0077248F" w:rsidRDefault="006606DD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Ascertain previous number of births and previous complications</w:t>
            </w:r>
          </w:p>
        </w:tc>
        <w:tc>
          <w:tcPr>
            <w:tcW w:w="90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852A40" w:rsidRPr="00CA697F" w:rsidRDefault="00852A40" w:rsidP="005478A9">
            <w:pPr>
              <w:rPr>
                <w:rFonts w:ascii="Calibri" w:hAnsi="Calibri" w:cs="Calibri"/>
              </w:rPr>
            </w:pPr>
          </w:p>
        </w:tc>
      </w:tr>
      <w:tr w:rsidR="00852A40" w:rsidRPr="00090683" w:rsidTr="006606DD">
        <w:tc>
          <w:tcPr>
            <w:tcW w:w="728" w:type="dxa"/>
            <w:shd w:val="clear" w:color="auto" w:fill="FFFFFF"/>
          </w:tcPr>
          <w:p w:rsidR="00852A40" w:rsidRDefault="00852A40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8</w:t>
            </w:r>
          </w:p>
        </w:tc>
        <w:tc>
          <w:tcPr>
            <w:tcW w:w="4886" w:type="dxa"/>
            <w:shd w:val="clear" w:color="auto" w:fill="FFFFFF"/>
          </w:tcPr>
          <w:p w:rsidR="00852A40" w:rsidRPr="0077248F" w:rsidRDefault="006606DD" w:rsidP="00852A4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Ascertain if ante-natal clinic was attended and if complications identified</w:t>
            </w:r>
          </w:p>
        </w:tc>
        <w:tc>
          <w:tcPr>
            <w:tcW w:w="90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852A40" w:rsidRPr="00CA697F" w:rsidRDefault="00852A40" w:rsidP="005478A9">
            <w:pPr>
              <w:rPr>
                <w:rFonts w:ascii="Calibri" w:hAnsi="Calibri" w:cs="Calibri"/>
              </w:rPr>
            </w:pPr>
          </w:p>
        </w:tc>
      </w:tr>
      <w:tr w:rsidR="00852A40" w:rsidRPr="00090683" w:rsidTr="006606DD">
        <w:tc>
          <w:tcPr>
            <w:tcW w:w="728" w:type="dxa"/>
            <w:shd w:val="clear" w:color="auto" w:fill="FFFFFF"/>
          </w:tcPr>
          <w:p w:rsidR="00852A40" w:rsidRDefault="00852A40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</w:t>
            </w:r>
          </w:p>
        </w:tc>
        <w:tc>
          <w:tcPr>
            <w:tcW w:w="4886" w:type="dxa"/>
            <w:shd w:val="clear" w:color="auto" w:fill="FFFFFF"/>
          </w:tcPr>
          <w:p w:rsidR="00852A40" w:rsidRPr="0077248F" w:rsidRDefault="006606DD" w:rsidP="005478A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Identify which maternity hospital the mother is attending</w:t>
            </w:r>
          </w:p>
        </w:tc>
        <w:tc>
          <w:tcPr>
            <w:tcW w:w="90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852A40" w:rsidRPr="00CA697F" w:rsidRDefault="00852A40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852A40" w:rsidRPr="00CA697F" w:rsidRDefault="00852A40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5478A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Check blood pressure (</w:t>
            </w:r>
            <w:proofErr w:type="spellStart"/>
            <w:r w:rsidRPr="006606DD">
              <w:rPr>
                <w:rFonts w:ascii="Calibri" w:eastAsia="Calibri" w:hAnsi="Calibri" w:cs="Calibri"/>
                <w:sz w:val="22"/>
                <w:szCs w:val="22"/>
              </w:rPr>
              <w:t>Verbalise</w:t>
            </w:r>
            <w:proofErr w:type="spellEnd"/>
            <w:r w:rsidRPr="006606DD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11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5478A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Check pulse rate (</w:t>
            </w:r>
            <w:proofErr w:type="spellStart"/>
            <w:r w:rsidRPr="006606DD">
              <w:rPr>
                <w:rFonts w:ascii="Calibri" w:eastAsia="Calibri" w:hAnsi="Calibri" w:cs="Calibri"/>
                <w:sz w:val="22"/>
                <w:szCs w:val="22"/>
              </w:rPr>
              <w:t>Verbalise</w:t>
            </w:r>
            <w:proofErr w:type="spellEnd"/>
            <w:r w:rsidRPr="006606DD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12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5478A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Measure contraction interval (</w:t>
            </w:r>
            <w:proofErr w:type="spellStart"/>
            <w:r w:rsidRPr="006606DD">
              <w:rPr>
                <w:rFonts w:ascii="Calibri" w:eastAsia="Calibri" w:hAnsi="Calibri" w:cs="Calibri"/>
                <w:sz w:val="22"/>
                <w:szCs w:val="22"/>
              </w:rPr>
              <w:t>Verbalise</w:t>
            </w:r>
            <w:proofErr w:type="spellEnd"/>
            <w:r w:rsidRPr="006606DD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13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6606DD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Check if mother wants to bear down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14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6606DD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Offer Entonox® for pain relief (</w:t>
            </w:r>
            <w:proofErr w:type="spellStart"/>
            <w:r w:rsidRPr="006606DD">
              <w:rPr>
                <w:rFonts w:ascii="Calibri" w:eastAsia="Calibri" w:hAnsi="Calibri" w:cs="Calibri"/>
                <w:sz w:val="22"/>
                <w:szCs w:val="22"/>
              </w:rPr>
              <w:t>Verbalise</w:t>
            </w:r>
            <w:proofErr w:type="spellEnd"/>
            <w:r w:rsidRPr="006606DD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15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5478A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Inform control (</w:t>
            </w:r>
            <w:proofErr w:type="spellStart"/>
            <w:r w:rsidRPr="006606DD">
              <w:rPr>
                <w:rFonts w:ascii="Calibri" w:eastAsia="Calibri" w:hAnsi="Calibri" w:cs="Calibri"/>
                <w:sz w:val="22"/>
                <w:szCs w:val="22"/>
              </w:rPr>
              <w:t>Verbalise</w:t>
            </w:r>
            <w:proofErr w:type="spellEnd"/>
            <w:r w:rsidRPr="006606DD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16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6606DD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Drape the patient for examination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17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6606DD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Observe for crowning or any presenting part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18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6606DD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Prepare the perineal area 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19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5478A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Place hand on baby’s head to prevent an explosive delivery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20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6606DD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Check for umbilical cord around the baby’s neck after the head has presented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21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5478A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Gently direct and support the head to help deliver the upper shoulder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22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6606DD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Gently direct and support the head to help deliver the lower shoulder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23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5478A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Hold baby securely by placing one hand under the head and neck and sliding the hand along body during delivery, grasp the feet as they present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rPr>
          <w:trHeight w:val="597"/>
        </w:trPr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24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5478A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Dry baby and check ABCs (&gt; 28 wks.) or wrap baby in polythene bag without drying (&lt;28 wks.)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6606DD" w:rsidRPr="00090683" w:rsidTr="006606DD">
        <w:tc>
          <w:tcPr>
            <w:tcW w:w="728" w:type="dxa"/>
            <w:shd w:val="clear" w:color="auto" w:fill="FFFFFF"/>
          </w:tcPr>
          <w:p w:rsidR="006606DD" w:rsidRDefault="006606DD" w:rsidP="005478A9">
            <w:pPr>
              <w:spacing w:line="260" w:lineRule="exact"/>
              <w:ind w:left="93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25</w:t>
            </w:r>
          </w:p>
        </w:tc>
        <w:tc>
          <w:tcPr>
            <w:tcW w:w="4886" w:type="dxa"/>
            <w:shd w:val="clear" w:color="auto" w:fill="FFFFFF"/>
          </w:tcPr>
          <w:p w:rsidR="006606DD" w:rsidRPr="00852A40" w:rsidRDefault="006606DD" w:rsidP="005478A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606DD">
              <w:rPr>
                <w:rFonts w:ascii="Calibri" w:eastAsia="Calibri" w:hAnsi="Calibri" w:cs="Calibri"/>
                <w:sz w:val="22"/>
                <w:szCs w:val="22"/>
              </w:rPr>
              <w:t>Clamp and cut cord 26 Wrap baby and present to Mother</w:t>
            </w:r>
          </w:p>
        </w:tc>
        <w:tc>
          <w:tcPr>
            <w:tcW w:w="90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6606DD" w:rsidRPr="00CA697F" w:rsidRDefault="006606DD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6606DD" w:rsidRPr="00CA697F" w:rsidRDefault="006606DD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6606DD">
        <w:tc>
          <w:tcPr>
            <w:tcW w:w="728" w:type="dxa"/>
          </w:tcPr>
          <w:p w:rsidR="005478A9" w:rsidRDefault="005478A9" w:rsidP="005478A9"/>
        </w:tc>
        <w:tc>
          <w:tcPr>
            <w:tcW w:w="4886" w:type="dxa"/>
          </w:tcPr>
          <w:p w:rsidR="005478A9" w:rsidRPr="005478A9" w:rsidRDefault="005478A9" w:rsidP="005478A9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Ca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nd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ate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is</w:t>
            </w:r>
            <w:r w:rsidRPr="005478A9">
              <w:rPr>
                <w:rFonts w:ascii="Calibri" w:eastAsia="Calibri" w:hAnsi="Calibri" w:cs="Calibri"/>
                <w:color w:val="FFFFFF"/>
                <w:spacing w:val="2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</w:t>
            </w:r>
            <w:r w:rsidRPr="005478A9">
              <w:rPr>
                <w:rFonts w:ascii="Calibri" w:eastAsia="Calibri" w:hAnsi="Calibri" w:cs="Calibri"/>
                <w:color w:val="FFFFFF"/>
                <w:spacing w:val="-3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>v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ised -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>“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e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qu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ate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p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u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lse pr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e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sen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t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”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174404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4605" r="19050" b="2349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4130" r="20955" b="2349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174404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063" w:rsidRDefault="00973063">
      <w:r>
        <w:separator/>
      </w:r>
    </w:p>
  </w:endnote>
  <w:endnote w:type="continuationSeparator" w:id="0">
    <w:p w:rsidR="00973063" w:rsidRDefault="0097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Pr="00090683" w:rsidRDefault="00174404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 xml:space="preserve">Revised by:  </w:t>
    </w:r>
    <w:proofErr w:type="spellStart"/>
    <w:r w:rsidRPr="002E29BB">
      <w:rPr>
        <w:rFonts w:ascii="Calibri" w:hAnsi="Calibri" w:cs="Calibri"/>
        <w:b/>
        <w:bCs/>
        <w:sz w:val="16"/>
        <w:szCs w:val="16"/>
      </w:rPr>
      <w:t>Netcare</w:t>
    </w:r>
    <w:proofErr w:type="spellEnd"/>
    <w:r w:rsidRPr="002E29BB">
      <w:rPr>
        <w:rFonts w:ascii="Calibri" w:hAnsi="Calibri" w:cs="Calibri"/>
        <w:b/>
        <w:bCs/>
        <w:sz w:val="16"/>
        <w:szCs w:val="16"/>
      </w:rPr>
      <w:t xml:space="preserve">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Default="00EB69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063" w:rsidRDefault="00973063">
      <w:r>
        <w:separator/>
      </w:r>
    </w:p>
  </w:footnote>
  <w:footnote w:type="continuationSeparator" w:id="0">
    <w:p w:rsidR="00973063" w:rsidRDefault="00973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Default="00174404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74404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478A9"/>
    <w:rsid w:val="00586A8D"/>
    <w:rsid w:val="005938A6"/>
    <w:rsid w:val="005B6B5B"/>
    <w:rsid w:val="006002CA"/>
    <w:rsid w:val="006606DD"/>
    <w:rsid w:val="006D6DAB"/>
    <w:rsid w:val="00703B4B"/>
    <w:rsid w:val="007314F8"/>
    <w:rsid w:val="00737AE8"/>
    <w:rsid w:val="00765EA0"/>
    <w:rsid w:val="0077248F"/>
    <w:rsid w:val="00812E3A"/>
    <w:rsid w:val="008179FC"/>
    <w:rsid w:val="008207FA"/>
    <w:rsid w:val="008257A1"/>
    <w:rsid w:val="00852A40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73063"/>
    <w:rsid w:val="00991017"/>
    <w:rsid w:val="009978AB"/>
    <w:rsid w:val="00A4589F"/>
    <w:rsid w:val="00A51746"/>
    <w:rsid w:val="00A55D94"/>
    <w:rsid w:val="00AA3C54"/>
    <w:rsid w:val="00AB5B0D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93956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Faisal Binks</cp:lastModifiedBy>
  <cp:revision>2</cp:revision>
  <cp:lastPrinted>2006-08-30T08:55:00Z</cp:lastPrinted>
  <dcterms:created xsi:type="dcterms:W3CDTF">2018-03-14T11:35:00Z</dcterms:created>
  <dcterms:modified xsi:type="dcterms:W3CDTF">2018-03-14T11:35:00Z</dcterms:modified>
</cp:coreProperties>
</file>