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t>Supplementary Information</w:t>
      </w:r>
    </w:p>
    <w:p>
      <w:pPr>
        <w:pStyle w:val="Heading2"/>
        <w:spacing w:before="160" w:after="120"/>
      </w:pPr>
      <w:r>
        <w:t>A geometric model of democratic stability and the origin of the critical stress threshold S₂ = √3/4</w:t>
      </w:r>
    </w:p>
    <w:p>
      <w:pPr>
        <w:spacing w:after="120" w:line="259" w:lineRule="auto"/>
      </w:pPr>
      <w:r>
        <w:rPr>
          <w:rFonts w:ascii="Times New Roman" w:hAnsi="Times New Roman"/>
          <w:sz w:val="22"/>
        </w:rPr>
        <w:t>This supplement provides (1) the complete geometric derivation, (2) the full bifurcation analysis, (3) the asymmetry conjecture with phenomenological illustration, (4) early-warning signal methodology, and (5) explicit discussion of all assumptions and their testability.</w:t>
      </w:r>
    </w:p>
    <w:p>
      <w:pPr>
        <w:pStyle w:val="Heading1"/>
        <w:spacing w:before="240" w:after="120"/>
      </w:pPr>
      <w:r>
        <w:t>S1. Complete geometric derivation</w:t>
      </w:r>
    </w:p>
    <w:p>
      <w:pPr>
        <w:pStyle w:val="Heading2"/>
        <w:spacing w:before="160" w:after="120"/>
      </w:pPr>
      <w:r>
        <w:t>S1.1 Vector placement</w:t>
      </w:r>
    </w:p>
    <w:p>
      <w:pPr>
        <w:spacing w:after="120" w:line="259" w:lineRule="auto"/>
      </w:pPr>
      <w:r>
        <w:rPr>
          <w:rFonts w:ascii="Times New Roman" w:hAnsi="Times New Roman"/>
          <w:sz w:val="22"/>
        </w:rPr>
        <w:t>The three institutional pillars are placed as vectors in ℝ² separated by 120° = 2π/3 radians:</w:t>
      </w:r>
    </w:p>
    <w:p>
      <w:pPr>
        <w:spacing w:before="120" w:after="120"/>
        <w:jc w:val="center"/>
      </w:pPr>
      <w:r>
        <w:rPr>
          <w:rFonts w:ascii="Cambria Math" w:hAnsi="Cambria Math"/>
          <w:sz w:val="22"/>
        </w:rPr>
        <w:t>r_R = (R, 0)</w:t>
        <w:br/>
        <w:t>r_M = (−M/2, (√3/2)M)</w:t>
        <w:br/>
        <w:t>r_N = (−N/2, −(√3/2)N)    (S1)</w:t>
      </w:r>
    </w:p>
    <w:p>
      <w:pPr>
        <w:spacing w:after="120" w:line="259" w:lineRule="auto"/>
      </w:pPr>
      <w:r>
        <w:rPr>
          <w:rFonts w:ascii="Times New Roman" w:hAnsi="Times New Roman"/>
          <w:sz w:val="22"/>
        </w:rPr>
        <w:t>with R, M, N ∈ [0,1].</w:t>
      </w:r>
    </w:p>
    <w:p>
      <w:pPr>
        <w:pStyle w:val="Heading2"/>
        <w:spacing w:before="160" w:after="120"/>
      </w:pPr>
      <w:r>
        <w:t>S1.2 Verification of 120° separation</w:t>
      </w:r>
    </w:p>
    <w:p>
      <w:pPr>
        <w:spacing w:after="120" w:line="259" w:lineRule="auto"/>
      </w:pPr>
      <w:r>
        <w:rPr>
          <w:rFonts w:ascii="Times New Roman" w:hAnsi="Times New Roman"/>
          <w:sz w:val="22"/>
        </w:rPr>
        <w:t>The angle between r_R and r_M satisfies:</w:t>
      </w:r>
    </w:p>
    <w:p>
      <w:pPr>
        <w:spacing w:before="120" w:after="120"/>
        <w:jc w:val="center"/>
      </w:pPr>
      <w:r>
        <w:rPr>
          <w:rFonts w:ascii="Cambria Math" w:hAnsi="Cambria Math"/>
          <w:sz w:val="22"/>
        </w:rPr>
        <w:t>cos θ_RM = (r_R · r_M)/(||r_R|| ||r_M||) = [R(−M/2)]/(RM) = −1/2</w:t>
      </w:r>
    </w:p>
    <w:p>
      <w:pPr>
        <w:spacing w:after="120" w:line="259" w:lineRule="auto"/>
      </w:pPr>
      <w:r>
        <w:rPr>
          <w:rFonts w:ascii="Times New Roman" w:hAnsi="Times New Roman"/>
          <w:sz w:val="22"/>
        </w:rPr>
        <w:t>Hence θ_RM = arccos(−1/2) = 120°. By symmetry, all pairwise angles equal 120°. □</w:t>
      </w:r>
    </w:p>
    <w:p>
      <w:pPr>
        <w:pStyle w:val="Heading2"/>
        <w:spacing w:before="160" w:after="120"/>
      </w:pPr>
      <w:r>
        <w:t>S1.3 Complete area derivation</w:t>
      </w:r>
    </w:p>
    <w:p>
      <w:pPr>
        <w:spacing w:after="120" w:line="259" w:lineRule="auto"/>
      </w:pPr>
      <w:r>
        <w:rPr>
          <w:rFonts w:ascii="Times New Roman" w:hAnsi="Times New Roman"/>
          <w:sz w:val="22"/>
        </w:rPr>
        <w:t>Side vectors:</w:t>
      </w:r>
    </w:p>
    <w:p>
      <w:pPr>
        <w:spacing w:before="120" w:after="120"/>
        <w:jc w:val="center"/>
      </w:pPr>
      <w:r>
        <w:rPr>
          <w:rFonts w:ascii="Cambria Math" w:hAnsi="Cambria Math"/>
          <w:sz w:val="22"/>
        </w:rPr>
        <w:t>u = r_M − r_R = (−M/2 − R, (√3/2)M)</w:t>
        <w:br/>
        <w:t>v = r_N − r_R = (−N/2 − R, −(√3/2)N)    (S2)</w:t>
      </w:r>
    </w:p>
    <w:p>
      <w:pPr>
        <w:spacing w:after="120" w:line="259" w:lineRule="auto"/>
      </w:pPr>
      <w:r>
        <w:rPr>
          <w:rFonts w:ascii="Times New Roman" w:hAnsi="Times New Roman"/>
          <w:sz w:val="22"/>
        </w:rPr>
        <w:t>The signed area is computed from u_x v_y − u_y v_x:</w:t>
      </w:r>
    </w:p>
    <w:p>
      <w:pPr>
        <w:spacing w:before="120" w:after="120"/>
        <w:jc w:val="center"/>
      </w:pPr>
      <w:r>
        <w:rPr>
          <w:rFonts w:ascii="Cambria Math" w:hAnsi="Cambria Math"/>
          <w:sz w:val="22"/>
        </w:rPr>
        <w:t>u_x v_y = (−M/2 − R)(−(√3/2)N) = (√3/4)MN + (√3/2)RN</w:t>
        <w:br/>
        <w:t>u_y v_x = ((√3/2)M)(−N/2 − R) = −(√3/4)MN − (√3/2)MR</w:t>
      </w:r>
    </w:p>
    <w:p>
      <w:pPr>
        <w:spacing w:before="120" w:after="120"/>
        <w:jc w:val="center"/>
      </w:pPr>
      <w:r>
        <w:rPr>
          <w:rFonts w:ascii="Cambria Math" w:hAnsi="Cambria Math"/>
          <w:sz w:val="22"/>
        </w:rPr>
        <w:t>u_x v_y − u_y v_x = (√3/2)MN + (√3/2)RN + (√3/2)MR</w:t>
      </w:r>
    </w:p>
    <w:p>
      <w:pPr>
        <w:spacing w:after="120" w:line="259" w:lineRule="auto"/>
      </w:pPr>
      <w:r>
        <w:rPr>
          <w:rFonts w:ascii="Times New Roman" w:hAnsi="Times New Roman"/>
          <w:sz w:val="22"/>
        </w:rPr>
        <w:t>Since R, M, N ≥ 0, this expression is non-negative. The triangle area is half the absolute value:</w:t>
      </w:r>
    </w:p>
    <w:p>
      <w:pPr>
        <w:spacing w:before="120" w:after="120"/>
        <w:jc w:val="center"/>
      </w:pPr>
      <w:r>
        <w:rPr>
          <w:rFonts w:ascii="Cambria Math" w:hAnsi="Cambria Math"/>
          <w:sz w:val="22"/>
        </w:rPr>
        <w:t>A(R,M,N) = (1/2)(√3/2)(RM + RN + MN) = (√3/4)(RM + RN + MN)    (S3)</w:t>
      </w:r>
    </w:p>
    <w:p>
      <w:pPr>
        <w:pStyle w:val="Heading2"/>
        <w:spacing w:before="160" w:after="120"/>
      </w:pPr>
      <w:r>
        <w:t>S1.4 Maximum area</w:t>
      </w:r>
    </w:p>
    <w:p>
      <w:pPr>
        <w:spacing w:after="120" w:line="259" w:lineRule="auto"/>
      </w:pPr>
      <w:r>
        <w:rPr>
          <w:rFonts w:ascii="Times New Roman" w:hAnsi="Times New Roman"/>
          <w:sz w:val="22"/>
        </w:rPr>
        <w:t>With R = M = N = 1:</w:t>
      </w:r>
    </w:p>
    <w:p>
      <w:pPr>
        <w:spacing w:before="120" w:after="120"/>
        <w:jc w:val="center"/>
      </w:pPr>
      <w:r>
        <w:rPr>
          <w:rFonts w:ascii="Cambria Math" w:hAnsi="Cambria Math"/>
          <w:sz w:val="22"/>
        </w:rPr>
        <w:t>A_max = A(1,1,1) = (√3/4)(1 + 1 + 1) = 3√3/4    (S4)</w:t>
      </w:r>
    </w:p>
    <w:p>
      <w:pPr>
        <w:spacing w:after="120" w:line="259" w:lineRule="auto"/>
      </w:pPr>
      <w:r>
        <w:rPr>
          <w:rFonts w:ascii="Times New Roman" w:hAnsi="Times New Roman"/>
          <w:sz w:val="22"/>
        </w:rPr>
        <w:t>This is also the area of an equilateral triangle with side length √3:</w:t>
      </w:r>
    </w:p>
    <w:p>
      <w:pPr>
        <w:spacing w:before="120" w:after="120"/>
        <w:jc w:val="center"/>
      </w:pPr>
      <w:r>
        <w:rPr>
          <w:rFonts w:ascii="Cambria Math" w:hAnsi="Cambria Math"/>
          <w:sz w:val="22"/>
        </w:rPr>
        <w:t>||r_R − r_M||_{R=M=1} = √[(1 + 1/2)² + (0 − √3/2)²] = √(9/4 + 3/4) = √3</w:t>
      </w:r>
    </w:p>
    <w:p>
      <w:pPr>
        <w:spacing w:before="120" w:after="120"/>
        <w:jc w:val="center"/>
      </w:pPr>
      <w:r>
        <w:rPr>
          <w:rFonts w:ascii="Cambria Math" w:hAnsi="Cambria Math"/>
          <w:sz w:val="22"/>
        </w:rPr>
        <w:t>Area = (√3/4)(√3)² = 3√3/4</w:t>
      </w:r>
    </w:p>
    <w:p>
      <w:pPr>
        <w:pStyle w:val="Heading2"/>
        <w:spacing w:before="160" w:after="120"/>
      </w:pPr>
      <w:r>
        <w:t>S1.5 Normalised stability and stress</w:t>
      </w:r>
    </w:p>
    <w:p>
      <w:pPr>
        <w:spacing w:before="120" w:after="120"/>
        <w:jc w:val="center"/>
      </w:pPr>
      <w:r>
        <w:rPr>
          <w:rFonts w:ascii="Cambria Math" w:hAnsi="Cambria Math"/>
          <w:sz w:val="22"/>
        </w:rPr>
        <w:t>Φ = A/A_max = (RM + RN + MN)/3 ∈ [0,1]    (S5)</w:t>
      </w:r>
    </w:p>
    <w:p>
      <w:pPr>
        <w:spacing w:before="120" w:after="120"/>
        <w:jc w:val="center"/>
      </w:pPr>
      <w:r>
        <w:rPr>
          <w:rFonts w:ascii="Cambria Math" w:hAnsi="Cambria Math"/>
          <w:sz w:val="22"/>
        </w:rPr>
        <w:t>S = 1 − Φ = 1 − (RM + RN + MN)/3 ∈ [0,1]    (S6)</w:t>
      </w:r>
    </w:p>
    <w:p>
      <w:pPr>
        <w:pStyle w:val="Heading1"/>
        <w:spacing w:before="240" w:after="120"/>
      </w:pPr>
      <w:r>
        <w:t>S2. Derivation of S₁ and S₂</w:t>
      </w:r>
    </w:p>
    <w:p>
      <w:pPr>
        <w:pStyle w:val="Heading2"/>
        <w:spacing w:before="160" w:after="120"/>
      </w:pPr>
      <w:r>
        <w:t>S2.1 S₁ = √3/8</w:t>
      </w:r>
    </w:p>
    <w:p>
      <w:pPr>
        <w:spacing w:after="120" w:line="259" w:lineRule="auto"/>
      </w:pPr>
      <w:r>
        <w:rPr>
          <w:rFonts w:ascii="Times New Roman" w:hAnsi="Times New Roman"/>
          <w:sz w:val="22"/>
        </w:rPr>
        <w:t>The midpoint on the stress scale between full stability and the critical threshold is:</w:t>
      </w:r>
    </w:p>
    <w:p>
      <w:pPr>
        <w:spacing w:before="120" w:after="120"/>
        <w:jc w:val="center"/>
      </w:pPr>
      <w:r>
        <w:rPr>
          <w:rFonts w:ascii="Cambria Math" w:hAnsi="Cambria Math"/>
          <w:sz w:val="22"/>
        </w:rPr>
        <w:t>S₁ = S₂/2 = √3/8 ≈ 0.2165    (S7)</w:t>
      </w:r>
    </w:p>
    <w:p>
      <w:pPr>
        <w:spacing w:after="120" w:line="259" w:lineRule="auto"/>
      </w:pPr>
      <w:r>
        <w:rPr>
          <w:rFonts w:ascii="Times New Roman" w:hAnsi="Times New Roman"/>
          <w:sz w:val="22"/>
        </w:rPr>
        <w:t>S₁ is a conventional early-warning level, not deductively derived.</w:t>
      </w:r>
    </w:p>
    <w:p>
      <w:pPr>
        <w:pStyle w:val="Heading2"/>
        <w:spacing w:before="160" w:after="120"/>
      </w:pPr>
      <w:r>
        <w:t>S2.2 S₂ = √3/4</w:t>
      </w:r>
    </w:p>
    <w:p>
      <w:pPr>
        <w:spacing w:after="120" w:line="259" w:lineRule="auto"/>
      </w:pPr>
      <w:r>
        <w:rPr>
          <w:rFonts w:ascii="Times New Roman" w:hAnsi="Times New Roman"/>
          <w:sz w:val="22"/>
        </w:rPr>
        <w:t>The area of a unit equilateral triangle (side length 1) is √3/4. In the normalised stress scale:</w:t>
      </w:r>
    </w:p>
    <w:p>
      <w:pPr>
        <w:spacing w:before="120" w:after="120"/>
        <w:jc w:val="center"/>
      </w:pPr>
      <w:r>
        <w:rPr>
          <w:rFonts w:ascii="Cambria Math" w:hAnsi="Cambria Math"/>
          <w:sz w:val="22"/>
        </w:rPr>
        <w:t>S₂ = √3/4 ≈ 0.4330    (S8)</w:t>
      </w:r>
    </w:p>
    <w:p>
      <w:pPr>
        <w:spacing w:after="120" w:line="259" w:lineRule="auto"/>
      </w:pPr>
      <w:r>
        <w:rPr>
          <w:rFonts w:ascii="Times New Roman" w:hAnsi="Times New Roman"/>
          <w:sz w:val="22"/>
        </w:rPr>
        <w:t>At this stress, Φ_c = 1 − √3/4 ≈ 0.567 and A_c = (3√3/4)(1 − √3/4) ≈ 0.737. S₂ follows deductively from the geometry of the three-pillar representation.</w:t>
      </w:r>
    </w:p>
    <w:p>
      <w:pPr>
        <w:pStyle w:val="Heading1"/>
        <w:spacing w:before="240" w:after="120"/>
      </w:pPr>
      <w:r>
        <w:t>S3. Complete bifurcation analysis</w:t>
      </w:r>
    </w:p>
    <w:p>
      <w:pPr>
        <w:pStyle w:val="Heading2"/>
        <w:spacing w:before="160" w:after="120"/>
      </w:pPr>
      <w:r>
        <w:t>S3.1 Potential function</w:t>
      </w:r>
    </w:p>
    <w:p>
      <w:pPr>
        <w:spacing w:before="120" w:after="120"/>
        <w:jc w:val="center"/>
      </w:pPr>
      <w:r>
        <w:rPr>
          <w:rFonts w:ascii="Cambria Math" w:hAnsi="Cambria Math"/>
          <w:sz w:val="22"/>
        </w:rPr>
        <w:t>U(Φ;S) = (1/2)k(S)(Φ − Φ_c)² + (λ/4)(Φ − Φ_c)⁴,    λ &gt; 0    (S9)</w:t>
      </w:r>
    </w:p>
    <w:p>
      <w:pPr>
        <w:spacing w:after="120" w:line="259" w:lineRule="auto"/>
      </w:pPr>
      <w:r>
        <w:rPr>
          <w:rFonts w:ascii="Times New Roman" w:hAnsi="Times New Roman"/>
          <w:sz w:val="22"/>
        </w:rPr>
        <w:t>with k(S) = α(S₂ − S), α &gt; 0, and Φ_c = 1 − S₂.</w:t>
      </w:r>
    </w:p>
    <w:p>
      <w:pPr>
        <w:pStyle w:val="Heading2"/>
        <w:spacing w:before="160" w:after="120"/>
      </w:pPr>
      <w:r>
        <w:t>S3.2 Equilibrium and stability analysis</w:t>
      </w:r>
    </w:p>
    <w:p>
      <w:pPr>
        <w:spacing w:before="120" w:after="120"/>
        <w:jc w:val="center"/>
      </w:pPr>
      <w:r>
        <w:rPr>
          <w:rFonts w:ascii="Cambria Math" w:hAnsi="Cambria Math"/>
          <w:sz w:val="22"/>
        </w:rPr>
        <w:t>∂U/∂Φ = (Φ − Φ_c)[k(S) + λ(Φ − Φ_c)²] = 0    (S10)</w:t>
      </w:r>
    </w:p>
    <w:p>
      <w:pPr>
        <w:spacing w:after="120" w:line="259" w:lineRule="auto"/>
      </w:pPr>
      <w:r>
        <w:rPr>
          <w:rFonts w:ascii="Times New Roman" w:hAnsi="Times New Roman"/>
          <w:sz w:val="22"/>
        </w:rPr>
        <w:t>Solutions are Φ = Φ_c, which always exists; and, when k(S) &lt; 0, Φ = Φ_c ± √(−k(S)/λ).</w:t>
      </w:r>
    </w:p>
    <w:p>
      <w:pPr>
        <w:spacing w:before="120" w:after="120"/>
        <w:jc w:val="center"/>
      </w:pPr>
      <w:r>
        <w:rPr>
          <w:rFonts w:ascii="Cambria Math" w:hAnsi="Cambria Math"/>
          <w:sz w:val="22"/>
        </w:rPr>
        <w:t>∂²U/∂Φ² = k(S) + 3λ(Φ − Φ_c)²    (S11)</w:t>
      </w:r>
    </w:p>
    <w:p>
      <w:pPr>
        <w:spacing w:after="120" w:line="259" w:lineRule="auto"/>
      </w:pPr>
      <w:r>
        <w:rPr>
          <w:rFonts w:ascii="Times New Roman" w:hAnsi="Times New Roman"/>
          <w:sz w:val="22"/>
        </w:rPr>
        <w:t>For Φ = Φ_c, ∂²U/∂Φ² = k(S). Hence S &lt; S₂ implies stability, S = S₂ implies marginal stability, and S &gt; S₂ implies instability. For Φ = Φ_c ± √(−k(S)/λ), the second derivative is −2k(S) &gt; 0, so both non-zero branches are stable local minima.</w:t>
      </w:r>
    </w:p>
    <w:p>
      <w:pPr>
        <w:pStyle w:val="Heading2"/>
        <w:spacing w:before="160" w:after="120"/>
      </w:pPr>
      <w:r>
        <w:t>S3.3 Bifurcation type</w:t>
      </w:r>
    </w:p>
    <w:p>
      <w:pPr>
        <w:spacing w:after="120" w:line="259" w:lineRule="auto"/>
      </w:pPr>
      <w:r>
        <w:rPr>
          <w:rFonts w:ascii="Times New Roman" w:hAnsi="Times New Roman"/>
          <w:sz w:val="22"/>
        </w:rPr>
        <w:t>The change in the number and stability of equilibria at S = S₂ constitutes a supercritical pitchfork bifurcation: for S &lt; S₂ there is one stable equilibrium; at S = S₂ there is one marginally stable equilibrium; for S &gt; S₂ there are two stable equilibria and one unstable equilibrium.</w:t>
      </w:r>
    </w:p>
    <w:p>
      <w:pPr>
        <w:pStyle w:val="Heading2"/>
        <w:spacing w:before="160" w:after="120"/>
      </w:pPr>
      <w:r>
        <w:t>S3.4 Critical slowing down</w:t>
      </w:r>
    </w:p>
    <w:p>
      <w:pPr>
        <w:spacing w:after="120" w:line="259" w:lineRule="auto"/>
      </w:pPr>
      <w:r>
        <w:rPr>
          <w:rFonts w:ascii="Times New Roman" w:hAnsi="Times New Roman"/>
          <w:sz w:val="22"/>
        </w:rPr>
        <w:t>Near S₂, the dominant linear recovery rate below the threshold is proportional to k(S). As S approaches S₂ from below, k(S) approaches zero. This vanishing return rate is the mathematical signature of critical slowing down: perturbations decay increasingly slowly. The statistical consequences—rising variance and autocorrelation—are derived in Wissel (1984).</w:t>
      </w:r>
    </w:p>
    <w:p>
      <w:pPr>
        <w:pStyle w:val="Heading1"/>
        <w:spacing w:before="240" w:after="120"/>
      </w:pPr>
      <w:r>
        <w:t>S4. The asymmetry conjecture: geometric motivation</w:t>
      </w:r>
    </w:p>
    <w:p>
      <w:pPr>
        <w:pStyle w:val="Heading2"/>
        <w:spacing w:before="160" w:after="120"/>
      </w:pPr>
      <w:r>
        <w:t>S4.1 Empirical background</w:t>
      </w:r>
    </w:p>
    <w:p>
      <w:pPr>
        <w:spacing w:after="120" w:line="259" w:lineRule="auto"/>
      </w:pPr>
      <w:r>
        <w:rPr>
          <w:rFonts w:ascii="Times New Roman" w:hAnsi="Times New Roman"/>
          <w:sz w:val="22"/>
        </w:rPr>
        <w:t>It is widely documented that democratic erosion can occur rapidly while recovery typically requires sustained, multi-dimensional reconstruction. This asymmetry—democracies are easier to break than to fix—motivates a quantitative conjecture within the geometric framework.</w:t>
      </w:r>
    </w:p>
    <w:p>
      <w:pPr>
        <w:pStyle w:val="Heading2"/>
        <w:spacing w:before="160" w:after="120"/>
      </w:pPr>
      <w:r>
        <w:t>S4.2 Conjectural reasoning</w:t>
      </w:r>
    </w:p>
    <w:p>
      <w:pPr>
        <w:spacing w:after="120" w:line="259" w:lineRule="auto"/>
      </w:pPr>
      <w:r>
        <w:rPr>
          <w:rFonts w:ascii="Times New Roman" w:hAnsi="Times New Roman"/>
          <w:sz w:val="22"/>
        </w:rPr>
        <w:t>The constant √3 appears in the geometric model in two capacities: as the side-length-related constant in the equilateral construction and as the structural constant associated with the threshold S₂. The conjecture extends this constant to a third domain: the magnitude of recovery-erosion asymmetry.</w:t>
      </w:r>
    </w:p>
    <w:p>
      <w:pPr>
        <w:spacing w:after="120" w:line="259" w:lineRule="auto"/>
      </w:pPr>
      <w:r>
        <w:rPr>
          <w:rFonts w:ascii="Times New Roman" w:hAnsi="Times New Roman"/>
          <w:sz w:val="22"/>
        </w:rPr>
        <w:t>The reasoning is analogical. If the post-bifurcation landscape—with its deeper lower branch (erosion) and shallower upper branch (recovery)—reflects the same structural imbalance that produces the √3/4 threshold, then the ratio of recovery effort to erosion magnitude might approximate √3.</w:t>
      </w:r>
    </w:p>
    <w:p>
      <w:pPr>
        <w:spacing w:after="120" w:line="259" w:lineRule="auto"/>
      </w:pPr>
      <w:r>
        <w:rPr>
          <w:rFonts w:ascii="Times New Roman" w:hAnsi="Times New Roman"/>
          <w:sz w:val="22"/>
        </w:rPr>
        <w:t>This is not a deduction. Unlike S₂, which follows from the geometric definition, ℋ = √3 is a conjectural extension. It could be false even if S₂ is correct.</w:t>
      </w:r>
    </w:p>
    <w:p>
      <w:pPr>
        <w:pStyle w:val="Heading2"/>
        <w:spacing w:before="160" w:after="120"/>
      </w:pPr>
      <w:r>
        <w:t>S4.3 Phenomenological illustration</w:t>
      </w:r>
    </w:p>
    <w:p>
      <w:pPr>
        <w:spacing w:before="120" w:after="120"/>
        <w:jc w:val="center"/>
      </w:pPr>
      <w:r>
        <w:rPr>
          <w:rFonts w:ascii="Cambria Math" w:hAnsi="Cambria Math"/>
          <w:sz w:val="22"/>
        </w:rPr>
        <w:t>Uₐₛᵧₘ(Φ;S) = (1/2)k(S)(Φ − Φ_c)² + (μ/3)(Φ − Φ_c)³ + (λ/4)(Φ − Φ_c)⁴    (S12)</w:t>
      </w:r>
    </w:p>
    <w:p>
      <w:pPr>
        <w:spacing w:after="120" w:line="259" w:lineRule="auto"/>
      </w:pPr>
      <w:r>
        <w:rPr>
          <w:rFonts w:ascii="Times New Roman" w:hAnsi="Times New Roman"/>
          <w:sz w:val="22"/>
        </w:rPr>
        <w:t>with μ &gt; 0 representing a bias favouring erosion. This potential produces unequal barrier heights for erosion and recovery transitions. Depending on the value of μ, the barrier ratio can take any value above unity. The imperfect pitchfork therefore demonstrates that the mathematical framework accommodates asymmetry, but it does not uniquely predict √3. The conjecture ℋ = √3 is not derived from this model; rather, the model illustrates the type of mechanism that could produce such asymmetry.</w:t>
      </w:r>
    </w:p>
    <w:p>
      <w:pPr>
        <w:pStyle w:val="Heading2"/>
        <w:spacing w:before="160" w:after="120"/>
      </w:pPr>
      <w:r>
        <w:t>S4.4 Falsifiability</w:t>
      </w:r>
    </w:p>
    <w:p>
      <w:pPr>
        <w:spacing w:after="120" w:line="259" w:lineRule="auto"/>
      </w:pPr>
      <w:r>
        <w:rPr>
          <w:rFonts w:ascii="Times New Roman" w:hAnsi="Times New Roman"/>
          <w:sz w:val="22"/>
        </w:rPr>
        <w:t>The conjecture is tested against five competing values: ℋ = 1 (symmetry null), √3/2, √3, 2√3, and 3√3. If √3 is the only value consistently within empirical confidence intervals across operationalisations, the conjecture survives falsification. If multiple values survive, the conjecture lacks specificity. If no value survives, the geometric approach to asymmetry is unsupported.</w:t>
      </w:r>
    </w:p>
    <w:p>
      <w:pPr>
        <w:pStyle w:val="Heading2"/>
        <w:spacing w:before="160" w:after="120"/>
      </w:pPr>
      <w:r>
        <w:t>S4.5 Relationship to main text</w:t>
      </w:r>
    </w:p>
    <w:p>
      <w:pPr>
        <w:spacing w:after="120" w:line="259" w:lineRule="auto"/>
      </w:pPr>
      <w:r>
        <w:rPr>
          <w:rFonts w:ascii="Times New Roman" w:hAnsi="Times New Roman"/>
          <w:sz w:val="22"/>
        </w:rPr>
        <w:t>The main text reports the empirical test in Section 4.6. The conjecture’s status is distinct from S₂: S₂ is deductively derived; ℋ is empirically tested but not deductively derived. This distinction is maintained throughout.</w:t>
      </w:r>
    </w:p>
    <w:p>
      <w:pPr>
        <w:pStyle w:val="Heading1"/>
        <w:spacing w:before="240" w:after="120"/>
      </w:pPr>
      <w:r>
        <w:t>S5. Early-warning signal methodology</w:t>
      </w:r>
    </w:p>
    <w:p>
      <w:pPr>
        <w:pStyle w:val="Heading2"/>
        <w:spacing w:before="160" w:after="120"/>
      </w:pPr>
      <w:r>
        <w:t>S5.1 Rolling window computations</w:t>
      </w:r>
    </w:p>
    <w:p>
      <w:pPr>
        <w:spacing w:after="120" w:line="259" w:lineRule="auto"/>
      </w:pPr>
      <w:r>
        <w:rPr>
          <w:rFonts w:ascii="Times New Roman" w:hAnsi="Times New Roman"/>
          <w:sz w:val="22"/>
        </w:rPr>
        <w:t>For window length w, the rolling mean at time t is:</w:t>
      </w:r>
    </w:p>
    <w:p>
      <w:pPr>
        <w:spacing w:before="120" w:after="120"/>
        <w:jc w:val="center"/>
      </w:pPr>
      <w:r>
        <w:rPr>
          <w:rFonts w:ascii="Cambria Math" w:hAnsi="Cambria Math"/>
          <w:sz w:val="22"/>
        </w:rPr>
        <w:t>S̄_it = (1/w)Σ_{j=0}^{w−1} S_{i,t−j}</w:t>
      </w:r>
    </w:p>
    <w:p>
      <w:pPr>
        <w:spacing w:after="120" w:line="259" w:lineRule="auto"/>
      </w:pPr>
      <w:r>
        <w:rPr>
          <w:rFonts w:ascii="Times New Roman" w:hAnsi="Times New Roman"/>
          <w:sz w:val="22"/>
        </w:rPr>
        <w:t>Detrending is performed via OLS within each window. Residuals are used for all subsequent computations.</w:t>
      </w:r>
    </w:p>
    <w:p>
      <w:pPr>
        <w:pStyle w:val="Heading2"/>
        <w:spacing w:before="160" w:after="120"/>
      </w:pPr>
      <w:r>
        <w:t>S5.2 Variance</w:t>
      </w:r>
    </w:p>
    <w:p>
      <w:pPr>
        <w:spacing w:before="120" w:after="120"/>
        <w:jc w:val="center"/>
      </w:pPr>
      <w:r>
        <w:rPr>
          <w:rFonts w:ascii="Cambria Math" w:hAnsi="Cambria Math"/>
          <w:sz w:val="22"/>
        </w:rPr>
        <w:t>V_it = (1/(w−1))Σ_{j=0}^{w−1} [ε̂_{i,t−j} − (1/w)Σ_{k=0}^{w−1} ε̂_{i,t−k}]²</w:t>
      </w:r>
    </w:p>
    <w:p>
      <w:pPr>
        <w:pStyle w:val="Heading2"/>
        <w:spacing w:before="160" w:after="120"/>
      </w:pPr>
      <w:r>
        <w:t>S5.3 Lag-1 autocorrelation</w:t>
      </w:r>
    </w:p>
    <w:p>
      <w:pPr>
        <w:spacing w:before="120" w:after="120"/>
        <w:jc w:val="center"/>
      </w:pPr>
      <w:r>
        <w:rPr>
          <w:rFonts w:ascii="Cambria Math" w:hAnsi="Cambria Math"/>
          <w:sz w:val="22"/>
        </w:rPr>
        <w:t>AR1_it = Σ_{j=1}^{w−1}(e_j^(1) − ē^(1))(e_j^(2) − ē^(2)) / √[Σ_{j=1}^{w−1}(e_j^(1) − ē^(1))² Σ_{j=1}^{w−1}(e_j^(2) − ē^(2))²]</w:t>
      </w:r>
    </w:p>
    <w:p>
      <w:pPr>
        <w:spacing w:after="120" w:line="259" w:lineRule="auto"/>
      </w:pPr>
      <w:r>
        <w:rPr>
          <w:rFonts w:ascii="Times New Roman" w:hAnsi="Times New Roman"/>
          <w:sz w:val="22"/>
        </w:rPr>
        <w:t>where e^(1) and e^(2) are residual vectors lagged appropriately.</w:t>
      </w:r>
    </w:p>
    <w:p>
      <w:pPr>
        <w:pStyle w:val="Heading1"/>
        <w:spacing w:before="240" w:after="120"/>
      </w:pPr>
      <w:r>
        <w:t>S6. Assumptions and their testability</w:t>
      </w:r>
    </w:p>
    <w:tbl>
      <w:tblPr>
        <w:tblStyle w:val="TableGrid"/>
        <w:tblW w:type="auto" w:w="0"/>
        <w:jc w:val="center"/>
        <w:tblLook w:firstColumn="1" w:firstRow="1" w:lastColumn="0" w:lastRow="0" w:noHBand="0" w:noVBand="1" w:val="04A0"/>
      </w:tblPr>
      <w:tblGrid>
        <w:gridCol w:w="3120"/>
        <w:gridCol w:w="3120"/>
        <w:gridCol w:w="3120"/>
      </w:tblGrid>
      <w:tr>
        <w:trPr>
          <w:cantSplit/>
        </w:trPr>
        <w:tc>
          <w:tcPr>
            <w:tcW w:type="dxa" w:w="3120"/>
            <w:vAlign w:val="center"/>
            <w:shd w:fill="D9EAF7"/>
          </w:tcPr>
          <w:p>
            <w:r/>
            <w:r>
              <w:rPr>
                <w:rFonts w:ascii="Times New Roman" w:hAnsi="Times New Roman"/>
                <w:b/>
                <w:sz w:val="20"/>
              </w:rPr>
              <w:t>Assumption</w:t>
            </w:r>
          </w:p>
        </w:tc>
        <w:tc>
          <w:tcPr>
            <w:tcW w:type="dxa" w:w="3120"/>
            <w:vAlign w:val="center"/>
            <w:shd w:fill="D9EAF7"/>
          </w:tcPr>
          <w:p>
            <w:r/>
            <w:r>
              <w:rPr>
                <w:rFonts w:ascii="Times New Roman" w:hAnsi="Times New Roman"/>
                <w:b/>
                <w:sz w:val="20"/>
              </w:rPr>
              <w:t>Content</w:t>
            </w:r>
          </w:p>
        </w:tc>
        <w:tc>
          <w:tcPr>
            <w:tcW w:type="dxa" w:w="3120"/>
            <w:vAlign w:val="center"/>
            <w:shd w:fill="D9EAF7"/>
          </w:tcPr>
          <w:p>
            <w:r/>
            <w:r>
              <w:rPr>
                <w:rFonts w:ascii="Times New Roman" w:hAnsi="Times New Roman"/>
                <w:b/>
                <w:sz w:val="20"/>
              </w:rPr>
              <w:t>How to test</w:t>
            </w:r>
          </w:p>
        </w:tc>
      </w:tr>
      <w:tr>
        <w:trPr>
          <w:cantSplit/>
        </w:trPr>
        <w:tc>
          <w:tcPr>
            <w:tcW w:type="dxa" w:w="3120"/>
            <w:vAlign w:val="center"/>
          </w:tcPr>
          <w:p>
            <w:r/>
            <w:r>
              <w:rPr>
                <w:rFonts w:ascii="Times New Roman" w:hAnsi="Times New Roman"/>
                <w:b w:val="0"/>
                <w:sz w:val="20"/>
              </w:rPr>
              <w:t>A1: Equal fundamentality</w:t>
            </w:r>
          </w:p>
        </w:tc>
        <w:tc>
          <w:tcPr>
            <w:tcW w:type="dxa" w:w="3120"/>
            <w:vAlign w:val="center"/>
          </w:tcPr>
          <w:p>
            <w:r/>
            <w:r>
              <w:rPr>
                <w:rFonts w:ascii="Times New Roman" w:hAnsi="Times New Roman"/>
                <w:b w:val="0"/>
                <w:sz w:val="20"/>
              </w:rPr>
              <w:t>R, M, N equally important</w:t>
            </w:r>
          </w:p>
        </w:tc>
        <w:tc>
          <w:tcPr>
            <w:tcW w:type="dxa" w:w="3120"/>
            <w:vAlign w:val="center"/>
          </w:tcPr>
          <w:p>
            <w:r/>
            <w:r>
              <w:rPr>
                <w:rFonts w:ascii="Times New Roman" w:hAnsi="Times New Roman"/>
                <w:b w:val="0"/>
                <w:sz w:val="20"/>
              </w:rPr>
              <w:t>Weight pillars unequally; compare predictive performance</w:t>
            </w:r>
          </w:p>
        </w:tc>
      </w:tr>
      <w:tr>
        <w:trPr>
          <w:cantSplit/>
        </w:trPr>
        <w:tc>
          <w:tcPr>
            <w:tcW w:type="dxa" w:w="3120"/>
            <w:vAlign w:val="center"/>
          </w:tcPr>
          <w:p>
            <w:r/>
            <w:r>
              <w:rPr>
                <w:rFonts w:ascii="Times New Roman" w:hAnsi="Times New Roman"/>
                <w:b w:val="0"/>
                <w:sz w:val="20"/>
              </w:rPr>
              <w:t>A2: Area representation</w:t>
            </w:r>
          </w:p>
        </w:tc>
        <w:tc>
          <w:tcPr>
            <w:tcW w:type="dxa" w:w="3120"/>
            <w:vAlign w:val="center"/>
          </w:tcPr>
          <w:p>
            <w:r/>
            <w:r>
              <w:rPr>
                <w:rFonts w:ascii="Times New Roman" w:hAnsi="Times New Roman"/>
                <w:b w:val="0"/>
                <w:sz w:val="20"/>
              </w:rPr>
              <w:t>Capacity proportional to triangle area</w:t>
            </w:r>
          </w:p>
        </w:tc>
        <w:tc>
          <w:tcPr>
            <w:tcW w:type="dxa" w:w="3120"/>
            <w:vAlign w:val="center"/>
          </w:tcPr>
          <w:p>
            <w:r/>
            <w:r>
              <w:rPr>
                <w:rFonts w:ascii="Times New Roman" w:hAnsi="Times New Roman"/>
                <w:b w:val="0"/>
                <w:sz w:val="20"/>
              </w:rPr>
              <w:t>Test alternative geometries: perimeter, product, sum</w:t>
            </w:r>
          </w:p>
        </w:tc>
      </w:tr>
      <w:tr>
        <w:trPr>
          <w:cantSplit/>
        </w:trPr>
        <w:tc>
          <w:tcPr>
            <w:tcW w:type="dxa" w:w="3120"/>
            <w:vAlign w:val="center"/>
          </w:tcPr>
          <w:p>
            <w:r/>
            <w:r>
              <w:rPr>
                <w:rFonts w:ascii="Times New Roman" w:hAnsi="Times New Roman"/>
                <w:b w:val="0"/>
                <w:sz w:val="20"/>
              </w:rPr>
              <w:t>A3: Symmetric bifurcation</w:t>
            </w:r>
          </w:p>
        </w:tc>
        <w:tc>
          <w:tcPr>
            <w:tcW w:type="dxa" w:w="3120"/>
            <w:vAlign w:val="center"/>
          </w:tcPr>
          <w:p>
            <w:r/>
            <w:r>
              <w:rPr>
                <w:rFonts w:ascii="Times New Roman" w:hAnsi="Times New Roman"/>
                <w:b w:val="0"/>
                <w:sz w:val="20"/>
              </w:rPr>
              <w:t>Pitchfork structure at S₂</w:t>
            </w:r>
          </w:p>
        </w:tc>
        <w:tc>
          <w:tcPr>
            <w:tcW w:type="dxa" w:w="3120"/>
            <w:vAlign w:val="center"/>
          </w:tcPr>
          <w:p>
            <w:r/>
            <w:r>
              <w:rPr>
                <w:rFonts w:ascii="Times New Roman" w:hAnsi="Times New Roman"/>
                <w:b w:val="0"/>
                <w:sz w:val="20"/>
              </w:rPr>
              <w:t>Test alternative bifurcation types</w:t>
            </w:r>
          </w:p>
        </w:tc>
      </w:tr>
      <w:tr>
        <w:trPr>
          <w:cantSplit/>
        </w:trPr>
        <w:tc>
          <w:tcPr>
            <w:tcW w:type="dxa" w:w="3120"/>
            <w:vAlign w:val="center"/>
          </w:tcPr>
          <w:p>
            <w:r/>
            <w:r>
              <w:rPr>
                <w:rFonts w:ascii="Times New Roman" w:hAnsi="Times New Roman"/>
                <w:b w:val="0"/>
                <w:sz w:val="20"/>
              </w:rPr>
              <w:t>A4: 120° separation</w:t>
            </w:r>
          </w:p>
        </w:tc>
        <w:tc>
          <w:tcPr>
            <w:tcW w:type="dxa" w:w="3120"/>
            <w:vAlign w:val="center"/>
          </w:tcPr>
          <w:p>
            <w:r/>
            <w:r>
              <w:rPr>
                <w:rFonts w:ascii="Times New Roman" w:hAnsi="Times New Roman"/>
                <w:b w:val="0"/>
                <w:sz w:val="20"/>
              </w:rPr>
              <w:t>Pillars equally spaced</w:t>
            </w:r>
          </w:p>
        </w:tc>
        <w:tc>
          <w:tcPr>
            <w:tcW w:type="dxa" w:w="3120"/>
            <w:vAlign w:val="center"/>
          </w:tcPr>
          <w:p>
            <w:r/>
            <w:r>
              <w:rPr>
                <w:rFonts w:ascii="Times New Roman" w:hAnsi="Times New Roman"/>
                <w:b w:val="0"/>
                <w:sz w:val="20"/>
              </w:rPr>
              <w:t>Test alternative angles; compare fit</w:t>
            </w:r>
          </w:p>
        </w:tc>
      </w:tr>
      <w:tr>
        <w:trPr>
          <w:cantSplit/>
        </w:trPr>
        <w:tc>
          <w:tcPr>
            <w:tcW w:type="dxa" w:w="3120"/>
            <w:vAlign w:val="center"/>
          </w:tcPr>
          <w:p>
            <w:r/>
            <w:r>
              <w:rPr>
                <w:rFonts w:ascii="Times New Roman" w:hAnsi="Times New Roman"/>
                <w:b w:val="0"/>
                <w:sz w:val="20"/>
              </w:rPr>
              <w:t>A5: Phenomenological potential</w:t>
            </w:r>
          </w:p>
        </w:tc>
        <w:tc>
          <w:tcPr>
            <w:tcW w:type="dxa" w:w="3120"/>
            <w:vAlign w:val="center"/>
          </w:tcPr>
          <w:p>
            <w:r/>
            <w:r>
              <w:rPr>
                <w:rFonts w:ascii="Times New Roman" w:hAnsi="Times New Roman"/>
                <w:b w:val="0"/>
                <w:sz w:val="20"/>
              </w:rPr>
              <w:t>Equation (7) describes dynamics</w:t>
            </w:r>
          </w:p>
        </w:tc>
        <w:tc>
          <w:tcPr>
            <w:tcW w:type="dxa" w:w="3120"/>
            <w:vAlign w:val="center"/>
          </w:tcPr>
          <w:p>
            <w:r/>
            <w:r>
              <w:rPr>
                <w:rFonts w:ascii="Times New Roman" w:hAnsi="Times New Roman"/>
                <w:b w:val="0"/>
                <w:sz w:val="20"/>
              </w:rPr>
              <w:t>Estimate structural parameters; compare alternatives</w:t>
            </w:r>
          </w:p>
        </w:tc>
      </w:tr>
    </w:tbl>
    <w:p>
      <w:pPr>
        <w:spacing w:after="120" w:line="259" w:lineRule="auto"/>
      </w:pPr>
      <w:r>
        <w:rPr>
          <w:rFonts w:ascii="Times New Roman" w:hAnsi="Times New Roman"/>
          <w:sz w:val="22"/>
        </w:rPr>
        <w:t>All assumptions are explicit and, in principle, testable. This is what distinguishes the framework from numerology.</w:t>
      </w:r>
    </w:p>
    <w:p>
      <w:pPr>
        <w:pStyle w:val="Heading1"/>
        <w:spacing w:before="240" w:after="120"/>
      </w:pPr>
      <w:r>
        <w:t>Supplementary References</w:t>
      </w:r>
    </w:p>
    <w:p>
      <w:pPr>
        <w:spacing w:after="40" w:line="259" w:lineRule="auto"/>
      </w:pPr>
      <w:r>
        <w:rPr>
          <w:rFonts w:ascii="Times New Roman" w:hAnsi="Times New Roman"/>
          <w:sz w:val="22"/>
        </w:rPr>
        <w:t>1. Wissel, C. A universal law of the characteristic return time near thresholds. Oecologia 65, 101–107 (1984).</w:t>
      </w:r>
    </w:p>
    <w:p>
      <w:pPr>
        <w:spacing w:after="40" w:line="259" w:lineRule="auto"/>
      </w:pPr>
      <w:r>
        <w:rPr>
          <w:rFonts w:ascii="Times New Roman" w:hAnsi="Times New Roman"/>
          <w:sz w:val="22"/>
        </w:rPr>
        <w:t>2. Scheffer, M. et al. Early-warning signals for critical transitions. Nature 461, 53–59 (2009).</w:t>
      </w:r>
    </w:p>
    <w:p>
      <w:pPr>
        <w:spacing w:after="40" w:line="259" w:lineRule="auto"/>
      </w:pPr>
      <w:r>
        <w:rPr>
          <w:rFonts w:ascii="Times New Roman" w:hAnsi="Times New Roman"/>
          <w:sz w:val="22"/>
        </w:rPr>
        <w:t>3. Dakos, V. et al. Methods for detecting early warnings of critical transitions. PLoS ONE 7, e41010 (2012).</w:t>
      </w:r>
    </w:p>
    <w:p>
      <w:pPr>
        <w:spacing w:after="40" w:line="259" w:lineRule="auto"/>
      </w:pPr>
      <w:r>
        <w:rPr>
          <w:rFonts w:ascii="Times New Roman" w:hAnsi="Times New Roman"/>
          <w:sz w:val="22"/>
        </w:rPr>
        <w:t>4. Strogatz, S. H. Nonlinear Dynamics and Chaos. Westview Press, 2nd ed. (2015).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