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4F52D9"/>
          <w:sz w:val="72"/>
          <w:szCs w:val="72"/>
        </w:rPr>
        <w:t xml:space="preserve">Monere</w:t>
      </w:r>
    </w:p>
    <w:p>
      <w:pPr>
        <w:spacing w:before="120"/>
        <w:jc w:val="center"/>
      </w:pPr>
      <w:r>
        <w:rPr>
          <w:color w:val="1A1A22"/>
          <w:sz w:val="30"/>
          <w:szCs w:val="30"/>
        </w:rPr>
        <w:t xml:space="preserve">PR / FAQ — communiqué de presse et questions-réponses</w:t>
      </w:r>
    </w:p>
    <w:p>
      <w:pPr>
        <w:spacing w:before="200"/>
        <w:jc w:val="center"/>
      </w:pPr>
      <w:r>
        <w:rPr>
          <w:color w:val="6B6B76"/>
          <w:sz w:val="22"/>
          <w:szCs w:val="22"/>
        </w:rPr>
        <w:t xml:space="preserve">Document « working backwards » · v1.0 · juillet 2026</w:t>
      </w:r>
    </w:p>
    <w:p>
      <w:pPr>
        <w:spacing w:before="60"/>
        <w:jc w:val="center"/>
      </w:pPr>
      <w:r>
        <w:rPr>
          <w:color w:val="6B6B76"/>
          <w:sz w:val="22"/>
          <w:szCs w:val="22"/>
        </w:rPr>
        <w:t xml:space="preserve">github.com/ThomasLoridan/monere</w:t>
      </w:r>
    </w:p>
    <w:p>
      <w:r>
        <w:br w:type="page"/>
      </w:r>
    </w:p>
    <w:p>
      <w:pPr>
        <w:pStyle w:val="Heading1"/>
      </w:pPr>
      <w:r>
        <w:t xml:space="preserve">Communiqué de presse</w:t>
      </w:r>
    </w:p>
    <w:p>
      <w:pPr>
        <w:spacing w:after="60"/>
      </w:pPr>
      <w:r>
        <w:rPr>
          <w:b/>
          <w:bCs/>
          <w:sz w:val="30"/>
          <w:szCs w:val="30"/>
        </w:rPr>
        <w:t xml:space="preserve">Monere : le suivi des marchés en temps réel, sans aucune donnée inventée</w:t>
      </w:r>
    </w:p>
    <w:p>
      <w:pPr>
        <w:spacing w:after="140" w:line="288"/>
      </w:pPr>
      <w:r>
        <w:rPr>
          <w:i/>
          <w:iCs/>
          <w:color w:val="6B6B76"/>
        </w:rPr>
        <w:t xml:space="preserve">Chaque chiffre affiché est relié à sa source officielle — cotations, résultats d’entreprises, actualités et transactions des élus américains.</w:t>
      </w:r>
    </w:p>
    <w:p>
      <w:pPr>
        <w:spacing w:after="140" w:line="288"/>
      </w:pPr>
      <w:r>
        <w:rPr>
          <w:b/>
          <w:bCs/>
        </w:rPr>
        <w:t xml:space="preserve">Paris, juillet 2026 — </w:t>
      </w:r>
      <w:r>
        <w:t xml:space="preserve">Monere lance son application de suivi des marchés pour investisseurs particuliers, disponible sur téléphone (PWA installable) et sur ordinateur. Sa promesse : ne jamais afficher un chiffre sans sa source réelle et vérifiable. Cotations en quasi temps réel (États-Unis et Europe), calendrier officiel des résultats, actualités liées aux articles d’origine, suivi des transactions déclarées par les membres du Congrès américain et des positions des grands fonds — chaque écran cite d’où vient la donnée, avec un lien cliquable.</w:t>
      </w:r>
    </w:p>
    <w:p>
      <w:pPr>
        <w:spacing w:after="140" w:line="288"/>
      </w:pPr>
      <w:r>
        <w:t xml:space="preserve">Le problème : les applications boursières mélangent données réelles, estimations non sourcées et « scores » opaques générés par des algorithmes. L’investisseur ne sait plus ce qui est un fait et ce qui est une opinion. Monere prend le contre-pied : si une donnée n’est pas disponible auprès d’une source réelle, l’application l’indique explicitement plutôt que de combler le vide.</w:t>
      </w:r>
    </w:p>
    <w:p>
      <w:pPr>
        <w:spacing w:after="140" w:line="288"/>
      </w:pPr>
      <w:r>
        <w:t xml:space="preserve">Autour des résultats d’entreprises — le moment le plus volatil de la vie d’une action — Monere réunit le calendrier officiel, le consensus des analystes, l’historique « battre ou manquer » calculé depuis les publications réelles, l’impact mesuré sur le cours (clôtures à J-1, J et J+1) et les dates de publication issues des dépôts 8-K auprès de la SEC. Nouveauté du lancement : </w:t>
      </w:r>
      <w:r>
        <w:rPr>
          <w:b/>
          <w:bCs/>
        </w:rPr>
        <w:t xml:space="preserve">les alertes earnings</w:t>
      </w:r>
      <w:r>
        <w:t xml:space="preserve"> — l’utilisateur programme un rappel en un geste et reçoit un e-mail une semaine avant la publication, plus une notification dans l’application.</w:t>
      </w:r>
    </w:p>
    <w:p>
      <w:pPr>
        <w:spacing w:after="140" w:line="288"/>
      </w:pPr>
      <w:r>
        <w:t xml:space="preserve">L’assistant IA (Claude d’Anthropic) résume les actualités et simule des stratégies, avec une contrainte stricte : il ne peut s’appuyer que sur les données sourcées qui lui sont fournies, jamais sur des faits inventés.</w:t>
      </w:r>
    </w:p>
    <w:p>
      <w:pPr>
        <w:spacing w:after="140" w:line="288"/>
      </w:pPr>
      <w:r>
        <w:rPr>
          <w:i/>
          <w:iCs/>
        </w:rPr>
        <w:t xml:space="preserve">« Nous avons construit Monere autour d’une règle simple : pas de source, pas d’affichage. C’est plus exigeant pour nous, mais c’est la seule façon de mériter la confiance d’un investisseur », </w:t>
      </w:r>
      <w:r>
        <w:t xml:space="preserve">déclare Thomas Loridan, fondateur du projet.</w:t>
      </w:r>
    </w:p>
    <w:p>
      <w:pPr>
        <w:spacing w:after="140" w:line="288"/>
      </w:pPr>
      <w:r>
        <w:t xml:space="preserve">Monere est disponible dès aujourd’hui. Le code est publié en open source et l’application s’installe depuis le navigateur, sur iPhone, Android, PC et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52D9" w:sz="6"/>
              <w:left w:val="single" w:color="4F52D9" w:sz="18"/>
              <w:bottom w:val="single" w:color="4F52D9" w:sz="6"/>
              <w:right w:val="single" w:color="4F52D9" w:sz="6"/>
            </w:tcBorders>
            <w:shd w:fill="EEF0FE" w:val="clear"/>
            <w:tcMar>
              <w:top w:type="dxa" w:w="120"/>
              <w:left w:type="dxa" w:w="160"/>
              <w:bottom w:type="dxa" w:w="120"/>
              <w:right w:type="dxa" w:w="160"/>
            </w:tcMar>
          </w:tcPr>
          <w:p>
            <w:pPr>
              <w:spacing w:after="60" w:line="276"/>
            </w:pPr>
            <w:r>
              <w:rPr>
                <w:b/>
                <w:bCs/>
              </w:rPr>
              <w:t xml:space="preserve">En une phrase : </w:t>
            </w:r>
            <w:r>
              <w:t xml:space="preserve">Monere est l’application de marché qui prouve chacun de ses chiffres — et qui vous prévient par e-mail une semaine avant chaque publication de résultats que vous suivez.</w:t>
            </w:r>
          </w:p>
        </w:tc>
      </w:tr>
    </w:tbl>
    <w:p>
      <w:r>
        <w:br w:type="page"/>
      </w:r>
    </w:p>
    <w:p>
      <w:pPr>
        <w:pStyle w:val="Heading1"/>
      </w:pPr>
      <w:r>
        <w:t xml:space="preserve">FAQ externe (utilisateurs)</w:t>
      </w:r>
    </w:p>
    <w:p>
      <w:pPr>
        <w:spacing w:after="90" w:before="220"/>
      </w:pPr>
      <w:r>
        <w:rPr>
          <w:b/>
          <w:bCs/>
          <w:color w:val="4F52D9"/>
        </w:rPr>
        <w:t xml:space="preserve">Q. </w:t>
      </w:r>
      <w:r>
        <w:rPr>
          <w:b/>
          <w:bCs/>
        </w:rPr>
        <w:t xml:space="preserve">D’où viennent les données affichées ?</w:t>
      </w:r>
    </w:p>
    <w:p>
      <w:pPr>
        <w:spacing w:after="140" w:line="288"/>
      </w:pPr>
      <w:r>
        <w:t xml:space="preserve">Chaque type de donnée a une source réelle, citée à l’écran avec un lien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680"/>
        <w:gridCol w:w="1872"/>
      </w:tblGrid>
      <w:tr>
        <w:trPr>
          <w:tblHeader/>
        </w:trPr>
        <w:tc>
          <w:tcPr>
            <w:tcW w:type="dxa" w:w="2808"/>
            <w:tcBorders>
              <w:top w:val="single" w:color="D9D9E3" w:sz="4"/>
              <w:left w:val="single" w:color="D9D9E3" w:sz="4"/>
              <w:bottom w:val="single" w:color="D9D9E3" w:sz="4"/>
              <w:right w:val="single" w:color="D9D9E3" w:sz="4"/>
            </w:tcBorders>
            <w:shd w:fill="4F52D9" w:val="clear"/>
            <w:tcMar>
              <w:top w:type="dxa" w:w="60"/>
              <w:left w:type="dxa" w:w="100"/>
              <w:bottom w:type="dxa" w:w="60"/>
              <w:right w:type="dxa" w:w="100"/>
            </w:tcMar>
            <w:vAlign w:val="center"/>
          </w:tcPr>
          <w:p>
            <w:pPr>
              <w:spacing w:after="40" w:before="40"/>
            </w:pPr>
            <w:r>
              <w:rPr>
                <w:b/>
                <w:bCs/>
                <w:color w:val="FFFFFF"/>
                <w:sz w:val="18"/>
                <w:szCs w:val="18"/>
              </w:rPr>
              <w:t xml:space="preserve">Donnée</w:t>
            </w:r>
          </w:p>
        </w:tc>
        <w:tc>
          <w:tcPr>
            <w:tcW w:type="dxa" w:w="4680"/>
            <w:tcBorders>
              <w:top w:val="single" w:color="D9D9E3" w:sz="4"/>
              <w:left w:val="single" w:color="D9D9E3" w:sz="4"/>
              <w:bottom w:val="single" w:color="D9D9E3" w:sz="4"/>
              <w:right w:val="single" w:color="D9D9E3" w:sz="4"/>
            </w:tcBorders>
            <w:shd w:fill="4F52D9" w:val="clear"/>
            <w:tcMar>
              <w:top w:type="dxa" w:w="60"/>
              <w:left w:type="dxa" w:w="100"/>
              <w:bottom w:type="dxa" w:w="60"/>
              <w:right w:type="dxa" w:w="100"/>
            </w:tcMar>
            <w:vAlign w:val="center"/>
          </w:tcPr>
          <w:p>
            <w:pPr>
              <w:spacing w:after="40" w:before="40"/>
            </w:pPr>
            <w:r>
              <w:rPr>
                <w:b/>
                <w:bCs/>
                <w:color w:val="FFFFFF"/>
                <w:sz w:val="18"/>
                <w:szCs w:val="18"/>
              </w:rPr>
              <w:t xml:space="preserve">Source</w:t>
            </w:r>
          </w:p>
        </w:tc>
        <w:tc>
          <w:tcPr>
            <w:tcW w:type="dxa" w:w="1872"/>
            <w:tcBorders>
              <w:top w:val="single" w:color="D9D9E3" w:sz="4"/>
              <w:left w:val="single" w:color="D9D9E3" w:sz="4"/>
              <w:bottom w:val="single" w:color="D9D9E3" w:sz="4"/>
              <w:right w:val="single" w:color="D9D9E3" w:sz="4"/>
            </w:tcBorders>
            <w:shd w:fill="4F52D9" w:val="clear"/>
            <w:tcMar>
              <w:top w:type="dxa" w:w="60"/>
              <w:left w:type="dxa" w:w="100"/>
              <w:bottom w:type="dxa" w:w="60"/>
              <w:right w:type="dxa" w:w="100"/>
            </w:tcMar>
            <w:vAlign w:val="center"/>
          </w:tcPr>
          <w:p>
            <w:pPr>
              <w:spacing w:after="40" w:before="40"/>
            </w:pPr>
            <w:r>
              <w:rPr>
                <w:b/>
                <w:bCs/>
                <w:color w:val="FFFFFF"/>
                <w:sz w:val="18"/>
                <w:szCs w:val="18"/>
              </w:rPr>
              <w:t xml:space="preserve">Fraîcheur</w:t>
            </w:r>
          </w:p>
        </w:tc>
      </w:tr>
      <w:tr>
        <w:tc>
          <w:tcPr>
            <w:tcW w:type="dxa" w:w="2808"/>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Cotations US</w:t>
            </w:r>
          </w:p>
        </w:tc>
        <w:tc>
          <w:tcPr>
            <w:tcW w:type="dxa" w:w="4680"/>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Finnhub (WebSocket temps réel) + Yahoo Finance</w:t>
            </w:r>
          </w:p>
        </w:tc>
        <w:tc>
          <w:tcPr>
            <w:tcW w:type="dxa" w:w="1872"/>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 15 s</w:t>
            </w:r>
          </w:p>
        </w:tc>
      </w:tr>
      <w:tr>
        <w:tc>
          <w:tcPr>
            <w:tcW w:type="dxa" w:w="2808"/>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Cotations Europe / UK</w:t>
            </w:r>
          </w:p>
        </w:tc>
        <w:tc>
          <w:tcPr>
            <w:tcW w:type="dxa" w:w="4680"/>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Yahoo Finance (différé de place)</w:t>
            </w:r>
          </w:p>
        </w:tc>
        <w:tc>
          <w:tcPr>
            <w:tcW w:type="dxa" w:w="1872"/>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 30 s</w:t>
            </w:r>
          </w:p>
        </w:tc>
      </w:tr>
      <w:tr>
        <w:tc>
          <w:tcPr>
            <w:tcW w:type="dxa" w:w="2808"/>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Graphiques (1J → 5A)</w:t>
            </w:r>
          </w:p>
        </w:tc>
        <w:tc>
          <w:tcPr>
            <w:tcW w:type="dxa" w:w="4680"/>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Yahoo Finance (chandelles réelles)</w:t>
            </w:r>
          </w:p>
        </w:tc>
        <w:tc>
          <w:tcPr>
            <w:tcW w:type="dxa" w:w="1872"/>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25 s en séance</w:t>
            </w:r>
          </w:p>
        </w:tc>
      </w:tr>
      <w:tr>
        <w:tc>
          <w:tcPr>
            <w:tcW w:type="dxa" w:w="2808"/>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Ratios financiers</w:t>
            </w:r>
          </w:p>
        </w:tc>
        <w:tc>
          <w:tcPr>
            <w:tcW w:type="dxa" w:w="4680"/>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Finnhub (US) · Yahoo Finance (EU/UK)</w:t>
            </w:r>
          </w:p>
        </w:tc>
        <w:tc>
          <w:tcPr>
            <w:tcW w:type="dxa" w:w="1872"/>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1 h</w:t>
            </w:r>
          </w:p>
        </w:tc>
      </w:tr>
      <w:tr>
        <w:tc>
          <w:tcPr>
            <w:tcW w:type="dxa" w:w="2808"/>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Actualités</w:t>
            </w:r>
          </w:p>
        </w:tc>
        <w:tc>
          <w:tcPr>
            <w:tcW w:type="dxa" w:w="4680"/>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Finnhub + flux RSS Yahoo (lien vers l’article original)</w:t>
            </w:r>
          </w:p>
        </w:tc>
        <w:tc>
          <w:tcPr>
            <w:tcW w:type="dxa" w:w="1872"/>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1 min</w:t>
            </w:r>
          </w:p>
        </w:tc>
      </w:tr>
      <w:tr>
        <w:tc>
          <w:tcPr>
            <w:tcW w:type="dxa" w:w="2808"/>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Calendrier des résultats</w:t>
            </w:r>
          </w:p>
        </w:tc>
        <w:tc>
          <w:tcPr>
            <w:tcW w:type="dxa" w:w="4680"/>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Finnhub (US) · Yahoo Finance (EU/UK)</w:t>
            </w:r>
          </w:p>
        </w:tc>
        <w:tc>
          <w:tcPr>
            <w:tcW w:type="dxa" w:w="1872"/>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30 min</w:t>
            </w:r>
          </w:p>
        </w:tc>
      </w:tr>
      <w:tr>
        <w:tc>
          <w:tcPr>
            <w:tcW w:type="dxa" w:w="2808"/>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Dates de publication US</w:t>
            </w:r>
          </w:p>
        </w:tc>
        <w:tc>
          <w:tcPr>
            <w:tcW w:type="dxa" w:w="4680"/>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SEC EDGAR — dépôts 8-K officiels</w:t>
            </w:r>
          </w:p>
        </w:tc>
        <w:tc>
          <w:tcPr>
            <w:tcW w:type="dxa" w:w="1872"/>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30 min</w:t>
            </w:r>
          </w:p>
        </w:tc>
      </w:tr>
      <w:tr>
        <w:tc>
          <w:tcPr>
            <w:tcW w:type="dxa" w:w="2808"/>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Transactions des élus US</w:t>
            </w:r>
          </w:p>
        </w:tc>
        <w:tc>
          <w:tcPr>
            <w:tcW w:type="dxa" w:w="4680"/>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Chambre des représentants (disclosures-clerk.house.gov)</w:t>
            </w:r>
          </w:p>
        </w:tc>
        <w:tc>
          <w:tcPr>
            <w:tcW w:type="dxa" w:w="1872"/>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quotidien</w:t>
            </w:r>
          </w:p>
        </w:tc>
      </w:tr>
      <w:tr>
        <w:tc>
          <w:tcPr>
            <w:tcW w:type="dxa" w:w="2808"/>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Positions des grands fonds</w:t>
            </w:r>
          </w:p>
        </w:tc>
        <w:tc>
          <w:tcPr>
            <w:tcW w:type="dxa" w:w="4680"/>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SEC EDGAR — dépôts 13F</w:t>
            </w:r>
          </w:p>
        </w:tc>
        <w:tc>
          <w:tcPr>
            <w:tcW w:type="dxa" w:w="1872"/>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trimestriel</w:t>
            </w:r>
          </w:p>
        </w:tc>
      </w:tr>
    </w:tbl>
    <w:p>
      <w:pPr>
        <w:spacing w:after="90" w:before="220"/>
      </w:pPr>
      <w:r>
        <w:rPr>
          <w:b/>
          <w:bCs/>
          <w:color w:val="4F52D9"/>
        </w:rPr>
        <w:t xml:space="preserve">Q. </w:t>
      </w:r>
      <w:r>
        <w:rPr>
          <w:b/>
          <w:bCs/>
        </w:rPr>
        <w:t xml:space="preserve">Que se passe-t-il quand une donnée n’existe pas ?</w:t>
      </w:r>
    </w:p>
    <w:p>
      <w:pPr>
        <w:spacing w:after="140" w:line="288"/>
      </w:pPr>
      <w:r>
        <w:t xml:space="preserve">L’application affiche un message « Données indisponibles » avec l’explication, plutôt qu’une estimation. Exemples : les élus européens n’ont pas d’obligation de déclaration de transactions comparable au Congrès américain — Monere l’explique avec les textes officiels ; le Sénat américain n’offre pas de flux gratuit — Monere renvoie vers le portail officiel.</w:t>
      </w:r>
    </w:p>
    <w:p>
      <w:pPr>
        <w:spacing w:after="90" w:before="220"/>
      </w:pPr>
      <w:r>
        <w:rPr>
          <w:b/>
          <w:bCs/>
          <w:color w:val="4F52D9"/>
        </w:rPr>
        <w:t xml:space="preserve">Q. </w:t>
      </w:r>
      <w:r>
        <w:rPr>
          <w:b/>
          <w:bCs/>
        </w:rPr>
        <w:t xml:space="preserve">Comment fonctionnent les alertes earnings ?</w:t>
      </w:r>
    </w:p>
    <w:p>
      <w:pPr>
        <w:spacing w:after="140" w:line="288"/>
      </w:pPr>
      <w:r>
        <w:t xml:space="preserve">Sur la fiche d’un résultat à venir, touchez « M’alerter par e-mail 1 semaine avant ». Sept jours avant la date de publication annoncée, vous recevez un e-mail de rappel et une notification dans l’application (consensus, historique et impact des publications précédentes à l’appui). Les rappels se gèrent depuis l’écran Alertes ; si l’événement est à moins de 7 jours, le rappel part immédiatement.</w:t>
      </w:r>
    </w:p>
    <w:p>
      <w:pPr>
        <w:spacing w:after="90" w:before="220"/>
      </w:pPr>
      <w:r>
        <w:rPr>
          <w:b/>
          <w:bCs/>
          <w:color w:val="4F52D9"/>
        </w:rPr>
        <w:t xml:space="preserve">Q. </w:t>
      </w:r>
      <w:r>
        <w:rPr>
          <w:b/>
          <w:bCs/>
        </w:rPr>
        <w:t xml:space="preserve">L’IA peut-elle inventer des chiffres ?</w:t>
      </w:r>
    </w:p>
    <w:p>
      <w:pPr>
        <w:spacing w:after="140" w:line="288"/>
      </w:pPr>
      <w:r>
        <w:t xml:space="preserve">Non, par construction. L’assistant (Claude, Anthropic) reçoit uniquement des données déjà sourcées par les services de Monere, et sa consigne système lui interdit d’énoncer un fait qui n’y figure pas. Ses réponses citent les sources utilisées, et le simulateur travaille sur les cours de clôture réels.</w:t>
      </w:r>
    </w:p>
    <w:p>
      <w:pPr>
        <w:spacing w:after="90" w:before="220"/>
      </w:pPr>
      <w:r>
        <w:rPr>
          <w:b/>
          <w:bCs/>
          <w:color w:val="4F52D9"/>
        </w:rPr>
        <w:t xml:space="preserve">Q. </w:t>
      </w:r>
      <w:r>
        <w:rPr>
          <w:b/>
          <w:bCs/>
        </w:rPr>
        <w:t xml:space="preserve">Sur quels appareils l’application fonctionne-t-elle ?</w:t>
      </w:r>
    </w:p>
    <w:p>
      <w:pPr>
        <w:spacing w:after="140" w:line="288"/>
      </w:pPr>
      <w:r>
        <w:t xml:space="preserve">Monere est une PWA : elle s’installe depuis le navigateur sur iPhone et Android (écran d’accueil, plein écran) et s’adapte nativement aux tablettes, PC et Mac. Une enveloppe Capacitor est prête pour une distribution ultérieure via les stores.</w:t>
      </w:r>
    </w:p>
    <w:p>
      <w:pPr>
        <w:spacing w:after="90" w:before="220"/>
      </w:pPr>
      <w:r>
        <w:rPr>
          <w:b/>
          <w:bCs/>
          <w:color w:val="4F52D9"/>
        </w:rPr>
        <w:t xml:space="preserve">Q. </w:t>
      </w:r>
      <w:r>
        <w:rPr>
          <w:b/>
          <w:bCs/>
        </w:rPr>
        <w:t xml:space="preserve">Comment mon compte est-il protégé ?</w:t>
      </w:r>
    </w:p>
    <w:p>
      <w:pPr>
        <w:spacing w:after="140" w:line="288"/>
      </w:pPr>
      <w:r>
        <w:t xml:space="preserve">Inscription avec vérification d’e-mail par code à usage unique (10 minutes, 5 essais) ; mots de passe hachés en Argon2id ; sessions par jetons courts renouvelés avec détection de réutilisation (toute anomalie révoque l’ensemble des sessions) ; limitation de débit sur toutes les routes sensibles.</w:t>
      </w:r>
    </w:p>
    <w:p>
      <w:pPr>
        <w:spacing w:after="90" w:before="220"/>
      </w:pPr>
      <w:r>
        <w:rPr>
          <w:b/>
          <w:bCs/>
          <w:color w:val="4F52D9"/>
        </w:rPr>
        <w:t xml:space="preserve">Q. </w:t>
      </w:r>
      <w:r>
        <w:rPr>
          <w:b/>
          <w:bCs/>
        </w:rPr>
        <w:t xml:space="preserve">Combien ça coûte ?</w:t>
      </w:r>
    </w:p>
    <w:p>
      <w:pPr>
        <w:spacing w:after="140" w:line="288"/>
      </w:pPr>
      <w:r>
        <w:t xml:space="preserve">L’application de démonstration est gratuite. Un niveau Premium (historique détaillé complet, fonctions avancées) est présent dans le produit à titre de démonstration, sans paiement réel branché.</w:t>
      </w:r>
    </w:p>
    <w:p>
      <w:r>
        <w:br w:type="page"/>
      </w:r>
    </w:p>
    <w:p>
      <w:pPr>
        <w:pStyle w:val="Heading1"/>
      </w:pPr>
      <w:r>
        <w:t xml:space="preserve">FAQ interne (équipe / parties prenantes)</w:t>
      </w:r>
    </w:p>
    <w:p>
      <w:pPr>
        <w:spacing w:after="90" w:before="220"/>
      </w:pPr>
      <w:r>
        <w:rPr>
          <w:b/>
          <w:bCs/>
          <w:color w:val="4F52D9"/>
        </w:rPr>
        <w:t xml:space="preserve">Q. </w:t>
      </w:r>
      <w:r>
        <w:rPr>
          <w:b/>
          <w:bCs/>
        </w:rPr>
        <w:t xml:space="preserve">Quelle est l’architecture technique ?</w:t>
      </w:r>
    </w:p>
    <w:p>
      <w:pPr>
        <w:spacing w:after="140" w:line="288"/>
      </w:pPr>
      <w:r>
        <w:t xml:space="preserve">Un monorepo de 7 micro-services Node.js/TypeScript (Fastify) derrière une passerelle API : auth, market, news, earnings, smart-money, ai, gateway — plus un frontend React (Vite). Chaque service est autonome, validé par Zod à toutes les frontières, et communique par HTTP interne authentifié par clé. Le détail figure dans le BRD (docs/BRD.md) avec les schémas d’architecture.</w:t>
      </w:r>
    </w:p>
    <w:p>
      <w:pPr>
        <w:spacing w:after="90" w:before="220"/>
      </w:pPr>
      <w:r>
        <w:rPr>
          <w:b/>
          <w:bCs/>
          <w:color w:val="4F52D9"/>
        </w:rPr>
        <w:t xml:space="preserve">Q. </w:t>
      </w:r>
      <w:r>
        <w:rPr>
          <w:b/>
          <w:bCs/>
        </w:rPr>
        <w:t xml:space="preserve">Comment l’objectif de 10 M d’utilisateurs est-il adressé ?</w:t>
      </w:r>
    </w:p>
    <w:p>
      <w:pPr>
        <w:pStyle w:val="ListParagraph"/>
        <w:numPr>
          <w:ilvl w:val="0"/>
          <w:numId w:val="2"/>
        </w:numPr>
        <w:spacing w:after="80" w:line="276"/>
      </w:pPr>
      <w:r>
        <w:t xml:space="preserve">Services sans état (JWT) → réplication horizontale simple derrière la passerelle.</w:t>
      </w:r>
    </w:p>
    <w:p>
      <w:pPr>
        <w:pStyle w:val="ListParagraph"/>
        <w:numPr>
          <w:ilvl w:val="0"/>
          <w:numId w:val="2"/>
        </w:numPr>
        <w:spacing w:after="80" w:line="276"/>
      </w:pPr>
      <w:r>
        <w:t xml:space="preserve">Cache à deux niveaux (mémoire en dev, Redis en production) avec TTL par type de donnée — les fournisseurs externes ne voient qu’une fraction du trafic.</w:t>
      </w:r>
    </w:p>
    <w:p>
      <w:pPr>
        <w:pStyle w:val="ListParagraph"/>
        <w:numPr>
          <w:ilvl w:val="0"/>
          <w:numId w:val="2"/>
        </w:numPr>
        <w:spacing w:after="80" w:line="276"/>
      </w:pPr>
      <w:r>
        <w:t xml:space="preserve">Postgres avec rôles de moindre privilège par service ; SQLite en développement local.</w:t>
      </w:r>
    </w:p>
    <w:p>
      <w:pPr>
        <w:pStyle w:val="ListParagraph"/>
        <w:numPr>
          <w:ilvl w:val="0"/>
          <w:numId w:val="2"/>
        </w:numPr>
        <w:spacing w:after="80" w:line="276"/>
      </w:pPr>
      <w:r>
        <w:t xml:space="preserve">Diffusion temps réel par SSE, mutualisée : une seule connexion amont Finnhub alimente tous les clients.</w:t>
      </w:r>
    </w:p>
    <w:p>
      <w:pPr>
        <w:pStyle w:val="ListParagraph"/>
        <w:numPr>
          <w:ilvl w:val="0"/>
          <w:numId w:val="2"/>
        </w:numPr>
        <w:spacing w:after="80" w:line="276"/>
      </w:pPr>
      <w:r>
        <w:t xml:space="preserve">Observabilité : logs JSON (pino, champs sensibles caviardés), métriques Prometheus par service, profil docker-compose « monitoring ».</w:t>
      </w:r>
    </w:p>
    <w:p>
      <w:pPr>
        <w:spacing w:after="90" w:before="220"/>
      </w:pPr>
      <w:r>
        <w:rPr>
          <w:b/>
          <w:bCs/>
          <w:color w:val="4F52D9"/>
        </w:rPr>
        <w:t xml:space="preserve">Q. </w:t>
      </w:r>
      <w:r>
        <w:rPr>
          <w:b/>
          <w:bCs/>
        </w:rPr>
        <w:t xml:space="preserve">Quelles sont les limites connues des fournisseurs de données ?</w:t>
      </w:r>
    </w:p>
    <w:p>
      <w:pPr>
        <w:spacing w:after="140" w:line="288"/>
      </w:pPr>
      <w:r>
        <w:t xml:space="preserve">Le plan Finnhub gratuit ne couvre que les États-Unis (403 sur le reste). Monere applique des replis réels : Yahoo Finance pour les cotations, ratios et calendriers EU/UK, flux RSS Yahoo pour les actualités, SEC EDGAR pour les dates de publication américaines. Aucun repli n’invente de donnée ; en dernier recours l’indisponibilité est affichée. Passer au plan Finnhub payant lèverait ces limites sans changer le code.</w:t>
      </w:r>
    </w:p>
    <w:p>
      <w:pPr>
        <w:spacing w:after="90" w:before="220"/>
      </w:pPr>
      <w:r>
        <w:rPr>
          <w:b/>
          <w:bCs/>
          <w:color w:val="4F52D9"/>
        </w:rPr>
        <w:t xml:space="preserve">Q. </w:t>
      </w:r>
      <w:r>
        <w:rPr>
          <w:b/>
          <w:bCs/>
        </w:rPr>
        <w:t xml:space="preserve">Comment les alertes earnings sont-elles implémentées ?</w:t>
      </w:r>
    </w:p>
    <w:p>
      <w:pPr>
        <w:spacing w:after="140" w:line="288"/>
      </w:pPr>
      <w:r>
        <w:t xml:space="preserve">Modèle EarningsAlert dans le service auth (unicité utilisateur + ticker + date ; rappel programmé à J-7 08:00 UTC). Un job interne (au démarrage puis toutes les 15 minutes) crée la notification in-app et envoie l’e-mail via Resend, en respectant les préférences de notification de l’utilisateur. Le champ sentAt garantit l’envoi unique ; les alertes d’événements passés sont purgées après 30 jours.</w:t>
      </w:r>
    </w:p>
    <w:p>
      <w:pPr>
        <w:spacing w:after="90" w:before="220"/>
      </w:pPr>
      <w:r>
        <w:rPr>
          <w:b/>
          <w:bCs/>
          <w:color w:val="4F52D9"/>
        </w:rPr>
        <w:t xml:space="preserve">Q. </w:t>
      </w:r>
      <w:r>
        <w:rPr>
          <w:b/>
          <w:bCs/>
        </w:rPr>
        <w:t xml:space="preserve">Quel est le dispositif de sécurité ?</w:t>
      </w:r>
    </w:p>
    <w:p>
      <w:pPr>
        <w:pStyle w:val="ListParagraph"/>
        <w:numPr>
          <w:ilvl w:val="0"/>
          <w:numId w:val="2"/>
        </w:numPr>
        <w:spacing w:after="80" w:line="276"/>
      </w:pPr>
      <w:r>
        <w:t xml:space="preserve">Argon2id pour les mots de passe ; codes de vérification hachés en SHA-256, comparés en temps constant.</w:t>
      </w:r>
    </w:p>
    <w:p>
      <w:pPr>
        <w:pStyle w:val="ListParagraph"/>
        <w:numPr>
          <w:ilvl w:val="0"/>
          <w:numId w:val="2"/>
        </w:numPr>
        <w:spacing w:after="80" w:line="276"/>
      </w:pPr>
      <w:r>
        <w:t xml:space="preserve">Jetons d’accès courts (15 min) + refresh tokens rotatifs avec détection de réutilisation.</w:t>
      </w:r>
    </w:p>
    <w:p>
      <w:pPr>
        <w:pStyle w:val="ListParagraph"/>
        <w:numPr>
          <w:ilvl w:val="0"/>
          <w:numId w:val="2"/>
        </w:numPr>
        <w:spacing w:after="80" w:line="276"/>
      </w:pPr>
      <w:r>
        <w:t xml:space="preserve">Rate limiting par IP et par compte ; en-têtes durcis (helmet) ; CORS en liste blanche.</w:t>
      </w:r>
    </w:p>
    <w:p>
      <w:pPr>
        <w:pStyle w:val="ListParagraph"/>
        <w:numPr>
          <w:ilvl w:val="0"/>
          <w:numId w:val="2"/>
        </w:numPr>
        <w:spacing w:after="80" w:line="276"/>
      </w:pPr>
      <w:r>
        <w:t xml:space="preserve">Requêtes exclusivement paramétrées via l’ORM (Prisma) ; validation Zod sur chaque route.</w:t>
      </w:r>
    </w:p>
    <w:p>
      <w:pPr>
        <w:pStyle w:val="ListParagraph"/>
        <w:numPr>
          <w:ilvl w:val="0"/>
          <w:numId w:val="2"/>
        </w:numPr>
        <w:spacing w:after="80" w:line="276"/>
      </w:pPr>
      <w:r>
        <w:t xml:space="preserve">Secrets uniquement en variables d’environnement ; rôles Postgres de moindre privilège par service ; conteneurs non-root ; journal d’audit des actions sensibles.</w:t>
      </w:r>
    </w:p>
    <w:p>
      <w:pPr>
        <w:spacing w:after="90" w:before="220"/>
      </w:pPr>
      <w:r>
        <w:rPr>
          <w:b/>
          <w:bCs/>
          <w:color w:val="4F52D9"/>
        </w:rPr>
        <w:t xml:space="preserve">Q. </w:t>
      </w:r>
      <w:r>
        <w:rPr>
          <w:b/>
          <w:bCs/>
        </w:rPr>
        <w:t xml:space="preserve">Comment le projet est-il livré et exploité ?</w:t>
      </w:r>
    </w:p>
    <w:p>
      <w:pPr>
        <w:spacing w:after="140" w:line="288"/>
      </w:pPr>
      <w:r>
        <w:t xml:space="preserve">CI GitHub Actions à chaque push : lint, typecheck, tests, audit de dépendances, build web, build des 8 images Docker. Un tag v* publie les images sur GitHub Container Registry. En production : docker-compose (profils full, backup, monitoring) avec sauvegardes Postgres automatiques toutes les 6 h, rétention 14 jours.</w:t>
      </w:r>
    </w:p>
    <w:p>
      <w:pPr>
        <w:spacing w:after="90" w:before="220"/>
      </w:pPr>
      <w:r>
        <w:rPr>
          <w:b/>
          <w:bCs/>
          <w:color w:val="4F52D9"/>
        </w:rPr>
        <w:t xml:space="preserve">Q. </w:t>
      </w:r>
      <w:r>
        <w:rPr>
          <w:b/>
          <w:bCs/>
        </w:rPr>
        <w:t xml:space="preserve">Quels sont les principaux risques et comment sont-ils couverts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D9D9E3" w:sz="4"/>
              <w:left w:val="single" w:color="D9D9E3" w:sz="4"/>
              <w:bottom w:val="single" w:color="D9D9E3" w:sz="4"/>
              <w:right w:val="single" w:color="D9D9E3" w:sz="4"/>
            </w:tcBorders>
            <w:shd w:fill="4F52D9" w:val="clear"/>
            <w:tcMar>
              <w:top w:type="dxa" w:w="60"/>
              <w:left w:type="dxa" w:w="100"/>
              <w:bottom w:type="dxa" w:w="60"/>
              <w:right w:type="dxa" w:w="100"/>
            </w:tcMar>
            <w:vAlign w:val="center"/>
          </w:tcPr>
          <w:p>
            <w:pPr>
              <w:spacing w:after="40" w:before="40"/>
            </w:pPr>
            <w:r>
              <w:rPr>
                <w:b/>
                <w:bCs/>
                <w:color w:val="FFFFFF"/>
                <w:sz w:val="18"/>
                <w:szCs w:val="18"/>
              </w:rPr>
              <w:t xml:space="preserve">Risque</w:t>
            </w:r>
          </w:p>
        </w:tc>
        <w:tc>
          <w:tcPr>
            <w:tcW w:type="dxa" w:w="5616"/>
            <w:tcBorders>
              <w:top w:val="single" w:color="D9D9E3" w:sz="4"/>
              <w:left w:val="single" w:color="D9D9E3" w:sz="4"/>
              <w:bottom w:val="single" w:color="D9D9E3" w:sz="4"/>
              <w:right w:val="single" w:color="D9D9E3" w:sz="4"/>
            </w:tcBorders>
            <w:shd w:fill="4F52D9" w:val="clear"/>
            <w:tcMar>
              <w:top w:type="dxa" w:w="60"/>
              <w:left w:type="dxa" w:w="100"/>
              <w:bottom w:type="dxa" w:w="60"/>
              <w:right w:type="dxa" w:w="100"/>
            </w:tcMar>
            <w:vAlign w:val="center"/>
          </w:tcPr>
          <w:p>
            <w:pPr>
              <w:spacing w:after="40" w:before="40"/>
            </w:pPr>
            <w:r>
              <w:rPr>
                <w:b/>
                <w:bCs/>
                <w:color w:val="FFFFFF"/>
                <w:sz w:val="18"/>
                <w:szCs w:val="18"/>
              </w:rPr>
              <w:t xml:space="preserve">Couverture</w:t>
            </w:r>
          </w:p>
        </w:tc>
      </w:tr>
      <w:tr>
        <w:tc>
          <w:tcPr>
            <w:tcW w:type="dxa" w:w="3744"/>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Panne ou quota d’un fournisseur de données</w:t>
            </w:r>
          </w:p>
        </w:tc>
        <w:tc>
          <w:tcPr>
            <w:tcW w:type="dxa" w:w="5616"/>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Replis en cascade (Finnhub → Yahoo → indisponibilité explicite) + caches TTL</w:t>
            </w:r>
          </w:p>
        </w:tc>
      </w:tr>
      <w:tr>
        <w:tc>
          <w:tcPr>
            <w:tcW w:type="dxa" w:w="3744"/>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Changement de format d’une source (RSS, EDGAR…)</w:t>
            </w:r>
          </w:p>
        </w:tc>
        <w:tc>
          <w:tcPr>
            <w:tcW w:type="dxa" w:w="5616"/>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Parseurs isolés par service, tests, logs d’erreur ciblés</w:t>
            </w:r>
          </w:p>
        </w:tc>
      </w:tr>
      <w:tr>
        <w:tc>
          <w:tcPr>
            <w:tcW w:type="dxa" w:w="3744"/>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Dérive des dates d’earnings après création d’une alerte</w:t>
            </w:r>
          </w:p>
        </w:tc>
        <w:tc>
          <w:tcPr>
            <w:tcW w:type="dxa" w:w="5616"/>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L’e-mail rappelle que la date peut évoluer et renvoie vers la fiche à jour</w:t>
            </w:r>
          </w:p>
        </w:tc>
      </w:tr>
      <w:tr>
        <w:tc>
          <w:tcPr>
            <w:tcW w:type="dxa" w:w="3744"/>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Fuite d’identifiants</w:t>
            </w:r>
          </w:p>
        </w:tc>
        <w:tc>
          <w:tcPr>
            <w:tcW w:type="dxa" w:w="5616"/>
            <w:tcBorders>
              <w:top w:val="single" w:color="D9D9E3" w:sz="4"/>
              <w:left w:val="single" w:color="D9D9E3" w:sz="4"/>
              <w:bottom w:val="single" w:color="D9D9E3" w:sz="4"/>
              <w:right w:val="single" w:color="D9D9E3" w:sz="4"/>
            </w:tcBorders>
            <w:shd w:fill="F2F2F7" w:val="clear"/>
            <w:tcMar>
              <w:top w:type="dxa" w:w="50"/>
              <w:left w:type="dxa" w:w="100"/>
              <w:bottom w:type="dxa" w:w="50"/>
              <w:right w:type="dxa" w:w="100"/>
            </w:tcMar>
          </w:tcPr>
          <w:p>
            <w:pPr>
              <w:spacing w:after="40" w:before="40"/>
            </w:pPr>
            <w:r>
              <w:rPr>
                <w:b w:val="false"/>
                <w:bCs w:val="false"/>
                <w:color w:val="1A1A22"/>
                <w:sz w:val="19"/>
                <w:szCs w:val="19"/>
              </w:rPr>
              <w:t xml:space="preserve">Hachage fort, rotation des jetons, révocation globale sur anomalie, audit log</w:t>
            </w:r>
          </w:p>
        </w:tc>
      </w:tr>
      <w:tr>
        <w:tc>
          <w:tcPr>
            <w:tcW w:type="dxa" w:w="3744"/>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Montée en charge</w:t>
            </w:r>
          </w:p>
        </w:tc>
        <w:tc>
          <w:tcPr>
            <w:tcW w:type="dxa" w:w="5616"/>
            <w:tcBorders>
              <w:top w:val="single" w:color="D9D9E3" w:sz="4"/>
              <w:left w:val="single" w:color="D9D9E3" w:sz="4"/>
              <w:bottom w:val="single" w:color="D9D9E3" w:sz="4"/>
              <w:right w:val="single" w:color="D9D9E3" w:sz="4"/>
            </w:tcBorders>
            <w:shd w:fill="FFFFFF" w:val="clear"/>
            <w:tcMar>
              <w:top w:type="dxa" w:w="50"/>
              <w:left w:type="dxa" w:w="100"/>
              <w:bottom w:type="dxa" w:w="50"/>
              <w:right w:type="dxa" w:w="100"/>
            </w:tcMar>
          </w:tcPr>
          <w:p>
            <w:pPr>
              <w:spacing w:after="40" w:before="40"/>
            </w:pPr>
            <w:r>
              <w:rPr>
                <w:b w:val="false"/>
                <w:bCs w:val="false"/>
                <w:color w:val="1A1A22"/>
                <w:sz w:val="19"/>
                <w:szCs w:val="19"/>
              </w:rPr>
              <w:t xml:space="preserve">Services sans état répliquables + cache Redis + SSE mutualisé</w:t>
            </w:r>
          </w:p>
        </w:tc>
      </w:tr>
    </w:tbl>
    <w:p>
      <w:pPr>
        <w:spacing w:after="90" w:before="220"/>
      </w:pPr>
      <w:r>
        <w:rPr>
          <w:b/>
          <w:bCs/>
          <w:color w:val="4F52D9"/>
        </w:rPr>
        <w:t xml:space="preserve">Q. </w:t>
      </w:r>
      <w:r>
        <w:rPr>
          <w:b/>
          <w:bCs/>
        </w:rPr>
        <w:t xml:space="preserve">Quelle est la suite (roadmap) ?</w:t>
      </w:r>
    </w:p>
    <w:p>
      <w:pPr>
        <w:pStyle w:val="ListParagraph"/>
        <w:numPr>
          <w:ilvl w:val="0"/>
          <w:numId w:val="2"/>
        </w:numPr>
        <w:spacing w:after="80" w:line="276"/>
      </w:pPr>
      <w:r>
        <w:t xml:space="preserve">Alertes earnings enrichies : choix du délai (J-1, J-3, J-7) et rappel le jour J.</w:t>
      </w:r>
    </w:p>
    <w:p>
      <w:pPr>
        <w:pStyle w:val="ListParagraph"/>
        <w:numPr>
          <w:ilvl w:val="0"/>
          <w:numId w:val="2"/>
        </w:numPr>
        <w:spacing w:after="80" w:line="276"/>
      </w:pPr>
      <w:r>
        <w:t xml:space="preserve">Distribution via App Store / Play Store (l’enveloppe Capacitor est prête).</w:t>
      </w:r>
    </w:p>
    <w:p>
      <w:pPr>
        <w:pStyle w:val="ListParagraph"/>
        <w:numPr>
          <w:ilvl w:val="0"/>
          <w:numId w:val="2"/>
        </w:numPr>
        <w:spacing w:after="80" w:line="276"/>
      </w:pPr>
      <w:r>
        <w:t xml:space="preserve">Plan Finnhub payant pour le temps réel européen et le calendrier global complet.</w:t>
      </w:r>
    </w:p>
    <w:p>
      <w:pPr>
        <w:pStyle w:val="ListParagraph"/>
        <w:numPr>
          <w:ilvl w:val="0"/>
          <w:numId w:val="2"/>
        </w:numPr>
        <w:spacing w:after="80" w:line="276"/>
      </w:pPr>
      <w:r>
        <w:t xml:space="preserve">Paiement réel pour le niveau Premium.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6"/>
        <w:sz w:val="16"/>
        <w:szCs w:val="16"/>
      </w:rPr>
      <w:t xml:space="preserve">Monere — PR/FAQ v1.0 · page </w:t>
    </w:r>
    <w:r>
      <w:rPr>
        <w:color w:val="6B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2"/>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4F52D9"/>
      <w:sz w:val="34"/>
      <w:szCs w:val="34"/>
    </w:rPr>
  </w:style>
  <w:style w:type="paragraph" w:styleId="Heading2">
    <w:name w:val="Heading 2"/>
    <w:basedOn w:val="Normal"/>
    <w:next w:val="Normal"/>
    <w:qFormat/>
    <w:pPr>
      <w:spacing w:after="120" w:before="280"/>
    </w:pPr>
    <w:rPr>
      <w:rFonts w:ascii="Calibri" w:cs="Calibri" w:eastAsia="Calibri" w:hAnsi="Calibri"/>
      <w:b/>
      <w:bCs/>
      <w:color w:val="1A1A22"/>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PR/FAQ — Monere</dc:title>
  <dc:creator>Monere</dc:creator>
  <dc:description>Communiqué de presse et FAQ (working backwards)</dc:description>
  <cp:lastModifiedBy>Un-named</cp:lastModifiedBy>
  <cp:revision>1</cp:revision>
  <dcterms:created xsi:type="dcterms:W3CDTF">2026-07-07T13:44:55.141Z</dcterms:created>
  <dcterms:modified xsi:type="dcterms:W3CDTF">2026-07-07T13:44:55.141Z</dcterms:modified>
</cp:coreProperties>
</file>

<file path=docProps/custom.xml><?xml version="1.0" encoding="utf-8"?>
<Properties xmlns="http://schemas.openxmlformats.org/officeDocument/2006/custom-properties" xmlns:vt="http://schemas.openxmlformats.org/officeDocument/2006/docPropsVTypes"/>
</file>