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4E79"/>
          <w:sz w:val="48"/>
          <w:szCs w:val="48"/>
        </w:rPr>
        <w:t xml:space="preserve">The Varcap Machine</w:t>
      </w:r>
    </w:p>
    <w:p>
      <w:pPr>
        <w:spacing w:after="40"/>
      </w:pPr>
      <w:r>
        <w:rPr>
          <w:rFonts w:ascii="Arial" w:cs="Arial" w:eastAsia="Arial" w:hAnsi="Arial"/>
          <w:b/>
          <w:bCs/>
          <w:sz w:val="30"/>
          <w:szCs w:val="30"/>
        </w:rPr>
        <w:t xml:space="preserve">Design Guide — Formulas &amp; Parameter Dependencies</w:t>
      </w:r>
    </w:p>
    <w:p>
      <w:pPr>
        <w:spacing w:after="240"/>
      </w:pPr>
      <w:r>
        <w:rPr>
          <w:rFonts w:ascii="Arial" w:cs="Arial" w:eastAsia="Arial" w:hAnsi="Arial"/>
          <w:i/>
          <w:iCs/>
          <w:color w:val="6B7280"/>
          <w:sz w:val="20"/>
          <w:szCs w:val="20"/>
        </w:rPr>
        <w:t xml:space="preserve">Rotary electrostatic charge pump: symmetric Bennet doubler · flying-bucket shuttle · self-break spark-gap commutation · split LC resonator</w:t>
      </w:r>
    </w:p>
    <w:p>
      <w:pPr>
        <w:pBdr>
          <w:left w:val="single" w:color="1F4E79" w:sz="18" w:space="10"/>
        </w:pBdr>
        <w:spacing w:after="60"/>
      </w:pPr>
      <w:r>
        <w:rPr>
          <w:rFonts w:ascii="Arial" w:cs="Arial" w:eastAsia="Arial" w:hAnsi="Arial"/>
          <w:b/>
          <w:bCs/>
          <w:sz w:val="21"/>
          <w:szCs w:val="21"/>
        </w:rPr>
        <w:t xml:space="preserve">Scope. </w:t>
      </w:r>
      <w:r>
        <w:rPr>
          <w:rFonts w:ascii="Arial" w:cs="Arial" w:eastAsia="Arial" w:hAnsi="Arial"/>
          <w:sz w:val="21"/>
          <w:szCs w:val="21"/>
        </w:rPr>
        <w:t xml:space="preserve">A formula-first, objective design guide: every subsystem given as governing equations, the inverse (target → geometry/thickness), and an explicit map of which parameter sets which. Worked design point in §13.</w:t>
      </w:r>
    </w:p>
    <w:p>
      <w:pPr>
        <w:spacing w:after="120" w:line="276"/>
      </w:pPr>
      <w:r>
        <w:rPr>
          <w:rFonts w:ascii="Arial" w:cs="Arial" w:eastAsia="Arial" w:hAnsi="Arial"/>
          <w:b/>
          <w:bCs/>
          <w:sz w:val="21"/>
          <w:szCs w:val="21"/>
        </w:rPr>
        <w:t xml:space="preserve">Sources &amp; status. </w:t>
      </w:r>
      <w:r>
        <w:rPr>
          <w:rFonts w:ascii="Arial" w:cs="Arial" w:eastAsia="Arial" w:hAnsi="Arial"/>
          <w:sz w:val="21"/>
          <w:szCs w:val="21"/>
        </w:rPr>
        <w:t xml:space="preserve">Geometry from DXF r0.15; topology from the netlist of record; capacitance and dielectric model from the Block C-I brief; switching from the commutator-design brief; resonator/efficiency/operating point from the design-freeze v0.10 + the S-series. Current architecture only — co-rotating rotor halves, split 79 µH coil, 789 pF tank, z 1.334. Superseded choices are not carried.</w:t>
      </w:r>
    </w:p>
    <w:p>
      <w:pPr>
        <w:spacing w:after="120" w:line="276"/>
      </w:pPr>
      <w:r>
        <w:rPr>
          <w:rFonts w:ascii="Arial" w:cs="Arial" w:eastAsia="Arial" w:hAnsi="Arial"/>
          <w:b/>
          <w:bCs/>
          <w:sz w:val="21"/>
          <w:szCs w:val="21"/>
        </w:rPr>
        <w:t xml:space="preserve">Tiers. </w:t>
      </w:r>
      <w:r>
        <w:rPr>
          <w:rFonts w:ascii="Consolas" w:cs="Consolas" w:eastAsia="Consolas" w:hAnsi="Consolas"/>
          <w:sz w:val="20"/>
          <w:szCs w:val="20"/>
        </w:rPr>
        <w:t xml:space="preserve">[OC]</w:t>
      </w:r>
      <w:r>
        <w:rPr>
          <w:rFonts w:ascii="Arial" w:cs="Arial" w:eastAsia="Arial" w:hAnsi="Arial"/>
          <w:sz w:val="21"/>
          <w:szCs w:val="21"/>
        </w:rPr>
        <w:t xml:space="preserve"> standard physics, derivable · </w:t>
      </w:r>
      <w:r>
        <w:rPr>
          <w:rFonts w:ascii="Consolas" w:cs="Consolas" w:eastAsia="Consolas" w:hAnsi="Consolas"/>
          <w:sz w:val="20"/>
          <w:szCs w:val="20"/>
        </w:rPr>
        <w:t xml:space="preserve">[IR]</w:t>
      </w:r>
      <w:r>
        <w:rPr>
          <w:rFonts w:ascii="Arial" w:cs="Arial" w:eastAsia="Arial" w:hAnsi="Arial"/>
          <w:sz w:val="21"/>
          <w:szCs w:val="21"/>
        </w:rPr>
        <w:t xml:space="preserve"> engineering choice · </w:t>
      </w:r>
      <w:r>
        <w:rPr>
          <w:rFonts w:ascii="Consolas" w:cs="Consolas" w:eastAsia="Consolas" w:hAnsi="Consolas"/>
          <w:sz w:val="20"/>
          <w:szCs w:val="20"/>
        </w:rPr>
        <w:t xml:space="preserve">[RH]</w:t>
      </w:r>
      <w:r>
        <w:rPr>
          <w:rFonts w:ascii="Arial" w:cs="Arial" w:eastAsia="Arial" w:hAnsi="Arial"/>
          <w:sz w:val="21"/>
          <w:szCs w:val="21"/>
        </w:rPr>
        <w:t xml:space="preserve"> heuristic. </w:t>
      </w:r>
    </w:p>
    <w:p>
      <w:pPr>
        <w:spacing w:after="120" w:line="276"/>
      </w:pPr>
      <w:r>
        <w:rPr>
          <w:rFonts w:ascii="Arial" w:cs="Arial" w:eastAsia="Arial" w:hAnsi="Arial"/>
          <w:b/>
          <w:bCs/>
          <w:sz w:val="21"/>
          <w:szCs w:val="21"/>
        </w:rPr>
        <w:t xml:space="preserve">Domain note. </w:t>
      </w:r>
      <w:r>
        <w:rPr>
          <w:rFonts w:ascii="Arial" w:cs="Arial" w:eastAsia="Arial" w:hAnsi="Arial"/>
          <w:sz w:val="21"/>
          <w:szCs w:val="21"/>
        </w:rPr>
        <w:t xml:space="preserve">This is conventional electrostatic / high-voltage engineering throughout — Bennet doubling, parallel-plate capacitance, Townsend/Paschen breakdown, LC resonance, charge conservation. No substrate/cosmology content enters any formula or choice here.</w:t>
      </w:r>
    </w:p>
    <w:p>
      <w:r>
        <w:br w:type="page"/>
      </w:r>
    </w:p>
    <w:p>
      <w:pPr>
        <w:spacing w:after="120"/>
      </w:pPr>
      <w:r>
        <w:rPr>
          <w:rFonts w:ascii="Arial" w:cs="Arial" w:eastAsia="Arial" w:hAnsi="Arial"/>
          <w:b/>
          <w:bCs/>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Symbols and the parameter dependency map</w:t>
      </w:r>
    </w:p>
    <w:p>
      <w:pPr>
        <w:pStyle w:val="Heading2"/>
      </w:pPr>
      <w:r>
        <w:t xml:space="preserve">1.1  Symbols (load-bearing names)</w:t>
      </w:r>
    </w:p>
    <w:p>
      <w:pPr>
        <w:spacing w:after="120" w:line="276"/>
      </w:pPr>
      <w:r>
        <w:rPr>
          <w:rFonts w:ascii="Arial" w:cs="Arial" w:eastAsia="Arial" w:hAnsi="Arial"/>
          <w:sz w:val="21"/>
          <w:szCs w:val="21"/>
        </w:rPr>
        <w:t xml:space="preserve">Symbol hygiene matters because several quantities collide on one letter in casual notation. Plate separation is g (never d); rotor angle is θ; the swing ratio is κ_C. Geometry inputs carry no second UI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760"/>
        <w:gridCol w:w="1900"/>
      </w:tblGrid>
      <w:tr>
        <w:trPr>
          <w:tblHeader/>
        </w:trPr>
        <w:tc>
          <w:tcPr>
            <w:tcW w:type="dxa" w:w="1700"/>
            <w:tcBorders>
              <w:top w:val="single" w:color="BFBFBF" w:sz="1"/>
              <w:left w:val="single" w:color="BFBFBF" w:sz="1"/>
              <w:bottom w:val="single" w:color="BFBFBF" w:sz="1"/>
              <w:right w:val="single" w:color="BFBFBF" w:sz="1"/>
            </w:tcBorders>
            <w:shd w:fill="D9E2EC" w:val="clear"/>
            <w:tcMar>
              <w:top w:type="dxa" w:w="60"/>
              <w:left w:type="dxa" w:w="110"/>
              <w:bottom w:type="dxa" w:w="60"/>
              <w:right w:type="dxa" w:w="110"/>
            </w:tcMar>
          </w:tcPr>
          <w:p>
            <w:pPr>
              <w:spacing w:after="0" w:line="250"/>
            </w:pPr>
            <w:r>
              <w:rPr>
                <w:rFonts w:ascii="Arial" w:cs="Arial" w:eastAsia="Arial" w:hAnsi="Arial"/>
                <w:b/>
                <w:bCs/>
                <w:sz w:val="19"/>
                <w:szCs w:val="19"/>
              </w:rPr>
              <w:t xml:space="preserve">Symbol</w:t>
            </w:r>
          </w:p>
        </w:tc>
        <w:tc>
          <w:tcPr>
            <w:tcW w:type="dxa" w:w="5760"/>
            <w:tcBorders>
              <w:top w:val="single" w:color="BFBFBF" w:sz="1"/>
              <w:left w:val="single" w:color="BFBFBF" w:sz="1"/>
              <w:bottom w:val="single" w:color="BFBFBF" w:sz="1"/>
              <w:right w:val="single" w:color="BFBFBF" w:sz="1"/>
            </w:tcBorders>
            <w:shd w:fill="D9E2EC" w:val="clear"/>
            <w:tcMar>
              <w:top w:type="dxa" w:w="60"/>
              <w:left w:type="dxa" w:w="110"/>
              <w:bottom w:type="dxa" w:w="60"/>
              <w:right w:type="dxa" w:w="110"/>
            </w:tcMar>
          </w:tcPr>
          <w:p>
            <w:pPr>
              <w:spacing w:after="0" w:line="250"/>
            </w:pPr>
            <w:r>
              <w:rPr>
                <w:rFonts w:ascii="Arial" w:cs="Arial" w:eastAsia="Arial" w:hAnsi="Arial"/>
                <w:b/>
                <w:bCs/>
                <w:sz w:val="19"/>
                <w:szCs w:val="19"/>
              </w:rPr>
              <w:t xml:space="preserve">Quantity</w:t>
            </w:r>
          </w:p>
        </w:tc>
        <w:tc>
          <w:tcPr>
            <w:tcW w:type="dxa" w:w="1900"/>
            <w:tcBorders>
              <w:top w:val="single" w:color="BFBFBF" w:sz="1"/>
              <w:left w:val="single" w:color="BFBFBF" w:sz="1"/>
              <w:bottom w:val="single" w:color="BFBFBF" w:sz="1"/>
              <w:right w:val="single" w:color="BFBFBF" w:sz="1"/>
            </w:tcBorders>
            <w:shd w:fill="D9E2EC" w:val="clear"/>
            <w:tcMar>
              <w:top w:type="dxa" w:w="60"/>
              <w:left w:type="dxa" w:w="110"/>
              <w:bottom w:type="dxa" w:w="60"/>
              <w:right w:type="dxa" w:w="110"/>
            </w:tcMar>
          </w:tcPr>
          <w:p>
            <w:pPr>
              <w:spacing w:after="0" w:line="250"/>
            </w:pPr>
            <w:r>
              <w:rPr>
                <w:rFonts w:ascii="Arial" w:cs="Arial" w:eastAsia="Arial" w:hAnsi="Arial"/>
                <w:b/>
                <w:bCs/>
                <w:sz w:val="19"/>
                <w:szCs w:val="19"/>
              </w:rPr>
              <w:t xml:space="preserve">Units</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Consolas" w:cs="Consolas" w:eastAsia="Consolas" w:hAnsi="Consolas"/>
                <w:b w:val="false"/>
                <w:bCs w:val="false"/>
                <w:sz w:val="18"/>
                <w:szCs w:val="18"/>
              </w:rPr>
              <w:t xml:space="preserve">ε₀</w:t>
            </w:r>
          </w:p>
        </w:tc>
        <w:tc>
          <w:tcPr>
            <w:tcW w:type="dxa" w:w="5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vacuum permittivity = 8.8541878128×10⁻¹²</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F/m</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Consolas" w:cs="Consolas" w:eastAsia="Consolas" w:hAnsi="Consolas"/>
                <w:b w:val="false"/>
                <w:bCs w:val="false"/>
                <w:sz w:val="18"/>
                <w:szCs w:val="18"/>
              </w:rPr>
              <w:t xml:space="preserve">ε_r</w:t>
            </w:r>
          </w:p>
        </w:tc>
        <w:tc>
          <w:tcPr>
            <w:tcW w:type="dxa" w:w="5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relative permittivity of the gap medium</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Consolas" w:cs="Consolas" w:eastAsia="Consolas" w:hAnsi="Consolas"/>
                <w:b w:val="false"/>
                <w:bCs w:val="false"/>
                <w:sz w:val="18"/>
                <w:szCs w:val="18"/>
              </w:rPr>
              <w:t xml:space="preserve">A_ov(θ)</w:t>
            </w:r>
          </w:p>
        </w:tc>
        <w:tc>
          <w:tcPr>
            <w:tcW w:type="dxa" w:w="5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facing (overlap) area at rotor angle θ</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m²</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Consolas" w:cs="Consolas" w:eastAsia="Consolas" w:hAnsi="Consolas"/>
                <w:b w:val="false"/>
                <w:bCs w:val="false"/>
                <w:sz w:val="18"/>
                <w:szCs w:val="18"/>
              </w:rPr>
              <w:t xml:space="preserve">A_m / A_ring</w:t>
            </w:r>
          </w:p>
        </w:tc>
        <w:tc>
          <w:tcPr>
            <w:tcW w:type="dxa" w:w="5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kept-sector metal area / central ring area</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m²</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Consolas" w:cs="Consolas" w:eastAsia="Consolas" w:hAnsi="Consolas"/>
                <w:b w:val="false"/>
                <w:bCs w:val="false"/>
                <w:sz w:val="18"/>
                <w:szCs w:val="18"/>
              </w:rPr>
              <w:t xml:space="preserve">g</w:t>
            </w:r>
          </w:p>
        </w:tc>
        <w:tc>
          <w:tcPr>
            <w:tcW w:type="dxa" w:w="5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plate separation (air gap) or solid-dielectric thickness t</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m</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Consolas" w:cs="Consolas" w:eastAsia="Consolas" w:hAnsi="Consolas"/>
                <w:b w:val="false"/>
                <w:bCs w:val="false"/>
                <w:sz w:val="18"/>
                <w:szCs w:val="18"/>
              </w:rPr>
              <w:t xml:space="preserve">N_sec / n_kept</w:t>
            </w:r>
          </w:p>
        </w:tc>
        <w:tc>
          <w:tcPr>
            <w:tcW w:type="dxa" w:w="5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sectors / kept sectors (alternating, n_kept = ⌈N_sec/2⌉)</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Consolas" w:cs="Consolas" w:eastAsia="Consolas" w:hAnsi="Consolas"/>
                <w:b w:val="false"/>
                <w:bCs w:val="false"/>
                <w:sz w:val="18"/>
                <w:szCs w:val="18"/>
              </w:rPr>
              <w:t xml:space="preserve">C_max / C_min</w:t>
            </w:r>
          </w:p>
        </w:tc>
        <w:tc>
          <w:tcPr>
            <w:tcW w:type="dxa" w:w="5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aligned / dis-aligned variable-cap extremes</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F</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Consolas" w:cs="Consolas" w:eastAsia="Consolas" w:hAnsi="Consolas"/>
                <w:b w:val="false"/>
                <w:bCs w:val="false"/>
                <w:sz w:val="18"/>
                <w:szCs w:val="18"/>
              </w:rPr>
              <w:t xml:space="preserve">κ_C</w:t>
            </w:r>
          </w:p>
        </w:tc>
        <w:tc>
          <w:tcPr>
            <w:tcW w:type="dxa" w:w="5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swing ratio C_max/C_min (= solver r₁)</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Consolas" w:cs="Consolas" w:eastAsia="Consolas" w:hAnsi="Consolas"/>
                <w:b w:val="false"/>
                <w:bCs w:val="false"/>
                <w:sz w:val="18"/>
                <w:szCs w:val="18"/>
              </w:rPr>
              <w:t xml:space="preserve">z</w:t>
            </w:r>
          </w:p>
        </w:tc>
        <w:tc>
          <w:tcPr>
            <w:tcW w:type="dxa" w:w="5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doubler per-cycle pump gain (scale-free)</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Consolas" w:cs="Consolas" w:eastAsia="Consolas" w:hAnsi="Consolas"/>
                <w:b w:val="false"/>
                <w:bCs w:val="false"/>
                <w:sz w:val="18"/>
                <w:szCs w:val="18"/>
              </w:rPr>
              <w:t xml:space="preserve">η</w:t>
            </w:r>
          </w:p>
        </w:tc>
        <w:tc>
          <w:tcPr>
            <w:tcW w:type="dxa" w:w="5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net-electrical fraction (1 − equalization tax)</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Consolas" w:cs="Consolas" w:eastAsia="Consolas" w:hAnsi="Consolas"/>
                <w:b w:val="false"/>
                <w:bCs w:val="false"/>
                <w:sz w:val="18"/>
                <w:szCs w:val="18"/>
              </w:rPr>
              <w:t xml:space="preserve">f₀ / Z₀ / Q</w:t>
            </w:r>
          </w:p>
        </w:tc>
        <w:tc>
          <w:tcPr>
            <w:tcW w:type="dxa" w:w="5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tank resonance / characteristic impedance / quality</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Hz/Ω/—</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Consolas" w:cs="Consolas" w:eastAsia="Consolas" w:hAnsi="Consolas"/>
                <w:b w:val="false"/>
                <w:bCs w:val="false"/>
                <w:sz w:val="18"/>
                <w:szCs w:val="18"/>
              </w:rPr>
              <w:t xml:space="preserve">E_bd / V_bd</w:t>
            </w:r>
          </w:p>
        </w:tc>
        <w:tc>
          <w:tcPr>
            <w:tcW w:type="dxa" w:w="5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dielectric strength / breakdown voltage</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V/m, V</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Consolas" w:cs="Consolas" w:eastAsia="Consolas" w:hAnsi="Consolas"/>
                <w:b w:val="false"/>
                <w:bCs w:val="false"/>
                <w:sz w:val="18"/>
                <w:szCs w:val="18"/>
              </w:rPr>
              <w:t xml:space="preserve">SF</w:t>
            </w:r>
          </w:p>
        </w:tc>
        <w:tc>
          <w:tcPr>
            <w:tcW w:type="dxa" w:w="5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safety factor on insulation (design margin)</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w:t>
            </w:r>
          </w:p>
        </w:tc>
      </w:tr>
    </w:tbl>
    <w:p>
      <w:pPr>
        <w:pStyle w:val="Heading2"/>
      </w:pPr>
      <w:r>
        <w:t xml:space="preserve">1.2  What sets what</w:t>
      </w:r>
    </w:p>
    <w:p>
      <w:pPr>
        <w:spacing w:after="120" w:line="276"/>
      </w:pPr>
      <w:r>
        <w:rPr>
          <w:rFonts w:ascii="Arial" w:cs="Arial" w:eastAsia="Arial" w:hAnsi="Arial"/>
          <w:sz w:val="21"/>
          <w:szCs w:val="21"/>
        </w:rPr>
        <w:t xml:space="preserve">The machine is scale-free in the capacitances: z depends only on capacitance ratios, so absolute size is free and is fixed instead by voltage (breakdown), throughput, and mechanics. Read the table as a directed dependency — the middle column is the design lever, the right column is what it propagates into.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4450"/>
        <w:gridCol w:w="2560"/>
      </w:tblGrid>
      <w:tr>
        <w:trPr>
          <w:tblHeader/>
        </w:trPr>
        <w:tc>
          <w:tcPr>
            <w:tcW w:type="dxa" w:w="2350"/>
            <w:tcBorders>
              <w:top w:val="single" w:color="BFBFBF" w:sz="1"/>
              <w:left w:val="single" w:color="BFBFBF" w:sz="1"/>
              <w:bottom w:val="single" w:color="BFBFBF" w:sz="1"/>
              <w:right w:val="single" w:color="BFBFBF" w:sz="1"/>
            </w:tcBorders>
            <w:shd w:fill="D9E2EC" w:val="clear"/>
            <w:tcMar>
              <w:top w:type="dxa" w:w="60"/>
              <w:left w:type="dxa" w:w="110"/>
              <w:bottom w:type="dxa" w:w="60"/>
              <w:right w:type="dxa" w:w="110"/>
            </w:tcMar>
          </w:tcPr>
          <w:p>
            <w:pPr>
              <w:spacing w:after="0" w:line="250"/>
            </w:pPr>
            <w:r>
              <w:rPr>
                <w:rFonts w:ascii="Arial" w:cs="Arial" w:eastAsia="Arial" w:hAnsi="Arial"/>
                <w:b/>
                <w:bCs/>
                <w:sz w:val="19"/>
                <w:szCs w:val="19"/>
              </w:rPr>
              <w:t xml:space="preserve">Parameter</w:t>
            </w:r>
          </w:p>
        </w:tc>
        <w:tc>
          <w:tcPr>
            <w:tcW w:type="dxa" w:w="4450"/>
            <w:tcBorders>
              <w:top w:val="single" w:color="BFBFBF" w:sz="1"/>
              <w:left w:val="single" w:color="BFBFBF" w:sz="1"/>
              <w:bottom w:val="single" w:color="BFBFBF" w:sz="1"/>
              <w:right w:val="single" w:color="BFBFBF" w:sz="1"/>
            </w:tcBorders>
            <w:shd w:fill="D9E2EC" w:val="clear"/>
            <w:tcMar>
              <w:top w:type="dxa" w:w="60"/>
              <w:left w:type="dxa" w:w="110"/>
              <w:bottom w:type="dxa" w:w="60"/>
              <w:right w:type="dxa" w:w="110"/>
            </w:tcMar>
          </w:tcPr>
          <w:p>
            <w:pPr>
              <w:spacing w:after="0" w:line="250"/>
            </w:pPr>
            <w:r>
              <w:rPr>
                <w:rFonts w:ascii="Arial" w:cs="Arial" w:eastAsia="Arial" w:hAnsi="Arial"/>
                <w:b/>
                <w:bCs/>
                <w:sz w:val="19"/>
                <w:szCs w:val="19"/>
              </w:rPr>
              <w:t xml:space="preserve">Set by (lever)</w:t>
            </w:r>
          </w:p>
        </w:tc>
        <w:tc>
          <w:tcPr>
            <w:tcW w:type="dxa" w:w="2560"/>
            <w:tcBorders>
              <w:top w:val="single" w:color="BFBFBF" w:sz="1"/>
              <w:left w:val="single" w:color="BFBFBF" w:sz="1"/>
              <w:bottom w:val="single" w:color="BFBFBF" w:sz="1"/>
              <w:right w:val="single" w:color="BFBFBF" w:sz="1"/>
            </w:tcBorders>
            <w:shd w:fill="D9E2EC" w:val="clear"/>
            <w:tcMar>
              <w:top w:type="dxa" w:w="60"/>
              <w:left w:type="dxa" w:w="110"/>
              <w:bottom w:type="dxa" w:w="60"/>
              <w:right w:type="dxa" w:w="110"/>
            </w:tcMar>
          </w:tcPr>
          <w:p>
            <w:pPr>
              <w:spacing w:after="0" w:line="250"/>
            </w:pPr>
            <w:r>
              <w:rPr>
                <w:rFonts w:ascii="Arial" w:cs="Arial" w:eastAsia="Arial" w:hAnsi="Arial"/>
                <w:b/>
                <w:bCs/>
                <w:sz w:val="19"/>
                <w:szCs w:val="19"/>
              </w:rPr>
              <w:t xml:space="preserve">Propagates into</w:t>
            </w:r>
          </w:p>
        </w:tc>
      </w:tr>
      <w:tr>
        <w:tc>
          <w:tcPr>
            <w:tcW w:type="dxa" w:w="23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Consolas" w:cs="Consolas" w:eastAsia="Consolas" w:hAnsi="Consolas"/>
                <w:b w:val="false"/>
                <w:bCs w:val="false"/>
                <w:sz w:val="18"/>
                <w:szCs w:val="18"/>
              </w:rPr>
              <w:t xml:space="preserve">g_v (varicap gap)</w:t>
            </w:r>
          </w:p>
        </w:tc>
        <w:tc>
          <w:tcPr>
            <w:tcW w:type="dxa" w:w="44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breakdown, insulate-first: g ≥ V_work·SF / E_bd</w:t>
            </w:r>
          </w:p>
        </w:tc>
        <w:tc>
          <w:tcPr>
            <w:tcW w:type="dxa" w:w="25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C scale, fire voltage</w:t>
            </w:r>
          </w:p>
        </w:tc>
      </w:tr>
      <w:tr>
        <w:tc>
          <w:tcPr>
            <w:tcW w:type="dxa" w:w="23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Consolas" w:cs="Consolas" w:eastAsia="Consolas" w:hAnsi="Consolas"/>
                <w:b w:val="false"/>
                <w:bCs w:val="false"/>
                <w:sz w:val="18"/>
                <w:szCs w:val="18"/>
              </w:rPr>
              <w:t xml:space="preserve">r_out (R387)</w:t>
            </w:r>
          </w:p>
        </w:tc>
        <w:tc>
          <w:tcPr>
            <w:tcW w:type="dxa" w:w="44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C_max target (inverse, §3) + rim limit</w:t>
            </w:r>
          </w:p>
        </w:tc>
        <w:tc>
          <w:tcPr>
            <w:tcW w:type="dxa" w:w="25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C_max, rotor diameter, rim speed</w:t>
            </w:r>
          </w:p>
        </w:tc>
      </w:tr>
      <w:tr>
        <w:tc>
          <w:tcPr>
            <w:tcW w:type="dxa" w:w="23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Consolas" w:cs="Consolas" w:eastAsia="Consolas" w:hAnsi="Consolas"/>
                <w:b w:val="false"/>
                <w:bCs w:val="false"/>
                <w:sz w:val="18"/>
                <w:szCs w:val="18"/>
              </w:rPr>
              <w:t xml:space="preserve">A_ring</w:t>
            </w:r>
          </w:p>
        </w:tc>
        <w:tc>
          <w:tcPr>
            <w:tcW w:type="dxa" w:w="44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swing target: A_ring = A_m / (κ_C − 1)</w:t>
            </w:r>
          </w:p>
        </w:tc>
        <w:tc>
          <w:tcPr>
            <w:tcW w:type="dxa" w:w="25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C_min, κ_C</w:t>
            </w:r>
          </w:p>
        </w:tc>
      </w:tr>
      <w:tr>
        <w:tc>
          <w:tcPr>
            <w:tcW w:type="dxa" w:w="23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Consolas" w:cs="Consolas" w:eastAsia="Consolas" w:hAnsi="Consolas"/>
                <w:b w:val="false"/>
                <w:bCs w:val="false"/>
                <w:sz w:val="18"/>
                <w:szCs w:val="18"/>
              </w:rPr>
              <w:t xml:space="preserve">C_max, C_min</w:t>
            </w:r>
          </w:p>
        </w:tc>
        <w:tc>
          <w:tcPr>
            <w:tcW w:type="dxa" w:w="44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geometry (forward, §2)</w:t>
            </w:r>
          </w:p>
        </w:tc>
        <w:tc>
          <w:tcPr>
            <w:tcW w:type="dxa" w:w="25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z, throughput</w:t>
            </w:r>
          </w:p>
        </w:tc>
      </w:tr>
      <w:tr>
        <w:tc>
          <w:tcPr>
            <w:tcW w:type="dxa" w:w="23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Consolas" w:cs="Consolas" w:eastAsia="Consolas" w:hAnsi="Consolas"/>
                <w:b w:val="false"/>
                <w:bCs w:val="false"/>
                <w:sz w:val="18"/>
                <w:szCs w:val="18"/>
              </w:rPr>
              <w:t xml:space="preserve">Ca, Cb</w:t>
            </w:r>
          </w:p>
        </w:tc>
        <w:tc>
          <w:tcPr>
            <w:tcW w:type="dxa" w:w="44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match to C_max (z-band)</w:t>
            </w:r>
          </w:p>
        </w:tc>
        <w:tc>
          <w:tcPr>
            <w:tcW w:type="dxa" w:w="25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z, transfer tax</w:t>
            </w:r>
          </w:p>
        </w:tc>
      </w:tr>
      <w:tr>
        <w:tc>
          <w:tcPr>
            <w:tcW w:type="dxa" w:w="23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Consolas" w:cs="Consolas" w:eastAsia="Consolas" w:hAnsi="Consolas"/>
                <w:b w:val="false"/>
                <w:bCs w:val="false"/>
                <w:sz w:val="18"/>
                <w:szCs w:val="18"/>
              </w:rPr>
              <w:t xml:space="preserve">t_diel (solid caps)</w:t>
            </w:r>
          </w:p>
        </w:tc>
        <w:tc>
          <w:tcPr>
            <w:tcW w:type="dxa" w:w="44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max(capacitance-driven, breakdown-driven) (§4)</w:t>
            </w:r>
          </w:p>
        </w:tc>
        <w:tc>
          <w:tcPr>
            <w:tcW w:type="dxa" w:w="25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C, voltage hold</w:t>
            </w:r>
          </w:p>
        </w:tc>
      </w:tr>
      <w:tr>
        <w:tc>
          <w:tcPr>
            <w:tcW w:type="dxa" w:w="23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Consolas" w:cs="Consolas" w:eastAsia="Consolas" w:hAnsi="Consolas"/>
                <w:b w:val="false"/>
                <w:bCs w:val="false"/>
                <w:sz w:val="18"/>
                <w:szCs w:val="18"/>
              </w:rPr>
              <w:t xml:space="preserve">C_R</w:t>
            </w:r>
          </w:p>
        </w:tc>
        <w:tc>
          <w:tcPr>
            <w:tcW w:type="dxa" w:w="44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full rotor face / septum thickness</w:t>
            </w:r>
          </w:p>
        </w:tc>
        <w:tc>
          <w:tcPr>
            <w:tcW w:type="dxa" w:w="25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f₀, Z₀, reach</w:t>
            </w:r>
          </w:p>
        </w:tc>
      </w:tr>
      <w:tr>
        <w:tc>
          <w:tcPr>
            <w:tcW w:type="dxa" w:w="23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Consolas" w:cs="Consolas" w:eastAsia="Consolas" w:hAnsi="Consolas"/>
                <w:b w:val="false"/>
                <w:bCs w:val="false"/>
                <w:sz w:val="18"/>
                <w:szCs w:val="18"/>
              </w:rPr>
              <w:t xml:space="preserve">L_R</w:t>
            </w:r>
          </w:p>
        </w:tc>
        <w:tc>
          <w:tcPr>
            <w:tcW w:type="dxa" w:w="44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coil geometry (Nagaoka), sized for L_total</w:t>
            </w:r>
          </w:p>
        </w:tc>
        <w:tc>
          <w:tcPr>
            <w:tcW w:type="dxa" w:w="25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f₀, Z₀, node stress</w:t>
            </w:r>
          </w:p>
        </w:tc>
      </w:tr>
      <w:tr>
        <w:tc>
          <w:tcPr>
            <w:tcW w:type="dxa" w:w="23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Consolas" w:cs="Consolas" w:eastAsia="Consolas" w:hAnsi="Consolas"/>
                <w:b w:val="false"/>
                <w:bCs w:val="false"/>
                <w:sz w:val="18"/>
                <w:szCs w:val="18"/>
              </w:rPr>
              <w:t xml:space="preserve">g_SG (gap)</w:t>
            </w:r>
          </w:p>
        </w:tc>
        <w:tc>
          <w:tcPr>
            <w:tcW w:type="dxa" w:w="44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target fire voltage / breakdown law (§9)</w:t>
            </w:r>
          </w:p>
        </w:tc>
        <w:tc>
          <w:tcPr>
            <w:tcW w:type="dxa" w:w="25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V_fire, recovery time</w:t>
            </w:r>
          </w:p>
        </w:tc>
      </w:tr>
      <w:tr>
        <w:tc>
          <w:tcPr>
            <w:tcW w:type="dxa" w:w="23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Consolas" w:cs="Consolas" w:eastAsia="Consolas" w:hAnsi="Consolas"/>
                <w:b w:val="false"/>
                <w:bCs w:val="false"/>
                <w:sz w:val="18"/>
                <w:szCs w:val="18"/>
              </w:rPr>
              <w:t xml:space="preserve">ball radius</w:t>
            </w:r>
          </w:p>
        </w:tc>
        <w:tc>
          <w:tcPr>
            <w:tcW w:type="dxa" w:w="44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cross-fire margin + electrode life (≤17.5 mm @R387)</w:t>
            </w:r>
          </w:p>
        </w:tc>
        <w:tc>
          <w:tcPr>
            <w:tcW w:type="dxa" w:w="25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erosion interval</w:t>
            </w:r>
          </w:p>
        </w:tc>
      </w:tr>
      <w:tr>
        <w:tc>
          <w:tcPr>
            <w:tcW w:type="dxa" w:w="23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Consolas" w:cs="Consolas" w:eastAsia="Consolas" w:hAnsi="Consolas"/>
                <w:b w:val="false"/>
                <w:bCs w:val="false"/>
                <w:sz w:val="18"/>
                <w:szCs w:val="18"/>
              </w:rPr>
              <w:t xml:space="preserve">rpm</w:t>
            </w:r>
          </w:p>
        </w:tc>
        <w:tc>
          <w:tcPr>
            <w:tcW w:type="dxa" w:w="44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PRF target, bounded by rim + recovery</w:t>
            </w:r>
          </w:p>
        </w:tc>
        <w:tc>
          <w:tcPr>
            <w:tcW w:type="dxa" w:w="25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PRF, rim speed, quench window</w:t>
            </w:r>
          </w:p>
        </w:tc>
      </w:tr>
    </w:tbl>
    <w:p>
      <w:pPr>
        <w:pBdr>
          <w:left w:val="single" w:color="1F4E79" w:sz="18" w:space="10"/>
        </w:pBdr>
        <w:shd w:fill="F2F4F7" w:val="clear"/>
        <w:spacing w:after="130" w:before="90"/>
        <w:jc w:val="center"/>
      </w:pPr>
      <w:r>
        <w:drawing>
          <wp:inline distT="0" distB="0" distL="0" distR="0">
            <wp:extent cx="2219325" cy="209550"/>
            <wp:effectExtent t="0" r="0" b="0" l="0"/>
            <wp:docPr id="1" name="z_args" descr="equation" title="z_ar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19325" cy="209550"/>
                    </a:xfrm>
                    <a:prstGeom prst="rect">
                      <a:avLst/>
                    </a:prstGeom>
                  </pic:spPr>
                </pic:pic>
              </a:graphicData>
            </a:graphic>
          </wp:inline>
        </w:drawing>
      </w:r>
    </w:p>
    <w:p>
      <w:pPr>
        <w:spacing w:after="130"/>
        <w:jc w:val="center"/>
      </w:pPr>
      <w:r>
        <w:rPr>
          <w:rFonts w:ascii="Arial" w:cs="Arial" w:eastAsia="Arial" w:hAnsi="Arial"/>
          <w:i/>
          <w:iCs/>
          <w:color w:val="6B7280"/>
          <w:sz w:val="18"/>
          <w:szCs w:val="18"/>
        </w:rPr>
        <w:t xml:space="preserve">Scale-free corollary: grow the battery by uniformly scaling the whole capacitance family; scaling one family alone collapses z. [OC]</w:t>
      </w:r>
    </w:p>
    <w:p>
      <w:pPr>
        <w:pStyle w:val="Heading1"/>
      </w:pPr>
      <w:r>
        <w:t xml:space="preserve">2  Variable capacitor: geometry → capacitance (forward)</w:t>
      </w:r>
    </w:p>
    <w:p>
      <w:pPr>
        <w:spacing w:after="120" w:line="276"/>
      </w:pPr>
      <w:r>
        <w:rPr>
          <w:rFonts w:ascii="Arial" w:cs="Arial" w:eastAsia="Arial" w:hAnsi="Arial"/>
          <w:sz w:val="21"/>
          <w:szCs w:val="21"/>
        </w:rPr>
        <w:t xml:space="preserve">The sectored-disc varicap is the pump's drive. Two plates on the shaft, the rotor group offset by one sector pitch, give the antiphase pair C1/C2. The capacitance follows the parallel-plate law over the rotation-dependent overlap, with a central ring providing a constant floor.</w:t>
      </w:r>
    </w:p>
    <w:p>
      <w:pPr>
        <w:pStyle w:val="Heading2"/>
      </w:pPr>
      <w:r>
        <w:t xml:space="preserve">2.1  Base law and overlap</w:t>
      </w:r>
    </w:p>
    <w:p>
      <w:pPr>
        <w:pBdr>
          <w:left w:val="single" w:color="1F4E79" w:sz="18" w:space="10"/>
        </w:pBdr>
        <w:shd w:fill="F2F4F7" w:val="clear"/>
        <w:spacing w:after="130" w:before="90"/>
        <w:jc w:val="center"/>
      </w:pPr>
      <w:r>
        <w:drawing>
          <wp:inline distT="0" distB="0" distL="0" distR="0">
            <wp:extent cx="933450" cy="390525"/>
            <wp:effectExtent t="0" r="0" b="0" l="0"/>
            <wp:docPr id="1" name="C_base" descr="equation" title="C_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33450" cy="390525"/>
                    </a:xfrm>
                    <a:prstGeom prst="rect">
                      <a:avLst/>
                    </a:prstGeom>
                  </pic:spPr>
                </pic:pic>
              </a:graphicData>
            </a:graphic>
          </wp:inline>
        </w:drawing>
      </w:r>
    </w:p>
    <w:p>
      <w:pPr>
        <w:pBdr>
          <w:left w:val="single" w:color="1F4E79" w:sz="18" w:space="10"/>
        </w:pBdr>
        <w:shd w:fill="F2F4F7" w:val="clear"/>
        <w:spacing w:after="130" w:before="90"/>
        <w:jc w:val="center"/>
      </w:pPr>
      <w:r>
        <w:drawing>
          <wp:inline distT="0" distB="0" distL="0" distR="0">
            <wp:extent cx="2752725" cy="419100"/>
            <wp:effectExtent t="0" r="0" b="0" l="0"/>
            <wp:docPr id="1" name="f_ov" descr="equation" title="f_o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52725" cy="419100"/>
                    </a:xfrm>
                    <a:prstGeom prst="rect">
                      <a:avLst/>
                    </a:prstGeom>
                  </pic:spPr>
                </pic:pic>
              </a:graphicData>
            </a:graphic>
          </wp:inline>
        </w:drawing>
      </w:r>
    </w:p>
    <w:p>
      <w:pPr>
        <w:spacing w:after="130"/>
        <w:jc w:val="center"/>
      </w:pPr>
      <w:r>
        <w:rPr>
          <w:rFonts w:ascii="Arial" w:cs="Arial" w:eastAsia="Arial" w:hAnsi="Arial"/>
          <w:i/>
          <w:iCs/>
          <w:color w:val="6B7280"/>
          <w:sz w:val="18"/>
          <w:szCs w:val="18"/>
        </w:rPr>
        <w:t xml:space="preserve">Radial sector edges → overlap area linear in angle → triangular fraction f_ov ∈ [0,1], period 2s_θ. θ=0 full overlap; θ=s_θ sectors over gaps. [OC]</w:t>
      </w:r>
    </w:p>
    <w:p>
      <w:pPr>
        <w:pBdr>
          <w:left w:val="single" w:color="1F4E79" w:sz="18" w:space="10"/>
        </w:pBdr>
        <w:shd w:fill="F2F4F7" w:val="clear"/>
        <w:spacing w:after="130" w:before="90"/>
        <w:jc w:val="center"/>
      </w:pPr>
      <w:r>
        <w:drawing>
          <wp:inline distT="0" distB="0" distL="0" distR="0">
            <wp:extent cx="3286125" cy="209550"/>
            <wp:effectExtent t="0" r="0" b="0" l="0"/>
            <wp:docPr id="1" name="A_ov" descr="equation" title="A_o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86125" cy="209550"/>
                    </a:xfrm>
                    <a:prstGeom prst="rect">
                      <a:avLst/>
                    </a:prstGeom>
                  </pic:spPr>
                </pic:pic>
              </a:graphicData>
            </a:graphic>
          </wp:inline>
        </w:drawing>
      </w:r>
    </w:p>
    <w:p>
      <w:pPr>
        <w:pStyle w:val="Heading2"/>
      </w:pPr>
      <w:r>
        <w:t xml:space="preserve">2.2  The two extremes the doubler consumes</w:t>
      </w:r>
    </w:p>
    <w:p>
      <w:pPr>
        <w:spacing w:after="120" w:line="276"/>
      </w:pPr>
      <w:r>
        <w:rPr>
          <w:rFonts w:ascii="Arial" w:cs="Arial" w:eastAsia="Arial" w:hAnsi="Arial"/>
          <w:sz w:val="21"/>
          <w:szCs w:val="21"/>
        </w:rPr>
        <w:t xml:space="preserve">Only the two phase extremes feed the solver. The ring is azimuthally symmetric, so it is rotation-independent and sets C_min:</w:t>
      </w:r>
    </w:p>
    <w:p>
      <w:pPr>
        <w:pBdr>
          <w:left w:val="single" w:color="1F4E79" w:sz="18" w:space="10"/>
        </w:pBdr>
        <w:shd w:fill="F2F4F7" w:val="clear"/>
        <w:spacing w:after="130" w:before="90"/>
        <w:jc w:val="center"/>
      </w:pPr>
      <w:r>
        <w:drawing>
          <wp:inline distT="0" distB="0" distL="0" distR="0">
            <wp:extent cx="4133850" cy="390525"/>
            <wp:effectExtent t="0" r="0" b="0" l="0"/>
            <wp:docPr id="1" name="Cmaxmin" descr="equation" title="Cmax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33850" cy="390525"/>
                    </a:xfrm>
                    <a:prstGeom prst="rect">
                      <a:avLst/>
                    </a:prstGeom>
                  </pic:spPr>
                </pic:pic>
              </a:graphicData>
            </a:graphic>
          </wp:inline>
        </w:drawing>
      </w:r>
    </w:p>
    <w:p>
      <w:pPr>
        <w:spacing w:after="120" w:line="276"/>
      </w:pPr>
      <w:r>
        <w:rPr>
          <w:rFonts w:ascii="Arial" w:cs="Arial" w:eastAsia="Arial" w:hAnsi="Arial"/>
          <w:sz w:val="21"/>
          <w:szCs w:val="21"/>
        </w:rPr>
        <w:t xml:space="preserve">With the ring off, C_min → 0 and κ_C → ∞ (z blows up); the ring is the </w:t>
      </w:r>
      <w:r>
        <w:rPr>
          <w:rFonts w:ascii="Arial" w:cs="Arial" w:eastAsia="Arial" w:hAnsi="Arial"/>
          <w:b/>
          <w:bCs/>
          <w:sz w:val="21"/>
          <w:szCs w:val="21"/>
        </w:rPr>
        <w:t xml:space="preserve">C_min-setting knob</w:t>
      </w:r>
      <w:r>
        <w:rPr>
          <w:rFonts w:ascii="Arial" w:cs="Arial" w:eastAsia="Arial" w:hAnsi="Arial"/>
          <w:sz w:val="21"/>
          <w:szCs w:val="21"/>
        </w:rPr>
        <w:t xml:space="preserve"> that keeps the swing ratio finite and tunable. </w:t>
      </w:r>
      <w:r>
        <w:rPr>
          <w:rFonts w:ascii="Consolas" w:cs="Consolas" w:eastAsia="Consolas" w:hAnsi="Consolas"/>
          <w:sz w:val="20"/>
          <w:szCs w:val="20"/>
        </w:rPr>
        <w:t xml:space="preserve">[IR]</w:t>
      </w:r>
    </w:p>
    <w:p>
      <w:pPr>
        <w:pStyle w:val="Heading2"/>
      </w:pPr>
      <w:r>
        <w:t xml:space="preserve">2.3  Sector area</w:t>
      </w:r>
    </w:p>
    <w:p>
      <w:pPr>
        <w:spacing w:after="120" w:line="276"/>
      </w:pPr>
      <w:r>
        <w:rPr>
          <w:rFonts w:ascii="Arial" w:cs="Arial" w:eastAsia="Arial" w:hAnsi="Arial"/>
          <w:sz w:val="21"/>
          <w:szCs w:val="21"/>
        </w:rPr>
        <w:t xml:space="preserve">For an annulus between r_in and r_out cut into N_sec equal sectors with n_kept kept in alternation:</w:t>
      </w:r>
    </w:p>
    <w:p>
      <w:pPr>
        <w:pBdr>
          <w:left w:val="single" w:color="1F4E79" w:sz="18" w:space="10"/>
        </w:pBdr>
        <w:shd w:fill="F2F4F7" w:val="clear"/>
        <w:spacing w:after="130" w:before="90"/>
        <w:jc w:val="center"/>
      </w:pPr>
      <w:r>
        <w:drawing>
          <wp:inline distT="0" distB="0" distL="0" distR="0">
            <wp:extent cx="4200525" cy="371475"/>
            <wp:effectExtent t="0" r="0" b="0" l="0"/>
            <wp:docPr id="1" name="A_m" descr="equation" title="A_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00525" cy="371475"/>
                    </a:xfrm>
                    <a:prstGeom prst="rect">
                      <a:avLst/>
                    </a:prstGeom>
                  </pic:spPr>
                </pic:pic>
              </a:graphicData>
            </a:graphic>
          </wp:inline>
        </w:drawing>
      </w:r>
    </w:p>
    <w:p>
      <w:pPr>
        <w:pBdr>
          <w:left w:val="single" w:color="1F4E79" w:sz="18" w:space="10"/>
        </w:pBdr>
        <w:shd w:fill="F2F4F7" w:val="clear"/>
        <w:spacing w:after="130" w:before="90"/>
        <w:jc w:val="center"/>
      </w:pPr>
      <w:r>
        <w:drawing>
          <wp:inline distT="0" distB="0" distL="0" distR="0">
            <wp:extent cx="1790700" cy="238125"/>
            <wp:effectExtent t="0" r="0" b="0" l="0"/>
            <wp:docPr id="1" name="A_ring" descr="equation" title="A_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790700" cy="238125"/>
                    </a:xfrm>
                    <a:prstGeom prst="rect">
                      <a:avLst/>
                    </a:prstGeom>
                  </pic:spPr>
                </pic:pic>
              </a:graphicData>
            </a:graphic>
          </wp:inline>
        </w:drawing>
      </w:r>
    </w:p>
    <w:p>
      <w:pPr>
        <w:spacing w:after="120" w:line="276"/>
      </w:pPr>
      <w:r>
        <w:rPr>
          <w:rFonts w:ascii="Arial" w:cs="Arial" w:eastAsia="Arial" w:hAnsi="Arial"/>
          <w:b/>
          <w:bCs/>
          <w:sz w:val="21"/>
          <w:szCs w:val="21"/>
        </w:rPr>
        <w:t xml:space="preserve">Fringing caveat. </w:t>
      </w:r>
      <w:r>
        <w:rPr>
          <w:rFonts w:ascii="Arial" w:cs="Arial" w:eastAsia="Arial" w:hAnsi="Arial"/>
          <w:sz w:val="21"/>
          <w:szCs w:val="21"/>
        </w:rPr>
        <w:t xml:space="preserve">The law neglects fringing — valid while g ≪ the smallest in-plane feature. Warn if g ≳ 10 % of the smaller of {smallest metal-sector arc width, ring radial width}; otherwise apply a Kirchhoff/Palmer effective-area correction. </w:t>
      </w:r>
      <w:r>
        <w:rPr>
          <w:rFonts w:ascii="Consolas" w:cs="Consolas" w:eastAsia="Consolas" w:hAnsi="Consolas"/>
          <w:sz w:val="20"/>
          <w:szCs w:val="20"/>
        </w:rPr>
        <w:t xml:space="preserve">[IR]</w:t>
      </w:r>
    </w:p>
    <w:p>
      <w:pPr>
        <w:pStyle w:val="Heading1"/>
      </w:pPr>
      <w:r>
        <w:t xml:space="preserve">3  Variable capacitor: capacitance → geometry and thickness (inverse)</w:t>
      </w:r>
    </w:p>
    <w:p>
      <w:pPr>
        <w:spacing w:after="120" w:line="276"/>
      </w:pPr>
      <w:r>
        <w:rPr>
          <w:rFonts w:ascii="Arial" w:cs="Arial" w:eastAsia="Arial" w:hAnsi="Arial"/>
          <w:sz w:val="21"/>
          <w:szCs w:val="21"/>
        </w:rPr>
        <w:t xml:space="preserve">This is the design direction: given a target C_max, a target swing κ_C, and the working voltage, recover the gap, the metal area, the band radius, and the ring. The ordering is fixed by insulate-first — the gap is a breakdown decision and is solved before the area.</w:t>
      </w:r>
    </w:p>
    <w:p>
      <w:pPr>
        <w:pStyle w:val="Heading2"/>
      </w:pPr>
      <w:r>
        <w:t xml:space="preserve">3.1  Procedure</w:t>
      </w:r>
    </w:p>
    <w:p>
      <w:pPr>
        <w:pStyle w:val="ListParagraph"/>
        <w:numPr>
          <w:ilvl w:val="0"/>
          <w:numId w:val="2"/>
        </w:numPr>
        <w:spacing w:after="90" w:line="270"/>
      </w:pPr>
      <w:r>
        <w:rPr>
          <w:rFonts w:ascii="Arial" w:cs="Arial" w:eastAsia="Arial" w:hAnsi="Arial"/>
          <w:b/>
          <w:bCs/>
          <w:sz w:val="21"/>
          <w:szCs w:val="21"/>
        </w:rPr>
        <w:t xml:space="preserve">Gap from voltage (insulate-first). </w:t>
      </w:r>
      <w:r>
        <w:rPr>
          <w:rFonts w:ascii="Arial" w:cs="Arial" w:eastAsia="Arial" w:hAnsi="Arial"/>
          <w:sz w:val="21"/>
          <w:szCs w:val="21"/>
        </w:rPr>
        <w:t xml:space="preserve">The gap must hold the working voltage with margin, independent of the capacitance target:</w:t>
      </w:r>
    </w:p>
    <w:p>
      <w:pPr>
        <w:pBdr>
          <w:left w:val="single" w:color="1F4E79" w:sz="18" w:space="10"/>
        </w:pBdr>
        <w:shd w:fill="F2F4F7" w:val="clear"/>
        <w:spacing w:after="130" w:before="90"/>
        <w:jc w:val="center"/>
      </w:pPr>
      <w:r>
        <w:drawing>
          <wp:inline distT="0" distB="0" distL="0" distR="0">
            <wp:extent cx="2886075" cy="381000"/>
            <wp:effectExtent t="0" r="0" b="0" l="0"/>
            <wp:docPr id="1" name="g_volt" descr="equation" title="g_vo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86075" cy="381000"/>
                    </a:xfrm>
                    <a:prstGeom prst="rect">
                      <a:avLst/>
                    </a:prstGeom>
                  </pic:spPr>
                </pic:pic>
              </a:graphicData>
            </a:graphic>
          </wp:inline>
        </w:drawing>
      </w:r>
    </w:p>
    <w:p>
      <w:pPr>
        <w:pStyle w:val="ListParagraph"/>
        <w:numPr>
          <w:ilvl w:val="0"/>
          <w:numId w:val="2"/>
        </w:numPr>
        <w:spacing w:after="90" w:line="270"/>
      </w:pPr>
      <w:r>
        <w:rPr>
          <w:rFonts w:ascii="Arial" w:cs="Arial" w:eastAsia="Arial" w:hAnsi="Arial"/>
          <w:b/>
          <w:bCs/>
          <w:sz w:val="21"/>
          <w:szCs w:val="21"/>
        </w:rPr>
        <w:t xml:space="preserve">Metal area from the capacitance target. </w:t>
      </w:r>
      <w:r>
        <w:rPr>
          <w:rFonts w:ascii="Arial" w:cs="Arial" w:eastAsia="Arial" w:hAnsi="Arial"/>
          <w:sz w:val="21"/>
          <w:szCs w:val="21"/>
        </w:rPr>
        <w:t xml:space="preserve">Invert the C_max law for the kept area:</w:t>
      </w:r>
    </w:p>
    <w:p>
      <w:pPr>
        <w:pBdr>
          <w:left w:val="single" w:color="1F4E79" w:sz="18" w:space="10"/>
        </w:pBdr>
        <w:shd w:fill="F2F4F7" w:val="clear"/>
        <w:spacing w:after="130" w:before="90"/>
        <w:jc w:val="center"/>
      </w:pPr>
      <w:r>
        <w:drawing>
          <wp:inline distT="0" distB="0" distL="0" distR="0">
            <wp:extent cx="1495425" cy="381000"/>
            <wp:effectExtent t="0" r="0" b="0" l="0"/>
            <wp:docPr id="1" name="A_m_inv" descr="equation" title="A_m_in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495425" cy="381000"/>
                    </a:xfrm>
                    <a:prstGeom prst="rect">
                      <a:avLst/>
                    </a:prstGeom>
                  </pic:spPr>
                </pic:pic>
              </a:graphicData>
            </a:graphic>
          </wp:inline>
        </w:drawing>
      </w:r>
    </w:p>
    <w:p>
      <w:pPr>
        <w:pStyle w:val="ListParagraph"/>
        <w:numPr>
          <w:ilvl w:val="0"/>
          <w:numId w:val="2"/>
        </w:numPr>
        <w:spacing w:after="90" w:line="270"/>
      </w:pPr>
      <w:r>
        <w:rPr>
          <w:rFonts w:ascii="Arial" w:cs="Arial" w:eastAsia="Arial" w:hAnsi="Arial"/>
          <w:b/>
          <w:bCs/>
          <w:sz w:val="21"/>
          <w:szCs w:val="21"/>
        </w:rPr>
        <w:t xml:space="preserve">Ring from the swing target. </w:t>
      </w:r>
      <w:r>
        <w:rPr>
          <w:rFonts w:ascii="Arial" w:cs="Arial" w:eastAsia="Arial" w:hAnsi="Arial"/>
          <w:sz w:val="21"/>
          <w:szCs w:val="21"/>
        </w:rPr>
        <w:t xml:space="preserve">The ring sets C_min and hence κ_C:</w:t>
      </w:r>
    </w:p>
    <w:p>
      <w:pPr>
        <w:pBdr>
          <w:left w:val="single" w:color="1F4E79" w:sz="18" w:space="10"/>
        </w:pBdr>
        <w:shd w:fill="F2F4F7" w:val="clear"/>
        <w:spacing w:after="130" w:before="90"/>
        <w:jc w:val="center"/>
      </w:pPr>
      <w:r>
        <w:drawing>
          <wp:inline distT="0" distB="0" distL="0" distR="0">
            <wp:extent cx="1257300" cy="400050"/>
            <wp:effectExtent t="0" r="0" b="0" l="0"/>
            <wp:docPr id="1" name="A_ring_inv" descr="equation" title="A_ring_in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257300" cy="400050"/>
                    </a:xfrm>
                    <a:prstGeom prst="rect">
                      <a:avLst/>
                    </a:prstGeom>
                  </pic:spPr>
                </pic:pic>
              </a:graphicData>
            </a:graphic>
          </wp:inline>
        </w:drawing>
      </w:r>
    </w:p>
    <w:p>
      <w:pPr>
        <w:pStyle w:val="ListParagraph"/>
        <w:numPr>
          <w:ilvl w:val="0"/>
          <w:numId w:val="2"/>
        </w:numPr>
        <w:spacing w:after="90" w:line="270"/>
      </w:pPr>
      <w:r>
        <w:rPr>
          <w:rFonts w:ascii="Arial" w:cs="Arial" w:eastAsia="Arial" w:hAnsi="Arial"/>
          <w:b/>
          <w:bCs/>
          <w:sz w:val="21"/>
          <w:szCs w:val="21"/>
        </w:rPr>
        <w:t xml:space="preserve">Band radius from the metal area. </w:t>
      </w:r>
      <w:r>
        <w:rPr>
          <w:rFonts w:ascii="Arial" w:cs="Arial" w:eastAsia="Arial" w:hAnsi="Arial"/>
          <w:sz w:val="21"/>
          <w:szCs w:val="21"/>
        </w:rPr>
        <w:t xml:space="preserve">Choose an inner radius r_in (mechanical/ring clearance) and solve the outer:</w:t>
      </w:r>
    </w:p>
    <w:p>
      <w:pPr>
        <w:pBdr>
          <w:left w:val="single" w:color="1F4E79" w:sz="18" w:space="10"/>
        </w:pBdr>
        <w:shd w:fill="F2F4F7" w:val="clear"/>
        <w:spacing w:after="130" w:before="90"/>
        <w:jc w:val="center"/>
      </w:pPr>
      <w:r>
        <w:drawing>
          <wp:inline distT="0" distB="0" distL="0" distR="0">
            <wp:extent cx="4019550" cy="514350"/>
            <wp:effectExtent t="0" r="0" b="0" l="0"/>
            <wp:docPr id="1" name="r_out" descr="equation" title="r_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19550" cy="514350"/>
                    </a:xfrm>
                    <a:prstGeom prst="rect">
                      <a:avLst/>
                    </a:prstGeom>
                  </pic:spPr>
                </pic:pic>
              </a:graphicData>
            </a:graphic>
          </wp:inline>
        </w:drawing>
      </w:r>
    </w:p>
    <w:p>
      <w:pPr>
        <w:pStyle w:val="ListParagraph"/>
        <w:numPr>
          <w:ilvl w:val="0"/>
          <w:numId w:val="2"/>
        </w:numPr>
        <w:spacing w:after="90" w:line="270"/>
      </w:pPr>
      <w:r>
        <w:rPr>
          <w:rFonts w:ascii="Arial" w:cs="Arial" w:eastAsia="Arial" w:hAnsi="Arial"/>
          <w:b/>
          <w:bCs/>
          <w:sz w:val="21"/>
          <w:szCs w:val="21"/>
        </w:rPr>
        <w:t xml:space="preserve">Check against the limits. </w:t>
      </w:r>
      <w:r>
        <w:rPr>
          <w:rFonts w:ascii="Arial" w:cs="Arial" w:eastAsia="Arial" w:hAnsi="Arial"/>
          <w:sz w:val="21"/>
          <w:szCs w:val="21"/>
        </w:rPr>
        <w:t xml:space="preserve">rim speed (§12) caps r_out; the gap and εr feed the breakdown/voltage check (§4); fringing (§2.3) caps how small g may be relative to the sector arc.</w:t>
      </w:r>
    </w:p>
    <w:p>
      <w:pPr>
        <w:pStyle w:val="Heading2"/>
      </w:pPr>
      <w:r>
        <w:t xml:space="preserve">3.2  Closed-form summary</w:t>
      </w:r>
    </w:p>
    <w:p>
      <w:pPr>
        <w:pBdr>
          <w:left w:val="single" w:color="1F4E79" w:sz="18" w:space="10"/>
        </w:pBdr>
        <w:shd w:fill="F2F4F7" w:val="clear"/>
        <w:spacing w:after="130" w:before="90"/>
        <w:jc w:val="center"/>
      </w:pPr>
      <w:r>
        <w:drawing>
          <wp:inline distT="0" distB="0" distL="0" distR="0">
            <wp:extent cx="2990850" cy="819150"/>
            <wp:effectExtent t="0" r="0" b="0" l="0"/>
            <wp:docPr id="1" name="summary" descr="equation" title="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990850" cy="819150"/>
                    </a:xfrm>
                    <a:prstGeom prst="rect">
                      <a:avLst/>
                    </a:prstGeom>
                  </pic:spPr>
                </pic:pic>
              </a:graphicData>
            </a:graphic>
          </wp:inline>
        </w:drawing>
      </w:r>
    </w:p>
    <w:p>
      <w:pPr>
        <w:spacing w:after="120" w:line="276"/>
      </w:pPr>
      <w:r>
        <w:rPr>
          <w:rFonts w:ascii="Arial" w:cs="Arial" w:eastAsia="Arial" w:hAnsi="Arial"/>
          <w:b/>
          <w:bCs/>
          <w:sz w:val="21"/>
          <w:szCs w:val="21"/>
        </w:rPr>
        <w:t xml:space="preserve">Dependency. </w:t>
      </w:r>
      <w:r>
        <w:rPr>
          <w:rFonts w:ascii="Arial" w:cs="Arial" w:eastAsia="Arial" w:hAnsi="Arial"/>
          <w:sz w:val="21"/>
          <w:szCs w:val="21"/>
        </w:rPr>
        <w:t xml:space="preserve">C_max and the working voltage together fix g and A_m; κ_C alone fixes the ring; r_in is the only free mechanical choice, and it trades against r_out. The swing κ_C is purely an area ratio — it is independent of g and εr, so it survives any later gap or dielectric change.</w:t>
      </w:r>
    </w:p>
    <w:p>
      <w:pPr>
        <w:pStyle w:val="Heading1"/>
      </w:pPr>
      <w:r>
        <w:t xml:space="preserve">4  Dielectric selection and breakdown-limited thickness</w:t>
      </w:r>
    </w:p>
    <w:p>
      <w:pPr>
        <w:pStyle w:val="Heading2"/>
      </w:pPr>
      <w:r>
        <w:t xml:space="preserve">4.1  Permittivity presets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2300"/>
        <w:gridCol w:w="2560"/>
      </w:tblGrid>
      <w:tr>
        <w:trPr>
          <w:tblHeader/>
        </w:trPr>
        <w:tc>
          <w:tcPr>
            <w:tcW w:type="dxa" w:w="2300"/>
            <w:tcBorders>
              <w:top w:val="single" w:color="BFBFBF" w:sz="1"/>
              <w:left w:val="single" w:color="BFBFBF" w:sz="1"/>
              <w:bottom w:val="single" w:color="BFBFBF" w:sz="1"/>
              <w:right w:val="single" w:color="BFBFBF" w:sz="1"/>
            </w:tcBorders>
            <w:shd w:fill="D9E2EC" w:val="clear"/>
            <w:tcMar>
              <w:top w:type="dxa" w:w="60"/>
              <w:left w:type="dxa" w:w="110"/>
              <w:bottom w:type="dxa" w:w="60"/>
              <w:right w:type="dxa" w:w="110"/>
            </w:tcMar>
          </w:tcPr>
          <w:p>
            <w:pPr>
              <w:spacing w:after="0" w:line="250"/>
            </w:pPr>
            <w:r>
              <w:rPr>
                <w:rFonts w:ascii="Arial" w:cs="Arial" w:eastAsia="Arial" w:hAnsi="Arial"/>
                <w:b/>
                <w:bCs/>
                <w:sz w:val="19"/>
                <w:szCs w:val="19"/>
              </w:rPr>
              <w:t xml:space="preserve">Medium</w:t>
            </w:r>
          </w:p>
        </w:tc>
        <w:tc>
          <w:tcPr>
            <w:tcW w:type="dxa" w:w="2200"/>
            <w:tcBorders>
              <w:top w:val="single" w:color="BFBFBF" w:sz="1"/>
              <w:left w:val="single" w:color="BFBFBF" w:sz="1"/>
              <w:bottom w:val="single" w:color="BFBFBF" w:sz="1"/>
              <w:right w:val="single" w:color="BFBFBF" w:sz="1"/>
            </w:tcBorders>
            <w:shd w:fill="D9E2EC" w:val="clear"/>
            <w:tcMar>
              <w:top w:type="dxa" w:w="60"/>
              <w:left w:type="dxa" w:w="110"/>
              <w:bottom w:type="dxa" w:w="60"/>
              <w:right w:type="dxa" w:w="110"/>
            </w:tcMar>
          </w:tcPr>
          <w:p>
            <w:pPr>
              <w:spacing w:after="0" w:line="250"/>
            </w:pPr>
            <w:r>
              <w:rPr>
                <w:rFonts w:ascii="Arial" w:cs="Arial" w:eastAsia="Arial" w:hAnsi="Arial"/>
                <w:b/>
                <w:bCs/>
                <w:sz w:val="19"/>
                <w:szCs w:val="19"/>
              </w:rPr>
              <w:t xml:space="preserve">ε_r (nominal)</w:t>
            </w:r>
          </w:p>
        </w:tc>
        <w:tc>
          <w:tcPr>
            <w:tcW w:type="dxa" w:w="2300"/>
            <w:tcBorders>
              <w:top w:val="single" w:color="BFBFBF" w:sz="1"/>
              <w:left w:val="single" w:color="BFBFBF" w:sz="1"/>
              <w:bottom w:val="single" w:color="BFBFBF" w:sz="1"/>
              <w:right w:val="single" w:color="BFBFBF" w:sz="1"/>
            </w:tcBorders>
            <w:shd w:fill="D9E2EC" w:val="clear"/>
            <w:tcMar>
              <w:top w:type="dxa" w:w="60"/>
              <w:left w:type="dxa" w:w="110"/>
              <w:bottom w:type="dxa" w:w="60"/>
              <w:right w:type="dxa" w:w="110"/>
            </w:tcMar>
          </w:tcPr>
          <w:p>
            <w:pPr>
              <w:spacing w:after="0" w:line="250"/>
            </w:pPr>
            <w:r>
              <w:rPr>
                <w:rFonts w:ascii="Arial" w:cs="Arial" w:eastAsia="Arial" w:hAnsi="Arial"/>
                <w:b/>
                <w:bCs/>
                <w:sz w:val="19"/>
                <w:szCs w:val="19"/>
              </w:rPr>
              <w:t xml:space="preserve">Model</w:t>
            </w:r>
          </w:p>
        </w:tc>
        <w:tc>
          <w:tcPr>
            <w:tcW w:type="dxa" w:w="2560"/>
            <w:tcBorders>
              <w:top w:val="single" w:color="BFBFBF" w:sz="1"/>
              <w:left w:val="single" w:color="BFBFBF" w:sz="1"/>
              <w:bottom w:val="single" w:color="BFBFBF" w:sz="1"/>
              <w:right w:val="single" w:color="BFBFBF" w:sz="1"/>
            </w:tcBorders>
            <w:shd w:fill="D9E2EC" w:val="clear"/>
            <w:tcMar>
              <w:top w:type="dxa" w:w="60"/>
              <w:left w:type="dxa" w:w="110"/>
              <w:bottom w:type="dxa" w:w="60"/>
              <w:right w:type="dxa" w:w="110"/>
            </w:tcMar>
          </w:tcPr>
          <w:p>
            <w:pPr>
              <w:spacing w:after="0" w:line="250"/>
            </w:pPr>
            <w:r>
              <w:rPr>
                <w:rFonts w:ascii="Arial" w:cs="Arial" w:eastAsia="Arial" w:hAnsi="Arial"/>
                <w:b/>
                <w:bCs/>
                <w:sz w:val="19"/>
                <w:szCs w:val="19"/>
              </w:rPr>
              <w:t xml:space="preserve">Note</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Vacuum</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1 (exact)</w:t>
            </w:r>
          </w:p>
        </w:tc>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constant</w:t>
            </w:r>
          </w:p>
        </w:tc>
        <w:tc>
          <w:tcPr>
            <w:tcW w:type="dxa" w:w="25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humidity-independent; reference</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Air</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≈1.0006</w:t>
            </w:r>
          </w:p>
        </w:tc>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live (T, P, RH)</w:t>
            </w:r>
          </w:p>
        </w:tc>
        <w:tc>
          <w:tcPr>
            <w:tcW w:type="dxa" w:w="25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the only one that genuinely varies</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Kapton</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3.4 (band 3.0–3.5)</w:t>
            </w:r>
          </w:p>
        </w:tc>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constant</w:t>
            </w:r>
          </w:p>
        </w:tc>
        <w:tc>
          <w:tcPr>
            <w:tcW w:type="dxa" w:w="25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fixed-gap only</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Mica (muscovite)</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5.4 (band 5.0–7.0)</w:t>
            </w:r>
          </w:p>
        </w:tc>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constant</w:t>
            </w:r>
          </w:p>
        </w:tc>
        <w:tc>
          <w:tcPr>
            <w:tcW w:type="dxa" w:w="25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low-loss precision staple</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Garolite (G-10/FR4)</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≈4.5–5.0</w:t>
            </w:r>
          </w:p>
        </w:tc>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constant</w:t>
            </w:r>
          </w:p>
        </w:tc>
        <w:tc>
          <w:tcPr>
            <w:tcW w:type="dxa" w:w="25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structural septum (C_R)</w:t>
            </w:r>
          </w:p>
        </w:tc>
      </w:tr>
    </w:tbl>
    <w:p>
      <w:pPr>
        <w:spacing w:after="120" w:line="276"/>
      </w:pPr>
      <w:r>
        <w:rPr>
          <w:rFonts w:ascii="Arial" w:cs="Arial" w:eastAsia="Arial" w:hAnsi="Arial"/>
          <w:b/>
          <w:bCs/>
          <w:sz w:val="21"/>
          <w:szCs w:val="21"/>
        </w:rPr>
        <w:t xml:space="preserve">Moist-air model. </w:t>
      </w:r>
      <w:r>
        <w:rPr>
          <w:rFonts w:ascii="Arial" w:cs="Arial" w:eastAsia="Arial" w:hAnsi="Arial"/>
          <w:sz w:val="21"/>
          <w:szCs w:val="21"/>
        </w:rPr>
        <w:t xml:space="preserve">ε_r,air = 1 + 2·N_air·10⁻⁶, with N_air = 77.6·P/T + 3.73×10⁵·p_v/T² (Smith–Weintraub; T in K, pressures in hPa), p_v = (RH/100)·p_sat and p_sat from Buck (1981). Dry, 1013 hPa, 273.15 K → ε_r ≈ 1.000576. Air vs vacuum differs &lt;0.1 %, but it is the honest value. </w:t>
      </w:r>
      <w:r>
        <w:rPr>
          <w:rFonts w:ascii="Consolas" w:cs="Consolas" w:eastAsia="Consolas" w:hAnsi="Consolas"/>
          <w:sz w:val="20"/>
          <w:szCs w:val="20"/>
        </w:rPr>
        <w:t xml:space="preserve">[OC]</w:t>
      </w:r>
    </w:p>
    <w:p>
      <w:pPr>
        <w:spacing w:after="120" w:line="276"/>
      </w:pPr>
      <w:r>
        <w:rPr>
          <w:rFonts w:ascii="Arial" w:cs="Arial" w:eastAsia="Arial" w:hAnsi="Arial"/>
          <w:b/>
          <w:bCs/>
          <w:sz w:val="21"/>
          <w:szCs w:val="21"/>
        </w:rPr>
        <w:t xml:space="preserve">Rotary realisability. </w:t>
      </w:r>
      <w:r>
        <w:rPr>
          <w:rFonts w:ascii="Arial" w:cs="Arial" w:eastAsia="Arial" w:hAnsi="Arial"/>
          <w:sz w:val="21"/>
          <w:szCs w:val="21"/>
        </w:rPr>
        <w:t xml:space="preserve">A rotary varicap moves one plate through the gap medium, so its dielectric is in practice air or vacuum; a solid film cannot be rotated against while bonded to both plates. Solids belong to fixed or sliding-with-film geometries (Ca/Cb/C_R), not the rotating varicap. </w:t>
      </w:r>
      <w:r>
        <w:rPr>
          <w:rFonts w:ascii="Consolas" w:cs="Consolas" w:eastAsia="Consolas" w:hAnsi="Consolas"/>
          <w:sz w:val="20"/>
          <w:szCs w:val="20"/>
        </w:rPr>
        <w:t xml:space="preserve">[IR]</w:t>
      </w:r>
    </w:p>
    <w:p>
      <w:pPr>
        <w:pStyle w:val="Heading2"/>
      </w:pPr>
      <w:r>
        <w:t xml:space="preserve">4.2  Thickness from voltage — and the two regimes</w:t>
      </w:r>
    </w:p>
    <w:p>
      <w:pPr>
        <w:spacing w:after="120" w:line="276"/>
      </w:pPr>
      <w:r>
        <w:rPr>
          <w:rFonts w:ascii="Arial" w:cs="Arial" w:eastAsia="Arial" w:hAnsi="Arial"/>
          <w:sz w:val="21"/>
          <w:szCs w:val="21"/>
        </w:rPr>
        <w:t xml:space="preserve">For a solid-dielectric fixed capacitor the gap is the dielectric thickness t. Two independent constraints set it; take the larger.</w:t>
      </w:r>
    </w:p>
    <w:p>
      <w:pPr>
        <w:pBdr>
          <w:left w:val="single" w:color="1F4E79" w:sz="18" w:space="10"/>
        </w:pBdr>
        <w:shd w:fill="F2F4F7" w:val="clear"/>
        <w:spacing w:after="130" w:before="90"/>
        <w:jc w:val="center"/>
      </w:pPr>
      <w:r>
        <w:drawing>
          <wp:inline distT="0" distB="0" distL="0" distR="0">
            <wp:extent cx="2981325" cy="409575"/>
            <wp:effectExtent t="0" r="0" b="0" l="0"/>
            <wp:docPr id="1" name="t_two" descr="equation" title="t_tw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981325" cy="409575"/>
                    </a:xfrm>
                    <a:prstGeom prst="rect">
                      <a:avLst/>
                    </a:prstGeom>
                  </pic:spPr>
                </pic:pic>
              </a:graphicData>
            </a:graphic>
          </wp:inline>
        </w:drawing>
      </w:r>
    </w:p>
    <w:p>
      <w:pPr>
        <w:pBdr>
          <w:left w:val="single" w:color="1F4E79" w:sz="18" w:space="10"/>
        </w:pBdr>
        <w:shd w:fill="F2F4F7" w:val="clear"/>
        <w:spacing w:after="130" w:before="90"/>
        <w:jc w:val="center"/>
      </w:pPr>
      <w:r>
        <w:drawing>
          <wp:inline distT="0" distB="0" distL="0" distR="0">
            <wp:extent cx="1990725" cy="209550"/>
            <wp:effectExtent t="0" r="0" b="0" l="0"/>
            <wp:docPr id="1" name="t_max" descr="equation" title="t_m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990725" cy="209550"/>
                    </a:xfrm>
                    <a:prstGeom prst="rect">
                      <a:avLst/>
                    </a:prstGeom>
                  </pic:spPr>
                </pic:pic>
              </a:graphicData>
            </a:graphic>
          </wp:inline>
        </w:drawing>
      </w:r>
    </w:p>
    <w:p>
      <w:pPr>
        <w:spacing w:after="120" w:line="276"/>
      </w:pPr>
      <w:r>
        <w:rPr>
          <w:rFonts w:ascii="Arial" w:cs="Arial" w:eastAsia="Arial" w:hAnsi="Arial"/>
          <w:b/>
          <w:bCs/>
          <w:sz w:val="21"/>
          <w:szCs w:val="21"/>
        </w:rPr>
        <w:t xml:space="preserve">Which regime binds depends on the part:</w:t>
      </w:r>
      <w:r>
        <w:rPr>
          <w:rFonts w:ascii="Arial" w:cs="Arial" w:eastAsia="Arial" w:hAnsi="Arial"/>
          <w:sz w:val="21"/>
          <w:szCs w:val="21"/>
        </w:rPr>
        <w:t xml:space="preserve"/>
      </w:r>
    </w:p>
    <w:p>
      <w:pPr>
        <w:pStyle w:val="ListParagraph"/>
        <w:numPr>
          <w:ilvl w:val="0"/>
          <w:numId w:val="3"/>
        </w:numPr>
        <w:spacing w:after="90" w:line="270"/>
      </w:pPr>
      <w:r>
        <w:rPr>
          <w:rFonts w:ascii="Arial" w:cs="Arial" w:eastAsia="Arial" w:hAnsi="Arial"/>
          <w:b/>
          <w:bCs/>
          <w:sz w:val="21"/>
          <w:szCs w:val="21"/>
        </w:rPr>
        <w:t xml:space="preserve">C_R (tank) is capacitance-driven. </w:t>
      </w:r>
      <w:r>
        <w:rPr>
          <w:rFonts w:ascii="Arial" w:cs="Arial" w:eastAsia="Arial" w:hAnsi="Arial"/>
          <w:sz w:val="21"/>
          <w:szCs w:val="21"/>
        </w:rPr>
        <w:t xml:space="preserve">The full rotor face is large, so hitting 789 pF needs a thick septum: 12 mm garolite. The resulting field is 15 kV / 12 mm = 1.25 kV/mm — far under the ~5 kV/mm derated strength. Breakdown is not the lever here; the capacitance target is.</w:t>
      </w:r>
    </w:p>
    <w:p>
      <w:pPr>
        <w:pStyle w:val="ListParagraph"/>
        <w:numPr>
          <w:ilvl w:val="0"/>
          <w:numId w:val="3"/>
        </w:numPr>
        <w:spacing w:after="90" w:line="270"/>
      </w:pPr>
      <w:r>
        <w:rPr>
          <w:rFonts w:ascii="Arial" w:cs="Arial" w:eastAsia="Arial" w:hAnsi="Arial"/>
          <w:b/>
          <w:bCs/>
          <w:sz w:val="21"/>
          <w:szCs w:val="21"/>
        </w:rPr>
        <w:t xml:space="preserve">Air-gap varicaps (C1/C2) are breakdown-driven. </w:t>
      </w:r>
      <w:r>
        <w:rPr>
          <w:rFonts w:ascii="Arial" w:cs="Arial" w:eastAsia="Arial" w:hAnsi="Arial"/>
          <w:sz w:val="21"/>
          <w:szCs w:val="21"/>
        </w:rPr>
        <w:t xml:space="preserve">The 7 mm air gap is set to hold ~21 kV at 3 kV/mm; the area is then solved for the C target (§3).</w:t>
      </w:r>
    </w:p>
    <w:p>
      <w:pPr>
        <w:pStyle w:val="ListParagraph"/>
        <w:numPr>
          <w:ilvl w:val="0"/>
          <w:numId w:val="3"/>
        </w:numPr>
        <w:spacing w:after="90" w:line="270"/>
      </w:pPr>
      <w:r>
        <w:rPr>
          <w:rFonts w:ascii="Arial" w:cs="Arial" w:eastAsia="Arial" w:hAnsi="Arial"/>
          <w:b/>
          <w:bCs/>
          <w:sz w:val="21"/>
          <w:szCs w:val="21"/>
        </w:rPr>
        <w:t xml:space="preserve">Ca/Cb (transfer) — check both. </w:t>
      </w:r>
      <w:r>
        <w:rPr>
          <w:rFonts w:ascii="Arial" w:cs="Arial" w:eastAsia="Arial" w:hAnsi="Arial"/>
          <w:sz w:val="21"/>
          <w:szCs w:val="21"/>
        </w:rPr>
        <w:t xml:space="preserve">4.5 mm mica for 309 pF; verify it also clears V_work·SF/E_mica.</w:t>
      </w:r>
    </w:p>
    <w:p>
      <w:pPr>
        <w:spacing w:after="120" w:line="276"/>
      </w:pPr>
      <w:r>
        <w:rPr>
          <w:rFonts w:ascii="Arial" w:cs="Arial" w:eastAsia="Arial" w:hAnsi="Arial"/>
          <w:b/>
          <w:bCs/>
          <w:sz w:val="21"/>
          <w:szCs w:val="21"/>
        </w:rPr>
        <w:t xml:space="preserve">Void-in-solid caution. </w:t>
      </w:r>
      <w:r>
        <w:rPr>
          <w:rFonts w:ascii="Arial" w:cs="Arial" w:eastAsia="Arial" w:hAnsi="Arial"/>
          <w:sz w:val="21"/>
          <w:szCs w:val="21"/>
        </w:rPr>
        <w:t xml:space="preserve">A solid dielectric in series with an unavoidable air gap concentrates field in the air (the air sees the larger field because its εr is lower), which can lower the assembly breakdown below either material alone. Solid dielectric is therefore not a max-voltage lever; the levers are gap geometry, creepage ribs, and moving toward gas or vacuum insulation. </w:t>
      </w:r>
      <w:r>
        <w:rPr>
          <w:rFonts w:ascii="Consolas" w:cs="Consolas" w:eastAsia="Consolas" w:hAnsi="Consolas"/>
          <w:sz w:val="20"/>
          <w:szCs w:val="20"/>
        </w:rPr>
        <w:t xml:space="preserve">[OC]</w:t>
      </w:r>
    </w:p>
    <w:p>
      <w:pPr>
        <w:pStyle w:val="Heading1"/>
      </w:pPr>
      <w:r>
        <w:t xml:space="preserve">5  Fixed capacitors — transfer (Ca/Cb) and tank (C_R)</w:t>
      </w:r>
    </w:p>
    <w:p>
      <w:pPr>
        <w:spacing w:after="120" w:line="276"/>
      </w:pPr>
      <w:r>
        <w:rPr>
          <w:rFonts w:ascii="Arial" w:cs="Arial" w:eastAsia="Arial" w:hAnsi="Arial"/>
          <w:b/>
          <w:bCs/>
          <w:sz w:val="21"/>
          <w:szCs w:val="21"/>
        </w:rPr>
        <w:t xml:space="preserve">Transfer caps Ca/Cb</w:t>
      </w:r>
      <w:r>
        <w:rPr>
          <w:rFonts w:ascii="Arial" w:cs="Arial" w:eastAsia="Arial" w:hAnsi="Arial"/>
          <w:sz w:val="21"/>
          <w:szCs w:val="21"/>
        </w:rPr>
        <w:t xml:space="preserve"> are sized by the doubler match, not by geometry first: z peaks when the transfer cap is comparable to C_max. The Block C-I area law (§2.1) then gives the electrode area for the chosen mica thickness. Locked value: 309 pF, 4.5 mm mica. </w:t>
      </w:r>
      <w:r>
        <w:rPr>
          <w:rFonts w:ascii="Consolas" w:cs="Consolas" w:eastAsia="Consolas" w:hAnsi="Consolas"/>
          <w:sz w:val="20"/>
          <w:szCs w:val="20"/>
        </w:rPr>
        <w:t xml:space="preserve">[IR]</w:t>
      </w:r>
    </w:p>
    <w:p>
      <w:pPr>
        <w:spacing w:after="120" w:line="276"/>
      </w:pPr>
      <w:r>
        <w:rPr>
          <w:rFonts w:ascii="Arial" w:cs="Arial" w:eastAsia="Arial" w:hAnsi="Arial"/>
          <w:b/>
          <w:bCs/>
          <w:sz w:val="21"/>
          <w:szCs w:val="21"/>
        </w:rPr>
        <w:t xml:space="preserve">Tank C_R</w:t>
      </w:r>
      <w:r>
        <w:rPr>
          <w:rFonts w:ascii="Arial" w:cs="Arial" w:eastAsia="Arial" w:hAnsi="Arial"/>
          <w:sz w:val="21"/>
          <w:szCs w:val="21"/>
        </w:rPr>
        <w:t xml:space="preserve"> is the rotor-to-rotor capacitance across the central septum, on the full r387 face (not the squeezed active band). It is sized for the resonance target with L_R (§8), and its thickness is capacitance-driven (§4.2). Locked value: 789 pF, 12 mm garolite. </w:t>
      </w:r>
      <w:r>
        <w:rPr>
          <w:rFonts w:ascii="Consolas" w:cs="Consolas" w:eastAsia="Consolas" w:hAnsi="Consolas"/>
          <w:sz w:val="20"/>
          <w:szCs w:val="20"/>
        </w:rPr>
        <w:t xml:space="preserve">[OC]</w:t>
      </w:r>
    </w:p>
    <w:p>
      <w:pPr>
        <w:pBdr>
          <w:left w:val="single" w:color="1F4E79" w:sz="18" w:space="10"/>
        </w:pBdr>
        <w:shd w:fill="F2F4F7" w:val="clear"/>
        <w:spacing w:after="130" w:before="90"/>
        <w:jc w:val="center"/>
      </w:pPr>
      <w:r>
        <w:drawing>
          <wp:inline distT="0" distB="0" distL="0" distR="0">
            <wp:extent cx="4143375" cy="409575"/>
            <wp:effectExtent t="0" r="0" b="0" l="0"/>
            <wp:docPr id="1" name="C_R_geom" descr="equation" title="C_R_ge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143375" cy="409575"/>
                    </a:xfrm>
                    <a:prstGeom prst="rect">
                      <a:avLst/>
                    </a:prstGeom>
                  </pic:spPr>
                </pic:pic>
              </a:graphicData>
            </a:graphic>
          </wp:inline>
        </w:drawing>
      </w:r>
    </w:p>
    <w:p>
      <w:pPr>
        <w:spacing w:after="120" w:line="276"/>
      </w:pPr>
      <w:r>
        <w:rPr>
          <w:rFonts w:ascii="Arial" w:cs="Arial" w:eastAsia="Arial" w:hAnsi="Arial"/>
          <w:b/>
          <w:bCs/>
          <w:sz w:val="21"/>
          <w:szCs w:val="21"/>
        </w:rPr>
        <w:t xml:space="preserve">Active vs full face — keep them separate. </w:t>
      </w:r>
      <w:r>
        <w:rPr>
          <w:rFonts w:ascii="Arial" w:cs="Arial" w:eastAsia="Arial" w:hAnsi="Arial"/>
          <w:sz w:val="21"/>
          <w:szCs w:val="21"/>
        </w:rPr>
        <w:t xml:space="preserve">The pump caps use the squeezed active band (R95–R387); C_R and f₀ use the full face. The two areas are not interchangeable: the squeeze shrinks only the pump.</w:t>
      </w:r>
    </w:p>
    <w:p>
      <w:pPr>
        <w:pStyle w:val="Heading1"/>
      </w:pPr>
      <w:r>
        <w:t xml:space="preserve">6  Design ratios — the capacitance ladder and the electrode-area ladder</w:t>
      </w:r>
    </w:p>
    <w:p>
      <w:pPr>
        <w:spacing w:after="120" w:line="276"/>
      </w:pPr>
      <w:r>
        <w:rPr>
          <w:rFonts w:ascii="Arial" w:cs="Arial" w:eastAsia="Arial" w:hAnsi="Arial"/>
          <w:sz w:val="21"/>
          <w:szCs w:val="21"/>
        </w:rPr>
        <w:t xml:space="preserve">The machine is scale-free in the capacitances (§7): only ratios set the pump, so the design is naturally expressed as a ladder anchored to one capacitor. The natural anchor is the rotor's own variable capacitance — </w:t>
      </w:r>
      <w:r>
        <w:rPr>
          <w:rFonts w:ascii="Arial" w:cs="Arial" w:eastAsia="Arial" w:hAnsi="Arial"/>
          <w:b/>
          <w:bCs/>
          <w:sz w:val="21"/>
          <w:szCs w:val="21"/>
        </w:rPr>
        <w:t xml:space="preserve">C_rot = C_max</w:t>
      </w:r>
      <w:r>
        <w:rPr>
          <w:rFonts w:ascii="Arial" w:cs="Arial" w:eastAsia="Arial" w:hAnsi="Arial"/>
          <w:sz w:val="21"/>
          <w:szCs w:val="21"/>
        </w:rPr>
        <w:t xml:space="preserve">, the aligned value of C1/C2. Every other capacitor is then a multiple of it. But a ratio is dimensionless and the build is not: each capacitor becomes a physical, steel-electrode plate whose area is fixed by its capacitance </w:t>
      </w:r>
      <w:r>
        <w:rPr>
          <w:rFonts w:ascii="Arial" w:cs="Arial" w:eastAsia="Arial" w:hAnsi="Arial"/>
          <w:b/>
          <w:bCs/>
          <w:sz w:val="21"/>
          <w:szCs w:val="21"/>
        </w:rPr>
        <w:t xml:space="preserve">and</w:t>
      </w:r>
      <w:r>
        <w:rPr>
          <w:rFonts w:ascii="Arial" w:cs="Arial" w:eastAsia="Arial" w:hAnsi="Arial"/>
          <w:sz w:val="21"/>
          <w:szCs w:val="21"/>
        </w:rPr>
        <w:t xml:space="preserve"> its dielectric and separation. This section gives both ladders — the capacitance ratios, then the electrode-area ratios they translate into once the dielectrics and gaps are folded in.</w:t>
      </w:r>
    </w:p>
    <w:p>
      <w:pPr>
        <w:pStyle w:val="Heading2"/>
      </w:pPr>
      <w:r>
        <w:t xml:space="preserve">6.1  The capacitance ladder (anchored to the rotor cap)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50"/>
        <w:gridCol w:w="1500"/>
        <w:gridCol w:w="2950"/>
        <w:gridCol w:w="1460"/>
      </w:tblGrid>
      <w:tr>
        <w:trPr>
          <w:tblHeader/>
        </w:trPr>
        <w:tc>
          <w:tcPr>
            <w:tcW w:type="dxa" w:w="3450"/>
            <w:tcBorders>
              <w:top w:val="single" w:color="BFBFBF" w:sz="1"/>
              <w:left w:val="single" w:color="BFBFBF" w:sz="1"/>
              <w:bottom w:val="single" w:color="BFBFBF" w:sz="1"/>
              <w:right w:val="single" w:color="BFBFBF" w:sz="1"/>
            </w:tcBorders>
            <w:shd w:fill="D9E2EC" w:val="clear"/>
            <w:tcMar>
              <w:top w:type="dxa" w:w="60"/>
              <w:left w:type="dxa" w:w="110"/>
              <w:bottom w:type="dxa" w:w="60"/>
              <w:right w:type="dxa" w:w="110"/>
            </w:tcMar>
          </w:tcPr>
          <w:p>
            <w:pPr>
              <w:spacing w:after="0" w:line="250"/>
            </w:pPr>
            <w:r>
              <w:rPr>
                <w:rFonts w:ascii="Arial" w:cs="Arial" w:eastAsia="Arial" w:hAnsi="Arial"/>
                <w:b/>
                <w:bCs/>
                <w:sz w:val="19"/>
                <w:szCs w:val="19"/>
              </w:rPr>
              <w:t xml:space="preserve">Capacitor</w:t>
            </w:r>
          </w:p>
        </w:tc>
        <w:tc>
          <w:tcPr>
            <w:tcW w:type="dxa" w:w="1500"/>
            <w:tcBorders>
              <w:top w:val="single" w:color="BFBFBF" w:sz="1"/>
              <w:left w:val="single" w:color="BFBFBF" w:sz="1"/>
              <w:bottom w:val="single" w:color="BFBFBF" w:sz="1"/>
              <w:right w:val="single" w:color="BFBFBF" w:sz="1"/>
            </w:tcBorders>
            <w:shd w:fill="D9E2EC" w:val="clear"/>
            <w:tcMar>
              <w:top w:type="dxa" w:w="60"/>
              <w:left w:type="dxa" w:w="110"/>
              <w:bottom w:type="dxa" w:w="60"/>
              <w:right w:type="dxa" w:w="110"/>
            </w:tcMar>
          </w:tcPr>
          <w:p>
            <w:pPr>
              <w:spacing w:after="0" w:line="250"/>
            </w:pPr>
            <w:r>
              <w:rPr>
                <w:rFonts w:ascii="Arial" w:cs="Arial" w:eastAsia="Arial" w:hAnsi="Arial"/>
                <w:b/>
                <w:bCs/>
                <w:sz w:val="19"/>
                <w:szCs w:val="19"/>
              </w:rPr>
              <w:t xml:space="preserve">Value</w:t>
            </w:r>
          </w:p>
        </w:tc>
        <w:tc>
          <w:tcPr>
            <w:tcW w:type="dxa" w:w="2950"/>
            <w:tcBorders>
              <w:top w:val="single" w:color="BFBFBF" w:sz="1"/>
              <w:left w:val="single" w:color="BFBFBF" w:sz="1"/>
              <w:bottom w:val="single" w:color="BFBFBF" w:sz="1"/>
              <w:right w:val="single" w:color="BFBFBF" w:sz="1"/>
            </w:tcBorders>
            <w:shd w:fill="D9E2EC" w:val="clear"/>
            <w:tcMar>
              <w:top w:type="dxa" w:w="60"/>
              <w:left w:type="dxa" w:w="110"/>
              <w:bottom w:type="dxa" w:w="60"/>
              <w:right w:type="dxa" w:w="110"/>
            </w:tcMar>
          </w:tcPr>
          <w:p>
            <w:pPr>
              <w:spacing w:after="0" w:line="250"/>
            </w:pPr>
            <w:r>
              <w:rPr>
                <w:rFonts w:ascii="Arial" w:cs="Arial" w:eastAsia="Arial" w:hAnsi="Arial"/>
                <w:b/>
                <w:bCs/>
                <w:sz w:val="19"/>
                <w:szCs w:val="19"/>
              </w:rPr>
              <w:t xml:space="preserve">Dielectric · gap</w:t>
            </w:r>
          </w:p>
        </w:tc>
        <w:tc>
          <w:tcPr>
            <w:tcW w:type="dxa" w:w="1460"/>
            <w:tcBorders>
              <w:top w:val="single" w:color="BFBFBF" w:sz="1"/>
              <w:left w:val="single" w:color="BFBFBF" w:sz="1"/>
              <w:bottom w:val="single" w:color="BFBFBF" w:sz="1"/>
              <w:right w:val="single" w:color="BFBFBF" w:sz="1"/>
            </w:tcBorders>
            <w:shd w:fill="D9E2EC" w:val="clear"/>
            <w:tcMar>
              <w:top w:type="dxa" w:w="60"/>
              <w:left w:type="dxa" w:w="110"/>
              <w:bottom w:type="dxa" w:w="60"/>
              <w:right w:type="dxa" w:w="110"/>
            </w:tcMar>
          </w:tcPr>
          <w:p>
            <w:pPr>
              <w:spacing w:after="0" w:line="250"/>
            </w:pPr>
            <w:r>
              <w:rPr>
                <w:rFonts w:ascii="Arial" w:cs="Arial" w:eastAsia="Arial" w:hAnsi="Arial"/>
                <w:b/>
                <w:bCs/>
                <w:sz w:val="19"/>
                <w:szCs w:val="19"/>
              </w:rPr>
              <w:t xml:space="preserve">÷ C_rot</w:t>
            </w:r>
          </w:p>
        </w:tc>
      </w:tr>
      <w:tr>
        <w:tc>
          <w:tcPr>
            <w:tcW w:type="dxa" w:w="34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Consolas" w:cs="Consolas" w:eastAsia="Consolas" w:hAnsi="Consolas"/>
                <w:b w:val="false"/>
                <w:bCs w:val="false"/>
                <w:sz w:val="18"/>
                <w:szCs w:val="18"/>
              </w:rPr>
              <w:t xml:space="preserve">C_min  (C1/C2 dis-aligned)</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16 pF</w:t>
            </w:r>
          </w:p>
        </w:tc>
        <w:tc>
          <w:tcPr>
            <w:tcW w:type="dxa" w:w="29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7.0 mm air</w:t>
            </w:r>
          </w:p>
        </w:tc>
        <w:tc>
          <w:tcPr>
            <w:tcW w:type="dxa" w:w="14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0.06</w:t>
            </w:r>
          </w:p>
        </w:tc>
      </w:tr>
      <w:tr>
        <w:tc>
          <w:tcPr>
            <w:tcW w:type="dxa" w:w="3450"/>
            <w:tcBorders>
              <w:top w:val="single" w:color="BFBFBF" w:sz="1"/>
              <w:left w:val="single" w:color="BFBFBF" w:sz="1"/>
              <w:bottom w:val="single" w:color="BFBFBF" w:sz="1"/>
              <w:right w:val="single" w:color="BFBFBF" w:sz="1"/>
            </w:tcBorders>
            <w:shd w:fill="E8EEF5" w:val="clear"/>
            <w:tcMar>
              <w:top w:type="dxa" w:w="60"/>
              <w:left w:type="dxa" w:w="110"/>
              <w:bottom w:type="dxa" w:w="60"/>
              <w:right w:type="dxa" w:w="110"/>
            </w:tcMar>
          </w:tcPr>
          <w:p>
            <w:pPr>
              <w:spacing w:after="0" w:line="250"/>
            </w:pPr>
            <w:r>
              <w:rPr>
                <w:rFonts w:ascii="Consolas" w:cs="Consolas" w:eastAsia="Consolas" w:hAnsi="Consolas"/>
                <w:b w:val="false"/>
                <w:bCs w:val="false"/>
                <w:sz w:val="18"/>
                <w:szCs w:val="18"/>
              </w:rPr>
              <w:t xml:space="preserve">C_rot = C_max  (C1/C2 aligned)</w:t>
            </w:r>
          </w:p>
        </w:tc>
        <w:tc>
          <w:tcPr>
            <w:tcW w:type="dxa" w:w="1500"/>
            <w:tcBorders>
              <w:top w:val="single" w:color="BFBFBF" w:sz="1"/>
              <w:left w:val="single" w:color="BFBFBF" w:sz="1"/>
              <w:bottom w:val="single" w:color="BFBFBF" w:sz="1"/>
              <w:right w:val="single" w:color="BFBFBF" w:sz="1"/>
            </w:tcBorders>
            <w:shd w:fill="E8EEF5" w:val="clear"/>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280 pF</w:t>
            </w:r>
          </w:p>
        </w:tc>
        <w:tc>
          <w:tcPr>
            <w:tcW w:type="dxa" w:w="2950"/>
            <w:tcBorders>
              <w:top w:val="single" w:color="BFBFBF" w:sz="1"/>
              <w:left w:val="single" w:color="BFBFBF" w:sz="1"/>
              <w:bottom w:val="single" w:color="BFBFBF" w:sz="1"/>
              <w:right w:val="single" w:color="BFBFBF" w:sz="1"/>
            </w:tcBorders>
            <w:shd w:fill="E8EEF5" w:val="clear"/>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7.0 mm air</w:t>
            </w:r>
          </w:p>
        </w:tc>
        <w:tc>
          <w:tcPr>
            <w:tcW w:type="dxa" w:w="1460"/>
            <w:tcBorders>
              <w:top w:val="single" w:color="BFBFBF" w:sz="1"/>
              <w:left w:val="single" w:color="BFBFBF" w:sz="1"/>
              <w:bottom w:val="single" w:color="BFBFBF" w:sz="1"/>
              <w:right w:val="single" w:color="BFBFBF" w:sz="1"/>
            </w:tcBorders>
            <w:shd w:fill="E8EEF5" w:val="clear"/>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1.00  (anchor)</w:t>
            </w:r>
          </w:p>
        </w:tc>
      </w:tr>
      <w:tr>
        <w:tc>
          <w:tcPr>
            <w:tcW w:type="dxa" w:w="34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Consolas" w:cs="Consolas" w:eastAsia="Consolas" w:hAnsi="Consolas"/>
                <w:b w:val="false"/>
                <w:bCs w:val="false"/>
                <w:sz w:val="18"/>
                <w:szCs w:val="18"/>
              </w:rPr>
              <w:t xml:space="preserve">Ca / Cb  (transfer)</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309 pF</w:t>
            </w:r>
          </w:p>
        </w:tc>
        <w:tc>
          <w:tcPr>
            <w:tcW w:type="dxa" w:w="29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4.5 mm mica</w:t>
            </w:r>
          </w:p>
        </w:tc>
        <w:tc>
          <w:tcPr>
            <w:tcW w:type="dxa" w:w="14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1.10</w:t>
            </w:r>
          </w:p>
        </w:tc>
      </w:tr>
      <w:tr>
        <w:tc>
          <w:tcPr>
            <w:tcW w:type="dxa" w:w="34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Consolas" w:cs="Consolas" w:eastAsia="Consolas" w:hAnsi="Consolas"/>
                <w:b w:val="false"/>
                <w:bCs w:val="false"/>
                <w:sz w:val="18"/>
                <w:szCs w:val="18"/>
              </w:rPr>
              <w:t xml:space="preserve">Cx,max  (flying bucket)</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471 pF</w:t>
            </w:r>
          </w:p>
        </w:tc>
        <w:tc>
          <w:tcPr>
            <w:tcW w:type="dxa" w:w="29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3.0 mm air + 0.3 mm mica</w:t>
            </w:r>
          </w:p>
        </w:tc>
        <w:tc>
          <w:tcPr>
            <w:tcW w:type="dxa" w:w="14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1.68</w:t>
            </w:r>
          </w:p>
        </w:tc>
      </w:tr>
      <w:tr>
        <w:tc>
          <w:tcPr>
            <w:tcW w:type="dxa" w:w="34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Consolas" w:cs="Consolas" w:eastAsia="Consolas" w:hAnsi="Consolas"/>
                <w:b w:val="false"/>
                <w:bCs w:val="false"/>
                <w:sz w:val="18"/>
                <w:szCs w:val="18"/>
              </w:rPr>
              <w:t xml:space="preserve">C_R  (tank)</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789 pF</w:t>
            </w:r>
          </w:p>
        </w:tc>
        <w:tc>
          <w:tcPr>
            <w:tcW w:type="dxa" w:w="29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12 mm garolite</w:t>
            </w:r>
          </w:p>
        </w:tc>
        <w:tc>
          <w:tcPr>
            <w:tcW w:type="dxa" w:w="14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2.82</w:t>
            </w:r>
          </w:p>
        </w:tc>
      </w:tr>
      <w:tr>
        <w:tc>
          <w:tcPr>
            <w:tcW w:type="dxa" w:w="3450"/>
            <w:tcBorders>
              <w:top w:val="single" w:color="BFBFBF" w:sz="1"/>
              <w:left w:val="single" w:color="BFBFBF" w:sz="1"/>
              <w:bottom w:val="single" w:color="BFBFBF" w:sz="1"/>
              <w:right w:val="single" w:color="BFBFBF" w:sz="1"/>
            </w:tcBorders>
            <w:shd w:fill="FBE4D5" w:val="clear"/>
            <w:tcMar>
              <w:top w:type="dxa" w:w="60"/>
              <w:left w:type="dxa" w:w="110"/>
              <w:bottom w:type="dxa" w:w="60"/>
              <w:right w:type="dxa" w:w="110"/>
            </w:tcMar>
          </w:tcPr>
          <w:p>
            <w:pPr>
              <w:spacing w:after="0" w:line="250"/>
            </w:pPr>
            <w:r>
              <w:rPr>
                <w:rFonts w:ascii="Consolas" w:cs="Consolas" w:eastAsia="Consolas" w:hAnsi="Consolas"/>
                <w:b w:val="false"/>
                <w:bCs w:val="false"/>
                <w:sz w:val="18"/>
                <w:szCs w:val="18"/>
              </w:rPr>
              <w:t xml:space="preserve">C_blk  (C-magnet DC-block)</w:t>
            </w:r>
          </w:p>
        </w:tc>
        <w:tc>
          <w:tcPr>
            <w:tcW w:type="dxa" w:w="1500"/>
            <w:tcBorders>
              <w:top w:val="single" w:color="BFBFBF" w:sz="1"/>
              <w:left w:val="single" w:color="BFBFBF" w:sz="1"/>
              <w:bottom w:val="single" w:color="BFBFBF" w:sz="1"/>
              <w:right w:val="single" w:color="BFBFBF" w:sz="1"/>
            </w:tcBorders>
            <w:shd w:fill="FBE4D5" w:val="clear"/>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440 nF</w:t>
            </w:r>
          </w:p>
        </w:tc>
        <w:tc>
          <w:tcPr>
            <w:tcW w:type="dxa" w:w="2950"/>
            <w:tcBorders>
              <w:top w:val="single" w:color="BFBFBF" w:sz="1"/>
              <w:left w:val="single" w:color="BFBFBF" w:sz="1"/>
              <w:bottom w:val="single" w:color="BFBFBF" w:sz="1"/>
              <w:right w:val="single" w:color="BFBFBF" w:sz="1"/>
            </w:tcBorders>
            <w:shd w:fill="FBE4D5" w:val="clear"/>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film / mica, 20 kV</w:t>
            </w:r>
          </w:p>
        </w:tc>
        <w:tc>
          <w:tcPr>
            <w:tcW w:type="dxa" w:w="1460"/>
            <w:tcBorders>
              <w:top w:val="single" w:color="BFBFBF" w:sz="1"/>
              <w:left w:val="single" w:color="BFBFBF" w:sz="1"/>
              <w:bottom w:val="single" w:color="BFBFBF" w:sz="1"/>
              <w:right w:val="single" w:color="BFBFBF" w:sz="1"/>
            </w:tcBorders>
            <w:shd w:fill="FBE4D5" w:val="clear"/>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1571</w:t>
            </w:r>
          </w:p>
        </w:tc>
      </w:tr>
      <w:tr>
        <w:tc>
          <w:tcPr>
            <w:tcW w:type="dxa" w:w="34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Consolas" w:cs="Consolas" w:eastAsia="Consolas" w:hAnsi="Consolas"/>
                <w:b w:val="false"/>
                <w:bCs w:val="false"/>
                <w:sz w:val="18"/>
                <w:szCs w:val="18"/>
              </w:rPr>
              <w:t xml:space="preserve">per-group bank  (6 × C_blk)</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2.64 µF</w:t>
            </w:r>
          </w:p>
        </w:tc>
        <w:tc>
          <w:tcPr>
            <w:tcW w:type="dxa" w:w="29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w:t>
            </w:r>
          </w:p>
        </w:tc>
        <w:tc>
          <w:tcPr>
            <w:tcW w:type="dxa" w:w="14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9429</w:t>
            </w:r>
          </w:p>
        </w:tc>
      </w:tr>
    </w:tbl>
    <w:p>
      <w:pPr>
        <w:spacing w:after="120" w:line="276"/>
      </w:pPr>
      <w:r>
        <w:rPr>
          <w:rFonts w:ascii="Arial" w:cs="Arial" w:eastAsia="Arial" w:hAnsi="Arial"/>
          <w:b/>
          <w:bCs/>
          <w:sz w:val="21"/>
          <w:szCs w:val="21"/>
        </w:rPr>
        <w:t xml:space="preserve">The ladder spans pF to µF. </w:t>
      </w:r>
      <w:r>
        <w:rPr>
          <w:rFonts w:ascii="Arial" w:cs="Arial" w:eastAsia="Arial" w:hAnsi="Arial"/>
          <w:sz w:val="21"/>
          <w:szCs w:val="21"/>
        </w:rPr>
        <w:t xml:space="preserve">The pump caps cluster within ~3× of the rotor cap; the C-magnet DC-block caps stand three orders of magnitude above everything else. Cx,max is the validated single-face 471 pF; the 648 pF dual-face reading needs a second pickup electrode — a deferred TMD hardware call (dxf_flags.md). That single fact dominates the material budget (§6.4–6.5). </w:t>
      </w:r>
      <w:r>
        <w:rPr>
          <w:rFonts w:ascii="Consolas" w:cs="Consolas" w:eastAsia="Consolas" w:hAnsi="Consolas"/>
          <w:sz w:val="20"/>
          <w:szCs w:val="20"/>
        </w:rPr>
        <w:t xml:space="preserve">[OC]</w:t>
      </w:r>
    </w:p>
    <w:p>
      <w:pPr>
        <w:pStyle w:val="Heading2"/>
      </w:pPr>
      <w:r>
        <w:t xml:space="preserve">6.2  Why each ratio is what it is</w:t>
      </w:r>
    </w:p>
    <w:p>
      <w:pPr>
        <w:pStyle w:val="ListParagraph"/>
        <w:numPr>
          <w:ilvl w:val="0"/>
          <w:numId w:val="3"/>
        </w:numPr>
        <w:spacing w:after="90" w:line="270"/>
      </w:pPr>
      <w:r>
        <w:rPr>
          <w:rFonts w:ascii="Arial" w:cs="Arial" w:eastAsia="Arial" w:hAnsi="Arial"/>
          <w:b/>
          <w:bCs/>
          <w:sz w:val="21"/>
          <w:szCs w:val="21"/>
        </w:rPr>
        <w:t xml:space="preserve">κ_C = C_max/C_min ≈ 17.5 — the swing. </w:t>
      </w:r>
      <w:r>
        <w:rPr>
          <w:rFonts w:ascii="Arial" w:cs="Arial" w:eastAsia="Arial" w:hAnsi="Arial"/>
          <w:sz w:val="21"/>
          <w:szCs w:val="21"/>
        </w:rPr>
        <w:t xml:space="preserve">Set by the central ring area (§2.2); it fixes the pump's modulation depth and must keep z inside [1.20, 1.45].</w:t>
      </w:r>
    </w:p>
    <w:p>
      <w:pPr>
        <w:pStyle w:val="ListParagraph"/>
        <w:numPr>
          <w:ilvl w:val="0"/>
          <w:numId w:val="3"/>
        </w:numPr>
        <w:spacing w:after="90" w:line="270"/>
      </w:pPr>
      <w:r>
        <w:rPr>
          <w:rFonts w:ascii="Arial" w:cs="Arial" w:eastAsia="Arial" w:hAnsi="Arial"/>
          <w:b/>
          <w:bCs/>
          <w:sz w:val="21"/>
          <w:szCs w:val="21"/>
        </w:rPr>
        <w:t xml:space="preserve">Ca/C_rot ≈ 1.10 — the transfer match. </w:t>
      </w:r>
      <w:r>
        <w:rPr>
          <w:rFonts w:ascii="Arial" w:cs="Arial" w:eastAsia="Arial" w:hAnsi="Arial"/>
          <w:sz w:val="21"/>
          <w:szCs w:val="21"/>
        </w:rPr>
        <w:t xml:space="preserve">z peaks when the transfer cap is comparable to C_max; this near-unity ratio is a z-band choice, not free.</w:t>
      </w:r>
    </w:p>
    <w:p>
      <w:pPr>
        <w:pStyle w:val="ListParagraph"/>
        <w:numPr>
          <w:ilvl w:val="0"/>
          <w:numId w:val="3"/>
        </w:numPr>
        <w:spacing w:after="90" w:line="270"/>
      </w:pPr>
      <w:r>
        <w:rPr>
          <w:rFonts w:ascii="Arial" w:cs="Arial" w:eastAsia="Arial" w:hAnsi="Arial"/>
          <w:b/>
          <w:bCs/>
          <w:sz w:val="21"/>
          <w:szCs w:val="21"/>
        </w:rPr>
        <w:t xml:space="preserve">Cx,max/C_R ≈ 0.60 — the dump match. </w:t>
      </w:r>
      <w:r>
        <w:rPr>
          <w:rFonts w:ascii="Arial" w:cs="Arial" w:eastAsia="Arial" w:hAnsi="Arial"/>
          <w:sz w:val="21"/>
          <w:szCs w:val="21"/>
        </w:rPr>
        <w:t>The flying-bucket cap is sized close to the tank so the island dump η_M2 = 4·Cx·C_R/(Cx+C_R)² ≈ 0.94 (§8.1). Cx,max/C_rot ≈ 1.68 follows from that match, not from the pump.</w:t>
      </w:r>
    </w:p>
    <w:p>
      <w:pPr>
        <w:pStyle w:val="ListParagraph"/>
        <w:numPr>
          <w:ilvl w:val="0"/>
          <w:numId w:val="3"/>
        </w:numPr>
        <w:spacing w:after="90" w:line="270"/>
      </w:pPr>
      <w:r>
        <w:rPr>
          <w:rFonts w:ascii="Arial" w:cs="Arial" w:eastAsia="Arial" w:hAnsi="Arial"/>
          <w:b/>
          <w:bCs/>
          <w:sz w:val="21"/>
          <w:szCs w:val="21"/>
        </w:rPr>
        <w:t xml:space="preserve">C_R/C_rot ≈ 2.8 — the tank. </w:t>
      </w:r>
      <w:r>
        <w:rPr>
          <w:rFonts w:ascii="Arial" w:cs="Arial" w:eastAsia="Arial" w:hAnsi="Arial"/>
          <w:sz w:val="21"/>
          <w:szCs w:val="21"/>
        </w:rPr>
        <w:t xml:space="preserve">Fixed by the resonance target with L_R and by the full-face geometry (§5); it sets the reach ½·C_R·V², independent of the pump gain.</w:t>
      </w:r>
    </w:p>
    <w:p>
      <w:pPr>
        <w:pStyle w:val="ListParagraph"/>
        <w:numPr>
          <w:ilvl w:val="0"/>
          <w:numId w:val="3"/>
        </w:numPr>
        <w:spacing w:after="90" w:line="270"/>
      </w:pPr>
      <w:r>
        <w:rPr>
          <w:rFonts w:ascii="Arial" w:cs="Arial" w:eastAsia="Arial" w:hAnsi="Arial"/>
          <w:b/>
          <w:bCs/>
          <w:sz w:val="21"/>
          <w:szCs w:val="21"/>
        </w:rPr>
        <w:t xml:space="preserve">C_blk/C_rot ≈ 1571 — the motor DC-block. </w:t>
      </w:r>
      <w:r>
        <w:rPr>
          <w:rFonts w:ascii="Arial" w:cs="Arial" w:eastAsia="Arial" w:hAnsi="Arial"/>
          <w:sz w:val="21"/>
          <w:szCs w:val="21"/>
        </w:rPr>
        <w:t xml:space="preserve">Sized by the motor branch, not the pump: it must pass the low-frequency stepping drive at minimum impedance while blocking the kV bias and staying a high-Z spectator at f₀. That forces nF, hence the 1500× jump. </w:t>
      </w:r>
      <w:r>
        <w:rPr>
          <w:rFonts w:ascii="Consolas" w:cs="Consolas" w:eastAsia="Consolas" w:hAnsi="Consolas"/>
          <w:sz w:val="20"/>
          <w:szCs w:val="20"/>
        </w:rPr>
        <w:t xml:space="preserve">[IR]</w:t>
      </w:r>
    </w:p>
    <w:p>
      <w:pPr>
        <w:pStyle w:val="Heading2"/>
      </w:pPr>
      <w:r>
        <w:t xml:space="preserve">6.3  Capacitance → steel: the area law</w:t>
      </w:r>
    </w:p>
    <w:p>
      <w:pPr>
        <w:spacing w:after="120" w:line="276"/>
      </w:pPr>
      <w:r>
        <w:rPr>
          <w:rFonts w:ascii="Arial" w:cs="Arial" w:eastAsia="Arial" w:hAnsi="Arial"/>
          <w:sz w:val="21"/>
          <w:szCs w:val="21"/>
        </w:rPr>
        <w:t xml:space="preserve">A ratio becomes a plate area only through the dielectric and the gap. For each capacitor the steel electrode area is:</w:t>
      </w:r>
    </w:p>
    <w:p>
      <w:pPr>
        <w:pBdr>
          <w:left w:val="single" w:color="1F4E79" w:sz="18" w:space="10"/>
        </w:pBdr>
        <w:shd w:fill="F2F4F7" w:val="clear"/>
        <w:spacing w:after="130" w:before="90"/>
        <w:jc w:val="center"/>
      </w:pPr>
      <w:r>
        <w:drawing>
          <wp:inline distT="0" distB="0" distL="0" distR="0">
            <wp:extent cx="676275" cy="381000"/>
            <wp:effectExtent t="0" r="0" b="0" l="0"/>
            <wp:docPr id="1" name="area_C" descr="equation" title="area_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76275" cy="381000"/>
                    </a:xfrm>
                    <a:prstGeom prst="rect">
                      <a:avLst/>
                    </a:prstGeom>
                  </pic:spPr>
                </pic:pic>
              </a:graphicData>
            </a:graphic>
          </wp:inline>
        </w:drawing>
      </w:r>
    </w:p>
    <w:p>
      <w:pPr>
        <w:spacing w:after="120" w:line="276"/>
      </w:pPr>
      <w:r>
        <w:rPr>
          <w:rFonts w:ascii="Arial" w:cs="Arial" w:eastAsia="Arial" w:hAnsi="Arial"/>
          <w:sz w:val="21"/>
          <w:szCs w:val="21"/>
        </w:rPr>
        <w:t xml:space="preserve">So the area ratio between any two capacitors is the capacitance ratio scaled by their gap and dielectric:</w:t>
      </w:r>
    </w:p>
    <w:p>
      <w:pPr>
        <w:pBdr>
          <w:left w:val="single" w:color="1F4E79" w:sz="18" w:space="10"/>
        </w:pBdr>
        <w:shd w:fill="F2F4F7" w:val="clear"/>
        <w:spacing w:after="130" w:before="90"/>
        <w:jc w:val="center"/>
      </w:pPr>
      <w:r>
        <w:drawing>
          <wp:inline distT="0" distB="0" distL="0" distR="0">
            <wp:extent cx="1247775" cy="409575"/>
            <wp:effectExtent t="0" r="0" b="0" l="0"/>
            <wp:docPr id="1" name="area_rat" descr="equation" title="area_r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247775" cy="409575"/>
                    </a:xfrm>
                    <a:prstGeom prst="rect">
                      <a:avLst/>
                    </a:prstGeom>
                  </pic:spPr>
                </pic:pic>
              </a:graphicData>
            </a:graphic>
          </wp:inline>
        </w:drawing>
      </w:r>
    </w:p>
    <w:p>
      <w:pPr>
        <w:spacing w:after="120" w:line="276"/>
      </w:pPr>
      <w:r>
        <w:rPr>
          <w:rFonts w:ascii="Arial" w:cs="Arial" w:eastAsia="Arial" w:hAnsi="Arial"/>
          <w:sz w:val="21"/>
          <w:szCs w:val="21"/>
        </w:rPr>
        <w:t xml:space="preserve">This is why the capacitance ladder and the steel ladder are not the same ladder: a high-ε_r, thin dielectric (mica) buys a large capacitance on a small plate, while an air gap spends plate area. The dielectric and separation are the conversion factors. </w:t>
      </w:r>
      <w:r>
        <w:rPr>
          <w:rFonts w:ascii="Consolas" w:cs="Consolas" w:eastAsia="Consolas" w:hAnsi="Consolas"/>
          <w:sz w:val="20"/>
          <w:szCs w:val="20"/>
        </w:rPr>
        <w:t xml:space="preserve">[OC]</w:t>
      </w:r>
    </w:p>
    <w:p>
      <w:pPr>
        <w:pStyle w:val="Heading2"/>
      </w:pPr>
      <w:r>
        <w:t xml:space="preserve">6.4  The electrode-area ladder (what actually dominates)</w:t>
      </w:r>
    </w:p>
    <w:p>
      <w:pPr>
        <w:spacing w:after="120" w:line="276"/>
      </w:pPr>
      <w:r>
        <w:rPr>
          <w:rFonts w:ascii="Arial" w:cs="Arial" w:eastAsia="Arial" w:hAnsi="Arial"/>
          <w:sz w:val="21"/>
          <w:szCs w:val="21"/>
        </w:rPr>
        <w:t xml:space="preserve">Applying the area law at each capacitor's own dielectric and gap, normalised to the rotor plate (½π(R387²−R95²) = 0.221 m²):</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3050"/>
        <w:gridCol w:w="1450"/>
        <w:gridCol w:w="1750"/>
        <w:gridCol w:w="2050"/>
        <w:gridCol w:w="1660"/>
      </w:tblGrid>
      <w:tr>
        <w:trPr>
          <w:tblHeader/>
        </w:trPr>
        <w:tc>
          <w:tcPr>
            <w:tcW w:type="dxa" w:w="3050"/>
            <w:tcBorders>
              <w:top w:val="single" w:color="BFBFBF" w:sz="1"/>
              <w:left w:val="single" w:color="BFBFBF" w:sz="1"/>
              <w:bottom w:val="single" w:color="BFBFBF" w:sz="1"/>
              <w:right w:val="single" w:color="BFBFBF" w:sz="1"/>
            </w:tcBorders>
            <w:shd w:fill="D9E2EC" w:val="clear"/>
            <w:tcMar>
              <w:top w:type="dxa" w:w="60"/>
              <w:left w:type="dxa" w:w="110"/>
              <w:bottom w:type="dxa" w:w="60"/>
              <w:right w:type="dxa" w:w="110"/>
            </w:tcMar>
          </w:tcPr>
          <w:p>
            <w:pPr>
              <w:spacing w:after="0" w:line="250"/>
            </w:pPr>
            <w:r>
              <w:rPr>
                <w:rFonts w:ascii="Arial" w:cs="Arial" w:eastAsia="Arial" w:hAnsi="Arial"/>
                <w:b/>
                <w:bCs/>
                <w:sz w:val="19"/>
                <w:szCs w:val="19"/>
              </w:rPr>
              <w:t xml:space="preserve">Capacitor</w:t>
            </w:r>
          </w:p>
        </w:tc>
        <w:tc>
          <w:tcPr>
            <w:tcW w:type="dxa" w:w="1450"/>
            <w:tcBorders>
              <w:top w:val="single" w:color="BFBFBF" w:sz="1"/>
              <w:left w:val="single" w:color="BFBFBF" w:sz="1"/>
              <w:bottom w:val="single" w:color="BFBFBF" w:sz="1"/>
              <w:right w:val="single" w:color="BFBFBF" w:sz="1"/>
            </w:tcBorders>
            <w:shd w:fill="D9E2EC" w:val="clear"/>
            <w:tcMar>
              <w:top w:type="dxa" w:w="60"/>
              <w:left w:type="dxa" w:w="110"/>
              <w:bottom w:type="dxa" w:w="60"/>
              <w:right w:type="dxa" w:w="110"/>
            </w:tcMar>
          </w:tcPr>
          <w:p>
            <w:pPr>
              <w:spacing w:after="0" w:line="250"/>
            </w:pPr>
            <w:r>
              <w:rPr>
                <w:rFonts w:ascii="Arial" w:cs="Arial" w:eastAsia="Arial" w:hAnsi="Arial"/>
                <w:b/>
                <w:bCs/>
                <w:sz w:val="19"/>
                <w:szCs w:val="19"/>
              </w:rPr>
              <w:t xml:space="preserve">Value</w:t>
            </w:r>
          </w:p>
        </w:tc>
        <w:tc>
          <w:tcPr>
            <w:tcW w:type="dxa" w:w="1750"/>
            <w:tcBorders>
              <w:top w:val="single" w:color="BFBFBF" w:sz="1"/>
              <w:left w:val="single" w:color="BFBFBF" w:sz="1"/>
              <w:bottom w:val="single" w:color="BFBFBF" w:sz="1"/>
              <w:right w:val="single" w:color="BFBFBF" w:sz="1"/>
            </w:tcBorders>
            <w:shd w:fill="D9E2EC" w:val="clear"/>
            <w:tcMar>
              <w:top w:type="dxa" w:w="60"/>
              <w:left w:type="dxa" w:w="110"/>
              <w:bottom w:type="dxa" w:w="60"/>
              <w:right w:type="dxa" w:w="110"/>
            </w:tcMar>
          </w:tcPr>
          <w:p>
            <w:pPr>
              <w:spacing w:after="0" w:line="250"/>
            </w:pPr>
            <w:r>
              <w:rPr>
                <w:rFonts w:ascii="Arial" w:cs="Arial" w:eastAsia="Arial" w:hAnsi="Arial"/>
                <w:b/>
                <w:bCs/>
                <w:sz w:val="19"/>
                <w:szCs w:val="19"/>
              </w:rPr>
              <w:t xml:space="preserve">g/ε_r (mm)</w:t>
            </w:r>
          </w:p>
        </w:tc>
        <w:tc>
          <w:tcPr>
            <w:tcW w:type="dxa" w:w="2050"/>
            <w:tcBorders>
              <w:top w:val="single" w:color="BFBFBF" w:sz="1"/>
              <w:left w:val="single" w:color="BFBFBF" w:sz="1"/>
              <w:bottom w:val="single" w:color="BFBFBF" w:sz="1"/>
              <w:right w:val="single" w:color="BFBFBF" w:sz="1"/>
            </w:tcBorders>
            <w:shd w:fill="D9E2EC" w:val="clear"/>
            <w:tcMar>
              <w:top w:type="dxa" w:w="60"/>
              <w:left w:type="dxa" w:w="110"/>
              <w:bottom w:type="dxa" w:w="60"/>
              <w:right w:type="dxa" w:w="110"/>
            </w:tcMar>
          </w:tcPr>
          <w:p>
            <w:pPr>
              <w:spacing w:after="0" w:line="250"/>
            </w:pPr>
            <w:r>
              <w:rPr>
                <w:rFonts w:ascii="Arial" w:cs="Arial" w:eastAsia="Arial" w:hAnsi="Arial"/>
                <w:b/>
                <w:bCs/>
                <w:sz w:val="19"/>
                <w:szCs w:val="19"/>
              </w:rPr>
              <w:t xml:space="preserve">Steel area (m²)</w:t>
            </w:r>
          </w:p>
        </w:tc>
        <w:tc>
          <w:tcPr>
            <w:tcW w:type="dxa" w:w="1660"/>
            <w:tcBorders>
              <w:top w:val="single" w:color="BFBFBF" w:sz="1"/>
              <w:left w:val="single" w:color="BFBFBF" w:sz="1"/>
              <w:bottom w:val="single" w:color="BFBFBF" w:sz="1"/>
              <w:right w:val="single" w:color="BFBFBF" w:sz="1"/>
            </w:tcBorders>
            <w:shd w:fill="D9E2EC" w:val="clear"/>
            <w:tcMar>
              <w:top w:type="dxa" w:w="60"/>
              <w:left w:type="dxa" w:w="110"/>
              <w:bottom w:type="dxa" w:w="60"/>
              <w:right w:type="dxa" w:w="110"/>
            </w:tcMar>
          </w:tcPr>
          <w:p>
            <w:pPr>
              <w:spacing w:after="0" w:line="250"/>
            </w:pPr>
            <w:r>
              <w:rPr>
                <w:rFonts w:ascii="Arial" w:cs="Arial" w:eastAsia="Arial" w:hAnsi="Arial"/>
                <w:b/>
                <w:bCs/>
                <w:sz w:val="19"/>
                <w:szCs w:val="19"/>
              </w:rPr>
              <w:t xml:space="preserve">÷ rotor plate</w:t>
            </w:r>
          </w:p>
        </w:tc>
      </w:tr>
      <w:tr>
        <w:tc>
          <w:tcPr>
            <w:tcW w:type="dxa" w:w="3050"/>
            <w:tcBorders>
              <w:top w:val="single" w:color="BFBFBF" w:sz="1"/>
              <w:left w:val="single" w:color="BFBFBF" w:sz="1"/>
              <w:bottom w:val="single" w:color="BFBFBF" w:sz="1"/>
              <w:right w:val="single" w:color="BFBFBF" w:sz="1"/>
            </w:tcBorders>
            <w:shd w:fill="E8EEF5" w:val="clear"/>
            <w:tcMar>
              <w:top w:type="dxa" w:w="60"/>
              <w:left w:type="dxa" w:w="110"/>
              <w:bottom w:type="dxa" w:w="60"/>
              <w:right w:type="dxa" w:w="110"/>
            </w:tcMar>
          </w:tcPr>
          <w:p>
            <w:pPr>
              <w:spacing w:after="0" w:line="250"/>
            </w:pPr>
            <w:r>
              <w:rPr>
                <w:rFonts w:ascii="Consolas" w:cs="Consolas" w:eastAsia="Consolas" w:hAnsi="Consolas"/>
                <w:b w:val="false"/>
                <w:bCs w:val="false"/>
                <w:sz w:val="18"/>
                <w:szCs w:val="18"/>
              </w:rPr>
              <w:t xml:space="preserve">C_rot (C_max)</w:t>
            </w:r>
          </w:p>
        </w:tc>
        <w:tc>
          <w:tcPr>
            <w:tcW w:type="dxa" w:w="1450"/>
            <w:tcBorders>
              <w:top w:val="single" w:color="BFBFBF" w:sz="1"/>
              <w:left w:val="single" w:color="BFBFBF" w:sz="1"/>
              <w:bottom w:val="single" w:color="BFBFBF" w:sz="1"/>
              <w:right w:val="single" w:color="BFBFBF" w:sz="1"/>
            </w:tcBorders>
            <w:shd w:fill="E8EEF5" w:val="clear"/>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280 pF</w:t>
            </w:r>
          </w:p>
        </w:tc>
        <w:tc>
          <w:tcPr>
            <w:tcW w:type="dxa" w:w="1750"/>
            <w:tcBorders>
              <w:top w:val="single" w:color="BFBFBF" w:sz="1"/>
              <w:left w:val="single" w:color="BFBFBF" w:sz="1"/>
              <w:bottom w:val="single" w:color="BFBFBF" w:sz="1"/>
              <w:right w:val="single" w:color="BFBFBF" w:sz="1"/>
            </w:tcBorders>
            <w:shd w:fill="E8EEF5" w:val="clear"/>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7.0</w:t>
            </w:r>
          </w:p>
        </w:tc>
        <w:tc>
          <w:tcPr>
            <w:tcW w:type="dxa" w:w="2050"/>
            <w:tcBorders>
              <w:top w:val="single" w:color="BFBFBF" w:sz="1"/>
              <w:left w:val="single" w:color="BFBFBF" w:sz="1"/>
              <w:bottom w:val="single" w:color="BFBFBF" w:sz="1"/>
              <w:right w:val="single" w:color="BFBFBF" w:sz="1"/>
            </w:tcBorders>
            <w:shd w:fill="E8EEF5" w:val="clear"/>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0.221</w:t>
            </w:r>
          </w:p>
        </w:tc>
        <w:tc>
          <w:tcPr>
            <w:tcW w:type="dxa" w:w="1660"/>
            <w:tcBorders>
              <w:top w:val="single" w:color="BFBFBF" w:sz="1"/>
              <w:left w:val="single" w:color="BFBFBF" w:sz="1"/>
              <w:bottom w:val="single" w:color="BFBFBF" w:sz="1"/>
              <w:right w:val="single" w:color="BFBFBF" w:sz="1"/>
            </w:tcBorders>
            <w:shd w:fill="E8EEF5" w:val="clear"/>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1.00</w:t>
            </w:r>
          </w:p>
        </w:tc>
      </w:tr>
      <w:tr>
        <w:tc>
          <w:tcPr>
            <w:tcW w:type="dxa" w:w="30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Consolas" w:cs="Consolas" w:eastAsia="Consolas" w:hAnsi="Consolas"/>
                <w:b w:val="false"/>
                <w:bCs w:val="false"/>
                <w:sz w:val="18"/>
                <w:szCs w:val="18"/>
              </w:rPr>
              <w:t xml:space="preserve">Ca / Cb</w:t>
            </w:r>
          </w:p>
        </w:tc>
        <w:tc>
          <w:tcPr>
            <w:tcW w:type="dxa" w:w="14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309 pF</w:t>
            </w:r>
          </w:p>
        </w:tc>
        <w:tc>
          <w:tcPr>
            <w:tcW w:type="dxa" w:w="17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0.83</w:t>
            </w:r>
          </w:p>
        </w:tc>
        <w:tc>
          <w:tcPr>
            <w:tcW w:type="dxa" w:w="20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0.029</w:t>
            </w:r>
          </w:p>
        </w:tc>
        <w:tc>
          <w:tcPr>
            <w:tcW w:type="dxa" w:w="16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0.13</w:t>
            </w:r>
          </w:p>
        </w:tc>
      </w:tr>
      <w:tr>
        <w:tc>
          <w:tcPr>
            <w:tcW w:type="dxa" w:w="30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Consolas" w:cs="Consolas" w:eastAsia="Consolas" w:hAnsi="Consolas"/>
                <w:b w:val="false"/>
                <w:bCs w:val="false"/>
                <w:sz w:val="18"/>
                <w:szCs w:val="18"/>
              </w:rPr>
              <w:t xml:space="preserve">Cx,max</w:t>
            </w:r>
          </w:p>
        </w:tc>
        <w:tc>
          <w:tcPr>
            <w:tcW w:type="dxa" w:w="14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471 pF</w:t>
            </w:r>
          </w:p>
        </w:tc>
        <w:tc>
          <w:tcPr>
            <w:tcW w:type="dxa" w:w="17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3.11</w:t>
            </w:r>
          </w:p>
        </w:tc>
        <w:tc>
          <w:tcPr>
            <w:tcW w:type="dxa" w:w="20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0.165</w:t>
            </w:r>
          </w:p>
        </w:tc>
        <w:tc>
          <w:tcPr>
            <w:tcW w:type="dxa" w:w="16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0.75</w:t>
            </w:r>
          </w:p>
        </w:tc>
      </w:tr>
      <w:tr>
        <w:tc>
          <w:tcPr>
            <w:tcW w:type="dxa" w:w="30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Consolas" w:cs="Consolas" w:eastAsia="Consolas" w:hAnsi="Consolas"/>
                <w:b w:val="false"/>
                <w:bCs w:val="false"/>
                <w:sz w:val="18"/>
                <w:szCs w:val="18"/>
              </w:rPr>
              <w:t xml:space="preserve">C_R</w:t>
            </w:r>
          </w:p>
        </w:tc>
        <w:tc>
          <w:tcPr>
            <w:tcW w:type="dxa" w:w="14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789 pF</w:t>
            </w:r>
          </w:p>
        </w:tc>
        <w:tc>
          <w:tcPr>
            <w:tcW w:type="dxa" w:w="17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2.55</w:t>
            </w:r>
          </w:p>
        </w:tc>
        <w:tc>
          <w:tcPr>
            <w:tcW w:type="dxa" w:w="20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0.228</w:t>
            </w:r>
          </w:p>
        </w:tc>
        <w:tc>
          <w:tcPr>
            <w:tcW w:type="dxa" w:w="16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1.03</w:t>
            </w:r>
          </w:p>
        </w:tc>
      </w:tr>
      <w:tr>
        <w:tc>
          <w:tcPr>
            <w:tcW w:type="dxa" w:w="3050"/>
            <w:tcBorders>
              <w:top w:val="single" w:color="BFBFBF" w:sz="1"/>
              <w:left w:val="single" w:color="BFBFBF" w:sz="1"/>
              <w:bottom w:val="single" w:color="BFBFBF" w:sz="1"/>
              <w:right w:val="single" w:color="BFBFBF" w:sz="1"/>
            </w:tcBorders>
            <w:shd w:fill="FBE4D5" w:val="clear"/>
            <w:tcMar>
              <w:top w:type="dxa" w:w="60"/>
              <w:left w:type="dxa" w:w="110"/>
              <w:bottom w:type="dxa" w:w="60"/>
              <w:right w:type="dxa" w:w="110"/>
            </w:tcMar>
          </w:tcPr>
          <w:p>
            <w:pPr>
              <w:spacing w:after="0" w:line="250"/>
            </w:pPr>
            <w:r>
              <w:rPr>
                <w:rFonts w:ascii="Consolas" w:cs="Consolas" w:eastAsia="Consolas" w:hAnsi="Consolas"/>
                <w:b w:val="false"/>
                <w:bCs w:val="false"/>
                <w:sz w:val="18"/>
                <w:szCs w:val="18"/>
              </w:rPr>
              <w:t xml:space="preserve">C_blk (each, PP-film)</w:t>
            </w:r>
          </w:p>
        </w:tc>
        <w:tc>
          <w:tcPr>
            <w:tcW w:type="dxa" w:w="1450"/>
            <w:tcBorders>
              <w:top w:val="single" w:color="BFBFBF" w:sz="1"/>
              <w:left w:val="single" w:color="BFBFBF" w:sz="1"/>
              <w:bottom w:val="single" w:color="BFBFBF" w:sz="1"/>
              <w:right w:val="single" w:color="BFBFBF" w:sz="1"/>
            </w:tcBorders>
            <w:shd w:fill="FBE4D5" w:val="clear"/>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440 nF</w:t>
            </w:r>
          </w:p>
        </w:tc>
        <w:tc>
          <w:tcPr>
            <w:tcW w:type="dxa" w:w="1750"/>
            <w:tcBorders>
              <w:top w:val="single" w:color="BFBFBF" w:sz="1"/>
              <w:left w:val="single" w:color="BFBFBF" w:sz="1"/>
              <w:bottom w:val="single" w:color="BFBFBF" w:sz="1"/>
              <w:right w:val="single" w:color="BFBFBF" w:sz="1"/>
            </w:tcBorders>
            <w:shd w:fill="FBE4D5" w:val="clear"/>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0.036</w:t>
            </w:r>
          </w:p>
        </w:tc>
        <w:tc>
          <w:tcPr>
            <w:tcW w:type="dxa" w:w="2050"/>
            <w:tcBorders>
              <w:top w:val="single" w:color="BFBFBF" w:sz="1"/>
              <w:left w:val="single" w:color="BFBFBF" w:sz="1"/>
              <w:bottom w:val="single" w:color="BFBFBF" w:sz="1"/>
              <w:right w:val="single" w:color="BFBFBF" w:sz="1"/>
            </w:tcBorders>
            <w:shd w:fill="FBE4D5" w:val="clear"/>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1.81</w:t>
            </w:r>
          </w:p>
        </w:tc>
        <w:tc>
          <w:tcPr>
            <w:tcW w:type="dxa" w:w="1660"/>
            <w:tcBorders>
              <w:top w:val="single" w:color="BFBFBF" w:sz="1"/>
              <w:left w:val="single" w:color="BFBFBF" w:sz="1"/>
              <w:bottom w:val="single" w:color="BFBFBF" w:sz="1"/>
              <w:right w:val="single" w:color="BFBFBF" w:sz="1"/>
            </w:tcBorders>
            <w:shd w:fill="FBE4D5" w:val="clear"/>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8.2</w:t>
            </w:r>
          </w:p>
        </w:tc>
      </w:tr>
      <w:tr>
        <w:tc>
          <w:tcPr>
            <w:tcW w:type="dxa" w:w="3050"/>
            <w:tcBorders>
              <w:top w:val="single" w:color="BFBFBF" w:sz="1"/>
              <w:left w:val="single" w:color="BFBFBF" w:sz="1"/>
              <w:bottom w:val="single" w:color="BFBFBF" w:sz="1"/>
              <w:right w:val="single" w:color="BFBFBF" w:sz="1"/>
            </w:tcBorders>
            <w:shd w:fill="FBE4D5" w:val="clear"/>
            <w:tcMar>
              <w:top w:type="dxa" w:w="60"/>
              <w:left w:type="dxa" w:w="110"/>
              <w:bottom w:type="dxa" w:w="60"/>
              <w:right w:type="dxa" w:w="110"/>
            </w:tcMar>
          </w:tcPr>
          <w:p>
            <w:pPr>
              <w:spacing w:after="0" w:line="250"/>
            </w:pPr>
            <w:r>
              <w:rPr>
                <w:rFonts w:ascii="Consolas" w:cs="Consolas" w:eastAsia="Consolas" w:hAnsi="Consolas"/>
                <w:b w:val="false"/>
                <w:bCs w:val="false"/>
                <w:sz w:val="18"/>
                <w:szCs w:val="18"/>
              </w:rPr>
              <w:t xml:space="preserve">C_blk × 12</w:t>
            </w:r>
          </w:p>
        </w:tc>
        <w:tc>
          <w:tcPr>
            <w:tcW w:type="dxa" w:w="1450"/>
            <w:tcBorders>
              <w:top w:val="single" w:color="BFBFBF" w:sz="1"/>
              <w:left w:val="single" w:color="BFBFBF" w:sz="1"/>
              <w:bottom w:val="single" w:color="BFBFBF" w:sz="1"/>
              <w:right w:val="single" w:color="BFBFBF" w:sz="1"/>
            </w:tcBorders>
            <w:shd w:fill="FBE4D5" w:val="clear"/>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5.3 µF</w:t>
            </w:r>
          </w:p>
        </w:tc>
        <w:tc>
          <w:tcPr>
            <w:tcW w:type="dxa" w:w="1750"/>
            <w:tcBorders>
              <w:top w:val="single" w:color="BFBFBF" w:sz="1"/>
              <w:left w:val="single" w:color="BFBFBF" w:sz="1"/>
              <w:bottom w:val="single" w:color="BFBFBF" w:sz="1"/>
              <w:right w:val="single" w:color="BFBFBF" w:sz="1"/>
            </w:tcBorders>
            <w:shd w:fill="FBE4D5" w:val="clear"/>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w:t>
            </w:r>
          </w:p>
        </w:tc>
        <w:tc>
          <w:tcPr>
            <w:tcW w:type="dxa" w:w="2050"/>
            <w:tcBorders>
              <w:top w:val="single" w:color="BFBFBF" w:sz="1"/>
              <w:left w:val="single" w:color="BFBFBF" w:sz="1"/>
              <w:bottom w:val="single" w:color="BFBFBF" w:sz="1"/>
              <w:right w:val="single" w:color="BFBFBF" w:sz="1"/>
            </w:tcBorders>
            <w:shd w:fill="FBE4D5" w:val="clear"/>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21.7</w:t>
            </w:r>
          </w:p>
        </w:tc>
        <w:tc>
          <w:tcPr>
            <w:tcW w:type="dxa" w:w="1660"/>
            <w:tcBorders>
              <w:top w:val="single" w:color="BFBFBF" w:sz="1"/>
              <w:left w:val="single" w:color="BFBFBF" w:sz="1"/>
              <w:bottom w:val="single" w:color="BFBFBF" w:sz="1"/>
              <w:right w:val="single" w:color="BFBFBF" w:sz="1"/>
            </w:tcBorders>
            <w:shd w:fill="FBE4D5" w:val="clear"/>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98</w:t>
            </w:r>
          </w:p>
        </w:tc>
      </w:tr>
    </w:tbl>
    <w:p>
      <w:pPr>
        <w:spacing w:after="120" w:line="276"/>
      </w:pPr>
      <w:r>
        <w:rPr>
          <w:rFonts w:ascii="Arial" w:cs="Arial" w:eastAsia="Arial" w:hAnsi="Arial"/>
          <w:b/>
          <w:bCs/>
          <w:sz w:val="21"/>
          <w:szCs w:val="21"/>
        </w:rPr>
        <w:t xml:space="preserve">Mica compacts the transfer caps </w:t>
      </w:r>
      <w:r>
        <w:rPr>
          <w:rFonts w:ascii="Arial" w:cs="Arial" w:eastAsia="Arial" w:hAnsi="Arial"/>
          <w:sz w:val="21"/>
          <w:szCs w:val="21"/>
        </w:rPr>
        <w:t xml:space="preserve">(1.10× the capacitance, 0.13× the plate); the air-dielectric pump and bucket caps and the garolite tank all sit near one rotor-plate of steel each (~0.22 m²). The C-magnet DC-block caps are the outlier: even on the most compact feasible film, </w:t>
      </w:r>
      <w:r>
        <w:rPr>
          <w:rFonts w:ascii="Arial" w:cs="Arial" w:eastAsia="Arial" w:hAnsi="Arial"/>
          <w:b/>
          <w:bCs/>
          <w:sz w:val="21"/>
          <w:szCs w:val="21"/>
        </w:rPr>
        <w:t xml:space="preserve">one is ~8× the rotor plate and the twelve together are ~22 m² — roughly 50× the entire pump-cap set combined.</w:t>
      </w:r>
      <w:r>
        <w:rPr>
          <w:rFonts w:ascii="Arial" w:cs="Arial" w:eastAsia="Arial" w:hAnsi="Arial"/>
          <w:sz w:val="21"/>
          <w:szCs w:val="21"/>
        </w:rPr>
        <w:t xml:space="preserve"> The steel (electrode) budget of the machine is, to first order, the DC-block caps. </w:t>
      </w:r>
      <w:r>
        <w:rPr>
          <w:rFonts w:ascii="Consolas" w:cs="Consolas" w:eastAsia="Consolas" w:hAnsi="Consolas"/>
          <w:sz w:val="20"/>
          <w:szCs w:val="20"/>
        </w:rPr>
        <w:t xml:space="preserve">[OC]</w:t>
      </w:r>
    </w:p>
    <w:p>
      <w:pPr>
        <w:pStyle w:val="Heading2"/>
      </w:pPr>
      <w:r>
        <w:t xml:space="preserve">6.5  The magnet caps dominate — and the dielectric is the lever</w:t>
      </w:r>
    </w:p>
    <w:p>
      <w:pPr>
        <w:spacing w:after="120" w:line="276"/>
      </w:pPr>
      <w:r>
        <w:rPr>
          <w:rFonts w:ascii="Arial" w:cs="Arial" w:eastAsia="Arial" w:hAnsi="Arial"/>
          <w:sz w:val="21"/>
          <w:szCs w:val="21"/>
        </w:rPr>
        <w:t xml:space="preserve">Because the DC-block caps run at 20 kV, their dielectric cannot be made arbitrarily thin: the thickness is breakdown-limited (§4.2). Substituting the voltage-set thickness into the area law gives the plate area directly in terms of the dielectric:</w:t>
      </w:r>
    </w:p>
    <w:p>
      <w:pPr>
        <w:pBdr>
          <w:left w:val="single" w:color="1F4E79" w:sz="18" w:space="10"/>
        </w:pBdr>
        <w:shd w:fill="F2F4F7" w:val="clear"/>
        <w:spacing w:after="130" w:before="90"/>
        <w:jc w:val="center"/>
      </w:pPr>
      <w:r>
        <w:drawing>
          <wp:inline distT="0" distB="0" distL="0" distR="0">
            <wp:extent cx="3638550" cy="381000"/>
            <wp:effectExtent t="0" r="0" b="0" l="0"/>
            <wp:docPr id="1" name="area_V" descr="equation" title="area_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638550" cy="381000"/>
                    </a:xfrm>
                    <a:prstGeom prst="rect">
                      <a:avLst/>
                    </a:prstGeom>
                  </pic:spPr>
                </pic:pic>
              </a:graphicData>
            </a:graphic>
          </wp:inline>
        </w:drawing>
      </w:r>
    </w:p>
    <w:p>
      <w:pPr>
        <w:spacing w:after="120" w:line="276"/>
      </w:pPr>
      <w:r>
        <w:rPr>
          <w:rFonts w:ascii="Arial" w:cs="Arial" w:eastAsia="Arial" w:hAnsi="Arial"/>
          <w:sz w:val="21"/>
          <w:szCs w:val="21"/>
        </w:rPr>
        <w:t xml:space="preserve">So at fixed capacitance and voltage the area scales inversely with the product ε_r·E_bd — the dielectric figure of merit. High permittivity alone does not win; mica's high ε_r is offset by its lower breakdown field, and a high-field film beats it:</w:t>
      </w:r>
    </w:p>
    <w:p>
      <w:pPr>
        <w:pBdr>
          <w:left w:val="single" w:color="1F4E79" w:sz="18" w:space="10"/>
        </w:pBdr>
        <w:shd w:fill="F2F4F7" w:val="clear"/>
        <w:spacing w:after="130" w:before="90"/>
        <w:jc w:val="center"/>
      </w:pPr>
      <w:r>
        <w:drawing>
          <wp:inline distT="0" distB="0" distL="0" distR="0">
            <wp:extent cx="3810000" cy="381000"/>
            <wp:effectExtent t="0" r="0" b="0" l="0"/>
            <wp:docPr id="1" name="fom" descr="equation" title="f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810000" cy="381000"/>
                    </a:xfrm>
                    <a:prstGeom prst="rect">
                      <a:avLst/>
                    </a:prstGeom>
                  </pic:spPr>
                </pic:pic>
              </a:graphicData>
            </a:graphic>
          </wp:inline>
        </w:drawing>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850"/>
        <w:gridCol w:w="1100"/>
        <w:gridCol w:w="1850"/>
        <w:gridCol w:w="2150"/>
        <w:gridCol w:w="1700"/>
        <w:gridCol w:w="1310"/>
      </w:tblGrid>
      <w:tr>
        <w:trPr>
          <w:tblHeader/>
        </w:trPr>
        <w:tc>
          <w:tcPr>
            <w:tcW w:type="dxa" w:w="1850"/>
            <w:tcBorders>
              <w:top w:val="single" w:color="BFBFBF" w:sz="1"/>
              <w:left w:val="single" w:color="BFBFBF" w:sz="1"/>
              <w:bottom w:val="single" w:color="BFBFBF" w:sz="1"/>
              <w:right w:val="single" w:color="BFBFBF" w:sz="1"/>
            </w:tcBorders>
            <w:shd w:fill="D9E2EC" w:val="clear"/>
            <w:tcMar>
              <w:top w:type="dxa" w:w="60"/>
              <w:left w:type="dxa" w:w="110"/>
              <w:bottom w:type="dxa" w:w="60"/>
              <w:right w:type="dxa" w:w="110"/>
            </w:tcMar>
          </w:tcPr>
          <w:p>
            <w:pPr>
              <w:spacing w:after="0" w:line="250"/>
            </w:pPr>
            <w:r>
              <w:rPr>
                <w:rFonts w:ascii="Arial" w:cs="Arial" w:eastAsia="Arial" w:hAnsi="Arial"/>
                <w:b/>
                <w:bCs/>
                <w:sz w:val="19"/>
                <w:szCs w:val="19"/>
              </w:rPr>
              <w:t xml:space="preserve">Dielectric</w:t>
            </w:r>
          </w:p>
        </w:tc>
        <w:tc>
          <w:tcPr>
            <w:tcW w:type="dxa" w:w="1100"/>
            <w:tcBorders>
              <w:top w:val="single" w:color="BFBFBF" w:sz="1"/>
              <w:left w:val="single" w:color="BFBFBF" w:sz="1"/>
              <w:bottom w:val="single" w:color="BFBFBF" w:sz="1"/>
              <w:right w:val="single" w:color="BFBFBF" w:sz="1"/>
            </w:tcBorders>
            <w:shd w:fill="D9E2EC" w:val="clear"/>
            <w:tcMar>
              <w:top w:type="dxa" w:w="60"/>
              <w:left w:type="dxa" w:w="110"/>
              <w:bottom w:type="dxa" w:w="60"/>
              <w:right w:type="dxa" w:w="110"/>
            </w:tcMar>
          </w:tcPr>
          <w:p>
            <w:pPr>
              <w:spacing w:after="0" w:line="250"/>
            </w:pPr>
            <w:r>
              <w:rPr>
                <w:rFonts w:ascii="Arial" w:cs="Arial" w:eastAsia="Arial" w:hAnsi="Arial"/>
                <w:b/>
                <w:bCs/>
                <w:sz w:val="19"/>
                <w:szCs w:val="19"/>
              </w:rPr>
              <w:t xml:space="preserve">ε_r</w:t>
            </w:r>
          </w:p>
        </w:tc>
        <w:tc>
          <w:tcPr>
            <w:tcW w:type="dxa" w:w="1850"/>
            <w:tcBorders>
              <w:top w:val="single" w:color="BFBFBF" w:sz="1"/>
              <w:left w:val="single" w:color="BFBFBF" w:sz="1"/>
              <w:bottom w:val="single" w:color="BFBFBF" w:sz="1"/>
              <w:right w:val="single" w:color="BFBFBF" w:sz="1"/>
            </w:tcBorders>
            <w:shd w:fill="D9E2EC" w:val="clear"/>
            <w:tcMar>
              <w:top w:type="dxa" w:w="60"/>
              <w:left w:type="dxa" w:w="110"/>
              <w:bottom w:type="dxa" w:w="60"/>
              <w:right w:type="dxa" w:w="110"/>
            </w:tcMar>
          </w:tcPr>
          <w:p>
            <w:pPr>
              <w:spacing w:after="0" w:line="250"/>
            </w:pPr>
            <w:r>
              <w:rPr>
                <w:rFonts w:ascii="Arial" w:cs="Arial" w:eastAsia="Arial" w:hAnsi="Arial"/>
                <w:b/>
                <w:bCs/>
                <w:sz w:val="19"/>
                <w:szCs w:val="19"/>
              </w:rPr>
              <w:t xml:space="preserve">E_bd (kV/mm)</w:t>
            </w:r>
          </w:p>
        </w:tc>
        <w:tc>
          <w:tcPr>
            <w:tcW w:type="dxa" w:w="2150"/>
            <w:tcBorders>
              <w:top w:val="single" w:color="BFBFBF" w:sz="1"/>
              <w:left w:val="single" w:color="BFBFBF" w:sz="1"/>
              <w:bottom w:val="single" w:color="BFBFBF" w:sz="1"/>
              <w:right w:val="single" w:color="BFBFBF" w:sz="1"/>
            </w:tcBorders>
            <w:shd w:fill="D9E2EC" w:val="clear"/>
            <w:tcMar>
              <w:top w:type="dxa" w:w="60"/>
              <w:left w:type="dxa" w:w="110"/>
              <w:bottom w:type="dxa" w:w="60"/>
              <w:right w:type="dxa" w:w="110"/>
            </w:tcMar>
          </w:tcPr>
          <w:p>
            <w:pPr>
              <w:spacing w:after="0" w:line="250"/>
            </w:pPr>
            <w:r>
              <w:rPr>
                <w:rFonts w:ascii="Arial" w:cs="Arial" w:eastAsia="Arial" w:hAnsi="Arial"/>
                <w:b/>
                <w:bCs/>
                <w:sz w:val="19"/>
                <w:szCs w:val="19"/>
              </w:rPr>
              <w:t xml:space="preserve">t_min @20 kV (SF 2)</w:t>
            </w:r>
          </w:p>
        </w:tc>
        <w:tc>
          <w:tcPr>
            <w:tcW w:type="dxa" w:w="1700"/>
            <w:tcBorders>
              <w:top w:val="single" w:color="BFBFBF" w:sz="1"/>
              <w:left w:val="single" w:color="BFBFBF" w:sz="1"/>
              <w:bottom w:val="single" w:color="BFBFBF" w:sz="1"/>
              <w:right w:val="single" w:color="BFBFBF" w:sz="1"/>
            </w:tcBorders>
            <w:shd w:fill="D9E2EC" w:val="clear"/>
            <w:tcMar>
              <w:top w:type="dxa" w:w="60"/>
              <w:left w:type="dxa" w:w="110"/>
              <w:bottom w:type="dxa" w:w="60"/>
              <w:right w:type="dxa" w:w="110"/>
            </w:tcMar>
          </w:tcPr>
          <w:p>
            <w:pPr>
              <w:spacing w:after="0" w:line="250"/>
            </w:pPr>
            <w:r>
              <w:rPr>
                <w:rFonts w:ascii="Arial" w:cs="Arial" w:eastAsia="Arial" w:hAnsi="Arial"/>
                <w:b/>
                <w:bCs/>
                <w:sz w:val="19"/>
                <w:szCs w:val="19"/>
              </w:rPr>
              <w:t xml:space="preserve">Area each (m²)</w:t>
            </w:r>
          </w:p>
        </w:tc>
        <w:tc>
          <w:tcPr>
            <w:tcW w:type="dxa" w:w="1310"/>
            <w:tcBorders>
              <w:top w:val="single" w:color="BFBFBF" w:sz="1"/>
              <w:left w:val="single" w:color="BFBFBF" w:sz="1"/>
              <w:bottom w:val="single" w:color="BFBFBF" w:sz="1"/>
              <w:right w:val="single" w:color="BFBFBF" w:sz="1"/>
            </w:tcBorders>
            <w:shd w:fill="D9E2EC" w:val="clear"/>
            <w:tcMar>
              <w:top w:type="dxa" w:w="60"/>
              <w:left w:type="dxa" w:w="110"/>
              <w:bottom w:type="dxa" w:w="60"/>
              <w:right w:type="dxa" w:w="110"/>
            </w:tcMar>
          </w:tcPr>
          <w:p>
            <w:pPr>
              <w:spacing w:after="0" w:line="250"/>
            </w:pPr>
            <w:r>
              <w:rPr>
                <w:rFonts w:ascii="Arial" w:cs="Arial" w:eastAsia="Arial" w:hAnsi="Arial"/>
                <w:b/>
                <w:bCs/>
                <w:sz w:val="19"/>
                <w:szCs w:val="19"/>
              </w:rPr>
              <w:t xml:space="preserve">FOM ε_r·E_bd</w:t>
            </w:r>
          </w:p>
        </w:tc>
      </w:tr>
      <w:tr>
        <w:tc>
          <w:tcPr>
            <w:tcW w:type="dxa" w:w="18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Mica</w:t>
            </w:r>
          </w:p>
        </w:tc>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5.4</w:t>
            </w:r>
          </w:p>
        </w:tc>
        <w:tc>
          <w:tcPr>
            <w:tcW w:type="dxa" w:w="18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118</w:t>
            </w:r>
          </w:p>
        </w:tc>
        <w:tc>
          <w:tcPr>
            <w:tcW w:type="dxa" w:w="21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0.34 mm</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3.12</w:t>
            </w:r>
          </w:p>
        </w:tc>
        <w:tc>
          <w:tcPr>
            <w:tcW w:type="dxa" w:w="131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637</w:t>
            </w:r>
          </w:p>
        </w:tc>
      </w:tr>
      <w:tr>
        <w:tc>
          <w:tcPr>
            <w:tcW w:type="dxa" w:w="18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Kapton film</w:t>
            </w:r>
          </w:p>
        </w:tc>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3.4</w:t>
            </w:r>
          </w:p>
        </w:tc>
        <w:tc>
          <w:tcPr>
            <w:tcW w:type="dxa" w:w="18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236</w:t>
            </w:r>
          </w:p>
        </w:tc>
        <w:tc>
          <w:tcPr>
            <w:tcW w:type="dxa" w:w="21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0.17 mm</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2.48</w:t>
            </w:r>
          </w:p>
        </w:tc>
        <w:tc>
          <w:tcPr>
            <w:tcW w:type="dxa" w:w="131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802</w:t>
            </w:r>
          </w:p>
        </w:tc>
      </w:tr>
      <w:tr>
        <w:tc>
          <w:tcPr>
            <w:tcW w:type="dxa" w:w="185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PP film</w:t>
            </w:r>
          </w:p>
        </w:tc>
        <w:tc>
          <w:tcPr>
            <w:tcW w:type="dxa" w:w="11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2.2</w:t>
            </w:r>
          </w:p>
        </w:tc>
        <w:tc>
          <w:tcPr>
            <w:tcW w:type="dxa" w:w="185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500</w:t>
            </w:r>
          </w:p>
        </w:tc>
        <w:tc>
          <w:tcPr>
            <w:tcW w:type="dxa" w:w="215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0.08 mm</w:t>
            </w:r>
          </w:p>
        </w:tc>
        <w:tc>
          <w:tcPr>
            <w:tcW w:type="dxa" w:w="170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1.81</w:t>
            </w:r>
          </w:p>
        </w:tc>
        <w:tc>
          <w:tcPr>
            <w:tcW w:type="dxa" w:w="1310"/>
            <w:tcBorders>
              <w:top w:val="single" w:color="BFBFBF" w:sz="1"/>
              <w:left w:val="single" w:color="BFBFBF" w:sz="1"/>
              <w:bottom w:val="single" w:color="BFBFBF" w:sz="1"/>
              <w:right w:val="single" w:color="BFBFBF" w:sz="1"/>
            </w:tcBorders>
            <w:shd w:fill="E2EFDA" w:val="clear"/>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1100 (best)</w:t>
            </w:r>
          </w:p>
        </w:tc>
      </w:tr>
    </w:tbl>
    <w:p>
      <w:pPr>
        <w:spacing w:after="120" w:line="276"/>
      </w:pPr>
      <w:r>
        <w:rPr>
          <w:rFonts w:ascii="Arial" w:cs="Arial" w:eastAsia="Arial" w:hAnsi="Arial"/>
          <w:sz w:val="21"/>
          <w:szCs w:val="21"/>
        </w:rPr>
        <w:t>The polypropylene film wins on area despite the lowest ε_r, because its breakdown field lets it run thinnest. This is also why a 440 nF / 20 kV part is realistically a wound-film capacitor, not a disc-integrated plate: at these areas it is a discrete component, and it is the dominant capacitor mass in the build. (The E_bd and FOM figures here are external dielectric-literature values, not repo-computed.)</w:t>
      </w:r>
      <w:r>
        <w:rPr>
          <w:rFonts w:ascii="Consolas" w:cs="Consolas" w:eastAsia="Consolas" w:hAnsi="Consolas"/>
          <w:sz w:val="20"/>
          <w:szCs w:val="20"/>
        </w:rPr>
        <w:t xml:space="preserve">[IR]</w:t>
      </w:r>
    </w:p>
    <w:p>
      <w:pPr>
        <w:pStyle w:val="Heading2"/>
      </w:pPr>
      <w:r>
        <w:t xml:space="preserve">6.6  Scaling the whole family</w:t>
      </w:r>
    </w:p>
    <w:p>
      <w:pPr>
        <w:spacing w:after="120" w:line="276"/>
      </w:pPr>
      <w:r>
        <w:rPr>
          <w:rFonts w:ascii="Arial" w:cs="Arial" w:eastAsia="Arial" w:hAnsi="Arial"/>
          <w:sz w:val="21"/>
          <w:szCs w:val="21"/>
        </w:rPr>
        <w:t xml:space="preserve">Because the pump is scale-free, the ratio ladder is invariant — choose any absolute rotor capacitance and the rest follow. At a fixed dielectric and gap the areas scale linearly with it:</w:t>
      </w:r>
    </w:p>
    <w:p>
      <w:pPr>
        <w:pBdr>
          <w:left w:val="single" w:color="1F4E79" w:sz="18" w:space="10"/>
        </w:pBdr>
        <w:shd w:fill="F2F4F7" w:val="clear"/>
        <w:spacing w:after="130" w:before="90"/>
        <w:jc w:val="center"/>
      </w:pPr>
      <w:r>
        <w:drawing>
          <wp:inline distT="0" distB="0" distL="0" distR="0">
            <wp:extent cx="4876800" cy="200025"/>
            <wp:effectExtent t="0" r="0" b="0" l="0"/>
            <wp:docPr id="1" name="scale_fam" descr="equation" title="scale_f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876800" cy="200025"/>
                    </a:xfrm>
                    <a:prstGeom prst="rect">
                      <a:avLst/>
                    </a:prstGeom>
                  </pic:spPr>
                </pic:pic>
              </a:graphicData>
            </a:graphic>
          </wp:inline>
        </w:drawing>
      </w:r>
    </w:p>
    <w:p>
      <w:pPr>
        <w:spacing w:after="120" w:line="276"/>
      </w:pPr>
      <w:r>
        <w:rPr>
          <w:rFonts w:ascii="Arial" w:cs="Arial" w:eastAsia="Arial" w:hAnsi="Arial"/>
          <w:b/>
          <w:bCs/>
          <w:sz w:val="21"/>
          <w:szCs w:val="21"/>
        </w:rPr>
        <w:t xml:space="preserve">Two scaling axes. </w:t>
      </w:r>
      <w:r>
        <w:rPr>
          <w:rFonts w:ascii="Arial" w:cs="Arial" w:eastAsia="Arial" w:hAnsi="Arial"/>
          <w:sz w:val="21"/>
          <w:szCs w:val="21"/>
        </w:rPr>
        <w:t xml:space="preserve">Either hold the gaps and dielectrics and scale the rotor cap (the whole steel ladder scales ∝ C_rot, preserving every ratio), or hold the areas and trade the gap — but the gap is breakdown-floored (insulate-first, §3.1), so it can only grow, not shrink, at a given voltage. Raising the operating voltage therefore grows every steel area through the thickness floor, fastest on the DC-block caps. The rotor cap sets the family; the voltage sets the floor; the dielectric sets how much steel each ratio costs. </w:t>
      </w:r>
      <w:r>
        <w:rPr>
          <w:rFonts w:ascii="Consolas" w:cs="Consolas" w:eastAsia="Consolas" w:hAnsi="Consolas"/>
          <w:sz w:val="20"/>
          <w:szCs w:val="20"/>
        </w:rPr>
        <w:t xml:space="preserve">[OC]</w:t>
      </w:r>
    </w:p>
    <w:p>
      <w:pPr>
        <w:pStyle w:val="Heading2"/>
      </w:pPr>
      <w:r>
        <w:t xml:space="preserve">6.7  C-magnet block cap — boomerang realization and practical design</w:t>
      </w:r>
    </w:p>
    <w:p>
      <w:pPr>
        <w:spacing w:after="120" w:line="276"/>
      </w:pPr>
      <w:r>
        <w:rPr>
          <w:rFonts w:ascii="Arial" w:cs="Arial" w:eastAsia="Arial" w:hAnsi="Arial"/>
          <w:sz w:val="21"/>
          <w:szCs w:val="21"/>
        </w:rPr>
        <w:t xml:space="preserve">The 440 nF / 20 kV DC-block cap (§6.1) is realized as an axially-stacked </w:t>
      </w:r>
      <w:r>
        <w:rPr>
          <w:rFonts w:ascii="Arial" w:cs="Arial" w:eastAsia="Arial" w:hAnsi="Arial"/>
          <w:b/>
          <w:bCs/>
          <w:sz w:val="21"/>
          <w:szCs w:val="21"/>
        </w:rPr>
        <w:t xml:space="preserve">boomerang</w:t>
      </w:r>
      <w:r>
        <w:rPr>
          <w:rFonts w:ascii="Arial" w:cs="Arial" w:eastAsia="Arial" w:hAnsi="Arial"/>
          <w:sz w:val="21"/>
          <w:szCs w:val="21"/>
        </w:rPr>
        <w:t xml:space="preserve"> — flat annular-sector plates (Al foil) interleaved with Mylar film, one cap centred on each C-EM in the outer annulus, the stack building along the shaft axis in the C-EM-plus-frame depth. Because the plate area grows with r², reaching out toward the rim makes the stack thin: the fixed template area (set by energy, §6.5) is spread over large plates, so only a few tens of layers are needed.</w:t>
      </w:r>
    </w:p>
    <w:p>
      <w:pPr>
        <w:spacing w:after="20" w:before="100"/>
        <w:jc w:val="center"/>
      </w:pPr>
      <w:r>
        <w:drawing>
          <wp:inline distT="0" distB="0" distL="0" distR="0">
            <wp:extent cx="5943600" cy="3314700"/>
            <wp:effectExtent t="0" r="0" b="0" l="0"/>
            <wp:docPr id="1" name="fig_boomerang.png" descr="Boomerang block cap — plan (twelve sector caps, alternating group rails) and section (axial foil/Mylar stack over the C-EM)."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43600" cy="3314700"/>
                    </a:xfrm>
                    <a:prstGeom prst="rect">
                      <a:avLst/>
                    </a:prstGeom>
                  </pic:spPr>
                </pic:pic>
              </a:graphicData>
            </a:graphic>
          </wp:inline>
        </w:drawing>
      </w:r>
    </w:p>
    <w:p>
      <w:pPr>
        <w:spacing w:after="140"/>
        <w:jc w:val="center"/>
      </w:pPr>
      <w:r>
        <w:rPr>
          <w:rFonts w:ascii="Arial" w:cs="Arial" w:eastAsia="Arial" w:hAnsi="Arial"/>
          <w:i/>
          <w:iCs/>
          <w:color w:val="6B7280"/>
          <w:sz w:val="17"/>
          <w:szCs w:val="17"/>
        </w:rPr>
        <w:t xml:space="preserve">Boomerang block cap — plan (twelve sector caps, alternating group rails) and section (axial foil/Mylar stack over the C-EM).</w:t>
      </w:r>
    </w:p>
    <w:p>
      <w:pPr>
        <w:spacing w:after="120" w:line="276"/>
      </w:pPr>
      <w:r>
        <w:rPr>
          <w:rFonts w:ascii="Arial" w:cs="Arial" w:eastAsia="Arial" w:hAnsi="Arial"/>
          <w:sz w:val="21"/>
          <w:szCs w:val="21"/>
        </w:rPr>
        <w:t xml:space="preserve">Sizing follows directly from the voltage-limited template area (§6.5) divided over the sector plates:</w:t>
      </w:r>
    </w:p>
    <w:p>
      <w:pPr>
        <w:pBdr>
          <w:left w:val="single" w:color="1F4E79" w:sz="18" w:space="10"/>
        </w:pBdr>
        <w:shd w:fill="F2F4F7" w:val="clear"/>
        <w:spacing w:after="130" w:before="90"/>
        <w:jc w:val="center"/>
      </w:pPr>
      <w:r>
        <w:drawing>
          <wp:inline distT="0" distB="0" distL="0" distR="0">
            <wp:extent cx="3638550" cy="381000"/>
            <wp:effectExtent t="0" r="0" b="0" l="0"/>
            <wp:docPr id="1" name="area_V" descr="equation" title="area_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638550" cy="381000"/>
                    </a:xfrm>
                    <a:prstGeom prst="rect">
                      <a:avLst/>
                    </a:prstGeom>
                  </pic:spPr>
                </pic:pic>
              </a:graphicData>
            </a:graphic>
          </wp:inline>
        </w:drawing>
      </w:r>
    </w:p>
    <w:p>
      <w:pPr>
        <w:pBdr>
          <w:left w:val="single" w:color="1F4E79" w:sz="18" w:space="10"/>
        </w:pBdr>
        <w:shd w:fill="F2F4F7" w:val="clear"/>
        <w:spacing w:after="130" w:before="90"/>
        <w:jc w:val="center"/>
      </w:pPr>
      <w:r>
        <w:drawing>
          <wp:inline distT="0" distB="0" distL="0" distR="0">
            <wp:extent cx="4162425" cy="381000"/>
            <wp:effectExtent t="0" r="0" b="0" l="0"/>
            <wp:docPr id="1" name="boom" descr="equation" title="b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162425" cy="381000"/>
                    </a:xfrm>
                    <a:prstGeom prst="rect">
                      <a:avLst/>
                    </a:prstGeom>
                  </pic:spPr>
                </pic:pic>
              </a:graphicData>
            </a:graphic>
          </wp:inline>
        </w:drawing>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650"/>
        <w:gridCol w:w="2350"/>
        <w:gridCol w:w="1450"/>
        <w:gridCol w:w="1350"/>
        <w:gridCol w:w="1200"/>
      </w:tblGrid>
      <w:tr>
        <w:trPr>
          <w:tblHeader/>
        </w:trPr>
        <w:tc>
          <w:tcPr>
            <w:tcW w:type="dxa" w:w="3650"/>
            <w:tcBorders>
              <w:top w:val="single" w:color="BFBFBF" w:sz="1"/>
              <w:left w:val="single" w:color="BFBFBF" w:sz="1"/>
              <w:bottom w:val="single" w:color="BFBFBF" w:sz="1"/>
              <w:right w:val="single" w:color="BFBFBF" w:sz="1"/>
            </w:tcBorders>
            <w:shd w:fill="D9E2EC" w:val="clear"/>
            <w:tcMar>
              <w:top w:type="dxa" w:w="60"/>
              <w:left w:type="dxa" w:w="110"/>
              <w:bottom w:type="dxa" w:w="60"/>
              <w:right w:type="dxa" w:w="110"/>
            </w:tcMar>
          </w:tcPr>
          <w:p>
            <w:pPr>
              <w:spacing w:after="0" w:line="250"/>
            </w:pPr>
            <w:r>
              <w:rPr>
                <w:rFonts w:ascii="Arial" w:cs="Arial" w:eastAsia="Arial" w:hAnsi="Arial"/>
                <w:b/>
                <w:bCs/>
                <w:sz w:val="19"/>
                <w:szCs w:val="19"/>
              </w:rPr>
              <w:t xml:space="preserve">Boomerang (r_i–r_o, arc)</w:t>
            </w:r>
          </w:p>
        </w:tc>
        <w:tc>
          <w:tcPr>
            <w:tcW w:type="dxa" w:w="2350"/>
            <w:tcBorders>
              <w:top w:val="single" w:color="BFBFBF" w:sz="1"/>
              <w:left w:val="single" w:color="BFBFBF" w:sz="1"/>
              <w:bottom w:val="single" w:color="BFBFBF" w:sz="1"/>
              <w:right w:val="single" w:color="BFBFBF" w:sz="1"/>
            </w:tcBorders>
            <w:shd w:fill="D9E2EC" w:val="clear"/>
            <w:tcMar>
              <w:top w:type="dxa" w:w="60"/>
              <w:left w:type="dxa" w:w="110"/>
              <w:bottom w:type="dxa" w:w="60"/>
              <w:right w:type="dxa" w:w="110"/>
            </w:tcMar>
          </w:tcPr>
          <w:p>
            <w:pPr>
              <w:spacing w:after="0" w:line="250"/>
            </w:pPr>
            <w:r>
              <w:rPr>
                <w:rFonts w:ascii="Arial" w:cs="Arial" w:eastAsia="Arial" w:hAnsi="Arial"/>
                <w:b/>
                <w:bCs/>
                <w:sz w:val="19"/>
                <w:szCs w:val="19"/>
              </w:rPr>
              <w:t xml:space="preserve">Mylar</w:t>
            </w:r>
          </w:p>
        </w:tc>
        <w:tc>
          <w:tcPr>
            <w:tcW w:type="dxa" w:w="1450"/>
            <w:tcBorders>
              <w:top w:val="single" w:color="BFBFBF" w:sz="1"/>
              <w:left w:val="single" w:color="BFBFBF" w:sz="1"/>
              <w:bottom w:val="single" w:color="BFBFBF" w:sz="1"/>
              <w:right w:val="single" w:color="BFBFBF" w:sz="1"/>
            </w:tcBorders>
            <w:shd w:fill="D9E2EC" w:val="clear"/>
            <w:tcMar>
              <w:top w:type="dxa" w:w="60"/>
              <w:left w:type="dxa" w:w="110"/>
              <w:bottom w:type="dxa" w:w="60"/>
              <w:right w:type="dxa" w:w="110"/>
            </w:tcMar>
          </w:tcPr>
          <w:p>
            <w:pPr>
              <w:spacing w:after="0" w:line="250"/>
            </w:pPr>
            <w:r>
              <w:rPr>
                <w:rFonts w:ascii="Arial" w:cs="Arial" w:eastAsia="Arial" w:hAnsi="Arial"/>
                <w:b/>
                <w:bCs/>
                <w:sz w:val="19"/>
                <w:szCs w:val="19"/>
              </w:rPr>
              <w:t xml:space="preserve">A_boom</w:t>
            </w:r>
          </w:p>
        </w:tc>
        <w:tc>
          <w:tcPr>
            <w:tcW w:type="dxa" w:w="1350"/>
            <w:tcBorders>
              <w:top w:val="single" w:color="BFBFBF" w:sz="1"/>
              <w:left w:val="single" w:color="BFBFBF" w:sz="1"/>
              <w:bottom w:val="single" w:color="BFBFBF" w:sz="1"/>
              <w:right w:val="single" w:color="BFBFBF" w:sz="1"/>
            </w:tcBorders>
            <w:shd w:fill="D9E2EC" w:val="clear"/>
            <w:tcMar>
              <w:top w:type="dxa" w:w="60"/>
              <w:left w:type="dxa" w:w="110"/>
              <w:bottom w:type="dxa" w:w="60"/>
              <w:right w:type="dxa" w:w="110"/>
            </w:tcMar>
          </w:tcPr>
          <w:p>
            <w:pPr>
              <w:spacing w:after="0" w:line="250"/>
            </w:pPr>
            <w:r>
              <w:rPr>
                <w:rFonts w:ascii="Arial" w:cs="Arial" w:eastAsia="Arial" w:hAnsi="Arial"/>
                <w:b/>
                <w:bCs/>
                <w:sz w:val="19"/>
                <w:szCs w:val="19"/>
              </w:rPr>
              <w:t xml:space="preserve">layers N</w:t>
            </w:r>
          </w:p>
        </w:tc>
        <w:tc>
          <w:tcPr>
            <w:tcW w:type="dxa" w:w="1200"/>
            <w:tcBorders>
              <w:top w:val="single" w:color="BFBFBF" w:sz="1"/>
              <w:left w:val="single" w:color="BFBFBF" w:sz="1"/>
              <w:bottom w:val="single" w:color="BFBFBF" w:sz="1"/>
              <w:right w:val="single" w:color="BFBFBF" w:sz="1"/>
            </w:tcBorders>
            <w:shd w:fill="D9E2EC" w:val="clear"/>
            <w:tcMar>
              <w:top w:type="dxa" w:w="60"/>
              <w:left w:type="dxa" w:w="110"/>
              <w:bottom w:type="dxa" w:w="60"/>
              <w:right w:type="dxa" w:w="110"/>
            </w:tcMar>
          </w:tcPr>
          <w:p>
            <w:pPr>
              <w:spacing w:after="0" w:line="250"/>
            </w:pPr>
            <w:r>
              <w:rPr>
                <w:rFonts w:ascii="Arial" w:cs="Arial" w:eastAsia="Arial" w:hAnsi="Arial"/>
                <w:b/>
                <w:bCs/>
                <w:sz w:val="19"/>
                <w:szCs w:val="19"/>
              </w:rPr>
              <w:t xml:space="preserve">stack H</w:t>
            </w:r>
          </w:p>
        </w:tc>
      </w:tr>
      <w:tr>
        <w:tc>
          <w:tcPr>
            <w:tcW w:type="dxa" w:w="36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400–700 mm, 28° (clear of pump band)</w:t>
            </w:r>
          </w:p>
        </w:tc>
        <w:tc>
          <w:tcPr>
            <w:tcW w:type="dxa" w:w="23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0.35 mm (57 kV/mm)</w:t>
            </w:r>
          </w:p>
        </w:tc>
        <w:tc>
          <w:tcPr>
            <w:tcW w:type="dxa" w:w="14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0.081 m²</w:t>
            </w:r>
          </w:p>
        </w:tc>
        <w:tc>
          <w:tcPr>
            <w:tcW w:type="dxa" w:w="13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68</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25 mm</w:t>
            </w:r>
          </w:p>
        </w:tc>
      </w:tr>
      <w:tr>
        <w:tc>
          <w:tcPr>
            <w:tcW w:type="dxa" w:w="3650"/>
            <w:tcBorders>
              <w:top w:val="single" w:color="BFBFBF" w:sz="1"/>
              <w:left w:val="single" w:color="BFBFBF" w:sz="1"/>
              <w:bottom w:val="single" w:color="BFBFBF" w:sz="1"/>
              <w:right w:val="single" w:color="BFBFBF" w:sz="1"/>
            </w:tcBorders>
            <w:shd w:fill="E8EEF5" w:val="clear"/>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300–700 mm, 28°</w:t>
            </w:r>
          </w:p>
        </w:tc>
        <w:tc>
          <w:tcPr>
            <w:tcW w:type="dxa" w:w="2350"/>
            <w:tcBorders>
              <w:top w:val="single" w:color="BFBFBF" w:sz="1"/>
              <w:left w:val="single" w:color="BFBFBF" w:sz="1"/>
              <w:bottom w:val="single" w:color="BFBFBF" w:sz="1"/>
              <w:right w:val="single" w:color="BFBFBF" w:sz="1"/>
            </w:tcBorders>
            <w:shd w:fill="E8EEF5" w:val="clear"/>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0.35 mm</w:t>
            </w:r>
          </w:p>
        </w:tc>
        <w:tc>
          <w:tcPr>
            <w:tcW w:type="dxa" w:w="1450"/>
            <w:tcBorders>
              <w:top w:val="single" w:color="BFBFBF" w:sz="1"/>
              <w:left w:val="single" w:color="BFBFBF" w:sz="1"/>
              <w:bottom w:val="single" w:color="BFBFBF" w:sz="1"/>
              <w:right w:val="single" w:color="BFBFBF" w:sz="1"/>
            </w:tcBorders>
            <w:shd w:fill="E8EEF5" w:val="clear"/>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0.098 m²</w:t>
            </w:r>
          </w:p>
        </w:tc>
        <w:tc>
          <w:tcPr>
            <w:tcW w:type="dxa" w:w="1350"/>
            <w:tcBorders>
              <w:top w:val="single" w:color="BFBFBF" w:sz="1"/>
              <w:left w:val="single" w:color="BFBFBF" w:sz="1"/>
              <w:bottom w:val="single" w:color="BFBFBF" w:sz="1"/>
              <w:right w:val="single" w:color="BFBFBF" w:sz="1"/>
            </w:tcBorders>
            <w:shd w:fill="E8EEF5" w:val="clear"/>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56</w:t>
            </w:r>
          </w:p>
        </w:tc>
        <w:tc>
          <w:tcPr>
            <w:tcW w:type="dxa" w:w="1200"/>
            <w:tcBorders>
              <w:top w:val="single" w:color="BFBFBF" w:sz="1"/>
              <w:left w:val="single" w:color="BFBFBF" w:sz="1"/>
              <w:bottom w:val="single" w:color="BFBFBF" w:sz="1"/>
              <w:right w:val="single" w:color="BFBFBF" w:sz="1"/>
            </w:tcBorders>
            <w:shd w:fill="E8EEF5" w:val="clear"/>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20 mm</w:t>
            </w:r>
          </w:p>
        </w:tc>
      </w:tr>
      <w:tr>
        <w:tc>
          <w:tcPr>
            <w:tcW w:type="dxa" w:w="36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300–700 mm, 28°, impregnated</w:t>
            </w:r>
          </w:p>
        </w:tc>
        <w:tc>
          <w:tcPr>
            <w:tcW w:type="dxa" w:w="23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0.25 mm (80 kV/mm)</w:t>
            </w:r>
          </w:p>
        </w:tc>
        <w:tc>
          <w:tcPr>
            <w:tcW w:type="dxa" w:w="14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0.098 m²</w:t>
            </w:r>
          </w:p>
        </w:tc>
        <w:tc>
          <w:tcPr>
            <w:tcW w:type="dxa" w:w="13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40</w:t>
            </w:r>
          </w:p>
        </w:tc>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11 mm</w:t>
            </w:r>
          </w:p>
        </w:tc>
      </w:tr>
    </w:tbl>
    <w:p>
      <w:pPr>
        <w:spacing w:after="120" w:line="276"/>
      </w:pPr>
      <w:r>
        <w:rPr>
          <w:rFonts w:ascii="Arial" w:cs="Arial" w:eastAsia="Arial" w:hAnsi="Arial"/>
          <w:sz w:val="21"/>
          <w:szCs w:val="21"/>
        </w:rPr>
        <w:t>Twelve 28° boomerangs leave ~2° gaps ≈ 24 mm of clearance between adjacent stacks — enough to insulate neighbours, which sit on antiphase group rails (full Δ-voltage to each other). Material is unchanged from §6.4 (~5.4 m² per cap); the boomerang only packages it flat and curved. (The boomerang packaging is a proposed mechanical realization, not part of the repo deck.)</w:t>
      </w:r>
      <w:r>
        <w:rPr>
          <w:rFonts w:ascii="Consolas" w:cs="Consolas" w:eastAsia="Consolas" w:hAnsi="Consolas"/>
          <w:sz w:val="20"/>
          <w:szCs w:val="20"/>
        </w:rPr>
        <w:t xml:space="preserve">[IR]</w:t>
      </w:r>
    </w:p>
    <w:p>
      <w:pPr>
        <w:spacing w:after="120" w:line="276"/>
      </w:pPr>
      <w:r>
        <w:rPr>
          <w:rFonts w:ascii="Arial" w:cs="Arial" w:eastAsia="Arial" w:hAnsi="Arial"/>
          <w:b/>
          <w:bCs/>
          <w:sz w:val="21"/>
          <w:szCs w:val="21"/>
        </w:rPr>
        <w:t xml:space="preserve">Practical design rules </w:t>
      </w:r>
      <w:r>
        <w:rPr>
          <w:rFonts w:ascii="Arial" w:cs="Arial" w:eastAsia="Arial" w:hAnsi="Arial"/>
          <w:sz w:val="21"/>
          <w:szCs w:val="21"/>
        </w:rPr>
        <w:t xml:space="preserve">— these are material/electrical, not geometric, so none appear in the DXF; the first three change the design, the rest are bench-verified:</w:t>
      </w:r>
    </w:p>
    <w:p>
      <w:pPr>
        <w:pStyle w:val="ListParagraph"/>
        <w:numPr>
          <w:ilvl w:val="0"/>
          <w:numId w:val="3"/>
        </w:numPr>
        <w:spacing w:after="90" w:line="270"/>
      </w:pPr>
      <w:r>
        <w:rPr>
          <w:rFonts w:ascii="Arial" w:cs="Arial" w:eastAsia="Arial" w:hAnsi="Arial"/>
          <w:b/>
          <w:bCs/>
          <w:sz w:val="21"/>
          <w:szCs w:val="21"/>
        </w:rPr>
        <w:t xml:space="preserve">Edge field grading (corona). </w:t>
      </w:r>
      <w:r>
        <w:rPr>
          <w:rFonts w:ascii="Arial" w:cs="Arial" w:eastAsia="Arial" w:hAnsi="Arial"/>
          <w:sz w:val="21"/>
          <w:szCs w:val="21"/>
        </w:rPr>
        <w:t xml:space="preserve">A bare foil edge concentrates field and starts corona that erodes the Mylar. Round or anti-corona-border the edges, and grade the stack (outer plates slightly smaller than inner) so the field steps down toward the rim. The triple point — foil/dielectric/impregnant junction — must be buried in solid or oil, never at an air boundary. </w:t>
      </w:r>
      <w:r>
        <w:rPr>
          <w:rFonts w:ascii="Consolas" w:cs="Consolas" w:eastAsia="Consolas" w:hAnsi="Consolas"/>
          <w:sz w:val="20"/>
          <w:szCs w:val="20"/>
        </w:rPr>
        <w:t xml:space="preserve">[OC]</w:t>
      </w:r>
    </w:p>
    <w:p>
      <w:pPr>
        <w:pStyle w:val="ListParagraph"/>
        <w:numPr>
          <w:ilvl w:val="0"/>
          <w:numId w:val="3"/>
        </w:numPr>
        <w:spacing w:after="90" w:line="270"/>
      </w:pPr>
      <w:r>
        <w:rPr>
          <w:rFonts w:ascii="Arial" w:cs="Arial" w:eastAsia="Arial" w:hAnsi="Arial"/>
          <w:b/>
          <w:bCs/>
          <w:sz w:val="21"/>
          <w:szCs w:val="21"/>
        </w:rPr>
        <w:t xml:space="preserve">Impregnation and voids. </w:t>
      </w:r>
      <w:r>
        <w:rPr>
          <w:rFonts w:ascii="Arial" w:cs="Arial" w:eastAsia="Arial" w:hAnsi="Arial"/>
          <w:sz w:val="21"/>
          <w:szCs w:val="21"/>
        </w:rPr>
        <w:t xml:space="preserve">A many-layer stack traps air; any void partial-discharges at 20 kV and ladders the PET out. Vacuum-dry then oil- or resin-impregnate, with a defined fill/vent path (an annular sector traps bubbles at the outer arc unless filled from there). This decides sealed-oil-can vs potted-block construction. </w:t>
      </w:r>
      <w:r>
        <w:rPr>
          <w:rFonts w:ascii="Consolas" w:cs="Consolas" w:eastAsia="Consolas" w:hAnsi="Consolas"/>
          <w:sz w:val="20"/>
          <w:szCs w:val="20"/>
        </w:rPr>
        <w:t xml:space="preserve">[OC]</w:t>
      </w:r>
    </w:p>
    <w:p>
      <w:pPr>
        <w:pStyle w:val="ListParagraph"/>
        <w:numPr>
          <w:ilvl w:val="0"/>
          <w:numId w:val="3"/>
        </w:numPr>
        <w:spacing w:after="90" w:line="270"/>
      </w:pPr>
      <w:r>
        <w:rPr>
          <w:rFonts w:ascii="Arial" w:cs="Arial" w:eastAsia="Arial" w:hAnsi="Arial"/>
          <w:b/>
          <w:bCs/>
          <w:sz w:val="21"/>
          <w:szCs w:val="21"/>
        </w:rPr>
        <w:t xml:space="preserve">Series-string voltage sharing. </w:t>
      </w:r>
      <w:r>
        <w:rPr>
          <w:rFonts w:ascii="Arial" w:cs="Arial" w:eastAsia="Arial" w:hAnsi="Arial"/>
          <w:sz w:val="21"/>
          <w:szCs w:val="21"/>
        </w:rPr>
        <w:t xml:space="preserve">Treated here as one parallel cap with every layer at the full 20 kV. If instead built as series sub-stacks to ease the per-layer field, stray capacitance to frame skews the sharing and one section hogs the field and fails first — needing grading elements, and any resistor across the block partly defeats the DC-block. Decide parallel-vs-series before the plate count is fixed. </w:t>
      </w:r>
      <w:r>
        <w:rPr>
          <w:rFonts w:ascii="Consolas" w:cs="Consolas" w:eastAsia="Consolas" w:hAnsi="Consolas"/>
          <w:sz w:val="20"/>
          <w:szCs w:val="20"/>
        </w:rPr>
        <w:t xml:space="preserve">[IR]</w:t>
      </w:r>
    </w:p>
    <w:p>
      <w:pPr>
        <w:pStyle w:val="ListParagraph"/>
        <w:numPr>
          <w:ilvl w:val="0"/>
          <w:numId w:val="3"/>
        </w:numPr>
        <w:spacing w:after="90" w:line="270"/>
      </w:pPr>
      <w:r>
        <w:rPr>
          <w:rFonts w:ascii="Arial" w:cs="Arial" w:eastAsia="Arial" w:hAnsi="Arial"/>
          <w:b/>
          <w:bCs/>
          <w:sz w:val="21"/>
          <w:szCs w:val="21"/>
        </w:rPr>
        <w:t xml:space="preserve">Self-resonance / ESL. </w:t>
      </w:r>
      <w:r>
        <w:rPr>
          <w:rFonts w:ascii="Arial" w:cs="Arial" w:eastAsia="Arial" w:hAnsi="Arial"/>
          <w:sz w:val="21"/>
          <w:szCs w:val="21"/>
        </w:rPr>
        <w:t xml:space="preserve">The block must be low-impedance at the ~150 Hz drive, but it also sees the f₀ ≈ 637 kHz tank ring and sub-µs spark-gap fire transients. A wide flat stack has real inductance; place the foil tabs so the self-resonant frequency sits clear of f₀, or it stops being a clean block at the one frequency it must isolate. </w:t>
      </w:r>
      <w:r>
        <w:rPr>
          <w:rFonts w:ascii="Consolas" w:cs="Consolas" w:eastAsia="Consolas" w:hAnsi="Consolas"/>
          <w:sz w:val="20"/>
          <w:szCs w:val="20"/>
        </w:rPr>
        <w:t xml:space="preserve">[OC]</w:t>
      </w:r>
    </w:p>
    <w:p>
      <w:pPr>
        <w:pStyle w:val="ListParagraph"/>
        <w:numPr>
          <w:ilvl w:val="0"/>
          <w:numId w:val="3"/>
        </w:numPr>
        <w:spacing w:after="90" w:line="270"/>
      </w:pPr>
      <w:r>
        <w:rPr>
          <w:rFonts w:ascii="Arial" w:cs="Arial" w:eastAsia="Arial" w:hAnsi="Arial"/>
          <w:b/>
          <w:bCs/>
          <w:sz w:val="21"/>
          <w:szCs w:val="21"/>
        </w:rPr>
        <w:t xml:space="preserve">dV/dt and ripple heating. </w:t>
      </w:r>
      <w:r>
        <w:rPr>
          <w:rFonts w:ascii="Arial" w:cs="Arial" w:eastAsia="Arial" w:hAnsi="Arial"/>
          <w:sz w:val="21"/>
          <w:szCs w:val="21"/>
        </w:rPr>
        <w:t xml:space="preserve">Fast commutation steps drive AC current through the film every cycle; dielectric loss (tanδ × V_AC × PRF) is real wattage, and PET's tanδ rises with temperature — check against thermal runaway in the sealed stack. Polypropylene is markedly better here (another nudge toward PP if margin is thin). </w:t>
      </w:r>
      <w:r>
        <w:rPr>
          <w:rFonts w:ascii="Consolas" w:cs="Consolas" w:eastAsia="Consolas" w:hAnsi="Consolas"/>
          <w:sz w:val="20"/>
          <w:szCs w:val="20"/>
        </w:rPr>
        <w:t xml:space="preserve">[OC]</w:t>
      </w:r>
    </w:p>
    <w:p>
      <w:pPr>
        <w:pStyle w:val="ListParagraph"/>
        <w:numPr>
          <w:ilvl w:val="0"/>
          <w:numId w:val="3"/>
        </w:numPr>
        <w:spacing w:after="90" w:line="270"/>
      </w:pPr>
      <w:r>
        <w:rPr>
          <w:rFonts w:ascii="Arial" w:cs="Arial" w:eastAsia="Arial" w:hAnsi="Arial"/>
          <w:b/>
          <w:bCs/>
          <w:sz w:val="21"/>
          <w:szCs w:val="21"/>
        </w:rPr>
        <w:t xml:space="preserve">Mechanical. </w:t>
      </w:r>
      <w:r>
        <w:rPr>
          <w:rFonts w:ascii="Arial" w:cs="Arial" w:eastAsia="Arial" w:hAnsi="Arial"/>
          <w:sz w:val="21"/>
          <w:szCs w:val="21"/>
        </w:rPr>
        <w:t xml:space="preserve">Stator-mounted is simplest; if any of it rides the rotor it sees centrifugal load — clamp so plates cannot fan out or shift (which changes C and opens voids), and account for differential thermal expansion between foil, film, and frame. </w:t>
      </w:r>
      <w:r>
        <w:rPr>
          <w:rFonts w:ascii="Consolas" w:cs="Consolas" w:eastAsia="Consolas" w:hAnsi="Consolas"/>
          <w:sz w:val="20"/>
          <w:szCs w:val="20"/>
        </w:rPr>
        <w:t xml:space="preserve">[IR]</w:t>
      </w:r>
    </w:p>
    <w:p>
      <w:pPr>
        <w:pStyle w:val="ListParagraph"/>
        <w:numPr>
          <w:ilvl w:val="0"/>
          <w:numId w:val="3"/>
        </w:numPr>
        <w:spacing w:after="90" w:line="270"/>
      </w:pPr>
      <w:r>
        <w:rPr>
          <w:rFonts w:ascii="Arial" w:cs="Arial" w:eastAsia="Arial" w:hAnsi="Arial"/>
          <w:b/>
          <w:bCs/>
          <w:sz w:val="21"/>
          <w:szCs w:val="21"/>
        </w:rPr>
        <w:t xml:space="preserve">Effective area. </w:t>
      </w:r>
      <w:r>
        <w:rPr>
          <w:rFonts w:ascii="Arial" w:cs="Arial" w:eastAsia="Arial" w:hAnsi="Arial"/>
          <w:sz w:val="21"/>
          <w:szCs w:val="21"/>
        </w:rPr>
        <w:t xml:space="preserve">Foil tabs and the creepage inset subtract from the geometric sector, so the effective A_boom is smaller and the real layer count runs a few above the clean calc — size with a ~10 mm dead border. </w:t>
      </w:r>
      <w:r>
        <w:rPr>
          <w:rFonts w:ascii="Consolas" w:cs="Consolas" w:eastAsia="Consolas" w:hAnsi="Consolas"/>
          <w:sz w:val="20"/>
          <w:szCs w:val="20"/>
        </w:rPr>
        <w:t xml:space="preserve">[OC]</w:t>
      </w:r>
    </w:p>
    <w:p>
      <w:pPr>
        <w:pStyle w:val="ListParagraph"/>
        <w:numPr>
          <w:ilvl w:val="0"/>
          <w:numId w:val="3"/>
        </w:numPr>
        <w:spacing w:after="90" w:line="270"/>
      </w:pPr>
      <w:r>
        <w:rPr>
          <w:rFonts w:ascii="Arial" w:cs="Arial" w:eastAsia="Arial" w:hAnsi="Arial"/>
          <w:b/>
          <w:bCs/>
          <w:sz w:val="21"/>
          <w:szCs w:val="21"/>
        </w:rPr>
        <w:t xml:space="preserve">Failure mode. </w:t>
      </w:r>
      <w:r>
        <w:rPr>
          <w:rFonts w:ascii="Arial" w:cs="Arial" w:eastAsia="Arial" w:hAnsi="Arial"/>
          <w:sz w:val="21"/>
          <w:szCs w:val="21"/>
        </w:rPr>
        <w:t xml:space="preserve">Foil/PET is not self-healing: one defect is a dead short, and a shorted DC-block dumps the coil onto the pump node. Either accept periodic replacement, or use self-clearing metallized-PP segments and re-sum the area at that construction's stress. </w:t>
      </w:r>
      <w:r>
        <w:rPr>
          <w:rFonts w:ascii="Consolas" w:cs="Consolas" w:eastAsia="Consolas" w:hAnsi="Consolas"/>
          <w:sz w:val="20"/>
          <w:szCs w:val="20"/>
        </w:rPr>
        <w:t xml:space="preserve">[IR]</w:t>
      </w:r>
    </w:p>
    <w:p>
      <w:pPr>
        <w:pStyle w:val="Heading1"/>
      </w:pPr>
      <w:r>
        <w:t xml:space="preserve">7  The doubler — gain z and efficiency η</w:t>
      </w:r>
    </w:p>
    <w:p>
      <w:pPr>
        <w:spacing w:after="120" w:line="276"/>
      </w:pPr>
      <w:r>
        <w:rPr>
          <w:rFonts w:ascii="Arial" w:cs="Arial" w:eastAsia="Arial" w:hAnsi="Arial"/>
          <w:sz w:val="21"/>
          <w:szCs w:val="21"/>
        </w:rPr>
        <w:t xml:space="preserve">The 4-node symmetric Bennet doubler is the engine. Its per-cycle gain z is scale-free — a function only of capacitance ratios — so it is the same at any absolute size. The frozen solver is the authority for z and η; the relations below are the dependency structure, not a re-derivation.</w:t>
      </w:r>
    </w:p>
    <w:p>
      <w:pPr>
        <w:pBdr>
          <w:left w:val="single" w:color="1F4E79" w:sz="18" w:space="10"/>
        </w:pBdr>
        <w:shd w:fill="F2F4F7" w:val="clear"/>
        <w:spacing w:after="130" w:before="90"/>
        <w:jc w:val="center"/>
      </w:pPr>
      <w:r>
        <w:drawing>
          <wp:inline distT="0" distB="0" distL="0" distR="0">
            <wp:extent cx="3219450" cy="209550"/>
            <wp:effectExtent t="0" r="0" b="0" l="0"/>
            <wp:docPr id="1" name="z_sf" descr="equation" title="z_s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19450" cy="209550"/>
                    </a:xfrm>
                    <a:prstGeom prst="rect">
                      <a:avLst/>
                    </a:prstGeom>
                  </pic:spPr>
                </pic:pic>
              </a:graphicData>
            </a:graphic>
          </wp:inline>
        </w:drawing>
      </w:r>
    </w:p>
    <w:p>
      <w:pPr>
        <w:pBdr>
          <w:left w:val="single" w:color="1F4E79" w:sz="18" w:space="10"/>
        </w:pBdr>
        <w:shd w:fill="F2F4F7" w:val="clear"/>
        <w:spacing w:after="130" w:before="90"/>
        <w:jc w:val="center"/>
      </w:pPr>
      <w:r>
        <w:drawing>
          <wp:inline distT="0" distB="0" distL="0" distR="0">
            <wp:extent cx="3876675" cy="200025"/>
            <wp:effectExtent t="0" r="0" b="0" l="0"/>
            <wp:docPr id="1" name="z_vals" descr="equation" title="z_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876675" cy="200025"/>
                    </a:xfrm>
                    <a:prstGeom prst="rect">
                      <a:avLst/>
                    </a:prstGeom>
                  </pic:spPr>
                </pic:pic>
              </a:graphicData>
            </a:graphic>
          </wp:inline>
        </w:drawing>
      </w:r>
    </w:p>
    <w:p>
      <w:pPr>
        <w:spacing w:after="120" w:line="276"/>
      </w:pPr>
      <w:r>
        <w:rPr>
          <w:rFonts w:ascii="Arial" w:cs="Arial" w:eastAsia="Arial" w:hAnsi="Arial"/>
          <w:b/>
          <w:bCs/>
          <w:sz w:val="21"/>
          <w:szCs w:val="21"/>
        </w:rPr>
        <w:t xml:space="preserve">Efficiency. </w:t>
      </w:r>
      <w:r>
        <w:rPr>
          <w:rFonts w:ascii="Arial" w:cs="Arial" w:eastAsia="Arial" w:hAnsi="Arial"/>
          <w:sz w:val="21"/>
          <w:szCs w:val="21"/>
        </w:rPr>
        <w:t xml:space="preserve">η is the useful output over useful + the charge–charge equalization tax. The doubler core converts at η = 0.386. The downstream island transfer is a true sink and recovers its share of the tax, lifting the machine to η ≈ 0.50 (0.518 transfer-chain η; the self-consistent machine η incl. the multi-fire reach is ≈ 0.48, island-charging). The doubler-core/Ca–Cb share of the tax is the pumping action itself and is not recoverable. </w:t>
      </w:r>
      <w:r>
        <w:rPr>
          <w:rFonts w:ascii="Consolas" w:cs="Consolas" w:eastAsia="Consolas" w:hAnsi="Consolas"/>
          <w:sz w:val="20"/>
          <w:szCs w:val="20"/>
        </w:rPr>
        <w:t xml:space="preserve">[OC]</w:t>
      </w:r>
    </w:p>
    <w:p>
      <w:pPr>
        <w:pBdr>
          <w:left w:val="single" w:color="1F4E79" w:sz="18" w:space="10"/>
        </w:pBdr>
        <w:shd w:fill="F2F4F7" w:val="clear"/>
        <w:spacing w:after="130" w:before="90"/>
        <w:jc w:val="center"/>
      </w:pPr>
      <w:r>
        <w:drawing>
          <wp:inline distT="0" distB="0" distL="0" distR="0">
            <wp:extent cx="3581400" cy="200025"/>
            <wp:effectExtent t="0" r="0" b="0" l="0"/>
            <wp:docPr id="1" name="eta_vals" descr="equation" title="eta_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581400" cy="200025"/>
                    </a:xfrm>
                    <a:prstGeom prst="rect">
                      <a:avLst/>
                    </a:prstGeom>
                  </pic:spPr>
                </pic:pic>
              </a:graphicData>
            </a:graphic>
          </wp:inline>
        </w:drawing>
      </w:r>
    </w:p>
    <w:p>
      <w:pPr>
        <w:spacing w:after="120" w:line="276"/>
      </w:pPr>
      <w:r>
        <w:rPr>
          <w:rFonts w:ascii="Arial" w:cs="Arial" w:eastAsia="Arial" w:hAnsi="Arial"/>
          <w:b/>
          <w:bCs/>
          <w:sz w:val="21"/>
          <w:szCs w:val="21"/>
        </w:rPr>
        <w:t xml:space="preserve">Band constraint. </w:t>
      </w:r>
      <w:r>
        <w:rPr>
          <w:rFonts w:ascii="Arial" w:cs="Arial" w:eastAsia="Arial" w:hAnsi="Arial"/>
          <w:sz w:val="21"/>
          <w:szCs w:val="21"/>
        </w:rPr>
        <w:t xml:space="preserve">Keep z in the validated band [1.20, 1.45]; below it the modulation collapses (κ_C → 1) and the pump dies, which is what the C_min/ring knob (§2.2) and C_par floor guard against.</w:t>
      </w:r>
    </w:p>
    <w:p>
      <w:pPr>
        <w:pStyle w:val="Heading1"/>
      </w:pPr>
      <w:r>
        <w:t xml:space="preserve">8  Resonator — tank, reach, and the island dump</w:t>
      </w:r>
    </w:p>
    <w:p>
      <w:pPr>
        <w:spacing w:after="120" w:line="276"/>
      </w:pPr>
      <w:r>
        <w:rPr>
          <w:rFonts w:ascii="Arial" w:cs="Arial" w:eastAsia="Arial" w:hAnsi="Arial"/>
          <w:sz w:val="21"/>
          <w:szCs w:val="21"/>
        </w:rPr>
        <w:t xml:space="preserve">The tank is the rotor-to-rotor C_R rung by a split conical coil (two sized half-coils, fields-aiding k ≈ 0.30, on the two hubs, with C_R at the centre tap). The split shares the fire transient as two smaller drops so each rotor node sees ~17.5 kV rather than ~35 kV. The coil sits ~1000× below the tank in frequency at the pump rate, so pump and ring do not interfere.</w:t>
      </w:r>
    </w:p>
    <w:p>
      <w:pPr>
        <w:pBdr>
          <w:left w:val="single" w:color="1F4E79" w:sz="18" w:space="10"/>
        </w:pBdr>
        <w:shd w:fill="F2F4F7" w:val="clear"/>
        <w:spacing w:after="130" w:before="90"/>
        <w:jc w:val="center"/>
      </w:pPr>
      <w:r>
        <w:drawing>
          <wp:inline distT="0" distB="0" distL="0" distR="0">
            <wp:extent cx="2124075" cy="438150"/>
            <wp:effectExtent t="0" r="0" b="0" l="0"/>
            <wp:docPr id="1" name="f0_Z0" descr="equation" title="f0_Z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124075" cy="438150"/>
                    </a:xfrm>
                    <a:prstGeom prst="rect">
                      <a:avLst/>
                    </a:prstGeom>
                  </pic:spPr>
                </pic:pic>
              </a:graphicData>
            </a:graphic>
          </wp:inline>
        </w:drawing>
      </w:r>
    </w:p>
    <w:p>
      <w:pPr>
        <w:pBdr>
          <w:left w:val="single" w:color="1F4E79" w:sz="18" w:space="10"/>
        </w:pBdr>
        <w:shd w:fill="F2F4F7" w:val="clear"/>
        <w:spacing w:after="130" w:before="90"/>
        <w:jc w:val="center"/>
      </w:pPr>
      <w:r>
        <w:drawing>
          <wp:inline distT="0" distB="0" distL="0" distR="0">
            <wp:extent cx="4133850" cy="495300"/>
            <wp:effectExtent t="0" r="0" b="0" l="0"/>
            <wp:docPr id="1" name="tank_vals" descr="equation" title="tank_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133850" cy="495300"/>
                    </a:xfrm>
                    <a:prstGeom prst="rect">
                      <a:avLst/>
                    </a:prstGeom>
                  </pic:spPr>
                </pic:pic>
              </a:graphicData>
            </a:graphic>
          </wp:inline>
        </w:drawing>
      </w:r>
    </w:p>
    <w:p>
      <w:pPr>
        <w:spacing w:after="120" w:line="276"/>
      </w:pPr>
      <w:r>
        <w:rPr>
          <w:rFonts w:ascii="Arial" w:cs="Arial" w:eastAsia="Arial" w:hAnsi="Arial"/>
          <w:b/>
          <w:bCs/>
          <w:sz w:val="21"/>
          <w:szCs w:val="21"/>
        </w:rPr>
        <w:t xml:space="preserve">Coil sizing. </w:t>
      </w:r>
      <w:r>
        <w:rPr>
          <w:rFonts w:ascii="Arial" w:cs="Arial" w:eastAsia="Arial" w:hAnsi="Arial"/>
          <w:sz w:val="21"/>
          <w:szCs w:val="21"/>
        </w:rPr>
        <w:t xml:space="preserve">Two naïve 39.5 µH halves aided at k=0.30 give ~102.7 µH (f₀ ≈ 559 kHz), not 79 µH; the halves are sized down so the aided total lands at L_total = 79 µH. Size the per-half inductance from the Nagaoka form for the conical winding, then verify the aided total. </w:t>
      </w:r>
      <w:r>
        <w:rPr>
          <w:rFonts w:ascii="Consolas" w:cs="Consolas" w:eastAsia="Consolas" w:hAnsi="Consolas"/>
          <w:sz w:val="20"/>
          <w:szCs w:val="20"/>
        </w:rPr>
        <w:t xml:space="preserve">[IR]</w:t>
      </w:r>
    </w:p>
    <w:p>
      <w:pPr>
        <w:pStyle w:val="Heading2"/>
      </w:pPr>
      <w:r>
        <w:t xml:space="preserve">8.1  Reach and the island transfer</w:t>
      </w:r>
    </w:p>
    <w:p>
      <w:pPr>
        <w:pBdr>
          <w:left w:val="single" w:color="1F4E79" w:sz="18" w:space="10"/>
        </w:pBdr>
        <w:shd w:fill="F2F4F7" w:val="clear"/>
        <w:spacing w:after="130" w:before="90"/>
        <w:jc w:val="center"/>
      </w:pPr>
      <w:r>
        <w:drawing>
          <wp:inline distT="0" distB="0" distL="0" distR="0">
            <wp:extent cx="3800475" cy="228600"/>
            <wp:effectExtent t="0" r="0" b="0" l="0"/>
            <wp:docPr id="1" name="reach" descr="equation" title="r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800475" cy="228600"/>
                    </a:xfrm>
                    <a:prstGeom prst="rect">
                      <a:avLst/>
                    </a:prstGeom>
                  </pic:spPr>
                </pic:pic>
              </a:graphicData>
            </a:graphic>
          </wp:inline>
        </w:drawing>
      </w:r>
    </w:p>
    <w:p>
      <w:pPr>
        <w:pBdr>
          <w:left w:val="single" w:color="1F4E79" w:sz="18" w:space="10"/>
        </w:pBdr>
        <w:shd w:fill="F2F4F7" w:val="clear"/>
        <w:spacing w:after="130" w:before="90"/>
        <w:jc w:val="center"/>
      </w:pPr>
      <w:r>
        <w:drawing>
          <wp:inline distT="0" distB="0" distL="0" distR="0">
            <wp:extent cx="3397034" cy="400050"/>
            <wp:effectExtent t="0" r="0" b="0" l="0"/>
            <wp:docPr id="1" name="dump" descr="equation" title="du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397034" cy="400050"/>
                    </a:xfrm>
                    <a:prstGeom prst="rect">
                      <a:avLst/>
                    </a:prstGeom>
                  </pic:spPr>
                </pic:pic>
              </a:graphicData>
            </a:graphic>
          </wp:inline>
        </w:drawing>
      </w:r>
    </w:p>
    <w:p>
      <w:pPr>
        <w:spacing w:after="120" w:line="276"/>
      </w:pPr>
      <w:r>
        <w:rPr>
          <w:rFonts w:ascii="Arial" w:cs="Arial" w:eastAsia="Arial" w:hAnsi="Arial"/>
          <w:b/>
          <w:bCs/>
          <w:sz w:val="21"/>
          <w:szCs w:val="21"/>
        </w:rPr>
        <w:t xml:space="preserve">Multi-fire, not single-kick. </w:t>
      </w:r>
      <w:r>
        <w:rPr>
          <w:rFonts w:ascii="Arial" w:cs="Arial" w:eastAsia="Arial" w:hAnsi="Arial"/>
          <w:sz w:val="21"/>
          <w:szCs w:val="21"/>
        </w:rPr>
        <w:t xml:space="preserve">With τ_tank ≈ 0.5 ms against ~1.67 ms between kicks the tank does not build resonantly (accumulation ×1.0–1.01), so it stays Q-robust and f₀-independent. The island-charging co-sim (M2-PARTIAL) shows the gap fires mid-collapse at ~70 pF, ~14 mJ/fire, so the 89 mJ tank is reached over ~6–7 fires (ISLAND-FIRE-ENERGY 14 mJ, kick-count ≈ 6.5) — multi-fire, not a single kick. Keep C_x near C_R for a per-fire dump ≈ 0.94 (single-face; ~0.99 dual-face). </w:t>
      </w:r>
      <w:r>
        <w:rPr>
          <w:rFonts w:ascii="Consolas" w:cs="Consolas" w:eastAsia="Consolas" w:hAnsi="Consolas"/>
          <w:sz w:val="20"/>
          <w:szCs w:val="20"/>
        </w:rPr>
        <w:t xml:space="preserve">[OC]</w:t>
      </w:r>
    </w:p>
    <w:p>
      <w:pPr>
        <w:pStyle w:val="Heading1"/>
      </w:pPr>
      <w:r>
        <w:t xml:space="preserve">9  Spark gaps — design choices</w:t>
      </w:r>
    </w:p>
    <w:p>
      <w:pPr>
        <w:spacing w:after="120" w:line="276"/>
      </w:pPr>
      <w:r>
        <w:rPr>
          <w:rFonts w:ascii="Arial" w:cs="Arial" w:eastAsia="Arial" w:hAnsi="Arial"/>
          <w:sz w:val="21"/>
          <w:szCs w:val="21"/>
        </w:rPr>
        <w:t xml:space="preserve">The gaps physically realise the solver's ideal diodes. Direction comes from timing, not from a diode or a trigger: rotor alignment gates a self-break. The choices below are the design decisions and their formulas.</w:t>
      </w:r>
    </w:p>
    <w:p>
      <w:pPr>
        <w:pStyle w:val="Heading2"/>
      </w:pPr>
      <w:r>
        <w:t xml:space="preserve">9.1  Switching principle</w:t>
      </w:r>
    </w:p>
    <w:p>
      <w:pPr>
        <w:spacing w:after="120" w:line="276"/>
      </w:pPr>
      <w:r>
        <w:rPr>
          <w:rFonts w:ascii="Arial" w:cs="Arial" w:eastAsia="Arial" w:hAnsi="Arial"/>
          <w:b/>
          <w:bCs/>
          <w:sz w:val="21"/>
          <w:szCs w:val="21"/>
        </w:rPr>
        <w:t xml:space="preserve">Hybrid: alignment-gated self-break. </w:t>
      </w:r>
      <w:r>
        <w:rPr>
          <w:rFonts w:ascii="Arial" w:cs="Arial" w:eastAsia="Arial" w:hAnsi="Arial"/>
          <w:sz w:val="21"/>
          <w:szCs w:val="21"/>
        </w:rPr>
        <w:t xml:space="preserve">Alignment (the minimum-gap instant) sets when breakdown is possible — pure rotor geometry, drift-free and measurable. The self-break sets the firing voltage. Because the firing angle is the intersection of two rotor-deterministic curves (rising source V vs falling gap length), voltage scatter perturbs the level, not the timing, so jitter stays low. </w:t>
      </w:r>
      <w:r>
        <w:rPr>
          <w:rFonts w:ascii="Consolas" w:cs="Consolas" w:eastAsia="Consolas" w:hAnsi="Consolas"/>
          <w:sz w:val="20"/>
          <w:szCs w:val="20"/>
        </w:rPr>
        <w:t xml:space="preserve">[OC]</w:t>
      </w:r>
    </w:p>
    <w:p>
      <w:pPr>
        <w:spacing w:after="120" w:line="276"/>
      </w:pPr>
      <w:r>
        <w:rPr>
          <w:rFonts w:ascii="Arial" w:cs="Arial" w:eastAsia="Arial" w:hAnsi="Arial"/>
          <w:b/>
          <w:bCs/>
          <w:sz w:val="21"/>
          <w:szCs w:val="21"/>
        </w:rPr>
        <w:t xml:space="preserve">Rejected alternatives </w:t>
      </w:r>
      <w:r>
        <w:rPr>
          <w:rFonts w:ascii="Consolas" w:cs="Consolas" w:eastAsia="Consolas" w:hAnsi="Consolas"/>
          <w:sz w:val="20"/>
          <w:szCs w:val="20"/>
        </w:rPr>
        <w:t xml:space="preserve">[IR]</w:t>
      </w:r>
      <w:r>
        <w:rPr>
          <w:rFonts w:ascii="Arial" w:cs="Arial" w:eastAsia="Arial" w:hAnsi="Arial"/>
          <w:sz w:val="21"/>
          <w:szCs w:val="21"/>
        </w:rPr>
        <w:t xml:space="preserve">: a triggered trigatron (too many drifting, unmeasurable variables; temperature drift corrupts a timed instant); diodes / solid-state switches (reverse back-pressure needs exotic parts; gate drive on a slip-ring-free spinning frame).</w:t>
      </w:r>
    </w:p>
    <w:p>
      <w:pPr>
        <w:pStyle w:val="Heading2"/>
      </w:pPr>
      <w:r>
        <w:t xml:space="preserve">9.2  Gap medium — air vs vacuum</w:t>
      </w:r>
    </w:p>
    <w:p>
      <w:pPr>
        <w:spacing w:after="120" w:line="276"/>
      </w:pPr>
      <w:r>
        <w:rPr>
          <w:rFonts w:ascii="Arial" w:cs="Arial" w:eastAsia="Arial" w:hAnsi="Arial"/>
          <w:sz w:val="21"/>
          <w:szCs w:val="21"/>
        </w:rPr>
        <w:t xml:space="preserve">The breakdown law differs by regime; pick the operating side of the Paschen curve deliberately.</w:t>
      </w:r>
    </w:p>
    <w:p>
      <w:pPr>
        <w:pBdr>
          <w:left w:val="single" w:color="1F4E79" w:sz="18" w:space="10"/>
        </w:pBdr>
        <w:shd w:fill="F2F4F7" w:val="clear"/>
        <w:spacing w:after="130" w:before="90"/>
        <w:jc w:val="center"/>
      </w:pPr>
      <w:r>
        <w:drawing>
          <wp:inline distT="0" distB="0" distL="0" distR="0">
            <wp:extent cx="4143375" cy="200025"/>
            <wp:effectExtent t="0" r="0" b="0" l="0"/>
            <wp:docPr id="1" name="bd_air" descr="equation" title="bd_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143375" cy="200025"/>
                    </a:xfrm>
                    <a:prstGeom prst="rect">
                      <a:avLst/>
                    </a:prstGeom>
                  </pic:spPr>
                </pic:pic>
              </a:graphicData>
            </a:graphic>
          </wp:inline>
        </w:drawing>
      </w:r>
    </w:p>
    <w:p>
      <w:pPr>
        <w:pBdr>
          <w:left w:val="single" w:color="1F4E79" w:sz="18" w:space="10"/>
        </w:pBdr>
        <w:shd w:fill="F2F4F7" w:val="clear"/>
        <w:spacing w:after="130" w:before="90"/>
        <w:jc w:val="center"/>
      </w:pPr>
      <w:r>
        <w:drawing>
          <wp:inline distT="0" distB="0" distL="0" distR="0">
            <wp:extent cx="3962400" cy="219075"/>
            <wp:effectExtent t="0" r="0" b="0" l="0"/>
            <wp:docPr id="1" name="bd_vac" descr="equation" title="bd_v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962400" cy="219075"/>
                    </a:xfrm>
                    <a:prstGeom prst="rect">
                      <a:avLst/>
                    </a:prstGeom>
                  </pic:spPr>
                </pic:pic>
              </a:graphicData>
            </a:graphic>
          </wp:inline>
        </w:drawing>
      </w:r>
    </w:p>
    <w:p>
      <w:pPr>
        <w:pBdr>
          <w:left w:val="single" w:color="1F4E79" w:sz="18" w:space="10"/>
        </w:pBdr>
        <w:shd w:fill="F2F4F7" w:val="clear"/>
        <w:spacing w:after="130" w:before="90"/>
        <w:jc w:val="center"/>
      </w:pPr>
      <w:r>
        <w:drawing>
          <wp:inline distT="0" distB="0" distL="0" distR="0">
            <wp:extent cx="4486275" cy="200025"/>
            <wp:effectExtent t="0" r="0" b="0" l="0"/>
            <wp:docPr id="1" name="bd_pasch" descr="equation" title="bd_pas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486275" cy="200025"/>
                    </a:xfrm>
                    <a:prstGeom prst="rect">
                      <a:avLst/>
                    </a:prstGeom>
                  </pic:spPr>
                </pic:pic>
              </a:graphicData>
            </a:graphic>
          </wp:inline>
        </w:drawing>
      </w:r>
    </w:p>
    <w:p>
      <w:pPr>
        <w:pStyle w:val="ListParagraph"/>
        <w:numPr>
          <w:ilvl w:val="0"/>
          <w:numId w:val="3"/>
        </w:numPr>
        <w:spacing w:after="90" w:line="270"/>
      </w:pPr>
      <w:r>
        <w:rPr>
          <w:rFonts w:ascii="Arial" w:cs="Arial" w:eastAsia="Arial" w:hAnsi="Arial"/>
          <w:b/>
          <w:bCs/>
          <w:sz w:val="21"/>
          <w:szCs w:val="21"/>
        </w:rPr>
        <w:t xml:space="preserve">Air. </w:t>
      </w:r>
      <w:r>
        <w:rPr>
          <w:rFonts w:ascii="Arial" w:cs="Arial" w:eastAsia="Arial" w:hAnsi="Arial"/>
          <w:sz w:val="21"/>
          <w:szCs w:val="21"/>
        </w:rPr>
        <w:t xml:space="preserve">Simple, self-healing, but needs active quench (the channel must deionise between pulses) and erodes electrodes; field roughly linear in gap.</w:t>
      </w:r>
    </w:p>
    <w:p>
      <w:pPr>
        <w:pStyle w:val="ListParagraph"/>
        <w:numPr>
          <w:ilvl w:val="0"/>
          <w:numId w:val="3"/>
        </w:numPr>
        <w:spacing w:after="90" w:line="270"/>
      </w:pPr>
      <w:r>
        <w:rPr>
          <w:rFonts w:ascii="Arial" w:cs="Arial" w:eastAsia="Arial" w:hAnsi="Arial"/>
          <w:b/>
          <w:bCs/>
          <w:sz w:val="21"/>
          <w:szCs w:val="21"/>
        </w:rPr>
        <w:t xml:space="preserve">Vacuum. </w:t>
      </w:r>
      <w:r>
        <w:rPr>
          <w:rFonts w:ascii="Arial" w:cs="Arial" w:eastAsia="Arial" w:hAnsi="Arial"/>
          <w:sz w:val="21"/>
          <w:szCs w:val="21"/>
        </w:rPr>
        <w:t xml:space="preserve">Windage ≈ 0 (good for the spin-up budget) and the cavity sits below the Paschen minimum so glow is suppressed; breakdown is sub-linear in gap (g^0.6), so margin grows slowly with gap. Used for the cavity in the current design.</w:t>
      </w:r>
    </w:p>
    <w:p>
      <w:pPr>
        <w:pStyle w:val="Heading2"/>
      </w:pPr>
      <w:r>
        <w:t xml:space="preserve">9.3  Electrodes — geometry and material</w:t>
      </w:r>
    </w:p>
    <w:p>
      <w:pPr>
        <w:pStyle w:val="ListParagraph"/>
        <w:numPr>
          <w:ilvl w:val="0"/>
          <w:numId w:val="3"/>
        </w:numPr>
        <w:spacing w:after="90" w:line="270"/>
      </w:pPr>
      <w:r>
        <w:rPr>
          <w:rFonts w:ascii="Arial" w:cs="Arial" w:eastAsia="Arial" w:hAnsi="Arial"/>
          <w:b/>
          <w:bCs/>
          <w:sz w:val="21"/>
          <w:szCs w:val="21"/>
        </w:rPr>
        <w:t xml:space="preserve">Geometry: spheres / hemispheres. </w:t>
      </w:r>
      <w:r>
        <w:rPr>
          <w:rFonts w:ascii="Arial" w:cs="Arial" w:eastAsia="Arial" w:hAnsi="Arial"/>
          <w:sz w:val="21"/>
          <w:szCs w:val="21"/>
        </w:rPr>
        <w:t xml:space="preserve">A uniform-field sphere gap gives a repeatable self-break and is corona-free; sharp tips produce soft, leaky, poorly-timed corona and are rejected for the switching gaps. Smooth large-radius electrodes are used where a soft glow is wanted (governor, backstop).</w:t>
      </w:r>
    </w:p>
    <w:p>
      <w:pPr>
        <w:pStyle w:val="ListParagraph"/>
        <w:numPr>
          <w:ilvl w:val="0"/>
          <w:numId w:val="3"/>
        </w:numPr>
        <w:spacing w:after="90" w:line="270"/>
      </w:pPr>
      <w:r>
        <w:rPr>
          <w:rFonts w:ascii="Arial" w:cs="Arial" w:eastAsia="Arial" w:hAnsi="Arial"/>
          <w:b/>
          <w:bCs/>
          <w:sz w:val="21"/>
          <w:szCs w:val="21"/>
        </w:rPr>
        <w:t xml:space="preserve">Sizing. </w:t>
      </w:r>
      <w:r>
        <w:rPr>
          <w:rFonts w:ascii="Arial" w:cs="Arial" w:eastAsia="Arial" w:hAnsi="Arial"/>
          <w:sz w:val="21"/>
          <w:szCs w:val="21"/>
        </w:rPr>
        <w:t xml:space="preserve">Ball radius is grown with the firing radius for cross-fire margin and electrode life, bounded by the station spacing. At R387 the maximum ball is 17.5 mm (from the radius/overlap trade).</w:t>
      </w:r>
    </w:p>
    <w:p>
      <w:pPr>
        <w:pStyle w:val="ListParagraph"/>
        <w:numPr>
          <w:ilvl w:val="0"/>
          <w:numId w:val="3"/>
        </w:numPr>
        <w:spacing w:after="90" w:line="270"/>
      </w:pPr>
      <w:r>
        <w:rPr>
          <w:rFonts w:ascii="Arial" w:cs="Arial" w:eastAsia="Arial" w:hAnsi="Arial"/>
          <w:b/>
          <w:bCs/>
          <w:sz w:val="21"/>
          <w:szCs w:val="21"/>
        </w:rPr>
        <w:t xml:space="preserve">Material: tungsten / W-Cu. </w:t>
      </w:r>
      <w:r>
        <w:rPr>
          <w:rFonts w:ascii="Arial" w:cs="Arial" w:eastAsia="Arial" w:hAnsi="Arial"/>
          <w:sz w:val="21"/>
          <w:szCs w:val="21"/>
        </w:rPr>
        <w:t xml:space="preserve">Erosion resistance for repetitive duty. Erosion widens the gap over life, so the operating voltage creeps up — but the timing is geometric and unaffected; this sets a maintenance interval, not a failure. </w:t>
      </w:r>
      <w:r>
        <w:rPr>
          <w:rFonts w:ascii="Consolas" w:cs="Consolas" w:eastAsia="Consolas" w:hAnsi="Consolas"/>
          <w:sz w:val="20"/>
          <w:szCs w:val="20"/>
        </w:rPr>
        <w:t xml:space="preserve">[IR]</w:t>
      </w:r>
    </w:p>
    <w:p>
      <w:pPr>
        <w:pStyle w:val="Heading2"/>
      </w:pPr>
      <w:r>
        <w:t xml:space="preserve">9.4  Single vs series (double) gaps</w:t>
      </w:r>
    </w:p>
    <w:p>
      <w:pPr>
        <w:spacing w:after="120" w:line="276"/>
      </w:pPr>
      <w:r>
        <w:rPr>
          <w:rFonts w:ascii="Arial" w:cs="Arial" w:eastAsia="Arial" w:hAnsi="Arial"/>
          <w:b/>
          <w:bCs/>
          <w:sz w:val="21"/>
          <w:szCs w:val="21"/>
        </w:rPr>
        <w:t>SG1, SG2</w:t>
      </w:r>
      <w:r>
        <w:rPr>
          <w:rFonts w:ascii="Arial" w:cs="Arial" w:eastAsia="Arial" w:hAnsi="Arial"/>
          <w:sz w:val="21"/>
          <w:szCs w:val="21"/>
        </w:rPr>
        <w:t xml:space="preserve"> fire the AR/BR transfer banks into the resonator tank (floating/differential — no ground return). </w:t>
      </w:r>
      <w:r>
        <w:rPr>
          <w:rFonts w:ascii="Arial" w:cs="Arial" w:eastAsia="Arial" w:hAnsi="Arial"/>
          <w:b/>
          <w:bCs/>
          <w:sz w:val="21"/>
          <w:szCs w:val="21"/>
        </w:rPr>
        <w:t xml:space="preserve">Cross-couples (SG3, SG4)</w:t>
      </w:r>
      <w:r>
        <w:rPr>
          <w:rFonts w:ascii="Arial" w:cs="Arial" w:eastAsia="Arial" w:hAnsi="Arial"/>
          <w:sz w:val="21"/>
          <w:szCs w:val="21"/>
        </w:rPr>
        <w:t xml:space="preserve"> bridge two stator electrodes over a floating rotor bar — a series double gap with a floating midpoint. The double gap has a less predictable strike (two Paschen curves in series plus the floating-midpoint stray capacitance), which is tolerable precisely because the timing is geometric and the firing level is non-critical. </w:t>
      </w:r>
      <w:r>
        <w:rPr>
          <w:rFonts w:ascii="Consolas" w:cs="Consolas" w:eastAsia="Consolas" w:hAnsi="Consolas"/>
          <w:sz w:val="20"/>
          <w:szCs w:val="20"/>
        </w:rPr>
        <w:t xml:space="preserve">[IR]</w:t>
      </w:r>
    </w:p>
    <w:p>
      <w:pPr>
        <w:pStyle w:val="Heading2"/>
      </w:pPr>
      <w:r>
        <w:t xml:space="preserve">9.5  Self-break statistics and recovery</w:t>
      </w:r>
    </w:p>
    <w:p>
      <w:pPr>
        <w:pBdr>
          <w:left w:val="single" w:color="1F4E79" w:sz="18" w:space="10"/>
        </w:pBdr>
        <w:shd w:fill="F2F4F7" w:val="clear"/>
        <w:spacing w:after="130" w:before="90"/>
        <w:jc w:val="center"/>
      </w:pPr>
      <w:r>
        <w:drawing>
          <wp:inline distT="0" distB="0" distL="0" distR="0">
            <wp:extent cx="3533775" cy="219075"/>
            <wp:effectExtent t="0" r="0" b="0" l="0"/>
            <wp:docPr id="1" name="recovery" descr="equation" title="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533775" cy="219075"/>
                    </a:xfrm>
                    <a:prstGeom prst="rect">
                      <a:avLst/>
                    </a:prstGeom>
                  </pic:spPr>
                </pic:pic>
              </a:graphicData>
            </a:graphic>
          </wp:inline>
        </w:drawing>
      </w:r>
    </w:p>
    <w:p>
      <w:pPr>
        <w:pBdr>
          <w:left w:val="single" w:color="1F4E79" w:sz="18" w:space="10"/>
        </w:pBdr>
        <w:shd w:fill="F2F4F7" w:val="clear"/>
        <w:spacing w:after="130" w:before="90"/>
        <w:jc w:val="center"/>
      </w:pPr>
      <w:r>
        <w:drawing>
          <wp:inline distT="0" distB="0" distL="0" distR="0">
            <wp:extent cx="2057400" cy="200025"/>
            <wp:effectExtent t="0" r="0" b="0" l="0"/>
            <wp:docPr id="1" name="tau_rec" descr="equation" title="tau_r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057400" cy="200025"/>
                    </a:xfrm>
                    <a:prstGeom prst="rect">
                      <a:avLst/>
                    </a:prstGeom>
                  </pic:spPr>
                </pic:pic>
              </a:graphicData>
            </a:graphic>
          </wp:inline>
        </w:drawing>
      </w:r>
    </w:p>
    <w:p>
      <w:pPr>
        <w:spacing w:after="120" w:line="276"/>
      </w:pPr>
      <w:r>
        <w:rPr>
          <w:rFonts w:ascii="Arial" w:cs="Arial" w:eastAsia="Arial" w:hAnsi="Arial"/>
          <w:b/>
          <w:bCs/>
          <w:sz w:val="21"/>
          <w:szCs w:val="21"/>
        </w:rPr>
        <w:t xml:space="preserve">Recovery is the binding rate constraint. </w:t>
      </w:r>
      <w:r>
        <w:rPr>
          <w:rFonts w:ascii="Arial" w:cs="Arial" w:eastAsia="Arial" w:hAnsi="Arial"/>
          <w:sz w:val="21"/>
          <w:szCs w:val="21"/>
        </w:rPr>
        <w:t xml:space="preserve">At repetition the inter-pulse window must exceed the channel-recovery time, or the gap back-conducts. At 3000 rpm the window is ~333 µs; recovery-failure onset is near ~4000 rpm at the pessimistic (1 ms) corner. The thermal recovery of the spark channel — not fast charge recombination — is what limits repetition rate. Quench is by motion (larger firing radius → faster sweep, ionisation spread over more area) plus forced airflow, run with the disc's centrifugal pumping (intake axial, exhaust at the rim); in the vacuum cavity, motion and the low pressure do the work. </w:t>
      </w:r>
      <w:r>
        <w:rPr>
          <w:rFonts w:ascii="Consolas" w:cs="Consolas" w:eastAsia="Consolas" w:hAnsi="Consolas"/>
          <w:sz w:val="20"/>
          <w:szCs w:val="20"/>
        </w:rPr>
        <w:t xml:space="preserve">[OC]</w:t>
      </w:r>
    </w:p>
    <w:p>
      <w:pPr>
        <w:pStyle w:val="Heading2"/>
      </w:pPr>
      <w:r>
        <w:t xml:space="preserve">9.6  The backstop gap</w:t>
      </w:r>
    </w:p>
    <w:p>
      <w:pPr>
        <w:spacing w:after="120" w:line="276"/>
      </w:pPr>
      <w:r>
        <w:rPr>
          <w:rFonts w:ascii="Arial" w:cs="Arial" w:eastAsia="Arial" w:hAnsi="Arial"/>
          <w:b/>
          <w:bCs/>
          <w:sz w:val="21"/>
          <w:szCs w:val="21"/>
        </w:rPr>
        <w:t xml:space="preserve">A second, smaller gap per island</w:t>
      </w:r>
      <w:r>
        <w:rPr>
          <w:rFonts w:ascii="Arial" w:cs="Arial" w:eastAsia="Arial" w:hAnsi="Arial"/>
          <w:sz w:val="21"/>
          <w:szCs w:val="21"/>
        </w:rPr>
        <w:t xml:space="preserve"> at a later station and a lower threshold (≈0.6× the main strike) catches any misfire the load-return did not clear, bounding the island charge to ≤1.05× one bucket. It is a gap, not a resistor — no galvanic element may span the island — and it adds a small fixed stray (~6 pF) to the C_min sum, which must be carried in the swing budget. </w:t>
      </w:r>
      <w:r>
        <w:rPr>
          <w:rFonts w:ascii="Consolas" w:cs="Consolas" w:eastAsia="Consolas" w:hAnsi="Consolas"/>
          <w:sz w:val="20"/>
          <w:szCs w:val="20"/>
        </w:rPr>
        <w:t xml:space="preserve">[IR]</w:t>
      </w:r>
    </w:p>
    <w:p>
      <w:pPr>
        <w:pStyle w:val="Heading2"/>
      </w:pPr>
      <w:r>
        <w:t xml:space="preserve">9.7  Quench window — the make-or-break</w:t>
      </w:r>
    </w:p>
    <w:p>
      <w:pPr>
        <w:pBdr>
          <w:left w:val="single" w:color="1F4E79" w:sz="18" w:space="10"/>
        </w:pBdr>
        <w:shd w:fill="F2F4F7" w:val="clear"/>
        <w:spacing w:after="130" w:before="90"/>
        <w:jc w:val="center"/>
      </w:pPr>
      <w:r>
        <w:rPr>
          <w:rFonts w:ascii="Arial" w:cs="Arial" w:eastAsia="Arial" w:hAnsi="Arial"/>
          <w:i/>
          <w:iCs/>
          <w:sz w:val="21"/>
          <w:szCs w:val="21"/>
        </w:rPr>
        <w:t xml:space="preserve">arc must extinguish before the varicap polarity reverses</w:t>
      </w:r>
    </w:p>
    <w:p>
      <w:pPr>
        <w:spacing w:after="120" w:line="276"/>
      </w:pPr>
      <w:r>
        <w:rPr>
          <w:rFonts w:ascii="Arial" w:cs="Arial" w:eastAsia="Arial" w:hAnsi="Arial"/>
          <w:sz w:val="21"/>
          <w:szCs w:val="21"/>
        </w:rPr>
        <w:t xml:space="preserve">If the channel is still conducting when the source polarity reverses, it back-conducts and dumps the pumped charge. The favourable half is ~30° of rotation; the arc blow-out (µs to sub-ms) must complete inside it. This is the single hardest timing constraint and is verified both in model and on the bench. </w:t>
      </w:r>
      <w:r>
        <w:rPr>
          <w:rFonts w:ascii="Consolas" w:cs="Consolas" w:eastAsia="Consolas" w:hAnsi="Consolas"/>
          <w:sz w:val="20"/>
          <w:szCs w:val="20"/>
        </w:rPr>
        <w:t xml:space="preserve">[OC]</w:t>
      </w:r>
    </w:p>
    <w:p>
      <w:pPr>
        <w:pStyle w:val="Heading1"/>
      </w:pPr>
      <w:r>
        <w:t xml:space="preserve">10  Commutation timing and firing stations</w:t>
      </w:r>
    </w:p>
    <w:p>
      <w:pPr>
        <w:spacing w:after="120" w:line="276"/>
      </w:pPr>
      <w:r>
        <w:rPr>
          <w:rFonts w:ascii="Arial" w:cs="Arial" w:eastAsia="Arial" w:hAnsi="Arial"/>
          <w:sz w:val="21"/>
          <w:szCs w:val="21"/>
        </w:rPr>
        <w:t xml:space="preserve">Timing is inherited from the varicap sector geometry — there is no separate clock. The C1/C2 antiphase offset, the stroke offset, and the SG3/SG4 firing offset are all one sector pitch (30°).</w:t>
      </w:r>
    </w:p>
    <w:p>
      <w:pPr>
        <w:pBdr>
          <w:left w:val="single" w:color="1F4E79" w:sz="18" w:space="10"/>
        </w:pBdr>
        <w:shd w:fill="F2F4F7" w:val="clear"/>
        <w:spacing w:after="130" w:before="90"/>
        <w:jc w:val="center"/>
      </w:pPr>
      <w:r>
        <w:drawing>
          <wp:inline distT="0" distB="0" distL="0" distR="0">
            <wp:extent cx="4381500" cy="323850"/>
            <wp:effectExtent t="0" r="0" b="0" l="0"/>
            <wp:docPr id="1" name="PRF" descr="equation" title="PR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381500" cy="323850"/>
                    </a:xfrm>
                    <a:prstGeom prst="rect">
                      <a:avLst/>
                    </a:prstGeom>
                  </pic:spPr>
                </pic:pic>
              </a:graphicData>
            </a:graphic>
          </wp:inline>
        </w:drawing>
      </w:r>
    </w:p>
    <w:p>
      <w:pPr>
        <w:spacing w:after="120" w:line="276"/>
      </w:pPr>
      <w:r>
        <w:rPr>
          <w:rFonts w:ascii="Arial" w:cs="Arial" w:eastAsia="Arial" w:hAnsi="Arial"/>
          <w:sz w:val="21"/>
          <w:szCs w:val="21"/>
        </w:rPr>
        <w:t xml:space="preserve">Stations (DXF r0.15), conduction pairs {SG1,SG3} and {SG2,SG4}, firing return-leads-then-cross-couple: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900"/>
        <w:gridCol w:w="4160"/>
      </w:tblGrid>
      <w:tr>
        <w:trPr>
          <w:tblHeader/>
        </w:trPr>
        <w:tc>
          <w:tcPr>
            <w:tcW w:type="dxa" w:w="1500"/>
            <w:tcBorders>
              <w:top w:val="single" w:color="BFBFBF" w:sz="1"/>
              <w:left w:val="single" w:color="BFBFBF" w:sz="1"/>
              <w:bottom w:val="single" w:color="BFBFBF" w:sz="1"/>
              <w:right w:val="single" w:color="BFBFBF" w:sz="1"/>
            </w:tcBorders>
            <w:shd w:fill="D9E2EC" w:val="clear"/>
            <w:tcMar>
              <w:top w:type="dxa" w:w="60"/>
              <w:left w:type="dxa" w:w="110"/>
              <w:bottom w:type="dxa" w:w="60"/>
              <w:right w:type="dxa" w:w="110"/>
            </w:tcMar>
          </w:tcPr>
          <w:p>
            <w:pPr>
              <w:spacing w:after="0" w:line="250"/>
            </w:pPr>
            <w:r>
              <w:rPr>
                <w:rFonts w:ascii="Arial" w:cs="Arial" w:eastAsia="Arial" w:hAnsi="Arial"/>
                <w:b/>
                <w:bCs/>
                <w:sz w:val="19"/>
                <w:szCs w:val="19"/>
              </w:rPr>
              <w:t xml:space="preserve">Gap</w:t>
            </w:r>
          </w:p>
        </w:tc>
        <w:tc>
          <w:tcPr>
            <w:tcW w:type="dxa" w:w="1800"/>
            <w:tcBorders>
              <w:top w:val="single" w:color="BFBFBF" w:sz="1"/>
              <w:left w:val="single" w:color="BFBFBF" w:sz="1"/>
              <w:bottom w:val="single" w:color="BFBFBF" w:sz="1"/>
              <w:right w:val="single" w:color="BFBFBF" w:sz="1"/>
            </w:tcBorders>
            <w:shd w:fill="D9E2EC" w:val="clear"/>
            <w:tcMar>
              <w:top w:type="dxa" w:w="60"/>
              <w:left w:type="dxa" w:w="110"/>
              <w:bottom w:type="dxa" w:w="60"/>
              <w:right w:type="dxa" w:w="110"/>
            </w:tcMar>
          </w:tcPr>
          <w:p>
            <w:pPr>
              <w:spacing w:after="0" w:line="250"/>
            </w:pPr>
            <w:r>
              <w:rPr>
                <w:rFonts w:ascii="Arial" w:cs="Arial" w:eastAsia="Arial" w:hAnsi="Arial"/>
                <w:b/>
                <w:bCs/>
                <w:sz w:val="19"/>
                <w:szCs w:val="19"/>
              </w:rPr>
              <w:t xml:space="preserve">Role</w:t>
            </w:r>
          </w:p>
        </w:tc>
        <w:tc>
          <w:tcPr>
            <w:tcW w:type="dxa" w:w="1900"/>
            <w:tcBorders>
              <w:top w:val="single" w:color="BFBFBF" w:sz="1"/>
              <w:left w:val="single" w:color="BFBFBF" w:sz="1"/>
              <w:bottom w:val="single" w:color="BFBFBF" w:sz="1"/>
              <w:right w:val="single" w:color="BFBFBF" w:sz="1"/>
            </w:tcBorders>
            <w:shd w:fill="D9E2EC" w:val="clear"/>
            <w:tcMar>
              <w:top w:type="dxa" w:w="60"/>
              <w:left w:type="dxa" w:w="110"/>
              <w:bottom w:type="dxa" w:w="60"/>
              <w:right w:type="dxa" w:w="110"/>
            </w:tcMar>
          </w:tcPr>
          <w:p>
            <w:pPr>
              <w:spacing w:after="0" w:line="250"/>
            </w:pPr>
            <w:r>
              <w:rPr>
                <w:rFonts w:ascii="Arial" w:cs="Arial" w:eastAsia="Arial" w:hAnsi="Arial"/>
                <w:b/>
                <w:bCs/>
                <w:sz w:val="19"/>
                <w:szCs w:val="19"/>
              </w:rPr>
              <w:t xml:space="preserve">Station</w:t>
            </w:r>
          </w:p>
        </w:tc>
        <w:tc>
          <w:tcPr>
            <w:tcW w:type="dxa" w:w="4160"/>
            <w:tcBorders>
              <w:top w:val="single" w:color="BFBFBF" w:sz="1"/>
              <w:left w:val="single" w:color="BFBFBF" w:sz="1"/>
              <w:bottom w:val="single" w:color="BFBFBF" w:sz="1"/>
              <w:right w:val="single" w:color="BFBFBF" w:sz="1"/>
            </w:tcBorders>
            <w:shd w:fill="D9E2EC" w:val="clear"/>
            <w:tcMar>
              <w:top w:type="dxa" w:w="60"/>
              <w:left w:type="dxa" w:w="110"/>
              <w:bottom w:type="dxa" w:w="60"/>
              <w:right w:type="dxa" w:w="110"/>
            </w:tcMar>
          </w:tcPr>
          <w:p>
            <w:pPr>
              <w:spacing w:after="0" w:line="250"/>
            </w:pPr>
            <w:r>
              <w:rPr>
                <w:rFonts w:ascii="Arial" w:cs="Arial" w:eastAsia="Arial" w:hAnsi="Arial"/>
                <w:b/>
                <w:bCs/>
                <w:sz w:val="19"/>
                <w:szCs w:val="19"/>
              </w:rPr>
              <w:t xml:space="preserve">Path</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Consolas" w:cs="Consolas" w:eastAsia="Consolas" w:hAnsi="Consolas"/>
                <w:b w:val="false"/>
                <w:bCs w:val="false"/>
                <w:sz w:val="18"/>
                <w:szCs w:val="18"/>
              </w:rPr>
              <w:t xml:space="preserve">SG1</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bank→tank</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3.00°</w:t>
            </w:r>
          </w:p>
        </w:tc>
        <w:tc>
          <w:tcPr>
            <w:tcW w:type="dxa" w:w="4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node 2 → resonator (R-A)</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Consolas" w:cs="Consolas" w:eastAsia="Consolas" w:hAnsi="Consolas"/>
                <w:b w:val="false"/>
                <w:bCs w:val="false"/>
                <w:sz w:val="18"/>
                <w:szCs w:val="18"/>
              </w:rPr>
              <w:t xml:space="preserve">SG2</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bank→tank</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33.00°</w:t>
            </w:r>
          </w:p>
        </w:tc>
        <w:tc>
          <w:tcPr>
            <w:tcW w:type="dxa" w:w="4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node 3 → resonator (R-B)</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Consolas" w:cs="Consolas" w:eastAsia="Consolas" w:hAnsi="Consolas"/>
                <w:b w:val="false"/>
                <w:bCs w:val="false"/>
                <w:sz w:val="18"/>
                <w:szCs w:val="18"/>
              </w:rPr>
              <w:t xml:space="preserve">SG3a</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load</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7.20°</w:t>
            </w:r>
          </w:p>
        </w:tc>
        <w:tc>
          <w:tcPr>
            <w:tcW w:type="dxa" w:w="4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node 1 → island</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Consolas" w:cs="Consolas" w:eastAsia="Consolas" w:hAnsi="Consolas"/>
                <w:b w:val="false"/>
                <w:bCs w:val="false"/>
                <w:sz w:val="18"/>
                <w:szCs w:val="18"/>
              </w:rPr>
              <w:t xml:space="preserve">SG3b</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fire</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16.05°</w:t>
            </w:r>
          </w:p>
        </w:tc>
        <w:tc>
          <w:tcPr>
            <w:tcW w:type="dxa" w:w="4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island → node 3</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Consolas" w:cs="Consolas" w:eastAsia="Consolas" w:hAnsi="Consolas"/>
                <w:b w:val="false"/>
                <w:bCs w:val="false"/>
                <w:sz w:val="18"/>
                <w:szCs w:val="18"/>
              </w:rPr>
              <w:t xml:space="preserve">SG4a</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load</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37.20°</w:t>
            </w:r>
          </w:p>
        </w:tc>
        <w:tc>
          <w:tcPr>
            <w:tcW w:type="dxa" w:w="4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node 4 → island</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Consolas" w:cs="Consolas" w:eastAsia="Consolas" w:hAnsi="Consolas"/>
                <w:b w:val="false"/>
                <w:bCs w:val="false"/>
                <w:sz w:val="18"/>
                <w:szCs w:val="18"/>
              </w:rPr>
              <w:t xml:space="preserve">SG4b</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fire</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46.05°</w:t>
            </w:r>
          </w:p>
        </w:tc>
        <w:tc>
          <w:tcPr>
            <w:tcW w:type="dxa" w:w="4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island → node 2</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Consolas" w:cs="Consolas" w:eastAsia="Consolas" w:hAnsi="Consolas"/>
                <w:b w:val="false"/>
                <w:bCs w:val="false"/>
                <w:sz w:val="18"/>
                <w:szCs w:val="18"/>
              </w:rPr>
              <w:t xml:space="preserve">BS3</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backstop</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19.00°</w:t>
            </w:r>
          </w:p>
        </w:tc>
        <w:tc>
          <w:tcPr>
            <w:tcW w:type="dxa" w:w="4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island misfire catch</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Consolas" w:cs="Consolas" w:eastAsia="Consolas" w:hAnsi="Consolas"/>
                <w:b w:val="false"/>
                <w:bCs w:val="false"/>
                <w:sz w:val="18"/>
                <w:szCs w:val="18"/>
              </w:rPr>
              <w:t xml:space="preserve">BS4</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backstop</w:t>
            </w:r>
          </w:p>
        </w:tc>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49.00°</w:t>
            </w:r>
          </w:p>
        </w:tc>
        <w:tc>
          <w:tcPr>
            <w:tcW w:type="dxa" w:w="4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island misfire catch</w:t>
            </w:r>
          </w:p>
        </w:tc>
      </w:tr>
    </w:tbl>
    <w:p>
      <w:pPr>
        <w:spacing w:after="120" w:line="276"/>
      </w:pPr>
      <w:r>
        <w:rPr>
          <w:rFonts w:ascii="Arial" w:cs="Arial" w:eastAsia="Arial" w:hAnsi="Arial"/>
          <w:b/>
          <w:bCs/>
          <w:sz w:val="21"/>
          <w:szCs w:val="21"/>
        </w:rPr>
        <w:t xml:space="preserve">Radius governs angle, not time. </w:t>
      </w:r>
      <w:r>
        <w:rPr>
          <w:rFonts w:ascii="Arial" w:cs="Arial" w:eastAsia="Arial" w:hAnsi="Arial"/>
          <w:sz w:val="21"/>
          <w:szCs w:val="21"/>
        </w:rPr>
        <w:t xml:space="preserve">Pushing the gaps outboard (R387) buys cross-fire margin in angle and a larger usable ball (life), bounded by the island radius (~R350). It does not change the resonant timing. Trade at R387: 2.95° station spacing, 2.07° overlap at a 12 mm ball, 0.88° cross-fire margin, ~115 µs overlap at 3000 rpm. </w:t>
      </w:r>
      <w:r>
        <w:rPr>
          <w:rFonts w:ascii="Consolas" w:cs="Consolas" w:eastAsia="Consolas" w:hAnsi="Consolas"/>
          <w:sz w:val="20"/>
          <w:szCs w:val="20"/>
        </w:rPr>
        <w:t xml:space="preserve">[OC]</w:t>
      </w:r>
    </w:p>
    <w:p>
      <w:pPr>
        <w:pStyle w:val="Heading1"/>
      </w:pPr>
      <w:r>
        <w:t xml:space="preserve">11  Mechanical and operating envelope</w:t>
      </w:r>
    </w:p>
    <w:p>
      <w:pPr>
        <w:pBdr>
          <w:left w:val="single" w:color="1F4E79" w:sz="18" w:space="10"/>
        </w:pBdr>
        <w:shd w:fill="F2F4F7" w:val="clear"/>
        <w:spacing w:after="130" w:before="90"/>
        <w:jc w:val="center"/>
      </w:pPr>
      <w:r>
        <w:drawing>
          <wp:inline distT="0" distB="0" distL="0" distR="0">
            <wp:extent cx="2990850" cy="352425"/>
            <wp:effectExtent t="0" r="0" b="0" l="0"/>
            <wp:docPr id="1" name="rim" descr="equation" title="r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990850" cy="352425"/>
                    </a:xfrm>
                    <a:prstGeom prst="rect">
                      <a:avLst/>
                    </a:prstGeom>
                  </pic:spPr>
                </pic:pic>
              </a:graphicData>
            </a:graphic>
          </wp:inline>
        </w:drawing>
      </w:r>
    </w:p>
    <w:p>
      <w:pPr>
        <w:spacing w:after="120" w:line="276"/>
      </w:pPr>
      <w:r>
        <w:rPr>
          <w:rFonts w:ascii="Arial" w:cs="Arial" w:eastAsia="Arial" w:hAnsi="Arial"/>
          <w:b/>
          <w:bCs/>
          <w:sz w:val="21"/>
          <w:szCs w:val="21"/>
        </w:rPr>
        <w:t xml:space="preserve">Dependencies. </w:t>
      </w:r>
      <w:r>
        <w:rPr>
          <w:rFonts w:ascii="Arial" w:cs="Arial" w:eastAsia="Arial" w:hAnsi="Arial"/>
          <w:sz w:val="21"/>
          <w:szCs w:val="21"/>
        </w:rPr>
        <w:t xml:space="preserve">r_out and rpm trade against the rim limit; the rotor runs supercritical (above its first bending critical) so the operating speed is held away from criticals. The cavity is vacuum ≤ 10 Pa: windage ≈ 0 (spin-up budget) and glow suppressed (below Paschen minimum). Parked operating voltage 15 kV; with the v0.10 freeze the fire window is 16.6–21 kV (4.4 kV margin), below the 21 kV C1/C2 air-gap ceiling. </w:t>
      </w:r>
      <w:r>
        <w:rPr>
          <w:rFonts w:ascii="Consolas" w:cs="Consolas" w:eastAsia="Consolas" w:hAnsi="Consolas"/>
          <w:sz w:val="20"/>
          <w:szCs w:val="20"/>
        </w:rPr>
        <w:t xml:space="preserve">[OC]</w:t>
      </w:r>
    </w:p>
    <w:p>
      <w:pPr>
        <w:pStyle w:val="Heading1"/>
      </w:pPr>
      <w:r>
        <w:t xml:space="preserve">12  Design limits (the binding battery)</w:t>
      </w:r>
    </w:p>
    <w:p>
      <w:pPr>
        <w:spacing w:after="120" w:line="276"/>
      </w:pPr>
      <w:r>
        <w:rPr>
          <w:rFonts w:ascii="Arial" w:cs="Arial" w:eastAsia="Arial" w:hAnsi="Arial"/>
          <w:sz w:val="21"/>
          <w:szCs w:val="21"/>
        </w:rPr>
        <w:t xml:space="preserve">A candidate is feasible only inside every limit; the binding constraint is the one with least margin. At the current anchor the machine is shuttle-strike-bound.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0"/>
        <w:gridCol w:w="4650"/>
        <w:gridCol w:w="2160"/>
      </w:tblGrid>
      <w:tr>
        <w:trPr>
          <w:tblHeader/>
        </w:trPr>
        <w:tc>
          <w:tcPr>
            <w:tcW w:type="dxa" w:w="2550"/>
            <w:tcBorders>
              <w:top w:val="single" w:color="BFBFBF" w:sz="1"/>
              <w:left w:val="single" w:color="BFBFBF" w:sz="1"/>
              <w:bottom w:val="single" w:color="BFBFBF" w:sz="1"/>
              <w:right w:val="single" w:color="BFBFBF" w:sz="1"/>
            </w:tcBorders>
            <w:shd w:fill="D9E2EC" w:val="clear"/>
            <w:tcMar>
              <w:top w:type="dxa" w:w="60"/>
              <w:left w:type="dxa" w:w="110"/>
              <w:bottom w:type="dxa" w:w="60"/>
              <w:right w:type="dxa" w:w="110"/>
            </w:tcMar>
          </w:tcPr>
          <w:p>
            <w:pPr>
              <w:spacing w:after="0" w:line="250"/>
            </w:pPr>
            <w:r>
              <w:rPr>
                <w:rFonts w:ascii="Arial" w:cs="Arial" w:eastAsia="Arial" w:hAnsi="Arial"/>
                <w:b/>
                <w:bCs/>
                <w:sz w:val="19"/>
                <w:szCs w:val="19"/>
              </w:rPr>
              <w:t xml:space="preserve">Limit</w:t>
            </w:r>
          </w:p>
        </w:tc>
        <w:tc>
          <w:tcPr>
            <w:tcW w:type="dxa" w:w="4650"/>
            <w:tcBorders>
              <w:top w:val="single" w:color="BFBFBF" w:sz="1"/>
              <w:left w:val="single" w:color="BFBFBF" w:sz="1"/>
              <w:bottom w:val="single" w:color="BFBFBF" w:sz="1"/>
              <w:right w:val="single" w:color="BFBFBF" w:sz="1"/>
            </w:tcBorders>
            <w:shd w:fill="D9E2EC" w:val="clear"/>
            <w:tcMar>
              <w:top w:type="dxa" w:w="60"/>
              <w:left w:type="dxa" w:w="110"/>
              <w:bottom w:type="dxa" w:w="60"/>
              <w:right w:type="dxa" w:w="110"/>
            </w:tcMar>
          </w:tcPr>
          <w:p>
            <w:pPr>
              <w:spacing w:after="0" w:line="250"/>
            </w:pPr>
            <w:r>
              <w:rPr>
                <w:rFonts w:ascii="Arial" w:cs="Arial" w:eastAsia="Arial" w:hAnsi="Arial"/>
                <w:b/>
                <w:bCs/>
                <w:sz w:val="19"/>
                <w:szCs w:val="19"/>
              </w:rPr>
              <w:t xml:space="preserve">Bound / constant</w:t>
            </w:r>
          </w:p>
        </w:tc>
        <w:tc>
          <w:tcPr>
            <w:tcW w:type="dxa" w:w="2160"/>
            <w:tcBorders>
              <w:top w:val="single" w:color="BFBFBF" w:sz="1"/>
              <w:left w:val="single" w:color="BFBFBF" w:sz="1"/>
              <w:bottom w:val="single" w:color="BFBFBF" w:sz="1"/>
              <w:right w:val="single" w:color="BFBFBF" w:sz="1"/>
            </w:tcBorders>
            <w:shd w:fill="D9E2EC" w:val="clear"/>
            <w:tcMar>
              <w:top w:type="dxa" w:w="60"/>
              <w:left w:type="dxa" w:w="110"/>
              <w:bottom w:type="dxa" w:w="60"/>
              <w:right w:type="dxa" w:w="110"/>
            </w:tcMar>
          </w:tcPr>
          <w:p>
            <w:pPr>
              <w:spacing w:after="0" w:line="250"/>
            </w:pPr>
            <w:r>
              <w:rPr>
                <w:rFonts w:ascii="Arial" w:cs="Arial" w:eastAsia="Arial" w:hAnsi="Arial"/>
                <w:b/>
                <w:bCs/>
                <w:sz w:val="19"/>
                <w:szCs w:val="19"/>
              </w:rPr>
              <w:t xml:space="preserve">Anchor margin</w:t>
            </w:r>
          </w:p>
        </w:tc>
      </w:tr>
      <w:tr>
        <w:tc>
          <w:tcPr>
            <w:tcW w:type="dxa" w:w="25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Scale-free z</w:t>
            </w:r>
          </w:p>
        </w:tc>
        <w:tc>
          <w:tcPr>
            <w:tcW w:type="dxa" w:w="46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z ∈ [1.20, 1.45]</w:t>
            </w:r>
          </w:p>
        </w:tc>
        <w:tc>
          <w:tcPr>
            <w:tcW w:type="dxa" w:w="2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z 1.334 → 0.080</w:t>
            </w:r>
          </w:p>
        </w:tc>
      </w:tr>
      <w:tr>
        <w:tc>
          <w:tcPr>
            <w:tcW w:type="dxa" w:w="25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Insulate-first</w:t>
            </w:r>
          </w:p>
        </w:tc>
        <w:tc>
          <w:tcPr>
            <w:tcW w:type="dxa" w:w="46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V_bd &gt; V_target 15 kV; garolite 5 kV/mm derated; vacuum V_bd=60·g^0.6</w:t>
            </w:r>
          </w:p>
        </w:tc>
        <w:tc>
          <w:tcPr>
            <w:tcW w:type="dxa" w:w="2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39.6/15 kV → 1.64</w:t>
            </w:r>
          </w:p>
        </w:tc>
      </w:tr>
      <w:tr>
        <w:tc>
          <w:tcPr>
            <w:tcW w:type="dxa" w:w="25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Tax managed</w:t>
            </w:r>
          </w:p>
        </w:tc>
        <w:tc>
          <w:tcPr>
            <w:tcW w:type="dxa" w:w="46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η ≥ 0.15</w:t>
            </w:r>
          </w:p>
        </w:tc>
        <w:tc>
          <w:tcPr>
            <w:tcW w:type="dxa" w:w="2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0.386/0.15 → 1.58</w:t>
            </w:r>
          </w:p>
        </w:tc>
      </w:tr>
      <w:tr>
        <w:tc>
          <w:tcPr>
            <w:tcW w:type="dxa" w:w="25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Parasitic floor</w:t>
            </w:r>
          </w:p>
        </w:tc>
        <w:tc>
          <w:tcPr>
            <w:tcW w:type="dxa" w:w="46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C_par ≥ 20 pF</w:t>
            </w:r>
          </w:p>
        </w:tc>
        <w:tc>
          <w:tcPr>
            <w:tcW w:type="dxa" w:w="2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(C_max−C_par)/C_par ≈ 13</w:t>
            </w:r>
          </w:p>
        </w:tc>
      </w:tr>
      <w:tr>
        <w:tc>
          <w:tcPr>
            <w:tcW w:type="dxa" w:w="25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Motor matched</w:t>
            </w:r>
          </w:p>
        </w:tc>
        <w:tc>
          <w:tcPr>
            <w:tcW w:type="dxa" w:w="46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output ≤ pump_net; f_res = PRF; f₀ spectator</w:t>
            </w:r>
          </w:p>
        </w:tc>
        <w:tc>
          <w:tcPr>
            <w:tcW w:type="dxa" w:w="2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3.7/6.2 mJ → 0.40</w:t>
            </w:r>
          </w:p>
        </w:tc>
      </w:tr>
      <w:tr>
        <w:tc>
          <w:tcPr>
            <w:tcW w:type="dxa" w:w="25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Mechanical</w:t>
            </w:r>
          </w:p>
        </w:tc>
        <w:tc>
          <w:tcPr>
            <w:tcW w:type="dxa" w:w="46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rim &lt; 200 (soft 150) m/s; vacuum ≤ 10 Pa</w:t>
            </w:r>
          </w:p>
        </w:tc>
        <w:tc>
          <w:tcPr>
            <w:tcW w:type="dxa" w:w="2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154/200 → 0.23</w:t>
            </w:r>
          </w:p>
        </w:tc>
      </w:tr>
      <w:tr>
        <w:tc>
          <w:tcPr>
            <w:tcW w:type="dxa" w:w="2550"/>
            <w:tcBorders>
              <w:top w:val="single" w:color="BFBFBF" w:sz="1"/>
              <w:left w:val="single" w:color="BFBFBF" w:sz="1"/>
              <w:bottom w:val="single" w:color="BFBFBF" w:sz="1"/>
              <w:right w:val="single" w:color="BFBFBF" w:sz="1"/>
            </w:tcBorders>
            <w:shd w:fill="FBE4D5" w:val="clear"/>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Shuttle integrity (binding)</w:t>
            </w:r>
          </w:p>
        </w:tc>
        <w:tc>
          <w:tcPr>
            <w:tcW w:type="dxa" w:w="4650"/>
            <w:tcBorders>
              <w:top w:val="single" w:color="BFBFBF" w:sz="1"/>
              <w:left w:val="single" w:color="BFBFBF" w:sz="1"/>
              <w:bottom w:val="single" w:color="BFBFBF" w:sz="1"/>
              <w:right w:val="single" w:color="BFBFBF" w:sz="1"/>
            </w:tcBorders>
            <w:shd w:fill="FBE4D5" w:val="clear"/>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island strike &lt; 21 kV ceiling</w:t>
            </w:r>
          </w:p>
        </w:tc>
        <w:tc>
          <w:tcPr>
            <w:tcW w:type="dxa" w:w="2160"/>
            <w:tcBorders>
              <w:top w:val="single" w:color="BFBFBF" w:sz="1"/>
              <w:left w:val="single" w:color="BFBFBF" w:sz="1"/>
              <w:bottom w:val="single" w:color="BFBFBF" w:sz="1"/>
              <w:right w:val="single" w:color="BFBFBF" w:sz="1"/>
            </w:tcBorders>
            <w:shd w:fill="FBE4D5" w:val="clear"/>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20/21 kV → 0.048</w:t>
            </w:r>
          </w:p>
        </w:tc>
      </w:tr>
      <w:tr>
        <w:tc>
          <w:tcPr>
            <w:tcW w:type="dxa" w:w="25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Cross-fire / timing</w:t>
            </w:r>
          </w:p>
        </w:tc>
        <w:tc>
          <w:tcPr>
            <w:tcW w:type="dxa" w:w="46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overlap clears SG3b–BS3; fire window vs spacing</w:t>
            </w:r>
          </w:p>
        </w:tc>
        <w:tc>
          <w:tcPr>
            <w:tcW w:type="dxa" w:w="2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50"/>
            </w:pPr>
            <w:r>
              <w:rPr>
                <w:rFonts w:ascii="Arial" w:cs="Arial" w:eastAsia="Arial" w:hAnsi="Arial"/>
                <w:b w:val="false"/>
                <w:bCs w:val="false"/>
                <w:sz w:val="19"/>
                <w:szCs w:val="19"/>
              </w:rPr>
              <w:t xml:space="preserve">geometry</w:t>
            </w:r>
          </w:p>
        </w:tc>
      </w:tr>
    </w:tbl>
    <w:p>
      <w:pPr>
        <w:pStyle w:val="Heading1"/>
      </w:pPr>
      <w:r>
        <w:t xml:space="preserve">13  Worked design point (R1 / freeze, traced)</w:t>
      </w:r>
    </w:p>
    <w:p>
      <w:pPr>
        <w:spacing w:after="120" w:line="276"/>
      </w:pPr>
      <w:r>
        <w:rPr>
          <w:rFonts w:ascii="Arial" w:cs="Arial" w:eastAsia="Arial" w:hAnsi="Arial"/>
          <w:sz w:val="21"/>
          <w:szCs w:val="21"/>
        </w:rPr>
        <w:t xml:space="preserve">A pass through the formulas at the reference point, so the chain C → geometry → voltage → resonance is visible end to end.</w:t>
      </w:r>
    </w:p>
    <w:p>
      <w:pPr>
        <w:pStyle w:val="ListParagraph"/>
        <w:numPr>
          <w:ilvl w:val="0"/>
          <w:numId w:val="4"/>
        </w:numPr>
        <w:spacing w:after="90" w:line="270"/>
      </w:pPr>
      <w:r>
        <w:rPr>
          <w:rFonts w:ascii="Arial" w:cs="Arial" w:eastAsia="Arial" w:hAnsi="Arial"/>
          <w:b/>
          <w:bCs/>
          <w:sz w:val="21"/>
          <w:szCs w:val="21"/>
        </w:rPr>
        <w:t xml:space="preserve">Varicap gap (insulate-first). </w:t>
      </w:r>
      <w:r>
        <w:rPr>
          <w:rFonts w:ascii="Consolas" w:cs="Consolas" w:eastAsia="Consolas" w:hAnsi="Consolas"/>
          <w:sz w:val="20"/>
          <w:szCs w:val="20"/>
        </w:rPr>
        <w:t xml:space="preserve">g = 21 kV / 3 kV/mm ≈ 7 mm</w:t>
      </w:r>
      <w:r>
        <w:rPr>
          <w:rFonts w:ascii="Arial" w:cs="Arial" w:eastAsia="Arial" w:hAnsi="Arial"/>
          <w:sz w:val="21"/>
          <w:szCs w:val="21"/>
        </w:rPr>
        <w:t xml:space="preserve"> air → holds the fire transient.</w:t>
      </w:r>
    </w:p>
    <w:p>
      <w:pPr>
        <w:pStyle w:val="ListParagraph"/>
        <w:numPr>
          <w:ilvl w:val="0"/>
          <w:numId w:val="4"/>
        </w:numPr>
        <w:spacing w:after="90" w:line="270"/>
      </w:pPr>
      <w:r>
        <w:rPr>
          <w:rFonts w:ascii="Arial" w:cs="Arial" w:eastAsia="Arial" w:hAnsi="Arial"/>
          <w:b/>
          <w:bCs/>
          <w:sz w:val="21"/>
          <w:szCs w:val="21"/>
        </w:rPr>
        <w:t xml:space="preserve">Metal area for C_max ≈ 280 pF </w:t>
      </w:r>
      <w:r>
        <w:rPr>
          <w:rFonts w:ascii="Arial" w:cs="Arial" w:eastAsia="Arial" w:hAnsi="Arial"/>
          <w:sz w:val="21"/>
          <w:szCs w:val="21"/>
        </w:rPr>
        <w:t xml:space="preserve">(vacuum-ε, ring floor χA_ring for C_min ≈ 16 pF): </w:t>
      </w:r>
      <w:r>
        <w:rPr>
          <w:rFonts w:ascii="Consolas" w:cs="Consolas" w:eastAsia="Consolas" w:hAnsi="Consolas"/>
          <w:sz w:val="20"/>
          <w:szCs w:val="20"/>
        </w:rPr>
        <w:t xml:space="preserve">A_m = C_max·g/ε₀ − χA_ring</w:t>
      </w:r>
    </w:p>
    <w:p>
      <w:pPr>
        <w:pStyle w:val="ListParagraph"/>
        <w:numPr>
          <w:ilvl w:val="0"/>
          <w:numId w:val="4"/>
        </w:numPr>
        <w:spacing w:after="90" w:line="270"/>
      </w:pPr>
      <w:r>
        <w:rPr>
          <w:rFonts w:ascii="Arial" w:cs="Arial" w:eastAsia="Arial" w:hAnsi="Arial"/>
          <w:b/>
          <w:bCs/>
          <w:sz w:val="21"/>
          <w:szCs w:val="21"/>
        </w:rPr>
        <w:t xml:space="preserve">Band radius. </w:t>
      </w:r>
      <w:r>
        <w:rPr>
          <w:rFonts w:ascii="Consolas" w:cs="Consolas" w:eastAsia="Consolas" w:hAnsi="Consolas"/>
          <w:sz w:val="20"/>
          <w:szCs w:val="20"/>
        </w:rPr>
        <w:t xml:space="preserve">r_out = √(r_in² + 2A_m/π) → R387</w:t>
      </w:r>
      <w:r>
        <w:rPr>
          <w:rFonts w:ascii="Arial" w:cs="Arial" w:eastAsia="Arial" w:hAnsi="Arial"/>
          <w:sz w:val="21"/>
          <w:szCs w:val="21"/>
        </w:rPr>
        <w:t xml:space="preserve"> with the R95 inner band (½-kept, 12 sectors).</w:t>
      </w:r>
    </w:p>
    <w:p>
      <w:pPr>
        <w:pStyle w:val="ListParagraph"/>
        <w:numPr>
          <w:ilvl w:val="0"/>
          <w:numId w:val="4"/>
        </w:numPr>
        <w:spacing w:after="90" w:line="270"/>
      </w:pPr>
      <w:r>
        <w:rPr>
          <w:rFonts w:ascii="Arial" w:cs="Arial" w:eastAsia="Arial" w:hAnsi="Arial"/>
          <w:b/>
          <w:bCs/>
          <w:sz w:val="21"/>
          <w:szCs w:val="21"/>
        </w:rPr>
        <w:t xml:space="preserve">Swing. </w:t>
      </w:r>
      <w:r>
        <w:rPr>
          <w:rFonts w:ascii="Consolas" w:cs="Consolas" w:eastAsia="Consolas" w:hAnsi="Consolas"/>
          <w:sz w:val="20"/>
          <w:szCs w:val="20"/>
        </w:rPr>
        <w:t xml:space="preserve">κ_C = 280/16 ≈ 17.5</w:t>
      </w:r>
      <w:r>
        <w:rPr>
          <w:rFonts w:ascii="Arial" w:cs="Arial" w:eastAsia="Arial" w:hAnsi="Arial"/>
          <w:sz w:val="21"/>
          <w:szCs w:val="21"/>
        </w:rPr>
        <w:t xml:space="preserve">; the ring area sets this floor independently of g and εr.</w:t>
      </w:r>
    </w:p>
    <w:p>
      <w:pPr>
        <w:pStyle w:val="ListParagraph"/>
        <w:numPr>
          <w:ilvl w:val="0"/>
          <w:numId w:val="4"/>
        </w:numPr>
        <w:spacing w:after="90" w:line="270"/>
      </w:pPr>
      <w:r>
        <w:rPr>
          <w:rFonts w:ascii="Arial" w:cs="Arial" w:eastAsia="Arial" w:hAnsi="Arial"/>
          <w:b/>
          <w:bCs/>
          <w:sz w:val="21"/>
          <w:szCs w:val="21"/>
        </w:rPr>
        <w:t xml:space="preserve">Transfer / gain. </w:t>
      </w:r>
      <w:r>
        <w:rPr>
          <w:rFonts w:ascii="Arial" w:cs="Arial" w:eastAsia="Arial" w:hAnsi="Arial"/>
          <w:sz w:val="21"/>
          <w:szCs w:val="21"/>
        </w:rPr>
        <w:t xml:space="preserve">Ca = Cb = 309 pF matched to C_max → </w:t>
      </w:r>
      <w:r>
        <w:rPr>
          <w:rFonts w:ascii="Consolas" w:cs="Consolas" w:eastAsia="Consolas" w:hAnsi="Consolas"/>
          <w:sz w:val="20"/>
          <w:szCs w:val="20"/>
        </w:rPr>
        <w:t xml:space="preserve">z = 1.334</w:t>
      </w:r>
      <w:r>
        <w:rPr>
          <w:rFonts w:ascii="Arial" w:cs="Arial" w:eastAsia="Arial" w:hAnsi="Arial"/>
          <w:sz w:val="21"/>
          <w:szCs w:val="21"/>
        </w:rPr>
        <w:t xml:space="preserve"> (η_core 0.386; machine ≈ 0.50 with the island sink).</w:t>
      </w:r>
    </w:p>
    <w:p>
      <w:pPr>
        <w:pStyle w:val="ListParagraph"/>
        <w:numPr>
          <w:ilvl w:val="0"/>
          <w:numId w:val="4"/>
        </w:numPr>
        <w:spacing w:after="90" w:line="270"/>
      </w:pPr>
      <w:r>
        <w:rPr>
          <w:rFonts w:ascii="Arial" w:cs="Arial" w:eastAsia="Arial" w:hAnsi="Arial"/>
          <w:b/>
          <w:bCs/>
          <w:sz w:val="21"/>
          <w:szCs w:val="21"/>
        </w:rPr>
        <w:t xml:space="preserve">Tank. </w:t>
      </w:r>
      <w:r>
        <w:rPr>
          <w:rFonts w:ascii="Consolas" w:cs="Consolas" w:eastAsia="Consolas" w:hAnsi="Consolas"/>
          <w:sz w:val="20"/>
          <w:szCs w:val="20"/>
        </w:rPr>
        <w:t xml:space="preserve">C_R = ε₀ε_r A_full / 12 mm = 789 pF</w:t>
      </w:r>
      <w:r>
        <w:rPr>
          <w:rFonts w:ascii="Arial" w:cs="Arial" w:eastAsia="Arial" w:hAnsi="Arial"/>
          <w:sz w:val="21"/>
          <w:szCs w:val="21"/>
        </w:rPr>
        <w:t xml:space="preserve">; with L_R = 79 µH → </w:t>
      </w:r>
      <w:r>
        <w:rPr>
          <w:rFonts w:ascii="Consolas" w:cs="Consolas" w:eastAsia="Consolas" w:hAnsi="Consolas"/>
          <w:sz w:val="20"/>
          <w:szCs w:val="20"/>
        </w:rPr>
        <w:t xml:space="preserve">f₀ ≈ 637 kHz, Z₀ ≈ 316 Ω</w:t>
      </w:r>
      <w:r>
        <w:rPr>
          <w:rFonts w:ascii="Arial" w:cs="Arial" w:eastAsia="Arial" w:hAnsi="Arial"/>
          <w:sz w:val="21"/>
          <w:szCs w:val="21"/>
        </w:rPr>
        <w:t xml:space="preserve">.</w:t>
      </w:r>
    </w:p>
    <w:p>
      <w:pPr>
        <w:pStyle w:val="ListParagraph"/>
        <w:numPr>
          <w:ilvl w:val="0"/>
          <w:numId w:val="4"/>
        </w:numPr>
        <w:spacing w:after="90" w:line="270"/>
      </w:pPr>
      <w:r>
        <w:rPr>
          <w:rFonts w:ascii="Arial" w:cs="Arial" w:eastAsia="Arial" w:hAnsi="Arial"/>
          <w:b/>
          <w:bCs/>
          <w:sz w:val="21"/>
          <w:szCs w:val="21"/>
        </w:rPr>
        <w:t xml:space="preserve">Reach. </w:t>
      </w:r>
      <w:r>
        <w:rPr>
          <w:rFonts w:ascii="Consolas" w:cs="Consolas" w:eastAsia="Consolas" w:hAnsi="Consolas"/>
          <w:sz w:val="20"/>
          <w:szCs w:val="20"/>
        </w:rPr>
        <w:t xml:space="preserve">½ C_R V² = ½ · 789 pF · (15 kV)² ≈ 89 mJ</w:t>
      </w:r>
      <w:r>
        <w:rPr>
          <w:rFonts w:ascii="Arial" w:cs="Arial" w:eastAsia="Arial" w:hAnsi="Arial"/>
          <w:sz w:val="21"/>
          <w:szCs w:val="21"/>
        </w:rPr>
        <w:t xml:space="preserve"> reached over ~6–7 island fires (~14 mJ each); island dump 4·471·789/(471+789)² ≈ 0.94.</w:t>
      </w:r>
    </w:p>
    <w:p>
      <w:pPr>
        <w:pStyle w:val="ListParagraph"/>
        <w:numPr>
          <w:ilvl w:val="0"/>
          <w:numId w:val="4"/>
        </w:numPr>
        <w:spacing w:after="90" w:line="270"/>
      </w:pPr>
      <w:r>
        <w:rPr>
          <w:rFonts w:ascii="Arial" w:cs="Arial" w:eastAsia="Arial" w:hAnsi="Arial"/>
          <w:b/>
          <w:bCs/>
          <w:sz w:val="21"/>
          <w:szCs w:val="21"/>
        </w:rPr>
        <w:t xml:space="preserve">Commutation. </w:t>
      </w:r>
      <w:r>
        <w:rPr>
          <w:rFonts w:ascii="Consolas" w:cs="Consolas" w:eastAsia="Consolas" w:hAnsi="Consolas"/>
          <w:sz w:val="20"/>
          <w:szCs w:val="20"/>
        </w:rPr>
        <w:t xml:space="preserve">PRF = 6 · 3000/60 = 300 Hz</w:t>
      </w:r>
      <w:r>
        <w:rPr>
          <w:rFonts w:ascii="Arial" w:cs="Arial" w:eastAsia="Arial" w:hAnsi="Arial"/>
          <w:sz w:val="21"/>
          <w:szCs w:val="21"/>
        </w:rPr>
        <w:t xml:space="preserve">/branch; stations per §10; recovery window ~333 µs &gt; τ_rec; rim 2π·0.49·3000/60 ≈ 154 m/s &lt; 200.</w:t>
      </w:r>
    </w:p>
    <w:p>
      <w:pPr>
        <w:pBdr>
          <w:top w:val="single" w:color="1F4E79" w:sz="4" w:space="8"/>
        </w:pBdr>
        <w:spacing w:before="200"/>
      </w:pPr>
      <w:r>
        <w:rPr>
          <w:rFonts w:ascii="Arial" w:cs="Arial" w:eastAsia="Arial" w:hAnsi="Arial"/>
          <w:b/>
          <w:bCs/>
          <w:sz w:val="19"/>
          <w:szCs w:val="19"/>
        </w:rPr>
        <w:t xml:space="preserve">End of guide. </w:t>
      </w:r>
      <w:r>
        <w:rPr>
          <w:rFonts w:ascii="Arial" w:cs="Arial" w:eastAsia="Arial" w:hAnsi="Arial"/>
          <w:i/>
          <w:iCs/>
          <w:color w:val="6B7280"/>
          <w:sz w:val="19"/>
          <w:szCs w:val="19"/>
        </w:rPr>
        <w:t xml:space="preserve">Formulas are the design relations; the frozen solver remains the authority for z and η, and the bench is the final court on the breakdown and quench assumptions.</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Varcap Machine — Design Guide   ·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4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5A8C"/>
      <w:sz w:val="25"/>
      <w:szCs w:val="25"/>
    </w:rPr>
  </w:style>
  <w:style w:type="paragraph" w:styleId="Heading3">
    <w:name w:val="Heading 3"/>
    <w:basedOn w:val="Normal"/>
    <w:next w:val="Normal"/>
    <w:qFormat/>
    <w:pPr>
      <w:spacing w:after="80" w:before="140"/>
      <w:outlineLvl w:val="2"/>
    </w:pPr>
    <w:rPr>
      <w:rFonts w:ascii="Arial" w:cs="Arial" w:eastAsia="Arial" w:hAnsi="Arial"/>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d57641a59c1d2791965317f8e5b07b14875e3eb.png"/><Relationship Id="rId9" Type="http://schemas.openxmlformats.org/officeDocument/2006/relationships/image" Target="media/f217b465d39b86b3db09b5ed03e9d1867ab8a60e.png"/><Relationship Id="rId10" Type="http://schemas.openxmlformats.org/officeDocument/2006/relationships/image" Target="media/725468f3c227a3b61879bbfe2d0651993541e17c.png"/><Relationship Id="rId11" Type="http://schemas.openxmlformats.org/officeDocument/2006/relationships/image" Target="media/b5429af2665f47718866c396dd90719a56a8d7d0.png"/><Relationship Id="rId12" Type="http://schemas.openxmlformats.org/officeDocument/2006/relationships/image" Target="media/00b291d1d9247dafbc6e947d0488b1e0ef1081a1.png"/><Relationship Id="rId13" Type="http://schemas.openxmlformats.org/officeDocument/2006/relationships/image" Target="media/1ec0169d73d5a843d91570db374e9520e2050142.png"/><Relationship Id="rId14" Type="http://schemas.openxmlformats.org/officeDocument/2006/relationships/image" Target="media/df1db486b40a9abe9dc7e6a7b634a220f7f41fb1.png"/><Relationship Id="rId15" Type="http://schemas.openxmlformats.org/officeDocument/2006/relationships/image" Target="media/c042796c27c51d58d66ac089b836adfa7c573179.png"/><Relationship Id="rId16" Type="http://schemas.openxmlformats.org/officeDocument/2006/relationships/image" Target="media/86bb716cee1fafaccd1abbd516a5cb4d03b8152b.png"/><Relationship Id="rId17" Type="http://schemas.openxmlformats.org/officeDocument/2006/relationships/image" Target="media/199f7384d754fd6b4ada9513e9530fd30b25c128.png"/><Relationship Id="rId18" Type="http://schemas.openxmlformats.org/officeDocument/2006/relationships/image" Target="media/69779086a4844498e2c054fdaf40f7eed2db8ebe.png"/><Relationship Id="rId19" Type="http://schemas.openxmlformats.org/officeDocument/2006/relationships/image" Target="media/e575824763b46b42f7c066b8b381bd1f48b3459f.png"/><Relationship Id="rId20" Type="http://schemas.openxmlformats.org/officeDocument/2006/relationships/image" Target="media/6c697f35f8f672b4b17c87a401cff2a8195905db.png"/><Relationship Id="rId21" Type="http://schemas.openxmlformats.org/officeDocument/2006/relationships/image" Target="media/d063129539dc0961d67aa740e2afe954dfdf6740.png"/><Relationship Id="rId22" Type="http://schemas.openxmlformats.org/officeDocument/2006/relationships/image" Target="media/df1aadf875ed5d66eaa8588b4e24f6603738d94b.png"/><Relationship Id="rId23" Type="http://schemas.openxmlformats.org/officeDocument/2006/relationships/image" Target="media/fda44bd0759d062e7b58ff5adf10e6d75ffe3b87.png"/><Relationship Id="rId24" Type="http://schemas.openxmlformats.org/officeDocument/2006/relationships/image" Target="media/642a9eb0062db0899ffca0ae0d84cfb1097a969a.png"/><Relationship Id="rId25" Type="http://schemas.openxmlformats.org/officeDocument/2006/relationships/image" Target="media/b96b47641c998ed30bdee22003d4457b58919fda.png"/><Relationship Id="rId26" Type="http://schemas.openxmlformats.org/officeDocument/2006/relationships/image" Target="media/41c9b3e9df910181006fee8ee9a09414ebef3f54.png"/><Relationship Id="rId27" Type="http://schemas.openxmlformats.org/officeDocument/2006/relationships/image" Target="media/93edcec75181a7c3ae0366c049a77ee09a339d6a.png"/><Relationship Id="rId28" Type="http://schemas.openxmlformats.org/officeDocument/2006/relationships/image" Target="media/fad1892715b81d37a6b3d5e791ab53789e49efb9.png"/><Relationship Id="rId29" Type="http://schemas.openxmlformats.org/officeDocument/2006/relationships/image" Target="media/86c55b760d2c003c83ffa5e7f1aaae76f00cb4be.png"/><Relationship Id="rId30" Type="http://schemas.openxmlformats.org/officeDocument/2006/relationships/image" Target="media/ab4f43616cb7ef19b100e8297e69e5197d85d045.png"/><Relationship Id="rId31" Type="http://schemas.openxmlformats.org/officeDocument/2006/relationships/image" Target="media/0e2d05f69f2b10af90a1a19660fd0f5eb080f1ba.png"/><Relationship Id="rId32" Type="http://schemas.openxmlformats.org/officeDocument/2006/relationships/image" Target="media/6cc642708e0eab646c275803ef095e6dc4711548.png"/><Relationship Id="rId33" Type="http://schemas.openxmlformats.org/officeDocument/2006/relationships/image" Target="media/717c047ee64d7178e00605d45507f79d6aedae5c.png"/><Relationship Id="rId34" Type="http://schemas.openxmlformats.org/officeDocument/2006/relationships/image" Target="media/703aa141ba6e436825eb7bb53fe1e0b5477d8969.png"/><Relationship Id="rId35" Type="http://schemas.openxmlformats.org/officeDocument/2006/relationships/image" Target="media/1d6487a8413305545c7aaa70ba34f90a093f8098.png"/><Relationship Id="rId36" Type="http://schemas.openxmlformats.org/officeDocument/2006/relationships/image" Target="media/958afe13283247e01008c6399a240e01c437a76f.png"/><Relationship Id="rId37" Type="http://schemas.openxmlformats.org/officeDocument/2006/relationships/image" Target="media/6b678952cd508941fe7f54dfc2edcdfefbdcb7d6.png"/><Relationship Id="rId38" Type="http://schemas.openxmlformats.org/officeDocument/2006/relationships/image" Target="media/441800559f00e025490880627ee9f26c1ad1daf9.png"/><Relationship Id="rId39" Type="http://schemas.openxmlformats.org/officeDocument/2006/relationships/image" Target="media/23d1178353edee8022938262153c7c5e6b291479.png"/><Relationship Id="rId40" Type="http://schemas.openxmlformats.org/officeDocument/2006/relationships/image" Target="media/161bbffdb22b5a8a467e277ca828e95cc72438f4.png"/><Relationship Id="rId41" Type="http://schemas.openxmlformats.org/officeDocument/2006/relationships/image" Target="media/04e56de4870fc28449f362e0c0b8daa11903462e.png"/><Relationship Id="rId42" Type="http://schemas.openxmlformats.org/officeDocument/2006/relationships/image" Target="media/385a8e77d22daaba3cbafb4349fa64b59e892e75.png"/><Relationship Id="rId43" Type="http://schemas.openxmlformats.org/officeDocument/2006/relationships/image" Target="media/7a1492bd725f32efb23abb757a5b454892fd67d8.png"/><Relationship Id="rId44"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Varcap Machine — Design Guide</dc:title>
  <dc:creator>DCCREG turbine project</dc:creator>
  <cp:lastModifiedBy>Un-named</cp:lastModifiedBy>
  <cp:revision>1</cp:revision>
  <dcterms:created xsi:type="dcterms:W3CDTF">2026-06-24T20:29:53.619Z</dcterms:created>
  <dcterms:modified xsi:type="dcterms:W3CDTF">2026-06-24T20:29:53.629Z</dcterms:modified>
</cp:coreProperties>
</file>

<file path=docProps/custom.xml><?xml version="1.0" encoding="utf-8"?>
<Properties xmlns="http://schemas.openxmlformats.org/officeDocument/2006/custom-properties" xmlns:vt="http://schemas.openxmlformats.org/officeDocument/2006/docPropsVTypes"/>
</file>